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96E" w:rsidRPr="004C6EEE" w:rsidRDefault="0078365C" w:rsidP="00AD784C">
      <w:pPr>
        <w:pStyle w:val="Spacerparatopoffirstpage"/>
      </w:pPr>
      <w:bookmarkStart w:id="0" w:name="_GoBack"/>
      <w:bookmarkEnd w:id="0"/>
      <w:r>
        <w:rPr>
          <w:lang w:eastAsia="en-AU"/>
        </w:rPr>
        <w:drawing>
          <wp:anchor distT="0" distB="0" distL="114300" distR="114300" simplePos="0" relativeHeight="251657216" behindDoc="1" locked="1" layoutInCell="0" allowOverlap="1" wp14:anchorId="1A30C4CF" wp14:editId="5BFB08FF">
            <wp:simplePos x="0" y="0"/>
            <wp:positionH relativeFrom="page">
              <wp:posOffset>0</wp:posOffset>
            </wp:positionH>
            <wp:positionV relativeFrom="page">
              <wp:posOffset>0</wp:posOffset>
            </wp:positionV>
            <wp:extent cx="7561580" cy="3136265"/>
            <wp:effectExtent l="0" t="0" r="1270" b="6985"/>
            <wp:wrapNone/>
            <wp:docPr id="31"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D44" w:rsidRPr="004C6EEE" w:rsidRDefault="00A62D44" w:rsidP="004C6EEE">
      <w:pPr>
        <w:pStyle w:val="Sectionbreakfirstpage"/>
        <w:sectPr w:rsidR="00A62D44" w:rsidRPr="004C6EEE" w:rsidSect="005A36BD">
          <w:footerReference w:type="default" r:id="rId9"/>
          <w:pgSz w:w="11906" w:h="16838" w:code="9"/>
          <w:pgMar w:top="1247" w:right="851" w:bottom="1701" w:left="851" w:header="567" w:footer="709" w:gutter="0"/>
          <w:cols w:space="708"/>
          <w:docGrid w:linePitch="360"/>
        </w:sectPr>
      </w:pPr>
    </w:p>
    <w:tbl>
      <w:tblPr>
        <w:tblW w:w="0" w:type="auto"/>
        <w:tblInd w:w="1588" w:type="dxa"/>
        <w:tblCellMar>
          <w:left w:w="0" w:type="dxa"/>
          <w:right w:w="0" w:type="dxa"/>
        </w:tblCellMar>
        <w:tblLook w:val="04A0" w:firstRow="1" w:lastRow="0" w:firstColumn="1" w:lastColumn="0" w:noHBand="0" w:noVBand="1"/>
      </w:tblPr>
      <w:tblGrid>
        <w:gridCol w:w="7768"/>
      </w:tblGrid>
      <w:tr w:rsidR="00AD784C" w:rsidTr="007453F3">
        <w:trPr>
          <w:trHeight w:val="1839"/>
        </w:trPr>
        <w:tc>
          <w:tcPr>
            <w:tcW w:w="7768" w:type="dxa"/>
            <w:shd w:val="clear" w:color="auto" w:fill="auto"/>
            <w:vAlign w:val="bottom"/>
          </w:tcPr>
          <w:p w:rsidR="00AD784C" w:rsidRPr="00161AA0" w:rsidRDefault="00A243D2" w:rsidP="007453F3">
            <w:pPr>
              <w:pStyle w:val="DHHSmainheading"/>
            </w:pPr>
            <w:r>
              <w:t>National Disability Insurance Scheme: Service Agreement Variation Process</w:t>
            </w:r>
          </w:p>
        </w:tc>
      </w:tr>
      <w:tr w:rsidR="00AD784C" w:rsidTr="007453F3">
        <w:trPr>
          <w:trHeight w:hRule="exact" w:val="1531"/>
        </w:trPr>
        <w:tc>
          <w:tcPr>
            <w:tcW w:w="7768" w:type="dxa"/>
            <w:shd w:val="clear" w:color="auto" w:fill="auto"/>
            <w:tcMar>
              <w:top w:w="284" w:type="dxa"/>
              <w:bottom w:w="510" w:type="dxa"/>
            </w:tcMar>
          </w:tcPr>
          <w:p w:rsidR="00F65CE4" w:rsidRPr="00AD784C" w:rsidRDefault="00AC519E" w:rsidP="00415623">
            <w:pPr>
              <w:pStyle w:val="DHHSmainsubheading"/>
              <w:spacing w:after="120"/>
              <w:rPr>
                <w:szCs w:val="28"/>
              </w:rPr>
            </w:pPr>
            <w:r>
              <w:rPr>
                <w:szCs w:val="28"/>
              </w:rPr>
              <w:t>FAQs for service providers –</w:t>
            </w:r>
            <w:r w:rsidR="00D059C0">
              <w:rPr>
                <w:szCs w:val="28"/>
              </w:rPr>
              <w:t xml:space="preserve"> August </w:t>
            </w:r>
            <w:r w:rsidR="00192122">
              <w:rPr>
                <w:szCs w:val="28"/>
              </w:rPr>
              <w:t xml:space="preserve"> </w:t>
            </w:r>
            <w:r w:rsidR="00F650CA">
              <w:rPr>
                <w:szCs w:val="28"/>
              </w:rPr>
              <w:t>2018</w:t>
            </w:r>
          </w:p>
        </w:tc>
      </w:tr>
    </w:tbl>
    <w:p w:rsidR="00E74F82" w:rsidRDefault="00E74F82" w:rsidP="00E74F82">
      <w:pPr>
        <w:pStyle w:val="DHHSTOCheadingfactsheet"/>
      </w:pPr>
      <w:r>
        <w:t>Contents</w:t>
      </w:r>
    </w:p>
    <w:p w:rsidR="001D76D9" w:rsidRDefault="0028608A">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506974690" w:history="1">
        <w:r w:rsidR="001D76D9" w:rsidRPr="009315D4">
          <w:rPr>
            <w:rStyle w:val="Hyperlink"/>
          </w:rPr>
          <w:t>Key messages</w:t>
        </w:r>
        <w:r w:rsidR="001D76D9">
          <w:rPr>
            <w:webHidden/>
          </w:rPr>
          <w:tab/>
        </w:r>
        <w:r w:rsidR="001D76D9">
          <w:rPr>
            <w:webHidden/>
          </w:rPr>
          <w:fldChar w:fldCharType="begin"/>
        </w:r>
        <w:r w:rsidR="001D76D9">
          <w:rPr>
            <w:webHidden/>
          </w:rPr>
          <w:instrText xml:space="preserve"> PAGEREF _Toc506974690 \h </w:instrText>
        </w:r>
        <w:r w:rsidR="001D76D9">
          <w:rPr>
            <w:webHidden/>
          </w:rPr>
        </w:r>
        <w:r w:rsidR="001D76D9">
          <w:rPr>
            <w:webHidden/>
          </w:rPr>
          <w:fldChar w:fldCharType="separate"/>
        </w:r>
        <w:r w:rsidR="000E2F61">
          <w:rPr>
            <w:webHidden/>
          </w:rPr>
          <w:t>3</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691" w:history="1">
        <w:r w:rsidR="001D76D9" w:rsidRPr="009315D4">
          <w:rPr>
            <w:rStyle w:val="Hyperlink"/>
          </w:rPr>
          <w:t>NDIS funding changes and calculations</w:t>
        </w:r>
        <w:r w:rsidR="001D76D9">
          <w:rPr>
            <w:webHidden/>
          </w:rPr>
          <w:tab/>
        </w:r>
        <w:r w:rsidR="001D76D9">
          <w:rPr>
            <w:webHidden/>
          </w:rPr>
          <w:fldChar w:fldCharType="begin"/>
        </w:r>
        <w:r w:rsidR="001D76D9">
          <w:rPr>
            <w:webHidden/>
          </w:rPr>
          <w:instrText xml:space="preserve"> PAGEREF _Toc506974691 \h </w:instrText>
        </w:r>
        <w:r w:rsidR="001D76D9">
          <w:rPr>
            <w:webHidden/>
          </w:rPr>
        </w:r>
        <w:r w:rsidR="001D76D9">
          <w:rPr>
            <w:webHidden/>
          </w:rPr>
          <w:fldChar w:fldCharType="separate"/>
        </w:r>
        <w:r w:rsidR="000E2F61">
          <w:rPr>
            <w:webHidden/>
          </w:rPr>
          <w:t>4</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2" w:history="1">
        <w:r w:rsidR="001D76D9" w:rsidRPr="009315D4">
          <w:rPr>
            <w:rStyle w:val="Hyperlink"/>
          </w:rPr>
          <w:t>1.</w:t>
        </w:r>
        <w:r w:rsidR="001D76D9">
          <w:rPr>
            <w:rFonts w:asciiTheme="minorHAnsi" w:eastAsiaTheme="minorEastAsia" w:hAnsiTheme="minorHAnsi" w:cstheme="minorBidi"/>
            <w:sz w:val="22"/>
            <w:szCs w:val="22"/>
            <w:lang w:eastAsia="en-AU"/>
          </w:rPr>
          <w:tab/>
        </w:r>
        <w:r w:rsidR="001D76D9" w:rsidRPr="009315D4">
          <w:rPr>
            <w:rStyle w:val="Hyperlink"/>
          </w:rPr>
          <w:t>What are the key differences between the old and new approaches to service provider funding?</w:t>
        </w:r>
        <w:r w:rsidR="001D76D9">
          <w:rPr>
            <w:webHidden/>
          </w:rPr>
          <w:tab/>
        </w:r>
        <w:r w:rsidR="001D76D9">
          <w:rPr>
            <w:webHidden/>
          </w:rPr>
          <w:fldChar w:fldCharType="begin"/>
        </w:r>
        <w:r w:rsidR="001D76D9">
          <w:rPr>
            <w:webHidden/>
          </w:rPr>
          <w:instrText xml:space="preserve"> PAGEREF _Toc506974692 \h </w:instrText>
        </w:r>
        <w:r w:rsidR="001D76D9">
          <w:rPr>
            <w:webHidden/>
          </w:rPr>
        </w:r>
        <w:r w:rsidR="001D76D9">
          <w:rPr>
            <w:webHidden/>
          </w:rPr>
          <w:fldChar w:fldCharType="separate"/>
        </w:r>
        <w:r w:rsidR="000E2F61">
          <w:rPr>
            <w:webHidden/>
          </w:rPr>
          <w:t>4</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3" w:history="1">
        <w:r w:rsidR="001D76D9" w:rsidRPr="009315D4">
          <w:rPr>
            <w:rStyle w:val="Hyperlink"/>
          </w:rPr>
          <w:t>2.</w:t>
        </w:r>
        <w:r w:rsidR="001D76D9">
          <w:rPr>
            <w:rFonts w:asciiTheme="minorHAnsi" w:eastAsiaTheme="minorEastAsia" w:hAnsiTheme="minorHAnsi" w:cstheme="minorBidi"/>
            <w:sz w:val="22"/>
            <w:szCs w:val="22"/>
            <w:lang w:eastAsia="en-AU"/>
          </w:rPr>
          <w:tab/>
        </w:r>
        <w:r w:rsidR="001D76D9" w:rsidRPr="009315D4">
          <w:rPr>
            <w:rStyle w:val="Hyperlink"/>
          </w:rPr>
          <w:t>How will state funding be withdrawn?</w:t>
        </w:r>
        <w:r w:rsidR="001D76D9">
          <w:rPr>
            <w:webHidden/>
          </w:rPr>
          <w:tab/>
        </w:r>
        <w:r w:rsidR="001D76D9">
          <w:rPr>
            <w:webHidden/>
          </w:rPr>
          <w:fldChar w:fldCharType="begin"/>
        </w:r>
        <w:r w:rsidR="001D76D9">
          <w:rPr>
            <w:webHidden/>
          </w:rPr>
          <w:instrText xml:space="preserve"> PAGEREF _Toc506974693 \h </w:instrText>
        </w:r>
        <w:r w:rsidR="001D76D9">
          <w:rPr>
            <w:webHidden/>
          </w:rPr>
        </w:r>
        <w:r w:rsidR="001D76D9">
          <w:rPr>
            <w:webHidden/>
          </w:rPr>
          <w:fldChar w:fldCharType="separate"/>
        </w:r>
        <w:r w:rsidR="000E2F61">
          <w:rPr>
            <w:webHidden/>
          </w:rPr>
          <w:t>4</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4" w:history="1">
        <w:r w:rsidR="001D76D9" w:rsidRPr="009315D4">
          <w:rPr>
            <w:rStyle w:val="Hyperlink"/>
          </w:rPr>
          <w:t>3.</w:t>
        </w:r>
        <w:r w:rsidR="001D76D9">
          <w:rPr>
            <w:rFonts w:asciiTheme="minorHAnsi" w:eastAsiaTheme="minorEastAsia" w:hAnsiTheme="minorHAnsi" w:cstheme="minorBidi"/>
            <w:sz w:val="22"/>
            <w:szCs w:val="22"/>
            <w:lang w:eastAsia="en-AU"/>
          </w:rPr>
          <w:tab/>
        </w:r>
        <w:r w:rsidR="001D76D9" w:rsidRPr="009315D4">
          <w:rPr>
            <w:rStyle w:val="Hyperlink"/>
          </w:rPr>
          <w:t>When will state funding be withdrawn?</w:t>
        </w:r>
        <w:r w:rsidR="001D76D9">
          <w:rPr>
            <w:webHidden/>
          </w:rPr>
          <w:tab/>
        </w:r>
        <w:r w:rsidR="001D76D9">
          <w:rPr>
            <w:webHidden/>
          </w:rPr>
          <w:fldChar w:fldCharType="begin"/>
        </w:r>
        <w:r w:rsidR="001D76D9">
          <w:rPr>
            <w:webHidden/>
          </w:rPr>
          <w:instrText xml:space="preserve"> PAGEREF _Toc506974694 \h </w:instrText>
        </w:r>
        <w:r w:rsidR="001D76D9">
          <w:rPr>
            <w:webHidden/>
          </w:rPr>
        </w:r>
        <w:r w:rsidR="001D76D9">
          <w:rPr>
            <w:webHidden/>
          </w:rPr>
          <w:fldChar w:fldCharType="separate"/>
        </w:r>
        <w:r w:rsidR="000E2F61">
          <w:rPr>
            <w:webHidden/>
          </w:rPr>
          <w:t>4</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5" w:history="1">
        <w:r w:rsidR="001D76D9" w:rsidRPr="009315D4">
          <w:rPr>
            <w:rStyle w:val="Hyperlink"/>
          </w:rPr>
          <w:t>4.</w:t>
        </w:r>
        <w:r w:rsidR="001D76D9">
          <w:rPr>
            <w:rFonts w:asciiTheme="minorHAnsi" w:eastAsiaTheme="minorEastAsia" w:hAnsiTheme="minorHAnsi" w:cstheme="minorBidi"/>
            <w:sz w:val="22"/>
            <w:szCs w:val="22"/>
            <w:lang w:eastAsia="en-AU"/>
          </w:rPr>
          <w:tab/>
        </w:r>
        <w:r w:rsidR="001D76D9" w:rsidRPr="009315D4">
          <w:rPr>
            <w:rStyle w:val="Hyperlink"/>
          </w:rPr>
          <w:t>How will funding be withdrawn from HACC-PYP service providers?</w:t>
        </w:r>
        <w:r w:rsidR="001D76D9">
          <w:rPr>
            <w:webHidden/>
          </w:rPr>
          <w:tab/>
        </w:r>
        <w:r w:rsidR="001D76D9">
          <w:rPr>
            <w:webHidden/>
          </w:rPr>
          <w:fldChar w:fldCharType="begin"/>
        </w:r>
        <w:r w:rsidR="001D76D9">
          <w:rPr>
            <w:webHidden/>
          </w:rPr>
          <w:instrText xml:space="preserve"> PAGEREF _Toc506974695 \h </w:instrText>
        </w:r>
        <w:r w:rsidR="001D76D9">
          <w:rPr>
            <w:webHidden/>
          </w:rPr>
        </w:r>
        <w:r w:rsidR="001D76D9">
          <w:rPr>
            <w:webHidden/>
          </w:rPr>
          <w:fldChar w:fldCharType="separate"/>
        </w:r>
        <w:r w:rsidR="000E2F61">
          <w:rPr>
            <w:webHidden/>
          </w:rPr>
          <w:t>4</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6" w:history="1">
        <w:r w:rsidR="001D76D9" w:rsidRPr="009315D4">
          <w:rPr>
            <w:rStyle w:val="Hyperlink"/>
          </w:rPr>
          <w:t>5.</w:t>
        </w:r>
        <w:r w:rsidR="001D76D9">
          <w:rPr>
            <w:rFonts w:asciiTheme="minorHAnsi" w:eastAsiaTheme="minorEastAsia" w:hAnsiTheme="minorHAnsi" w:cstheme="minorBidi"/>
            <w:sz w:val="22"/>
            <w:szCs w:val="22"/>
            <w:lang w:eastAsia="en-AU"/>
          </w:rPr>
          <w:tab/>
        </w:r>
        <w:r w:rsidR="001D76D9" w:rsidRPr="009315D4">
          <w:rPr>
            <w:rStyle w:val="Hyperlink"/>
          </w:rPr>
          <w:t>When is state funding withdrawn for clients that have their NDIS approved plan reviewed and consequently receive an updated plan and plan start date?)</w:t>
        </w:r>
        <w:r w:rsidR="001D76D9">
          <w:rPr>
            <w:webHidden/>
          </w:rPr>
          <w:tab/>
        </w:r>
        <w:r w:rsidR="001D76D9">
          <w:rPr>
            <w:webHidden/>
          </w:rPr>
          <w:fldChar w:fldCharType="begin"/>
        </w:r>
        <w:r w:rsidR="001D76D9">
          <w:rPr>
            <w:webHidden/>
          </w:rPr>
          <w:instrText xml:space="preserve"> PAGEREF _Toc506974696 \h </w:instrText>
        </w:r>
        <w:r w:rsidR="001D76D9">
          <w:rPr>
            <w:webHidden/>
          </w:rPr>
        </w:r>
        <w:r w:rsidR="001D76D9">
          <w:rPr>
            <w:webHidden/>
          </w:rPr>
          <w:fldChar w:fldCharType="separate"/>
        </w:r>
        <w:r w:rsidR="000E2F61">
          <w:rPr>
            <w:webHidden/>
          </w:rPr>
          <w:t>5</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7" w:history="1">
        <w:r w:rsidR="001D76D9" w:rsidRPr="009315D4">
          <w:rPr>
            <w:rStyle w:val="Hyperlink"/>
          </w:rPr>
          <w:t>6.</w:t>
        </w:r>
        <w:r w:rsidR="001D76D9">
          <w:rPr>
            <w:rFonts w:asciiTheme="minorHAnsi" w:eastAsiaTheme="minorEastAsia" w:hAnsiTheme="minorHAnsi" w:cstheme="minorBidi"/>
            <w:sz w:val="22"/>
            <w:szCs w:val="22"/>
            <w:lang w:eastAsia="en-AU"/>
          </w:rPr>
          <w:tab/>
        </w:r>
        <w:r w:rsidR="001D76D9" w:rsidRPr="009315D4">
          <w:rPr>
            <w:rStyle w:val="Hyperlink"/>
          </w:rPr>
          <w:t>What happens if a client transitions ahead of their area or activity transition schedule?</w:t>
        </w:r>
        <w:r w:rsidR="001D76D9">
          <w:rPr>
            <w:webHidden/>
          </w:rPr>
          <w:tab/>
        </w:r>
        <w:r w:rsidR="001D76D9">
          <w:rPr>
            <w:webHidden/>
          </w:rPr>
          <w:fldChar w:fldCharType="begin"/>
        </w:r>
        <w:r w:rsidR="001D76D9">
          <w:rPr>
            <w:webHidden/>
          </w:rPr>
          <w:instrText xml:space="preserve"> PAGEREF _Toc506974697 \h </w:instrText>
        </w:r>
        <w:r w:rsidR="001D76D9">
          <w:rPr>
            <w:webHidden/>
          </w:rPr>
        </w:r>
        <w:r w:rsidR="001D76D9">
          <w:rPr>
            <w:webHidden/>
          </w:rPr>
          <w:fldChar w:fldCharType="separate"/>
        </w:r>
        <w:r w:rsidR="000E2F61">
          <w:rPr>
            <w:webHidden/>
          </w:rPr>
          <w:t>5</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8" w:history="1">
        <w:r w:rsidR="001D76D9" w:rsidRPr="009315D4">
          <w:rPr>
            <w:rStyle w:val="Hyperlink"/>
          </w:rPr>
          <w:t>7.</w:t>
        </w:r>
        <w:r w:rsidR="001D76D9">
          <w:rPr>
            <w:rFonts w:asciiTheme="minorHAnsi" w:eastAsiaTheme="minorEastAsia" w:hAnsiTheme="minorHAnsi" w:cstheme="minorBidi"/>
            <w:sz w:val="22"/>
            <w:szCs w:val="22"/>
            <w:lang w:eastAsia="en-AU"/>
          </w:rPr>
          <w:tab/>
        </w:r>
        <w:r w:rsidR="001D76D9" w:rsidRPr="009315D4">
          <w:rPr>
            <w:rStyle w:val="Hyperlink"/>
          </w:rPr>
          <w:t>How will state funding for each participant and service be determined?</w:t>
        </w:r>
        <w:r w:rsidR="001D76D9">
          <w:rPr>
            <w:webHidden/>
          </w:rPr>
          <w:tab/>
        </w:r>
        <w:r w:rsidR="001D76D9">
          <w:rPr>
            <w:webHidden/>
          </w:rPr>
          <w:fldChar w:fldCharType="begin"/>
        </w:r>
        <w:r w:rsidR="001D76D9">
          <w:rPr>
            <w:webHidden/>
          </w:rPr>
          <w:instrText xml:space="preserve"> PAGEREF _Toc506974698 \h </w:instrText>
        </w:r>
        <w:r w:rsidR="001D76D9">
          <w:rPr>
            <w:webHidden/>
          </w:rPr>
        </w:r>
        <w:r w:rsidR="001D76D9">
          <w:rPr>
            <w:webHidden/>
          </w:rPr>
          <w:fldChar w:fldCharType="separate"/>
        </w:r>
        <w:r w:rsidR="000E2F61">
          <w:rPr>
            <w:webHidden/>
          </w:rPr>
          <w:t>5</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699" w:history="1">
        <w:r w:rsidR="001D76D9" w:rsidRPr="009315D4">
          <w:rPr>
            <w:rStyle w:val="Hyperlink"/>
          </w:rPr>
          <w:t>8.</w:t>
        </w:r>
        <w:r w:rsidR="001D76D9">
          <w:rPr>
            <w:rFonts w:asciiTheme="minorHAnsi" w:eastAsiaTheme="minorEastAsia" w:hAnsiTheme="minorHAnsi" w:cstheme="minorBidi"/>
            <w:sz w:val="22"/>
            <w:szCs w:val="22"/>
            <w:lang w:eastAsia="en-AU"/>
          </w:rPr>
          <w:tab/>
        </w:r>
        <w:r w:rsidR="001D76D9" w:rsidRPr="009315D4">
          <w:rPr>
            <w:rStyle w:val="Hyperlink"/>
          </w:rPr>
          <w:t>Are block-funded averages recalculated from time to time?</w:t>
        </w:r>
        <w:r w:rsidR="001D76D9">
          <w:rPr>
            <w:webHidden/>
          </w:rPr>
          <w:tab/>
        </w:r>
        <w:r w:rsidR="001D76D9">
          <w:rPr>
            <w:webHidden/>
          </w:rPr>
          <w:fldChar w:fldCharType="begin"/>
        </w:r>
        <w:r w:rsidR="001D76D9">
          <w:rPr>
            <w:webHidden/>
          </w:rPr>
          <w:instrText xml:space="preserve"> PAGEREF _Toc506974699 \h </w:instrText>
        </w:r>
        <w:r w:rsidR="001D76D9">
          <w:rPr>
            <w:webHidden/>
          </w:rPr>
        </w:r>
        <w:r w:rsidR="001D76D9">
          <w:rPr>
            <w:webHidden/>
          </w:rPr>
          <w:fldChar w:fldCharType="separate"/>
        </w:r>
        <w:r w:rsidR="000E2F61">
          <w:rPr>
            <w:webHidden/>
          </w:rPr>
          <w:t>6</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0" w:history="1">
        <w:r w:rsidR="001D76D9" w:rsidRPr="009315D4">
          <w:rPr>
            <w:rStyle w:val="Hyperlink"/>
          </w:rPr>
          <w:t>9.</w:t>
        </w:r>
        <w:r w:rsidR="001D76D9">
          <w:rPr>
            <w:rFonts w:asciiTheme="minorHAnsi" w:eastAsiaTheme="minorEastAsia" w:hAnsiTheme="minorHAnsi" w:cstheme="minorBidi"/>
            <w:sz w:val="22"/>
            <w:szCs w:val="22"/>
            <w:lang w:eastAsia="en-AU"/>
          </w:rPr>
          <w:tab/>
        </w:r>
        <w:r w:rsidR="001D76D9" w:rsidRPr="009315D4">
          <w:rPr>
            <w:rStyle w:val="Hyperlink"/>
          </w:rPr>
          <w:t>Will a client’s funding be transferred to the NDIA as that client transitions to the NDIS?</w:t>
        </w:r>
        <w:r w:rsidR="001D76D9">
          <w:rPr>
            <w:webHidden/>
          </w:rPr>
          <w:tab/>
        </w:r>
        <w:r w:rsidR="001D76D9">
          <w:rPr>
            <w:webHidden/>
          </w:rPr>
          <w:fldChar w:fldCharType="begin"/>
        </w:r>
        <w:r w:rsidR="001D76D9">
          <w:rPr>
            <w:webHidden/>
          </w:rPr>
          <w:instrText xml:space="preserve"> PAGEREF _Toc506974700 \h </w:instrText>
        </w:r>
        <w:r w:rsidR="001D76D9">
          <w:rPr>
            <w:webHidden/>
          </w:rPr>
        </w:r>
        <w:r w:rsidR="001D76D9">
          <w:rPr>
            <w:webHidden/>
          </w:rPr>
          <w:fldChar w:fldCharType="separate"/>
        </w:r>
        <w:r w:rsidR="000E2F61">
          <w:rPr>
            <w:webHidden/>
          </w:rPr>
          <w:t>7</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1" w:history="1">
        <w:r w:rsidR="001D76D9" w:rsidRPr="009315D4">
          <w:rPr>
            <w:rStyle w:val="Hyperlink"/>
          </w:rPr>
          <w:t>10.</w:t>
        </w:r>
        <w:r w:rsidR="001D76D9">
          <w:rPr>
            <w:rFonts w:asciiTheme="minorHAnsi" w:eastAsiaTheme="minorEastAsia" w:hAnsiTheme="minorHAnsi" w:cstheme="minorBidi"/>
            <w:sz w:val="22"/>
            <w:szCs w:val="22"/>
            <w:lang w:eastAsia="en-AU"/>
          </w:rPr>
          <w:tab/>
        </w:r>
        <w:r w:rsidR="001D76D9" w:rsidRPr="009315D4">
          <w:rPr>
            <w:rStyle w:val="Hyperlink"/>
          </w:rPr>
          <w:t>How will we know which clients have become NDIS participants or have been deemed ineligible?</w:t>
        </w:r>
        <w:r w:rsidR="001D76D9">
          <w:rPr>
            <w:webHidden/>
          </w:rPr>
          <w:tab/>
        </w:r>
        <w:r w:rsidR="001D76D9">
          <w:rPr>
            <w:webHidden/>
          </w:rPr>
          <w:fldChar w:fldCharType="begin"/>
        </w:r>
        <w:r w:rsidR="001D76D9">
          <w:rPr>
            <w:webHidden/>
          </w:rPr>
          <w:instrText xml:space="preserve"> PAGEREF _Toc506974701 \h </w:instrText>
        </w:r>
        <w:r w:rsidR="001D76D9">
          <w:rPr>
            <w:webHidden/>
          </w:rPr>
        </w:r>
        <w:r w:rsidR="001D76D9">
          <w:rPr>
            <w:webHidden/>
          </w:rPr>
          <w:fldChar w:fldCharType="separate"/>
        </w:r>
        <w:r w:rsidR="000E2F61">
          <w:rPr>
            <w:webHidden/>
          </w:rPr>
          <w:t>7</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2" w:history="1">
        <w:r w:rsidR="001D76D9" w:rsidRPr="009315D4">
          <w:rPr>
            <w:rStyle w:val="Hyperlink"/>
          </w:rPr>
          <w:t>11.</w:t>
        </w:r>
        <w:r w:rsidR="001D76D9">
          <w:rPr>
            <w:rFonts w:asciiTheme="minorHAnsi" w:eastAsiaTheme="minorEastAsia" w:hAnsiTheme="minorHAnsi" w:cstheme="minorBidi"/>
            <w:sz w:val="22"/>
            <w:szCs w:val="22"/>
            <w:lang w:eastAsia="en-AU"/>
          </w:rPr>
          <w:tab/>
        </w:r>
        <w:r w:rsidR="001D76D9" w:rsidRPr="009315D4">
          <w:rPr>
            <w:rStyle w:val="Hyperlink"/>
          </w:rPr>
          <w:t>Will service providers be impacted if a planned area transition schedule period has ended</w:t>
        </w:r>
        <w:r w:rsidR="00DC4E6C">
          <w:rPr>
            <w:rStyle w:val="Hyperlink"/>
          </w:rPr>
          <w:t xml:space="preserve"> </w:t>
        </w:r>
        <w:r w:rsidR="004C61D0">
          <w:rPr>
            <w:rStyle w:val="Hyperlink"/>
          </w:rPr>
          <w:t xml:space="preserve">and </w:t>
        </w:r>
        <w:r w:rsidR="001D76D9" w:rsidRPr="009315D4">
          <w:rPr>
            <w:rStyle w:val="Hyperlink"/>
          </w:rPr>
          <w:t>individual plans are still not approved?</w:t>
        </w:r>
        <w:r w:rsidR="001D76D9">
          <w:rPr>
            <w:webHidden/>
          </w:rPr>
          <w:tab/>
        </w:r>
        <w:r w:rsidR="001D76D9">
          <w:rPr>
            <w:webHidden/>
          </w:rPr>
          <w:fldChar w:fldCharType="begin"/>
        </w:r>
        <w:r w:rsidR="001D76D9">
          <w:rPr>
            <w:webHidden/>
          </w:rPr>
          <w:instrText xml:space="preserve"> PAGEREF _Toc506974702 \h </w:instrText>
        </w:r>
        <w:r w:rsidR="001D76D9">
          <w:rPr>
            <w:webHidden/>
          </w:rPr>
        </w:r>
        <w:r w:rsidR="001D76D9">
          <w:rPr>
            <w:webHidden/>
          </w:rPr>
          <w:fldChar w:fldCharType="separate"/>
        </w:r>
        <w:r w:rsidR="000E2F61">
          <w:rPr>
            <w:webHidden/>
          </w:rPr>
          <w:t>7</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3" w:history="1">
        <w:r w:rsidR="001D76D9" w:rsidRPr="009315D4">
          <w:rPr>
            <w:rStyle w:val="Hyperlink"/>
          </w:rPr>
          <w:t>12.</w:t>
        </w:r>
        <w:r w:rsidR="001D76D9">
          <w:rPr>
            <w:rFonts w:asciiTheme="minorHAnsi" w:eastAsiaTheme="minorEastAsia" w:hAnsiTheme="minorHAnsi" w:cstheme="minorBidi"/>
            <w:sz w:val="22"/>
            <w:szCs w:val="22"/>
            <w:lang w:eastAsia="en-AU"/>
          </w:rPr>
          <w:tab/>
        </w:r>
        <w:r w:rsidR="001D76D9" w:rsidRPr="009315D4">
          <w:rPr>
            <w:rStyle w:val="Hyperlink"/>
          </w:rPr>
          <w:t>How and when will service delivery targets for disability services be adjusted during the NDIS transition?</w:t>
        </w:r>
        <w:r w:rsidR="001D76D9">
          <w:rPr>
            <w:webHidden/>
          </w:rPr>
          <w:tab/>
        </w:r>
        <w:r w:rsidR="001D76D9">
          <w:rPr>
            <w:webHidden/>
          </w:rPr>
          <w:fldChar w:fldCharType="begin"/>
        </w:r>
        <w:r w:rsidR="001D76D9">
          <w:rPr>
            <w:webHidden/>
          </w:rPr>
          <w:instrText xml:space="preserve"> PAGEREF _Toc506974703 \h </w:instrText>
        </w:r>
        <w:r w:rsidR="001D76D9">
          <w:rPr>
            <w:webHidden/>
          </w:rPr>
        </w:r>
        <w:r w:rsidR="001D76D9">
          <w:rPr>
            <w:webHidden/>
          </w:rPr>
          <w:fldChar w:fldCharType="separate"/>
        </w:r>
        <w:r w:rsidR="000E2F61">
          <w:rPr>
            <w:webHidden/>
          </w:rPr>
          <w:t>7</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04" w:history="1">
        <w:r w:rsidR="001D76D9" w:rsidRPr="009315D4">
          <w:rPr>
            <w:rStyle w:val="Hyperlink"/>
          </w:rPr>
          <w:t>Funding withdrawal process</w:t>
        </w:r>
        <w:r w:rsidR="001D76D9">
          <w:rPr>
            <w:webHidden/>
          </w:rPr>
          <w:tab/>
        </w:r>
        <w:r w:rsidR="001D76D9">
          <w:rPr>
            <w:webHidden/>
          </w:rPr>
          <w:fldChar w:fldCharType="begin"/>
        </w:r>
        <w:r w:rsidR="001D76D9">
          <w:rPr>
            <w:webHidden/>
          </w:rPr>
          <w:instrText xml:space="preserve"> PAGEREF _Toc506974704 \h </w:instrText>
        </w:r>
        <w:r w:rsidR="001D76D9">
          <w:rPr>
            <w:webHidden/>
          </w:rPr>
        </w:r>
        <w:r w:rsidR="001D76D9">
          <w:rPr>
            <w:webHidden/>
          </w:rPr>
          <w:fldChar w:fldCharType="separate"/>
        </w:r>
        <w:r w:rsidR="000E2F61">
          <w:rPr>
            <w:webHidden/>
          </w:rPr>
          <w:t>7</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5" w:history="1">
        <w:r w:rsidR="001D76D9" w:rsidRPr="009315D4">
          <w:rPr>
            <w:rStyle w:val="Hyperlink"/>
          </w:rPr>
          <w:t>13.</w:t>
        </w:r>
        <w:r w:rsidR="001D76D9">
          <w:rPr>
            <w:rFonts w:asciiTheme="minorHAnsi" w:eastAsiaTheme="minorEastAsia" w:hAnsiTheme="minorHAnsi" w:cstheme="minorBidi"/>
            <w:sz w:val="22"/>
            <w:szCs w:val="22"/>
            <w:lang w:eastAsia="en-AU"/>
          </w:rPr>
          <w:tab/>
        </w:r>
        <w:r w:rsidR="001D76D9" w:rsidRPr="009315D4">
          <w:rPr>
            <w:rStyle w:val="Hyperlink"/>
          </w:rPr>
          <w:t>What will happen to funding withdrawals during the annual process for end of financial year, roll-over and indexation?</w:t>
        </w:r>
        <w:r w:rsidR="001D76D9">
          <w:rPr>
            <w:webHidden/>
          </w:rPr>
          <w:tab/>
        </w:r>
        <w:r w:rsidR="001D76D9">
          <w:rPr>
            <w:webHidden/>
          </w:rPr>
          <w:fldChar w:fldCharType="begin"/>
        </w:r>
        <w:r w:rsidR="001D76D9">
          <w:rPr>
            <w:webHidden/>
          </w:rPr>
          <w:instrText xml:space="preserve"> PAGEREF _Toc506974705 \h </w:instrText>
        </w:r>
        <w:r w:rsidR="001D76D9">
          <w:rPr>
            <w:webHidden/>
          </w:rPr>
        </w:r>
        <w:r w:rsidR="001D76D9">
          <w:rPr>
            <w:webHidden/>
          </w:rPr>
          <w:fldChar w:fldCharType="separate"/>
        </w:r>
        <w:r w:rsidR="000E2F61">
          <w:rPr>
            <w:webHidden/>
          </w:rPr>
          <w:t>7</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6" w:history="1">
        <w:r w:rsidR="001D76D9" w:rsidRPr="009315D4">
          <w:rPr>
            <w:rStyle w:val="Hyperlink"/>
          </w:rPr>
          <w:t>14.</w:t>
        </w:r>
        <w:r w:rsidR="001D76D9">
          <w:rPr>
            <w:rFonts w:asciiTheme="minorHAnsi" w:eastAsiaTheme="minorEastAsia" w:hAnsiTheme="minorHAnsi" w:cstheme="minorBidi"/>
            <w:sz w:val="22"/>
            <w:szCs w:val="22"/>
            <w:lang w:eastAsia="en-AU"/>
          </w:rPr>
          <w:tab/>
        </w:r>
        <w:r w:rsidR="001D76D9" w:rsidRPr="009315D4">
          <w:rPr>
            <w:rStyle w:val="Hyperlink"/>
          </w:rPr>
          <w:t>What action should service providers take with unspent funding received from the Department of Health and Human Services which is associated with their clients entering the NDIS?</w:t>
        </w:r>
        <w:r w:rsidR="001D76D9">
          <w:rPr>
            <w:webHidden/>
          </w:rPr>
          <w:tab/>
        </w:r>
        <w:r w:rsidR="001D76D9">
          <w:rPr>
            <w:webHidden/>
          </w:rPr>
          <w:fldChar w:fldCharType="begin"/>
        </w:r>
        <w:r w:rsidR="001D76D9">
          <w:rPr>
            <w:webHidden/>
          </w:rPr>
          <w:instrText xml:space="preserve"> PAGEREF _Toc506974706 \h </w:instrText>
        </w:r>
        <w:r w:rsidR="001D76D9">
          <w:rPr>
            <w:webHidden/>
          </w:rPr>
        </w:r>
        <w:r w:rsidR="001D76D9">
          <w:rPr>
            <w:webHidden/>
          </w:rPr>
          <w:fldChar w:fldCharType="separate"/>
        </w:r>
        <w:r w:rsidR="000E2F61">
          <w:rPr>
            <w:webHidden/>
          </w:rPr>
          <w:t>8</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7" w:history="1">
        <w:r w:rsidR="001D76D9" w:rsidRPr="009315D4">
          <w:rPr>
            <w:rStyle w:val="Hyperlink"/>
          </w:rPr>
          <w:t>15.</w:t>
        </w:r>
        <w:r w:rsidR="001D76D9">
          <w:rPr>
            <w:rFonts w:asciiTheme="minorHAnsi" w:eastAsiaTheme="minorEastAsia" w:hAnsiTheme="minorHAnsi" w:cstheme="minorBidi"/>
            <w:sz w:val="22"/>
            <w:szCs w:val="22"/>
            <w:lang w:eastAsia="en-AU"/>
          </w:rPr>
          <w:tab/>
        </w:r>
        <w:r w:rsidR="001D76D9" w:rsidRPr="009315D4">
          <w:rPr>
            <w:rStyle w:val="Hyperlink"/>
          </w:rPr>
          <w:t>What happens if there are insufficient funds left to adjust future payments?</w:t>
        </w:r>
        <w:r w:rsidR="001D76D9">
          <w:rPr>
            <w:webHidden/>
          </w:rPr>
          <w:tab/>
        </w:r>
        <w:r w:rsidR="001D76D9">
          <w:rPr>
            <w:webHidden/>
          </w:rPr>
          <w:fldChar w:fldCharType="begin"/>
        </w:r>
        <w:r w:rsidR="001D76D9">
          <w:rPr>
            <w:webHidden/>
          </w:rPr>
          <w:instrText xml:space="preserve"> PAGEREF _Toc506974707 \h </w:instrText>
        </w:r>
        <w:r w:rsidR="001D76D9">
          <w:rPr>
            <w:webHidden/>
          </w:rPr>
        </w:r>
        <w:r w:rsidR="001D76D9">
          <w:rPr>
            <w:webHidden/>
          </w:rPr>
          <w:fldChar w:fldCharType="separate"/>
        </w:r>
        <w:r w:rsidR="000E2F61">
          <w:rPr>
            <w:webHidden/>
          </w:rPr>
          <w:t>8</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8" w:history="1">
        <w:r w:rsidR="001D76D9" w:rsidRPr="009315D4">
          <w:rPr>
            <w:rStyle w:val="Hyperlink"/>
          </w:rPr>
          <w:t>16.</w:t>
        </w:r>
        <w:r w:rsidR="001D76D9">
          <w:rPr>
            <w:rFonts w:asciiTheme="minorHAnsi" w:eastAsiaTheme="minorEastAsia" w:hAnsiTheme="minorHAnsi" w:cstheme="minorBidi"/>
            <w:sz w:val="22"/>
            <w:szCs w:val="22"/>
            <w:lang w:eastAsia="en-AU"/>
          </w:rPr>
          <w:tab/>
        </w:r>
        <w:r w:rsidR="001D76D9" w:rsidRPr="009315D4">
          <w:rPr>
            <w:rStyle w:val="Hyperlink"/>
          </w:rPr>
          <w:t>What if clients decide to move to a new service provider upon transition?</w:t>
        </w:r>
        <w:r w:rsidR="001D76D9">
          <w:rPr>
            <w:webHidden/>
          </w:rPr>
          <w:tab/>
        </w:r>
        <w:r w:rsidR="001D76D9">
          <w:rPr>
            <w:webHidden/>
          </w:rPr>
          <w:fldChar w:fldCharType="begin"/>
        </w:r>
        <w:r w:rsidR="001D76D9">
          <w:rPr>
            <w:webHidden/>
          </w:rPr>
          <w:instrText xml:space="preserve"> PAGEREF _Toc506974708 \h </w:instrText>
        </w:r>
        <w:r w:rsidR="001D76D9">
          <w:rPr>
            <w:webHidden/>
          </w:rPr>
        </w:r>
        <w:r w:rsidR="001D76D9">
          <w:rPr>
            <w:webHidden/>
          </w:rPr>
          <w:fldChar w:fldCharType="separate"/>
        </w:r>
        <w:r w:rsidR="000E2F61">
          <w:rPr>
            <w:webHidden/>
          </w:rPr>
          <w:t>8</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09" w:history="1">
        <w:r w:rsidR="001D76D9" w:rsidRPr="009315D4">
          <w:rPr>
            <w:rStyle w:val="Hyperlink"/>
          </w:rPr>
          <w:t>17.</w:t>
        </w:r>
        <w:r w:rsidR="001D76D9">
          <w:rPr>
            <w:rFonts w:asciiTheme="minorHAnsi" w:eastAsiaTheme="minorEastAsia" w:hAnsiTheme="minorHAnsi" w:cstheme="minorBidi"/>
            <w:sz w:val="22"/>
            <w:szCs w:val="22"/>
            <w:lang w:eastAsia="en-AU"/>
          </w:rPr>
          <w:tab/>
        </w:r>
        <w:r w:rsidR="001D76D9" w:rsidRPr="009315D4">
          <w:rPr>
            <w:rStyle w:val="Hyperlink"/>
          </w:rPr>
          <w:t>How has information relating to clients who have been supported by a service provider been collated?</w:t>
        </w:r>
        <w:r w:rsidR="001D76D9">
          <w:rPr>
            <w:webHidden/>
          </w:rPr>
          <w:tab/>
        </w:r>
        <w:r w:rsidR="001D76D9">
          <w:rPr>
            <w:webHidden/>
          </w:rPr>
          <w:fldChar w:fldCharType="begin"/>
        </w:r>
        <w:r w:rsidR="001D76D9">
          <w:rPr>
            <w:webHidden/>
          </w:rPr>
          <w:instrText xml:space="preserve"> PAGEREF _Toc506974709 \h </w:instrText>
        </w:r>
        <w:r w:rsidR="001D76D9">
          <w:rPr>
            <w:webHidden/>
          </w:rPr>
        </w:r>
        <w:r w:rsidR="001D76D9">
          <w:rPr>
            <w:webHidden/>
          </w:rPr>
          <w:fldChar w:fldCharType="separate"/>
        </w:r>
        <w:r w:rsidR="000E2F61">
          <w:rPr>
            <w:webHidden/>
          </w:rPr>
          <w:t>9</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10" w:history="1">
        <w:r w:rsidR="001D76D9" w:rsidRPr="009315D4">
          <w:rPr>
            <w:rStyle w:val="Hyperlink"/>
          </w:rPr>
          <w:t>Clients not eligible for the NDIS</w:t>
        </w:r>
        <w:r w:rsidR="001D76D9">
          <w:rPr>
            <w:webHidden/>
          </w:rPr>
          <w:tab/>
        </w:r>
        <w:r w:rsidR="001D76D9">
          <w:rPr>
            <w:webHidden/>
          </w:rPr>
          <w:fldChar w:fldCharType="begin"/>
        </w:r>
        <w:r w:rsidR="001D76D9">
          <w:rPr>
            <w:webHidden/>
          </w:rPr>
          <w:instrText xml:space="preserve"> PAGEREF _Toc506974710 \h </w:instrText>
        </w:r>
        <w:r w:rsidR="001D76D9">
          <w:rPr>
            <w:webHidden/>
          </w:rPr>
        </w:r>
        <w:r w:rsidR="001D76D9">
          <w:rPr>
            <w:webHidden/>
          </w:rPr>
          <w:fldChar w:fldCharType="separate"/>
        </w:r>
        <w:r w:rsidR="000E2F61">
          <w:rPr>
            <w:webHidden/>
          </w:rPr>
          <w:t>9</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1" w:history="1">
        <w:r w:rsidR="001D76D9" w:rsidRPr="009315D4">
          <w:rPr>
            <w:rStyle w:val="Hyperlink"/>
          </w:rPr>
          <w:t>18.</w:t>
        </w:r>
        <w:r w:rsidR="001D76D9">
          <w:rPr>
            <w:rFonts w:asciiTheme="minorHAnsi" w:eastAsiaTheme="minorEastAsia" w:hAnsiTheme="minorHAnsi" w:cstheme="minorBidi"/>
            <w:sz w:val="22"/>
            <w:szCs w:val="22"/>
            <w:lang w:eastAsia="en-AU"/>
          </w:rPr>
          <w:tab/>
        </w:r>
        <w:r w:rsidR="001D76D9" w:rsidRPr="009315D4">
          <w:rPr>
            <w:rStyle w:val="Hyperlink"/>
          </w:rPr>
          <w:t>What if clients are not eligible to enter the NDIS?</w:t>
        </w:r>
        <w:r w:rsidR="001D76D9">
          <w:rPr>
            <w:webHidden/>
          </w:rPr>
          <w:tab/>
        </w:r>
        <w:r w:rsidR="001D76D9">
          <w:rPr>
            <w:webHidden/>
          </w:rPr>
          <w:fldChar w:fldCharType="begin"/>
        </w:r>
        <w:r w:rsidR="001D76D9">
          <w:rPr>
            <w:webHidden/>
          </w:rPr>
          <w:instrText xml:space="preserve"> PAGEREF _Toc506974711 \h </w:instrText>
        </w:r>
        <w:r w:rsidR="001D76D9">
          <w:rPr>
            <w:webHidden/>
          </w:rPr>
        </w:r>
        <w:r w:rsidR="001D76D9">
          <w:rPr>
            <w:webHidden/>
          </w:rPr>
          <w:fldChar w:fldCharType="separate"/>
        </w:r>
        <w:r w:rsidR="000E2F61">
          <w:rPr>
            <w:webHidden/>
          </w:rPr>
          <w:t>9</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2" w:history="1">
        <w:r w:rsidR="001D76D9" w:rsidRPr="009315D4">
          <w:rPr>
            <w:rStyle w:val="Hyperlink"/>
          </w:rPr>
          <w:t>19.</w:t>
        </w:r>
        <w:r w:rsidR="001D76D9">
          <w:rPr>
            <w:rFonts w:asciiTheme="minorHAnsi" w:eastAsiaTheme="minorEastAsia" w:hAnsiTheme="minorHAnsi" w:cstheme="minorBidi"/>
            <w:sz w:val="22"/>
            <w:szCs w:val="22"/>
            <w:lang w:eastAsia="en-AU"/>
          </w:rPr>
          <w:tab/>
        </w:r>
        <w:r w:rsidR="001D76D9" w:rsidRPr="009315D4">
          <w:rPr>
            <w:rStyle w:val="Hyperlink"/>
          </w:rPr>
          <w:t>When will service providers be notified of clients transferring to the Commonwealth Continuity of Support arrangements?</w:t>
        </w:r>
        <w:r w:rsidR="001D76D9">
          <w:rPr>
            <w:webHidden/>
          </w:rPr>
          <w:tab/>
        </w:r>
        <w:r w:rsidR="001D76D9">
          <w:rPr>
            <w:webHidden/>
          </w:rPr>
          <w:fldChar w:fldCharType="begin"/>
        </w:r>
        <w:r w:rsidR="001D76D9">
          <w:rPr>
            <w:webHidden/>
          </w:rPr>
          <w:instrText xml:space="preserve"> PAGEREF _Toc506974712 \h </w:instrText>
        </w:r>
        <w:r w:rsidR="001D76D9">
          <w:rPr>
            <w:webHidden/>
          </w:rPr>
        </w:r>
        <w:r w:rsidR="001D76D9">
          <w:rPr>
            <w:webHidden/>
          </w:rPr>
          <w:fldChar w:fldCharType="separate"/>
        </w:r>
        <w:r w:rsidR="000E2F61">
          <w:rPr>
            <w:webHidden/>
          </w:rPr>
          <w:t>9</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3" w:history="1">
        <w:r w:rsidR="001D76D9" w:rsidRPr="009315D4">
          <w:rPr>
            <w:rStyle w:val="Hyperlink"/>
          </w:rPr>
          <w:t>20.</w:t>
        </w:r>
        <w:r w:rsidR="001D76D9">
          <w:rPr>
            <w:rFonts w:asciiTheme="minorHAnsi" w:eastAsiaTheme="minorEastAsia" w:hAnsiTheme="minorHAnsi" w:cstheme="minorBidi"/>
            <w:sz w:val="22"/>
            <w:szCs w:val="22"/>
            <w:lang w:eastAsia="en-AU"/>
          </w:rPr>
          <w:tab/>
        </w:r>
        <w:r w:rsidR="001D76D9" w:rsidRPr="009315D4">
          <w:rPr>
            <w:rStyle w:val="Hyperlink"/>
          </w:rPr>
          <w:t>How will the Commonwealth Continuity of Support arrangements impact service provider state funding, and how will this be calculated?</w:t>
        </w:r>
        <w:r w:rsidR="001D76D9">
          <w:rPr>
            <w:webHidden/>
          </w:rPr>
          <w:tab/>
        </w:r>
        <w:r w:rsidR="001D76D9">
          <w:rPr>
            <w:webHidden/>
          </w:rPr>
          <w:fldChar w:fldCharType="begin"/>
        </w:r>
        <w:r w:rsidR="001D76D9">
          <w:rPr>
            <w:webHidden/>
          </w:rPr>
          <w:instrText xml:space="preserve"> PAGEREF _Toc506974713 \h </w:instrText>
        </w:r>
        <w:r w:rsidR="001D76D9">
          <w:rPr>
            <w:webHidden/>
          </w:rPr>
        </w:r>
        <w:r w:rsidR="001D76D9">
          <w:rPr>
            <w:webHidden/>
          </w:rPr>
          <w:fldChar w:fldCharType="separate"/>
        </w:r>
        <w:r w:rsidR="000E2F61">
          <w:rPr>
            <w:webHidden/>
          </w:rPr>
          <w:t>9</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4" w:history="1">
        <w:r w:rsidR="001D76D9" w:rsidRPr="009315D4">
          <w:rPr>
            <w:rStyle w:val="Hyperlink"/>
          </w:rPr>
          <w:t>21.</w:t>
        </w:r>
        <w:r w:rsidR="001D76D9">
          <w:rPr>
            <w:rFonts w:asciiTheme="minorHAnsi" w:eastAsiaTheme="minorEastAsia" w:hAnsiTheme="minorHAnsi" w:cstheme="minorBidi"/>
            <w:sz w:val="22"/>
            <w:szCs w:val="22"/>
            <w:lang w:eastAsia="en-AU"/>
          </w:rPr>
          <w:tab/>
        </w:r>
        <w:r w:rsidR="001D76D9" w:rsidRPr="009315D4">
          <w:rPr>
            <w:rStyle w:val="Hyperlink"/>
          </w:rPr>
          <w:t>How can we ensure that as many clients as possible enter the NDIS before their 65th birthday?</w:t>
        </w:r>
        <w:r w:rsidR="001D76D9">
          <w:rPr>
            <w:webHidden/>
          </w:rPr>
          <w:tab/>
        </w:r>
        <w:r w:rsidR="001D76D9">
          <w:rPr>
            <w:webHidden/>
          </w:rPr>
          <w:fldChar w:fldCharType="begin"/>
        </w:r>
        <w:r w:rsidR="001D76D9">
          <w:rPr>
            <w:webHidden/>
          </w:rPr>
          <w:instrText xml:space="preserve"> PAGEREF _Toc506974714 \h </w:instrText>
        </w:r>
        <w:r w:rsidR="001D76D9">
          <w:rPr>
            <w:webHidden/>
          </w:rPr>
        </w:r>
        <w:r w:rsidR="001D76D9">
          <w:rPr>
            <w:webHidden/>
          </w:rPr>
          <w:fldChar w:fldCharType="separate"/>
        </w:r>
        <w:r w:rsidR="000E2F61">
          <w:rPr>
            <w:webHidden/>
          </w:rPr>
          <w:t>9</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15" w:history="1">
        <w:r w:rsidR="001D76D9" w:rsidRPr="009315D4">
          <w:rPr>
            <w:rStyle w:val="Hyperlink"/>
          </w:rPr>
          <w:t>Updating client data</w:t>
        </w:r>
        <w:r w:rsidR="001D76D9">
          <w:rPr>
            <w:webHidden/>
          </w:rPr>
          <w:tab/>
        </w:r>
        <w:r w:rsidR="001D76D9">
          <w:rPr>
            <w:webHidden/>
          </w:rPr>
          <w:fldChar w:fldCharType="begin"/>
        </w:r>
        <w:r w:rsidR="001D76D9">
          <w:rPr>
            <w:webHidden/>
          </w:rPr>
          <w:instrText xml:space="preserve"> PAGEREF _Toc506974715 \h </w:instrText>
        </w:r>
        <w:r w:rsidR="001D76D9">
          <w:rPr>
            <w:webHidden/>
          </w:rPr>
        </w:r>
        <w:r w:rsidR="001D76D9">
          <w:rPr>
            <w:webHidden/>
          </w:rPr>
          <w:fldChar w:fldCharType="separate"/>
        </w:r>
        <w:r w:rsidR="000E2F61">
          <w:rPr>
            <w:webHidden/>
          </w:rPr>
          <w:t>10</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6" w:history="1">
        <w:r w:rsidR="001D76D9" w:rsidRPr="009315D4">
          <w:rPr>
            <w:rStyle w:val="Hyperlink"/>
          </w:rPr>
          <w:t>22.</w:t>
        </w:r>
        <w:r w:rsidR="001D76D9">
          <w:rPr>
            <w:rFonts w:asciiTheme="minorHAnsi" w:eastAsiaTheme="minorEastAsia" w:hAnsiTheme="minorHAnsi" w:cstheme="minorBidi"/>
            <w:sz w:val="22"/>
            <w:szCs w:val="22"/>
            <w:lang w:eastAsia="en-AU"/>
          </w:rPr>
          <w:tab/>
        </w:r>
        <w:r w:rsidR="001D76D9" w:rsidRPr="009315D4">
          <w:rPr>
            <w:rStyle w:val="Hyperlink"/>
          </w:rPr>
          <w:t>How can service providers update the list of clients they support?</w:t>
        </w:r>
        <w:r w:rsidR="001D76D9">
          <w:rPr>
            <w:webHidden/>
          </w:rPr>
          <w:tab/>
        </w:r>
        <w:r w:rsidR="001D76D9">
          <w:rPr>
            <w:webHidden/>
          </w:rPr>
          <w:fldChar w:fldCharType="begin"/>
        </w:r>
        <w:r w:rsidR="001D76D9">
          <w:rPr>
            <w:webHidden/>
          </w:rPr>
          <w:instrText xml:space="preserve"> PAGEREF _Toc506974716 \h </w:instrText>
        </w:r>
        <w:r w:rsidR="001D76D9">
          <w:rPr>
            <w:webHidden/>
          </w:rPr>
        </w:r>
        <w:r w:rsidR="001D76D9">
          <w:rPr>
            <w:webHidden/>
          </w:rPr>
          <w:fldChar w:fldCharType="separate"/>
        </w:r>
        <w:r w:rsidR="000E2F61">
          <w:rPr>
            <w:webHidden/>
          </w:rPr>
          <w:t>10</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7" w:history="1">
        <w:r w:rsidR="001D76D9" w:rsidRPr="009315D4">
          <w:rPr>
            <w:rStyle w:val="Hyperlink"/>
          </w:rPr>
          <w:t>23.</w:t>
        </w:r>
        <w:r w:rsidR="001D76D9">
          <w:rPr>
            <w:rFonts w:asciiTheme="minorHAnsi" w:eastAsiaTheme="minorEastAsia" w:hAnsiTheme="minorHAnsi" w:cstheme="minorBidi"/>
            <w:sz w:val="22"/>
            <w:szCs w:val="22"/>
            <w:lang w:eastAsia="en-AU"/>
          </w:rPr>
          <w:tab/>
        </w:r>
        <w:r w:rsidR="001D76D9" w:rsidRPr="009315D4">
          <w:rPr>
            <w:rStyle w:val="Hyperlink"/>
          </w:rPr>
          <w:t>Why is client data being updated periodically?</w:t>
        </w:r>
        <w:r w:rsidR="001D76D9">
          <w:rPr>
            <w:webHidden/>
          </w:rPr>
          <w:tab/>
        </w:r>
        <w:r w:rsidR="001D76D9">
          <w:rPr>
            <w:webHidden/>
          </w:rPr>
          <w:fldChar w:fldCharType="begin"/>
        </w:r>
        <w:r w:rsidR="001D76D9">
          <w:rPr>
            <w:webHidden/>
          </w:rPr>
          <w:instrText xml:space="preserve"> PAGEREF _Toc506974717 \h </w:instrText>
        </w:r>
        <w:r w:rsidR="001D76D9">
          <w:rPr>
            <w:webHidden/>
          </w:rPr>
        </w:r>
        <w:r w:rsidR="001D76D9">
          <w:rPr>
            <w:webHidden/>
          </w:rPr>
          <w:fldChar w:fldCharType="separate"/>
        </w:r>
        <w:r w:rsidR="000E2F61">
          <w:rPr>
            <w:webHidden/>
          </w:rPr>
          <w:t>10</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8" w:history="1">
        <w:r w:rsidR="001D76D9" w:rsidRPr="009315D4">
          <w:rPr>
            <w:rStyle w:val="Hyperlink"/>
          </w:rPr>
          <w:t>24.</w:t>
        </w:r>
        <w:r w:rsidR="001D76D9">
          <w:rPr>
            <w:rFonts w:asciiTheme="minorHAnsi" w:eastAsiaTheme="minorEastAsia" w:hAnsiTheme="minorHAnsi" w:cstheme="minorBidi"/>
            <w:sz w:val="22"/>
            <w:szCs w:val="22"/>
            <w:lang w:eastAsia="en-AU"/>
          </w:rPr>
          <w:tab/>
        </w:r>
        <w:r w:rsidR="001D76D9" w:rsidRPr="009315D4">
          <w:rPr>
            <w:rStyle w:val="Hyperlink"/>
          </w:rPr>
          <w:t>Are service providers that are solely funded for Home and Community Care Program for Younger People (HACC-PYP) required to update their client data?</w:t>
        </w:r>
        <w:r w:rsidR="001D76D9">
          <w:rPr>
            <w:webHidden/>
          </w:rPr>
          <w:tab/>
        </w:r>
        <w:r w:rsidR="001D76D9">
          <w:rPr>
            <w:webHidden/>
          </w:rPr>
          <w:fldChar w:fldCharType="begin"/>
        </w:r>
        <w:r w:rsidR="001D76D9">
          <w:rPr>
            <w:webHidden/>
          </w:rPr>
          <w:instrText xml:space="preserve"> PAGEREF _Toc506974718 \h </w:instrText>
        </w:r>
        <w:r w:rsidR="001D76D9">
          <w:rPr>
            <w:webHidden/>
          </w:rPr>
        </w:r>
        <w:r w:rsidR="001D76D9">
          <w:rPr>
            <w:webHidden/>
          </w:rPr>
          <w:fldChar w:fldCharType="separate"/>
        </w:r>
        <w:r w:rsidR="000E2F61">
          <w:rPr>
            <w:webHidden/>
          </w:rPr>
          <w:t>10</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19" w:history="1">
        <w:r w:rsidR="001D76D9" w:rsidRPr="009315D4">
          <w:rPr>
            <w:rStyle w:val="Hyperlink"/>
          </w:rPr>
          <w:t>25.</w:t>
        </w:r>
        <w:r w:rsidR="001D76D9">
          <w:rPr>
            <w:rFonts w:asciiTheme="minorHAnsi" w:eastAsiaTheme="minorEastAsia" w:hAnsiTheme="minorHAnsi" w:cstheme="minorBidi"/>
            <w:sz w:val="22"/>
            <w:szCs w:val="22"/>
            <w:lang w:eastAsia="en-AU"/>
          </w:rPr>
          <w:tab/>
        </w:r>
        <w:r w:rsidR="001D76D9" w:rsidRPr="009315D4">
          <w:rPr>
            <w:rStyle w:val="Hyperlink"/>
          </w:rPr>
          <w:t>Should service providers alert the department when a client passes away?</w:t>
        </w:r>
        <w:r w:rsidR="001D76D9">
          <w:rPr>
            <w:webHidden/>
          </w:rPr>
          <w:tab/>
        </w:r>
        <w:r w:rsidR="001D76D9">
          <w:rPr>
            <w:webHidden/>
          </w:rPr>
          <w:fldChar w:fldCharType="begin"/>
        </w:r>
        <w:r w:rsidR="001D76D9">
          <w:rPr>
            <w:webHidden/>
          </w:rPr>
          <w:instrText xml:space="preserve"> PAGEREF _Toc506974719 \h </w:instrText>
        </w:r>
        <w:r w:rsidR="001D76D9">
          <w:rPr>
            <w:webHidden/>
          </w:rPr>
        </w:r>
        <w:r w:rsidR="001D76D9">
          <w:rPr>
            <w:webHidden/>
          </w:rPr>
          <w:fldChar w:fldCharType="separate"/>
        </w:r>
        <w:r w:rsidR="000E2F61">
          <w:rPr>
            <w:webHidden/>
          </w:rPr>
          <w:t>10</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0" w:history="1">
        <w:r w:rsidR="001D76D9" w:rsidRPr="009315D4">
          <w:rPr>
            <w:rStyle w:val="Hyperlink"/>
          </w:rPr>
          <w:t>26.</w:t>
        </w:r>
        <w:r w:rsidR="001D76D9">
          <w:rPr>
            <w:rFonts w:asciiTheme="minorHAnsi" w:eastAsiaTheme="minorEastAsia" w:hAnsiTheme="minorHAnsi" w:cstheme="minorBidi"/>
            <w:sz w:val="22"/>
            <w:szCs w:val="22"/>
            <w:lang w:eastAsia="en-AU"/>
          </w:rPr>
          <w:tab/>
        </w:r>
        <w:r w:rsidR="001D76D9" w:rsidRPr="009315D4">
          <w:rPr>
            <w:rStyle w:val="Hyperlink"/>
          </w:rPr>
          <w:t>Are there any other documents that service providers can review to assist with updating their client data?</w:t>
        </w:r>
        <w:r w:rsidR="00DC4E6C">
          <w:rPr>
            <w:rStyle w:val="Hyperlink"/>
          </w:rPr>
          <w:t xml:space="preserve"> </w:t>
        </w:r>
        <w:r w:rsidR="001D76D9">
          <w:rPr>
            <w:webHidden/>
          </w:rPr>
          <w:tab/>
        </w:r>
        <w:r w:rsidR="001D76D9">
          <w:rPr>
            <w:webHidden/>
          </w:rPr>
          <w:fldChar w:fldCharType="begin"/>
        </w:r>
        <w:r w:rsidR="001D76D9">
          <w:rPr>
            <w:webHidden/>
          </w:rPr>
          <w:instrText xml:space="preserve"> PAGEREF _Toc506974720 \h </w:instrText>
        </w:r>
        <w:r w:rsidR="001D76D9">
          <w:rPr>
            <w:webHidden/>
          </w:rPr>
        </w:r>
        <w:r w:rsidR="001D76D9">
          <w:rPr>
            <w:webHidden/>
          </w:rPr>
          <w:fldChar w:fldCharType="separate"/>
        </w:r>
        <w:r w:rsidR="000E2F61">
          <w:rPr>
            <w:webHidden/>
          </w:rPr>
          <w:t>10</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1" w:history="1">
        <w:r w:rsidR="001D76D9" w:rsidRPr="009315D4">
          <w:rPr>
            <w:rStyle w:val="Hyperlink"/>
          </w:rPr>
          <w:t>27.</w:t>
        </w:r>
        <w:r w:rsidR="001D76D9">
          <w:rPr>
            <w:rFonts w:asciiTheme="minorHAnsi" w:eastAsiaTheme="minorEastAsia" w:hAnsiTheme="minorHAnsi" w:cstheme="minorBidi"/>
            <w:sz w:val="22"/>
            <w:szCs w:val="22"/>
            <w:lang w:eastAsia="en-AU"/>
          </w:rPr>
          <w:tab/>
        </w:r>
        <w:r w:rsidR="001D76D9" w:rsidRPr="009315D4">
          <w:rPr>
            <w:rStyle w:val="Hyperlink"/>
          </w:rPr>
          <w:t>Who should service providers contact with questions and/ or any issues?</w:t>
        </w:r>
        <w:r w:rsidR="001D76D9">
          <w:rPr>
            <w:webHidden/>
          </w:rPr>
          <w:tab/>
        </w:r>
        <w:r w:rsidR="001D76D9">
          <w:rPr>
            <w:webHidden/>
          </w:rPr>
          <w:fldChar w:fldCharType="begin"/>
        </w:r>
        <w:r w:rsidR="001D76D9">
          <w:rPr>
            <w:webHidden/>
          </w:rPr>
          <w:instrText xml:space="preserve"> PAGEREF _Toc506974721 \h </w:instrText>
        </w:r>
        <w:r w:rsidR="001D76D9">
          <w:rPr>
            <w:webHidden/>
          </w:rPr>
        </w:r>
        <w:r w:rsidR="001D76D9">
          <w:rPr>
            <w:webHidden/>
          </w:rPr>
          <w:fldChar w:fldCharType="separate"/>
        </w:r>
        <w:r w:rsidR="000E2F61">
          <w:rPr>
            <w:webHidden/>
          </w:rPr>
          <w:t>10</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22" w:history="1">
        <w:r w:rsidR="001D76D9" w:rsidRPr="009315D4">
          <w:rPr>
            <w:rStyle w:val="Hyperlink"/>
          </w:rPr>
          <w:t>Provider reports available through the Online Provider Report and SigBox</w:t>
        </w:r>
        <w:r w:rsidR="001D76D9">
          <w:rPr>
            <w:webHidden/>
          </w:rPr>
          <w:tab/>
        </w:r>
        <w:r w:rsidR="001D76D9">
          <w:rPr>
            <w:webHidden/>
          </w:rPr>
          <w:fldChar w:fldCharType="begin"/>
        </w:r>
        <w:r w:rsidR="001D76D9">
          <w:rPr>
            <w:webHidden/>
          </w:rPr>
          <w:instrText xml:space="preserve"> PAGEREF _Toc506974722 \h </w:instrText>
        </w:r>
        <w:r w:rsidR="001D76D9">
          <w:rPr>
            <w:webHidden/>
          </w:rPr>
        </w:r>
        <w:r w:rsidR="001D76D9">
          <w:rPr>
            <w:webHidden/>
          </w:rPr>
          <w:fldChar w:fldCharType="separate"/>
        </w:r>
        <w:r w:rsidR="000E2F61">
          <w:rPr>
            <w:webHidden/>
          </w:rPr>
          <w:t>11</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3" w:history="1">
        <w:r w:rsidR="001D76D9" w:rsidRPr="009315D4">
          <w:rPr>
            <w:rStyle w:val="Hyperlink"/>
          </w:rPr>
          <w:t>28.</w:t>
        </w:r>
        <w:r w:rsidR="001D76D9">
          <w:rPr>
            <w:rFonts w:asciiTheme="minorHAnsi" w:eastAsiaTheme="minorEastAsia" w:hAnsiTheme="minorHAnsi" w:cstheme="minorBidi"/>
            <w:sz w:val="22"/>
            <w:szCs w:val="22"/>
            <w:lang w:eastAsia="en-AU"/>
          </w:rPr>
          <w:tab/>
        </w:r>
        <w:r w:rsidR="001D76D9" w:rsidRPr="009315D4">
          <w:rPr>
            <w:rStyle w:val="Hyperlink"/>
          </w:rPr>
          <w:t>What is the Online Provider Report?</w:t>
        </w:r>
        <w:r w:rsidR="001D76D9">
          <w:rPr>
            <w:webHidden/>
          </w:rPr>
          <w:tab/>
        </w:r>
        <w:r w:rsidR="001D76D9">
          <w:rPr>
            <w:webHidden/>
          </w:rPr>
          <w:fldChar w:fldCharType="begin"/>
        </w:r>
        <w:r w:rsidR="001D76D9">
          <w:rPr>
            <w:webHidden/>
          </w:rPr>
          <w:instrText xml:space="preserve"> PAGEREF _Toc506974723 \h </w:instrText>
        </w:r>
        <w:r w:rsidR="001D76D9">
          <w:rPr>
            <w:webHidden/>
          </w:rPr>
        </w:r>
        <w:r w:rsidR="001D76D9">
          <w:rPr>
            <w:webHidden/>
          </w:rPr>
          <w:fldChar w:fldCharType="separate"/>
        </w:r>
        <w:r w:rsidR="000E2F61">
          <w:rPr>
            <w:webHidden/>
          </w:rPr>
          <w:t>11</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4" w:history="1">
        <w:r w:rsidR="001D76D9" w:rsidRPr="009315D4">
          <w:rPr>
            <w:rStyle w:val="Hyperlink"/>
          </w:rPr>
          <w:t>29.</w:t>
        </w:r>
        <w:r w:rsidR="001D76D9">
          <w:rPr>
            <w:rFonts w:asciiTheme="minorHAnsi" w:eastAsiaTheme="minorEastAsia" w:hAnsiTheme="minorHAnsi" w:cstheme="minorBidi"/>
            <w:sz w:val="22"/>
            <w:szCs w:val="22"/>
            <w:lang w:eastAsia="en-AU"/>
          </w:rPr>
          <w:tab/>
        </w:r>
        <w:r w:rsidR="001D76D9" w:rsidRPr="009315D4">
          <w:rPr>
            <w:rStyle w:val="Hyperlink"/>
          </w:rPr>
          <w:t>How often is the Online Provider Report updated?</w:t>
        </w:r>
        <w:r w:rsidR="001D76D9">
          <w:rPr>
            <w:webHidden/>
          </w:rPr>
          <w:tab/>
        </w:r>
        <w:r w:rsidR="001D76D9">
          <w:rPr>
            <w:webHidden/>
          </w:rPr>
          <w:fldChar w:fldCharType="begin"/>
        </w:r>
        <w:r w:rsidR="001D76D9">
          <w:rPr>
            <w:webHidden/>
          </w:rPr>
          <w:instrText xml:space="preserve"> PAGEREF _Toc506974724 \h </w:instrText>
        </w:r>
        <w:r w:rsidR="001D76D9">
          <w:rPr>
            <w:webHidden/>
          </w:rPr>
        </w:r>
        <w:r w:rsidR="001D76D9">
          <w:rPr>
            <w:webHidden/>
          </w:rPr>
          <w:fldChar w:fldCharType="separate"/>
        </w:r>
        <w:r w:rsidR="000E2F61">
          <w:rPr>
            <w:webHidden/>
          </w:rPr>
          <w:t>11</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5" w:history="1">
        <w:r w:rsidR="001D76D9" w:rsidRPr="009315D4">
          <w:rPr>
            <w:rStyle w:val="Hyperlink"/>
          </w:rPr>
          <w:t>30.</w:t>
        </w:r>
        <w:r w:rsidR="001D76D9">
          <w:rPr>
            <w:rFonts w:asciiTheme="minorHAnsi" w:eastAsiaTheme="minorEastAsia" w:hAnsiTheme="minorHAnsi" w:cstheme="minorBidi"/>
            <w:sz w:val="22"/>
            <w:szCs w:val="22"/>
            <w:lang w:eastAsia="en-AU"/>
          </w:rPr>
          <w:tab/>
        </w:r>
        <w:r w:rsidR="001D76D9" w:rsidRPr="009315D4">
          <w:rPr>
            <w:rStyle w:val="Hyperlink"/>
          </w:rPr>
          <w:t>How will service providers access the Online Provider Report?</w:t>
        </w:r>
        <w:r w:rsidR="001D76D9">
          <w:rPr>
            <w:webHidden/>
          </w:rPr>
          <w:tab/>
        </w:r>
        <w:r w:rsidR="001D76D9">
          <w:rPr>
            <w:webHidden/>
          </w:rPr>
          <w:fldChar w:fldCharType="begin"/>
        </w:r>
        <w:r w:rsidR="001D76D9">
          <w:rPr>
            <w:webHidden/>
          </w:rPr>
          <w:instrText xml:space="preserve"> PAGEREF _Toc506974725 \h </w:instrText>
        </w:r>
        <w:r w:rsidR="001D76D9">
          <w:rPr>
            <w:webHidden/>
          </w:rPr>
        </w:r>
        <w:r w:rsidR="001D76D9">
          <w:rPr>
            <w:webHidden/>
          </w:rPr>
          <w:fldChar w:fldCharType="separate"/>
        </w:r>
        <w:r w:rsidR="000E2F61">
          <w:rPr>
            <w:webHidden/>
          </w:rPr>
          <w:t>11</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6" w:history="1">
        <w:r w:rsidR="001D76D9" w:rsidRPr="009315D4">
          <w:rPr>
            <w:rStyle w:val="Hyperlink"/>
            <w:rFonts w:eastAsia="Times"/>
          </w:rPr>
          <w:t>31.</w:t>
        </w:r>
        <w:r w:rsidR="001D76D9">
          <w:rPr>
            <w:rFonts w:asciiTheme="minorHAnsi" w:eastAsiaTheme="minorEastAsia" w:hAnsiTheme="minorHAnsi" w:cstheme="minorBidi"/>
            <w:sz w:val="22"/>
            <w:szCs w:val="22"/>
            <w:lang w:eastAsia="en-AU"/>
          </w:rPr>
          <w:tab/>
        </w:r>
        <w:r w:rsidR="001D76D9" w:rsidRPr="009315D4">
          <w:rPr>
            <w:rStyle w:val="Hyperlink"/>
          </w:rPr>
          <w:t>Who will have access to the Online Provider Report?</w:t>
        </w:r>
        <w:r w:rsidR="001D76D9">
          <w:rPr>
            <w:webHidden/>
          </w:rPr>
          <w:tab/>
        </w:r>
        <w:r w:rsidR="001D76D9">
          <w:rPr>
            <w:webHidden/>
          </w:rPr>
          <w:fldChar w:fldCharType="begin"/>
        </w:r>
        <w:r w:rsidR="001D76D9">
          <w:rPr>
            <w:webHidden/>
          </w:rPr>
          <w:instrText xml:space="preserve"> PAGEREF _Toc506974726 \h </w:instrText>
        </w:r>
        <w:r w:rsidR="001D76D9">
          <w:rPr>
            <w:webHidden/>
          </w:rPr>
        </w:r>
        <w:r w:rsidR="001D76D9">
          <w:rPr>
            <w:webHidden/>
          </w:rPr>
          <w:fldChar w:fldCharType="separate"/>
        </w:r>
        <w:r w:rsidR="000E2F61">
          <w:rPr>
            <w:webHidden/>
          </w:rPr>
          <w:t>11</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7" w:history="1">
        <w:r w:rsidR="001D76D9" w:rsidRPr="009315D4">
          <w:rPr>
            <w:rStyle w:val="Hyperlink"/>
            <w:rFonts w:eastAsia="Times"/>
          </w:rPr>
          <w:t>32.</w:t>
        </w:r>
        <w:r w:rsidR="001D76D9">
          <w:rPr>
            <w:rFonts w:asciiTheme="minorHAnsi" w:eastAsiaTheme="minorEastAsia" w:hAnsiTheme="minorHAnsi" w:cstheme="minorBidi"/>
            <w:sz w:val="22"/>
            <w:szCs w:val="22"/>
            <w:lang w:eastAsia="en-AU"/>
          </w:rPr>
          <w:tab/>
        </w:r>
        <w:r w:rsidR="001D76D9" w:rsidRPr="009315D4">
          <w:rPr>
            <w:rStyle w:val="Hyperlink"/>
          </w:rPr>
          <w:t>Can a service provider allow additional access to the Online Provider Report?</w:t>
        </w:r>
        <w:r w:rsidR="001D76D9">
          <w:rPr>
            <w:webHidden/>
          </w:rPr>
          <w:tab/>
        </w:r>
        <w:r w:rsidR="001D76D9">
          <w:rPr>
            <w:webHidden/>
          </w:rPr>
          <w:fldChar w:fldCharType="begin"/>
        </w:r>
        <w:r w:rsidR="001D76D9">
          <w:rPr>
            <w:webHidden/>
          </w:rPr>
          <w:instrText xml:space="preserve"> PAGEREF _Toc506974727 \h </w:instrText>
        </w:r>
        <w:r w:rsidR="001D76D9">
          <w:rPr>
            <w:webHidden/>
          </w:rPr>
        </w:r>
        <w:r w:rsidR="001D76D9">
          <w:rPr>
            <w:webHidden/>
          </w:rPr>
          <w:fldChar w:fldCharType="separate"/>
        </w:r>
        <w:r w:rsidR="000E2F61">
          <w:rPr>
            <w:webHidden/>
          </w:rPr>
          <w:t>11</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8" w:history="1">
        <w:r w:rsidR="001D76D9" w:rsidRPr="009315D4">
          <w:rPr>
            <w:rStyle w:val="Hyperlink"/>
          </w:rPr>
          <w:t>33.</w:t>
        </w:r>
        <w:r w:rsidR="001D76D9">
          <w:rPr>
            <w:rFonts w:asciiTheme="minorHAnsi" w:eastAsiaTheme="minorEastAsia" w:hAnsiTheme="minorHAnsi" w:cstheme="minorBidi"/>
            <w:sz w:val="22"/>
            <w:szCs w:val="22"/>
            <w:lang w:eastAsia="en-AU"/>
          </w:rPr>
          <w:tab/>
        </w:r>
        <w:r w:rsidR="001D76D9" w:rsidRPr="009315D4">
          <w:rPr>
            <w:rStyle w:val="Hyperlink"/>
          </w:rPr>
          <w:t>What should service providers do when using the Online Provider Report?</w:t>
        </w:r>
        <w:r w:rsidR="001D76D9">
          <w:rPr>
            <w:webHidden/>
          </w:rPr>
          <w:tab/>
        </w:r>
        <w:r w:rsidR="001D76D9">
          <w:rPr>
            <w:webHidden/>
          </w:rPr>
          <w:fldChar w:fldCharType="begin"/>
        </w:r>
        <w:r w:rsidR="001D76D9">
          <w:rPr>
            <w:webHidden/>
          </w:rPr>
          <w:instrText xml:space="preserve"> PAGEREF _Toc506974728 \h </w:instrText>
        </w:r>
        <w:r w:rsidR="001D76D9">
          <w:rPr>
            <w:webHidden/>
          </w:rPr>
        </w:r>
        <w:r w:rsidR="001D76D9">
          <w:rPr>
            <w:webHidden/>
          </w:rPr>
          <w:fldChar w:fldCharType="separate"/>
        </w:r>
        <w:r w:rsidR="000E2F61">
          <w:rPr>
            <w:webHidden/>
          </w:rPr>
          <w:t>11</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29" w:history="1">
        <w:r w:rsidR="001D76D9" w:rsidRPr="009315D4">
          <w:rPr>
            <w:rStyle w:val="Hyperlink"/>
          </w:rPr>
          <w:t>34.</w:t>
        </w:r>
        <w:r w:rsidR="001D76D9">
          <w:rPr>
            <w:rFonts w:asciiTheme="minorHAnsi" w:eastAsiaTheme="minorEastAsia" w:hAnsiTheme="minorHAnsi" w:cstheme="minorBidi"/>
            <w:sz w:val="22"/>
            <w:szCs w:val="22"/>
            <w:lang w:eastAsia="en-AU"/>
          </w:rPr>
          <w:tab/>
        </w:r>
        <w:r w:rsidR="001D76D9" w:rsidRPr="009315D4">
          <w:rPr>
            <w:rStyle w:val="Hyperlink"/>
          </w:rPr>
          <w:t>Are the previous Provider Reports still available through SigBix?</w:t>
        </w:r>
        <w:r w:rsidR="001D76D9">
          <w:rPr>
            <w:webHidden/>
          </w:rPr>
          <w:tab/>
        </w:r>
        <w:r w:rsidR="001D76D9">
          <w:rPr>
            <w:webHidden/>
          </w:rPr>
          <w:fldChar w:fldCharType="begin"/>
        </w:r>
        <w:r w:rsidR="001D76D9">
          <w:rPr>
            <w:webHidden/>
          </w:rPr>
          <w:instrText xml:space="preserve"> PAGEREF _Toc506974729 \h </w:instrText>
        </w:r>
        <w:r w:rsidR="001D76D9">
          <w:rPr>
            <w:webHidden/>
          </w:rPr>
        </w:r>
        <w:r w:rsidR="001D76D9">
          <w:rPr>
            <w:webHidden/>
          </w:rPr>
          <w:fldChar w:fldCharType="separate"/>
        </w:r>
        <w:r w:rsidR="000E2F61">
          <w:rPr>
            <w:webHidden/>
          </w:rPr>
          <w:t>12</w:t>
        </w:r>
        <w:r w:rsidR="001D76D9">
          <w:rPr>
            <w:webHidden/>
          </w:rPr>
          <w:fldChar w:fldCharType="end"/>
        </w:r>
      </w:hyperlink>
    </w:p>
    <w:p w:rsidR="001D76D9" w:rsidRDefault="00CA0C56">
      <w:pPr>
        <w:pStyle w:val="TOC3"/>
        <w:tabs>
          <w:tab w:val="left" w:pos="800"/>
        </w:tabs>
        <w:rPr>
          <w:rFonts w:asciiTheme="minorHAnsi" w:eastAsiaTheme="minorEastAsia" w:hAnsiTheme="minorHAnsi" w:cstheme="minorBidi"/>
          <w:sz w:val="22"/>
          <w:szCs w:val="22"/>
          <w:lang w:eastAsia="en-AU"/>
        </w:rPr>
      </w:pPr>
      <w:hyperlink w:anchor="_Toc506974730" w:history="1">
        <w:r w:rsidR="001D76D9" w:rsidRPr="009315D4">
          <w:rPr>
            <w:rStyle w:val="Hyperlink"/>
          </w:rPr>
          <w:t>35.</w:t>
        </w:r>
        <w:r w:rsidR="001D76D9">
          <w:rPr>
            <w:rFonts w:asciiTheme="minorHAnsi" w:eastAsiaTheme="minorEastAsia" w:hAnsiTheme="minorHAnsi" w:cstheme="minorBidi"/>
            <w:sz w:val="22"/>
            <w:szCs w:val="22"/>
            <w:lang w:eastAsia="en-AU"/>
          </w:rPr>
          <w:tab/>
        </w:r>
        <w:r w:rsidR="001D76D9" w:rsidRPr="009315D4">
          <w:rPr>
            <w:rStyle w:val="Hyperlink"/>
          </w:rPr>
          <w:t>How will service providers know the Online Provider Report has been updated?</w:t>
        </w:r>
        <w:r w:rsidR="001D76D9">
          <w:rPr>
            <w:webHidden/>
          </w:rPr>
          <w:tab/>
        </w:r>
        <w:r w:rsidR="001D76D9">
          <w:rPr>
            <w:webHidden/>
          </w:rPr>
          <w:fldChar w:fldCharType="begin"/>
        </w:r>
        <w:r w:rsidR="001D76D9">
          <w:rPr>
            <w:webHidden/>
          </w:rPr>
          <w:instrText xml:space="preserve"> PAGEREF _Toc506974730 \h </w:instrText>
        </w:r>
        <w:r w:rsidR="001D76D9">
          <w:rPr>
            <w:webHidden/>
          </w:rPr>
        </w:r>
        <w:r w:rsidR="001D76D9">
          <w:rPr>
            <w:webHidden/>
          </w:rPr>
          <w:fldChar w:fldCharType="separate"/>
        </w:r>
        <w:r w:rsidR="000E2F61">
          <w:rPr>
            <w:webHidden/>
          </w:rPr>
          <w:t>12</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31" w:history="1">
        <w:r w:rsidR="001D76D9" w:rsidRPr="009315D4">
          <w:rPr>
            <w:rStyle w:val="Hyperlink"/>
          </w:rPr>
          <w:t>Appendix A - examples of funding withdrawal across service agreements</w:t>
        </w:r>
        <w:r w:rsidR="001D76D9">
          <w:rPr>
            <w:webHidden/>
          </w:rPr>
          <w:tab/>
        </w:r>
        <w:r w:rsidR="001D76D9">
          <w:rPr>
            <w:webHidden/>
          </w:rPr>
          <w:fldChar w:fldCharType="begin"/>
        </w:r>
        <w:r w:rsidR="001D76D9">
          <w:rPr>
            <w:webHidden/>
          </w:rPr>
          <w:instrText xml:space="preserve"> PAGEREF _Toc506974731 \h </w:instrText>
        </w:r>
        <w:r w:rsidR="001D76D9">
          <w:rPr>
            <w:webHidden/>
          </w:rPr>
        </w:r>
        <w:r w:rsidR="001D76D9">
          <w:rPr>
            <w:webHidden/>
          </w:rPr>
          <w:fldChar w:fldCharType="separate"/>
        </w:r>
        <w:r w:rsidR="000E2F61">
          <w:rPr>
            <w:webHidden/>
          </w:rPr>
          <w:t>13</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32" w:history="1">
        <w:r w:rsidR="001D76D9" w:rsidRPr="009315D4">
          <w:rPr>
            <w:rStyle w:val="Hyperlink"/>
          </w:rPr>
          <w:t>Appendix B - examples of state funding withdrawal timing</w:t>
        </w:r>
        <w:r w:rsidR="001D76D9">
          <w:rPr>
            <w:webHidden/>
          </w:rPr>
          <w:tab/>
        </w:r>
        <w:r w:rsidR="001D76D9">
          <w:rPr>
            <w:webHidden/>
          </w:rPr>
          <w:fldChar w:fldCharType="begin"/>
        </w:r>
        <w:r w:rsidR="001D76D9">
          <w:rPr>
            <w:webHidden/>
          </w:rPr>
          <w:instrText xml:space="preserve"> PAGEREF _Toc506974732 \h </w:instrText>
        </w:r>
        <w:r w:rsidR="001D76D9">
          <w:rPr>
            <w:webHidden/>
          </w:rPr>
        </w:r>
        <w:r w:rsidR="001D76D9">
          <w:rPr>
            <w:webHidden/>
          </w:rPr>
          <w:fldChar w:fldCharType="separate"/>
        </w:r>
        <w:r w:rsidR="000E2F61">
          <w:rPr>
            <w:webHidden/>
          </w:rPr>
          <w:t>16</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33" w:history="1">
        <w:r w:rsidR="001D76D9" w:rsidRPr="009315D4">
          <w:rPr>
            <w:rStyle w:val="Hyperlink"/>
          </w:rPr>
          <w:t>Appendix C - examples of reports available for providers</w:t>
        </w:r>
        <w:r w:rsidR="001D76D9">
          <w:rPr>
            <w:webHidden/>
          </w:rPr>
          <w:tab/>
        </w:r>
        <w:r w:rsidR="001D76D9">
          <w:rPr>
            <w:webHidden/>
          </w:rPr>
          <w:fldChar w:fldCharType="begin"/>
        </w:r>
        <w:r w:rsidR="001D76D9">
          <w:rPr>
            <w:webHidden/>
          </w:rPr>
          <w:instrText xml:space="preserve"> PAGEREF _Toc506974733 \h </w:instrText>
        </w:r>
        <w:r w:rsidR="001D76D9">
          <w:rPr>
            <w:webHidden/>
          </w:rPr>
        </w:r>
        <w:r w:rsidR="001D76D9">
          <w:rPr>
            <w:webHidden/>
          </w:rPr>
          <w:fldChar w:fldCharType="separate"/>
        </w:r>
        <w:r w:rsidR="000E2F61">
          <w:rPr>
            <w:webHidden/>
          </w:rPr>
          <w:t>18</w:t>
        </w:r>
        <w:r w:rsidR="001D76D9">
          <w:rPr>
            <w:webHidden/>
          </w:rPr>
          <w:fldChar w:fldCharType="end"/>
        </w:r>
      </w:hyperlink>
    </w:p>
    <w:p w:rsidR="001D76D9" w:rsidRDefault="00CA0C56">
      <w:pPr>
        <w:pStyle w:val="TOC1"/>
        <w:rPr>
          <w:rFonts w:asciiTheme="minorHAnsi" w:eastAsiaTheme="minorEastAsia" w:hAnsiTheme="minorHAnsi" w:cstheme="minorBidi"/>
          <w:b w:val="0"/>
          <w:sz w:val="22"/>
          <w:szCs w:val="22"/>
          <w:lang w:eastAsia="en-AU"/>
        </w:rPr>
      </w:pPr>
      <w:hyperlink w:anchor="_Toc506974734" w:history="1">
        <w:r w:rsidR="001D76D9" w:rsidRPr="009315D4">
          <w:rPr>
            <w:rStyle w:val="Hyperlink"/>
          </w:rPr>
          <w:t>Appendix D - more information</w:t>
        </w:r>
        <w:r w:rsidR="001D76D9">
          <w:rPr>
            <w:webHidden/>
          </w:rPr>
          <w:tab/>
        </w:r>
        <w:r w:rsidR="001D76D9">
          <w:rPr>
            <w:webHidden/>
          </w:rPr>
          <w:fldChar w:fldCharType="begin"/>
        </w:r>
        <w:r w:rsidR="001D76D9">
          <w:rPr>
            <w:webHidden/>
          </w:rPr>
          <w:instrText xml:space="preserve"> PAGEREF _Toc506974734 \h </w:instrText>
        </w:r>
        <w:r w:rsidR="001D76D9">
          <w:rPr>
            <w:webHidden/>
          </w:rPr>
        </w:r>
        <w:r w:rsidR="001D76D9">
          <w:rPr>
            <w:webHidden/>
          </w:rPr>
          <w:fldChar w:fldCharType="separate"/>
        </w:r>
        <w:r w:rsidR="000E2F61">
          <w:rPr>
            <w:webHidden/>
          </w:rPr>
          <w:t>25</w:t>
        </w:r>
        <w:r w:rsidR="001D76D9">
          <w:rPr>
            <w:webHidden/>
          </w:rPr>
          <w:fldChar w:fldCharType="end"/>
        </w:r>
      </w:hyperlink>
    </w:p>
    <w:p w:rsidR="001D76D9" w:rsidRDefault="00CA0C56">
      <w:pPr>
        <w:pStyle w:val="TOC3"/>
        <w:rPr>
          <w:rFonts w:asciiTheme="minorHAnsi" w:eastAsiaTheme="minorEastAsia" w:hAnsiTheme="minorHAnsi" w:cstheme="minorBidi"/>
          <w:sz w:val="22"/>
          <w:szCs w:val="22"/>
          <w:lang w:eastAsia="en-AU"/>
        </w:rPr>
      </w:pPr>
      <w:hyperlink w:anchor="_Toc506974735" w:history="1">
        <w:r w:rsidR="001D76D9" w:rsidRPr="009315D4">
          <w:rPr>
            <w:rStyle w:val="Hyperlink"/>
          </w:rPr>
          <w:t>Where can I obtain more information on the NDIS?</w:t>
        </w:r>
        <w:r w:rsidR="001D76D9">
          <w:rPr>
            <w:webHidden/>
          </w:rPr>
          <w:tab/>
        </w:r>
        <w:r w:rsidR="001D76D9">
          <w:rPr>
            <w:webHidden/>
          </w:rPr>
          <w:fldChar w:fldCharType="begin"/>
        </w:r>
        <w:r w:rsidR="001D76D9">
          <w:rPr>
            <w:webHidden/>
          </w:rPr>
          <w:instrText xml:space="preserve"> PAGEREF _Toc506974735 \h </w:instrText>
        </w:r>
        <w:r w:rsidR="001D76D9">
          <w:rPr>
            <w:webHidden/>
          </w:rPr>
        </w:r>
        <w:r w:rsidR="001D76D9">
          <w:rPr>
            <w:webHidden/>
          </w:rPr>
          <w:fldChar w:fldCharType="separate"/>
        </w:r>
        <w:r w:rsidR="000E2F61">
          <w:rPr>
            <w:webHidden/>
          </w:rPr>
          <w:t>25</w:t>
        </w:r>
        <w:r w:rsidR="001D76D9">
          <w:rPr>
            <w:webHidden/>
          </w:rPr>
          <w:fldChar w:fldCharType="end"/>
        </w:r>
      </w:hyperlink>
    </w:p>
    <w:p w:rsidR="001D76D9" w:rsidRDefault="00CA0C56">
      <w:pPr>
        <w:pStyle w:val="TOC3"/>
        <w:rPr>
          <w:rFonts w:asciiTheme="minorHAnsi" w:eastAsiaTheme="minorEastAsia" w:hAnsiTheme="minorHAnsi" w:cstheme="minorBidi"/>
          <w:sz w:val="22"/>
          <w:szCs w:val="22"/>
          <w:lang w:eastAsia="en-AU"/>
        </w:rPr>
      </w:pPr>
      <w:hyperlink w:anchor="_Toc506974736" w:history="1">
        <w:r w:rsidR="001D76D9" w:rsidRPr="009315D4">
          <w:rPr>
            <w:rStyle w:val="Hyperlink"/>
          </w:rPr>
          <w:t>Resources</w:t>
        </w:r>
        <w:r w:rsidR="001D76D9">
          <w:rPr>
            <w:webHidden/>
          </w:rPr>
          <w:tab/>
        </w:r>
        <w:r w:rsidR="001D76D9">
          <w:rPr>
            <w:webHidden/>
          </w:rPr>
          <w:fldChar w:fldCharType="begin"/>
        </w:r>
        <w:r w:rsidR="001D76D9">
          <w:rPr>
            <w:webHidden/>
          </w:rPr>
          <w:instrText xml:space="preserve"> PAGEREF _Toc506974736 \h </w:instrText>
        </w:r>
        <w:r w:rsidR="001D76D9">
          <w:rPr>
            <w:webHidden/>
          </w:rPr>
        </w:r>
        <w:r w:rsidR="001D76D9">
          <w:rPr>
            <w:webHidden/>
          </w:rPr>
          <w:fldChar w:fldCharType="separate"/>
        </w:r>
        <w:r w:rsidR="000E2F61">
          <w:rPr>
            <w:webHidden/>
          </w:rPr>
          <w:t>25</w:t>
        </w:r>
        <w:r w:rsidR="001D76D9">
          <w:rPr>
            <w:webHidden/>
          </w:rPr>
          <w:fldChar w:fldCharType="end"/>
        </w:r>
      </w:hyperlink>
    </w:p>
    <w:p w:rsidR="00E74F82" w:rsidRPr="00484715" w:rsidRDefault="0028608A">
      <w:pPr>
        <w:rPr>
          <w:sz w:val="6"/>
        </w:rPr>
      </w:pPr>
      <w: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2"/>
      </w:tblGrid>
      <w:tr w:rsidR="00E332A7" w:rsidRPr="000B75C4" w:rsidTr="00E74F82">
        <w:tc>
          <w:tcPr>
            <w:tcW w:w="10420" w:type="dxa"/>
            <w:shd w:val="clear" w:color="auto" w:fill="auto"/>
          </w:tcPr>
          <w:p w:rsidR="00E74F82" w:rsidRPr="00022872" w:rsidRDefault="00E74F82" w:rsidP="006579AE">
            <w:pPr>
              <w:pStyle w:val="DHHStablecaption"/>
            </w:pPr>
            <w:r w:rsidRPr="00EC70E9">
              <w:t xml:space="preserve">Version </w:t>
            </w:r>
            <w:r w:rsidR="00AC519E" w:rsidRPr="00247BF0">
              <w:t>5</w:t>
            </w:r>
            <w:r w:rsidR="006579AE" w:rsidRPr="00022872">
              <w:t xml:space="preserve"> - </w:t>
            </w:r>
            <w:r w:rsidRPr="00022872">
              <w:t>What has changed in this version?</w:t>
            </w:r>
          </w:p>
          <w:p w:rsidR="00C101F9" w:rsidRDefault="005B0B75" w:rsidP="00E74F82">
            <w:pPr>
              <w:pStyle w:val="DHHSbody"/>
              <w:spacing w:before="240"/>
            </w:pPr>
            <w:r w:rsidRPr="009C143C">
              <w:t xml:space="preserve">Key messages </w:t>
            </w:r>
            <w:r w:rsidR="00AC519E" w:rsidRPr="000B75C4">
              <w:t>update</w:t>
            </w:r>
            <w:r w:rsidR="00F47434">
              <w:t>d</w:t>
            </w:r>
            <w:r w:rsidR="00C101F9">
              <w:t>.</w:t>
            </w:r>
            <w:r>
              <w:t xml:space="preserve"> </w:t>
            </w:r>
          </w:p>
          <w:p w:rsidR="00E74F82" w:rsidRPr="00022872" w:rsidRDefault="006579AE" w:rsidP="002B22FE">
            <w:pPr>
              <w:pStyle w:val="DHHSbody"/>
            </w:pPr>
            <w:r w:rsidRPr="00362B0C">
              <w:t>Updates</w:t>
            </w:r>
            <w:r w:rsidR="00997265" w:rsidRPr="00362B0C">
              <w:t xml:space="preserve"> </w:t>
            </w:r>
            <w:r w:rsidRPr="00362B0C">
              <w:t xml:space="preserve">to questions </w:t>
            </w:r>
            <w:r w:rsidR="00FC6445">
              <w:t xml:space="preserve"> 2,8,12-13</w:t>
            </w:r>
            <w:r w:rsidR="001E70DA">
              <w:t>,</w:t>
            </w:r>
            <w:r w:rsidR="00FC6445">
              <w:t xml:space="preserve"> 20</w:t>
            </w:r>
            <w:r w:rsidR="001E70DA">
              <w:t xml:space="preserve"> and 30.</w:t>
            </w:r>
          </w:p>
        </w:tc>
      </w:tr>
    </w:tbl>
    <w:p w:rsidR="006579AE" w:rsidRDefault="006579AE" w:rsidP="006579AE">
      <w:bookmarkStart w:id="1" w:name="_Toc482364896"/>
    </w:p>
    <w:p w:rsidR="00811A46" w:rsidRDefault="00811A46">
      <w:pPr>
        <w:rPr>
          <w:rFonts w:ascii="Arial" w:eastAsia="MS Gothic" w:hAnsi="Arial" w:cs="Arial"/>
          <w:bCs/>
          <w:color w:val="AF272F"/>
          <w:kern w:val="32"/>
          <w:sz w:val="36"/>
          <w:szCs w:val="40"/>
        </w:rPr>
      </w:pPr>
      <w:bookmarkStart w:id="2" w:name="_Toc506974690"/>
      <w:r>
        <w:br w:type="page"/>
      </w:r>
    </w:p>
    <w:p w:rsidR="009C0DD2" w:rsidRPr="00646ACA" w:rsidRDefault="009C0DD2" w:rsidP="00616386">
      <w:pPr>
        <w:pStyle w:val="Heading1"/>
      </w:pPr>
      <w:r w:rsidRPr="00646ACA">
        <w:lastRenderedPageBreak/>
        <w:t xml:space="preserve">Key </w:t>
      </w:r>
      <w:r w:rsidR="003914A4" w:rsidRPr="00616386">
        <w:t>messages</w:t>
      </w:r>
      <w:bookmarkEnd w:id="1"/>
      <w:bookmarkEnd w:id="2"/>
    </w:p>
    <w:p w:rsidR="00A243D2" w:rsidRPr="00646ACA" w:rsidRDefault="00A243D2" w:rsidP="00A243D2">
      <w:pPr>
        <w:pStyle w:val="DHHSkeymessagesbullet"/>
        <w:rPr>
          <w:sz w:val="20"/>
        </w:rPr>
      </w:pPr>
      <w:r w:rsidRPr="00646ACA">
        <w:rPr>
          <w:sz w:val="20"/>
        </w:rPr>
        <w:t xml:space="preserve">State funding will be withdrawn progressively as </w:t>
      </w:r>
      <w:r w:rsidR="00211856" w:rsidRPr="00646ACA">
        <w:rPr>
          <w:sz w:val="20"/>
        </w:rPr>
        <w:t>clients’</w:t>
      </w:r>
      <w:r w:rsidRPr="00646ACA">
        <w:rPr>
          <w:sz w:val="20"/>
        </w:rPr>
        <w:t xml:space="preserve"> transition to the NDIS, except </w:t>
      </w:r>
      <w:r w:rsidR="006D2503">
        <w:rPr>
          <w:sz w:val="20"/>
        </w:rPr>
        <w:t xml:space="preserve">for </w:t>
      </w:r>
      <w:r w:rsidRPr="00646ACA">
        <w:rPr>
          <w:sz w:val="20"/>
        </w:rPr>
        <w:t>Home</w:t>
      </w:r>
      <w:r w:rsidR="001270D7">
        <w:rPr>
          <w:sz w:val="20"/>
        </w:rPr>
        <w:t> </w:t>
      </w:r>
      <w:r w:rsidRPr="00646ACA">
        <w:rPr>
          <w:sz w:val="20"/>
        </w:rPr>
        <w:t>and Community Care Program for Younger People (HACC-PYP)</w:t>
      </w:r>
      <w:r w:rsidR="00F93E24">
        <w:rPr>
          <w:sz w:val="20"/>
        </w:rPr>
        <w:t xml:space="preserve"> service providers</w:t>
      </w:r>
      <w:r w:rsidRPr="00646ACA">
        <w:rPr>
          <w:sz w:val="20"/>
        </w:rPr>
        <w:t xml:space="preserve"> </w:t>
      </w:r>
      <w:r w:rsidR="006D2503">
        <w:rPr>
          <w:sz w:val="20"/>
        </w:rPr>
        <w:t>who cho</w:t>
      </w:r>
      <w:r w:rsidR="00CA7458">
        <w:rPr>
          <w:sz w:val="20"/>
        </w:rPr>
        <w:t>o</w:t>
      </w:r>
      <w:r w:rsidR="006D2503">
        <w:rPr>
          <w:sz w:val="20"/>
        </w:rPr>
        <w:t>se</w:t>
      </w:r>
      <w:r w:rsidR="00DC38D1">
        <w:rPr>
          <w:sz w:val="20"/>
        </w:rPr>
        <w:t xml:space="preserve"> to continue</w:t>
      </w:r>
      <w:r w:rsidRPr="00646ACA">
        <w:rPr>
          <w:sz w:val="20"/>
        </w:rPr>
        <w:t xml:space="preserve"> </w:t>
      </w:r>
      <w:r w:rsidR="00DC38D1">
        <w:rPr>
          <w:sz w:val="20"/>
        </w:rPr>
        <w:t xml:space="preserve">with </w:t>
      </w:r>
      <w:r w:rsidR="00CA7458">
        <w:rPr>
          <w:sz w:val="20"/>
        </w:rPr>
        <w:t xml:space="preserve">existing state </w:t>
      </w:r>
      <w:r w:rsidR="00F93E24">
        <w:rPr>
          <w:sz w:val="20"/>
        </w:rPr>
        <w:t xml:space="preserve">funding </w:t>
      </w:r>
      <w:r w:rsidR="00CA7458">
        <w:rPr>
          <w:sz w:val="20"/>
        </w:rPr>
        <w:t xml:space="preserve">for </w:t>
      </w:r>
      <w:r w:rsidR="008866C1">
        <w:rPr>
          <w:sz w:val="20"/>
        </w:rPr>
        <w:t>the extended transition period</w:t>
      </w:r>
      <w:r w:rsidR="009C143C">
        <w:rPr>
          <w:sz w:val="20"/>
        </w:rPr>
        <w:t>.</w:t>
      </w:r>
    </w:p>
    <w:p w:rsidR="001F5A94" w:rsidRPr="001F5A94" w:rsidRDefault="00CA7458" w:rsidP="001F5A94">
      <w:pPr>
        <w:pStyle w:val="DHHSkeymessagesbullet"/>
      </w:pPr>
      <w:r>
        <w:rPr>
          <w:sz w:val="20"/>
        </w:rPr>
        <w:t>C</w:t>
      </w:r>
      <w:r w:rsidR="001F5A94" w:rsidRPr="001F5A94">
        <w:rPr>
          <w:sz w:val="20"/>
        </w:rPr>
        <w:t xml:space="preserve">lients found </w:t>
      </w:r>
      <w:r>
        <w:rPr>
          <w:sz w:val="20"/>
        </w:rPr>
        <w:t xml:space="preserve">to be </w:t>
      </w:r>
      <w:r w:rsidR="001F5A94" w:rsidRPr="001F5A94">
        <w:rPr>
          <w:sz w:val="20"/>
        </w:rPr>
        <w:t>ineligible for the NDIS</w:t>
      </w:r>
      <w:r w:rsidR="00F93E24">
        <w:rPr>
          <w:sz w:val="20"/>
        </w:rPr>
        <w:t xml:space="preserve"> </w:t>
      </w:r>
      <w:r w:rsidR="007421AD">
        <w:rPr>
          <w:sz w:val="20"/>
        </w:rPr>
        <w:t>who</w:t>
      </w:r>
      <w:r w:rsidR="00F93E24">
        <w:rPr>
          <w:sz w:val="20"/>
        </w:rPr>
        <w:t xml:space="preserve"> are 65 </w:t>
      </w:r>
      <w:r w:rsidR="007421AD" w:rsidRPr="00CA7458">
        <w:rPr>
          <w:sz w:val="20"/>
        </w:rPr>
        <w:t>and over (</w:t>
      </w:r>
      <w:r w:rsidR="00F93E24" w:rsidRPr="00CA7458">
        <w:rPr>
          <w:sz w:val="20"/>
        </w:rPr>
        <w:t>50 years and over for Aboriginal and Torres Strait Islander people</w:t>
      </w:r>
      <w:r w:rsidR="007421AD" w:rsidRPr="00CA7458">
        <w:rPr>
          <w:sz w:val="20"/>
        </w:rPr>
        <w:t>)</w:t>
      </w:r>
      <w:r w:rsidR="00F93E24">
        <w:rPr>
          <w:sz w:val="20"/>
        </w:rPr>
        <w:t xml:space="preserve"> </w:t>
      </w:r>
      <w:r>
        <w:rPr>
          <w:sz w:val="20"/>
        </w:rPr>
        <w:t xml:space="preserve">and receiving existing state disability services </w:t>
      </w:r>
      <w:r w:rsidR="001F5A94" w:rsidRPr="001F5A94">
        <w:rPr>
          <w:sz w:val="20"/>
        </w:rPr>
        <w:t xml:space="preserve">may be eligible to transition to the Commonwealth Continuity </w:t>
      </w:r>
      <w:r w:rsidR="00C101F9">
        <w:rPr>
          <w:sz w:val="20"/>
        </w:rPr>
        <w:t>o</w:t>
      </w:r>
      <w:r w:rsidR="001F5A94" w:rsidRPr="001F5A94">
        <w:rPr>
          <w:sz w:val="20"/>
        </w:rPr>
        <w:t xml:space="preserve">f Support </w:t>
      </w:r>
      <w:r w:rsidR="007544DF">
        <w:rPr>
          <w:sz w:val="20"/>
        </w:rPr>
        <w:t>Programme</w:t>
      </w:r>
      <w:r w:rsidR="001F5A94">
        <w:rPr>
          <w:sz w:val="20"/>
        </w:rPr>
        <w:t xml:space="preserve">. </w:t>
      </w:r>
      <w:r w:rsidR="00C101F9">
        <w:rPr>
          <w:sz w:val="20"/>
        </w:rPr>
        <w:t>Victorian</w:t>
      </w:r>
      <w:r w:rsidR="00333317">
        <w:rPr>
          <w:sz w:val="20"/>
        </w:rPr>
        <w:t xml:space="preserve"> clients eligible for </w:t>
      </w:r>
      <w:r w:rsidR="00C101F9">
        <w:rPr>
          <w:sz w:val="20"/>
        </w:rPr>
        <w:t>these arrangement</w:t>
      </w:r>
      <w:r w:rsidR="00071FE2">
        <w:rPr>
          <w:sz w:val="20"/>
        </w:rPr>
        <w:t>s</w:t>
      </w:r>
      <w:r w:rsidR="00333317">
        <w:rPr>
          <w:sz w:val="20"/>
        </w:rPr>
        <w:t xml:space="preserve"> </w:t>
      </w:r>
      <w:r w:rsidR="00DC4E6C">
        <w:rPr>
          <w:sz w:val="20"/>
        </w:rPr>
        <w:t xml:space="preserve">started transitioning from </w:t>
      </w:r>
      <w:r w:rsidR="00333317">
        <w:rPr>
          <w:sz w:val="20"/>
        </w:rPr>
        <w:t>1</w:t>
      </w:r>
      <w:r w:rsidR="00C101F9">
        <w:rPr>
          <w:sz w:val="20"/>
        </w:rPr>
        <w:t> </w:t>
      </w:r>
      <w:r w:rsidR="00333317">
        <w:rPr>
          <w:sz w:val="20"/>
        </w:rPr>
        <w:t>April</w:t>
      </w:r>
      <w:r w:rsidR="00C101F9">
        <w:rPr>
          <w:sz w:val="20"/>
        </w:rPr>
        <w:t> </w:t>
      </w:r>
      <w:r w:rsidR="00333317">
        <w:rPr>
          <w:sz w:val="20"/>
        </w:rPr>
        <w:t>2018.</w:t>
      </w:r>
    </w:p>
    <w:p w:rsidR="00A243D2" w:rsidRPr="00646ACA" w:rsidRDefault="00A243D2" w:rsidP="00A243D2">
      <w:pPr>
        <w:pStyle w:val="DHHSkeymessagesbullet"/>
        <w:rPr>
          <w:sz w:val="20"/>
        </w:rPr>
      </w:pPr>
      <w:r w:rsidRPr="00646ACA">
        <w:rPr>
          <w:sz w:val="20"/>
        </w:rPr>
        <w:t xml:space="preserve">Funding withdrawals will </w:t>
      </w:r>
      <w:r w:rsidR="00EB0403">
        <w:rPr>
          <w:sz w:val="20"/>
        </w:rPr>
        <w:t xml:space="preserve">be </w:t>
      </w:r>
      <w:r w:rsidRPr="00646ACA">
        <w:rPr>
          <w:sz w:val="20"/>
        </w:rPr>
        <w:t xml:space="preserve">backdated to the client’s </w:t>
      </w:r>
      <w:r w:rsidR="0015051D">
        <w:rPr>
          <w:sz w:val="20"/>
        </w:rPr>
        <w:t xml:space="preserve">earliest </w:t>
      </w:r>
      <w:r w:rsidRPr="00646ACA">
        <w:rPr>
          <w:sz w:val="20"/>
        </w:rPr>
        <w:t>NDIS plan approval date, through adjustments to future payments.</w:t>
      </w:r>
    </w:p>
    <w:p w:rsidR="00A243D2" w:rsidRDefault="00A243D2" w:rsidP="00A243D2">
      <w:pPr>
        <w:pStyle w:val="DHHSkeymessagesbullet"/>
        <w:rPr>
          <w:sz w:val="20"/>
        </w:rPr>
      </w:pPr>
      <w:r w:rsidRPr="00646ACA">
        <w:rPr>
          <w:sz w:val="20"/>
        </w:rPr>
        <w:t>Provision of accurate and up-to-date client data from service providers has a direct impact on funding withdrawals. Service providers will have</w:t>
      </w:r>
      <w:r w:rsidR="00E64340">
        <w:rPr>
          <w:sz w:val="20"/>
        </w:rPr>
        <w:t xml:space="preserve"> a final</w:t>
      </w:r>
      <w:r w:rsidRPr="00646ACA">
        <w:rPr>
          <w:sz w:val="20"/>
        </w:rPr>
        <w:t xml:space="preserve"> opportunity to update their client data </w:t>
      </w:r>
      <w:r w:rsidR="00E64340">
        <w:rPr>
          <w:sz w:val="20"/>
        </w:rPr>
        <w:t>in September 2018</w:t>
      </w:r>
      <w:r w:rsidR="00C76E68">
        <w:rPr>
          <w:sz w:val="20"/>
        </w:rPr>
        <w:t>.</w:t>
      </w:r>
    </w:p>
    <w:p w:rsidR="00B53193" w:rsidRDefault="00B53193" w:rsidP="00A243D2">
      <w:pPr>
        <w:pStyle w:val="DHHSkeymessagesbullet"/>
        <w:rPr>
          <w:sz w:val="20"/>
        </w:rPr>
      </w:pPr>
      <w:r>
        <w:rPr>
          <w:sz w:val="20"/>
        </w:rPr>
        <w:t xml:space="preserve">Service providers can access </w:t>
      </w:r>
      <w:r w:rsidR="00CA7458">
        <w:rPr>
          <w:sz w:val="20"/>
        </w:rPr>
        <w:t xml:space="preserve">updated information on their clients’ transition </w:t>
      </w:r>
      <w:r>
        <w:rPr>
          <w:sz w:val="20"/>
        </w:rPr>
        <w:t>via the</w:t>
      </w:r>
      <w:r w:rsidR="007544DF">
        <w:rPr>
          <w:sz w:val="20"/>
        </w:rPr>
        <w:t xml:space="preserve"> Online </w:t>
      </w:r>
      <w:r w:rsidR="0096540F">
        <w:rPr>
          <w:sz w:val="20"/>
        </w:rPr>
        <w:t xml:space="preserve">Provider </w:t>
      </w:r>
      <w:r w:rsidR="00E64340">
        <w:rPr>
          <w:sz w:val="20"/>
        </w:rPr>
        <w:t>Report</w:t>
      </w:r>
      <w:r w:rsidR="00857371">
        <w:rPr>
          <w:sz w:val="20"/>
        </w:rPr>
        <w:t>.</w:t>
      </w:r>
    </w:p>
    <w:p w:rsidR="00C101F9" w:rsidRDefault="00A243D2" w:rsidP="00A243D2">
      <w:pPr>
        <w:pStyle w:val="DHHSkeymessagesbullet"/>
        <w:rPr>
          <w:sz w:val="20"/>
        </w:rPr>
      </w:pPr>
      <w:r w:rsidRPr="00646ACA">
        <w:rPr>
          <w:sz w:val="20"/>
        </w:rPr>
        <w:t>Disability block funding will be withdrawn on a state-wide average per activity, per provider basis (and pro</w:t>
      </w:r>
      <w:r w:rsidR="0015051D">
        <w:rPr>
          <w:sz w:val="20"/>
        </w:rPr>
        <w:noBreakHyphen/>
      </w:r>
      <w:r w:rsidRPr="00646ACA">
        <w:rPr>
          <w:sz w:val="20"/>
        </w:rPr>
        <w:t>rated), or as a proportion of the cost of a house for Shared Supported Accommodation (and pro-rated).</w:t>
      </w:r>
    </w:p>
    <w:p w:rsidR="00A243D2" w:rsidRPr="00646ACA" w:rsidRDefault="00A243D2" w:rsidP="00A243D2">
      <w:pPr>
        <w:pStyle w:val="DHHSkeymessagesbullet"/>
        <w:rPr>
          <w:sz w:val="20"/>
        </w:rPr>
      </w:pPr>
      <w:r w:rsidRPr="00646ACA">
        <w:rPr>
          <w:rFonts w:cs="Arial"/>
          <w:sz w:val="20"/>
        </w:rPr>
        <w:t xml:space="preserve">Mental Health Community Support Services </w:t>
      </w:r>
      <w:r w:rsidR="00C101F9">
        <w:rPr>
          <w:rFonts w:cs="Arial"/>
          <w:sz w:val="20"/>
        </w:rPr>
        <w:t xml:space="preserve">funding will be withdrawn using </w:t>
      </w:r>
      <w:r w:rsidRPr="00646ACA">
        <w:rPr>
          <w:rFonts w:cs="Arial"/>
          <w:sz w:val="20"/>
        </w:rPr>
        <w:t>a</w:t>
      </w:r>
      <w:r w:rsidR="00C101F9">
        <w:rPr>
          <w:rFonts w:cs="Arial"/>
          <w:sz w:val="20"/>
        </w:rPr>
        <w:t>n</w:t>
      </w:r>
      <w:r w:rsidRPr="00646ACA">
        <w:rPr>
          <w:rFonts w:cs="Arial"/>
          <w:sz w:val="20"/>
        </w:rPr>
        <w:t xml:space="preserve"> average calculated by catchment area,</w:t>
      </w:r>
      <w:r w:rsidR="00071FE2">
        <w:rPr>
          <w:rFonts w:cs="Arial"/>
          <w:sz w:val="20"/>
        </w:rPr>
        <w:t xml:space="preserve"> </w:t>
      </w:r>
      <w:r w:rsidRPr="00646ACA">
        <w:rPr>
          <w:rFonts w:cs="Arial"/>
          <w:sz w:val="20"/>
        </w:rPr>
        <w:t>by provider, by activity.</w:t>
      </w:r>
    </w:p>
    <w:p w:rsidR="00C76E68" w:rsidRPr="00646ACA" w:rsidRDefault="00A243D2" w:rsidP="00A243D2">
      <w:pPr>
        <w:pStyle w:val="DHHSkeymessagesbullet"/>
        <w:rPr>
          <w:sz w:val="20"/>
        </w:rPr>
      </w:pPr>
      <w:r w:rsidRPr="0028608A">
        <w:rPr>
          <w:sz w:val="20"/>
        </w:rPr>
        <w:t xml:space="preserve">Client averages for block-funded activity withdrawals will be recalculated </w:t>
      </w:r>
      <w:r w:rsidR="00C101F9">
        <w:rPr>
          <w:sz w:val="20"/>
        </w:rPr>
        <w:t>effective from</w:t>
      </w:r>
      <w:r w:rsidR="00C101F9" w:rsidRPr="0028608A">
        <w:rPr>
          <w:sz w:val="20"/>
        </w:rPr>
        <w:t xml:space="preserve"> </w:t>
      </w:r>
      <w:r w:rsidR="00301695" w:rsidRPr="0028608A">
        <w:rPr>
          <w:sz w:val="20"/>
        </w:rPr>
        <w:t xml:space="preserve">1 July </w:t>
      </w:r>
      <w:r w:rsidRPr="0028608A">
        <w:rPr>
          <w:sz w:val="20"/>
        </w:rPr>
        <w:t xml:space="preserve">and 1 December each year and will use the most </w:t>
      </w:r>
      <w:r w:rsidR="000E2665" w:rsidRPr="0028608A">
        <w:rPr>
          <w:sz w:val="20"/>
        </w:rPr>
        <w:t xml:space="preserve">up to </w:t>
      </w:r>
      <w:r w:rsidR="00C76E68" w:rsidRPr="0028608A">
        <w:rPr>
          <w:sz w:val="20"/>
        </w:rPr>
        <w:t>date client</w:t>
      </w:r>
      <w:r w:rsidRPr="0028608A">
        <w:rPr>
          <w:sz w:val="20"/>
        </w:rPr>
        <w:t xml:space="preserve"> data.</w:t>
      </w:r>
    </w:p>
    <w:p w:rsidR="00A243D2" w:rsidRDefault="00F12108" w:rsidP="00A243D2">
      <w:pPr>
        <w:pStyle w:val="DHHSkeymessagesbullet"/>
        <w:rPr>
          <w:sz w:val="20"/>
        </w:rPr>
      </w:pPr>
      <w:r w:rsidRPr="0028608A">
        <w:rPr>
          <w:sz w:val="20"/>
        </w:rPr>
        <w:t xml:space="preserve">Funding for </w:t>
      </w:r>
      <w:r w:rsidRPr="00647C1F">
        <w:rPr>
          <w:sz w:val="20"/>
        </w:rPr>
        <w:t>2018-19</w:t>
      </w:r>
      <w:r>
        <w:rPr>
          <w:sz w:val="20"/>
        </w:rPr>
        <w:t xml:space="preserve"> </w:t>
      </w:r>
      <w:r w:rsidRPr="0028608A">
        <w:rPr>
          <w:sz w:val="20"/>
        </w:rPr>
        <w:t xml:space="preserve">has been confirmed for </w:t>
      </w:r>
      <w:r>
        <w:rPr>
          <w:sz w:val="20"/>
        </w:rPr>
        <w:t>the</w:t>
      </w:r>
      <w:r w:rsidRPr="0028608A">
        <w:rPr>
          <w:sz w:val="20"/>
        </w:rPr>
        <w:t xml:space="preserve"> Information Services (17033)</w:t>
      </w:r>
      <w:r>
        <w:rPr>
          <w:sz w:val="20"/>
        </w:rPr>
        <w:t xml:space="preserve"> and Building Inclusive Communities (17061) programs</w:t>
      </w:r>
      <w:r w:rsidRPr="0028608A">
        <w:rPr>
          <w:sz w:val="20"/>
        </w:rPr>
        <w:t>.</w:t>
      </w:r>
    </w:p>
    <w:p w:rsidR="000906E3" w:rsidRDefault="00A243D2" w:rsidP="00AF3062">
      <w:pPr>
        <w:pStyle w:val="DHHSkeymessagesbullet"/>
        <w:rPr>
          <w:sz w:val="20"/>
        </w:rPr>
      </w:pPr>
      <w:r w:rsidRPr="00646ACA">
        <w:rPr>
          <w:sz w:val="20"/>
        </w:rPr>
        <w:t>Some clients may transition to the NDIS ahead of their area transition. Service providers should register as a NDIS provider early so that they can claim payments promptly.</w:t>
      </w:r>
    </w:p>
    <w:p w:rsidR="00CA7458" w:rsidRPr="00646ACA" w:rsidRDefault="00F12108" w:rsidP="00CA7458">
      <w:pPr>
        <w:pStyle w:val="DHHSkeymessagesbullet"/>
        <w:rPr>
          <w:sz w:val="20"/>
        </w:rPr>
      </w:pPr>
      <w:bookmarkStart w:id="3" w:name="_Toc479766939"/>
      <w:bookmarkStart w:id="4" w:name="_Toc482364897"/>
      <w:r>
        <w:rPr>
          <w:sz w:val="20"/>
        </w:rPr>
        <w:t>From 1 January 2018, s</w:t>
      </w:r>
      <w:r w:rsidRPr="002314A2">
        <w:rPr>
          <w:sz w:val="20"/>
        </w:rPr>
        <w:t xml:space="preserve">ervice delivery targets for in-scope disability services </w:t>
      </w:r>
      <w:r>
        <w:rPr>
          <w:sz w:val="20"/>
        </w:rPr>
        <w:t xml:space="preserve">have been </w:t>
      </w:r>
      <w:r w:rsidRPr="002314A2">
        <w:rPr>
          <w:sz w:val="20"/>
        </w:rPr>
        <w:t xml:space="preserve">reduced to reflect the proportion of state funding withdrawn from disability services </w:t>
      </w:r>
      <w:r>
        <w:rPr>
          <w:sz w:val="20"/>
        </w:rPr>
        <w:t>for clients that have transitioned to the NDIS.</w:t>
      </w:r>
    </w:p>
    <w:p w:rsidR="006549FE" w:rsidRPr="00646ACA" w:rsidRDefault="00616386" w:rsidP="00616386">
      <w:pPr>
        <w:pStyle w:val="Heading1"/>
      </w:pPr>
      <w:r>
        <w:br w:type="page"/>
      </w:r>
      <w:bookmarkStart w:id="5" w:name="_Toc506974691"/>
      <w:bookmarkEnd w:id="3"/>
      <w:bookmarkEnd w:id="4"/>
      <w:r w:rsidR="0061647B">
        <w:lastRenderedPageBreak/>
        <w:t>NDIS funding changes and calculations</w:t>
      </w:r>
      <w:bookmarkEnd w:id="5"/>
    </w:p>
    <w:p w:rsidR="006549FE" w:rsidRPr="006B4EE2" w:rsidRDefault="006549FE" w:rsidP="006549FE">
      <w:pPr>
        <w:pStyle w:val="Heading3"/>
        <w:numPr>
          <w:ilvl w:val="0"/>
          <w:numId w:val="34"/>
        </w:numPr>
        <w:ind w:left="426"/>
        <w:rPr>
          <w:sz w:val="20"/>
          <w:szCs w:val="20"/>
        </w:rPr>
      </w:pPr>
      <w:bookmarkStart w:id="6" w:name="_Toc479766940"/>
      <w:bookmarkStart w:id="7" w:name="_Toc506974692"/>
      <w:r w:rsidRPr="006B4EE2">
        <w:rPr>
          <w:sz w:val="20"/>
          <w:szCs w:val="20"/>
        </w:rPr>
        <w:t>What are the key differences between the old and new approaches to service provider funding?</w:t>
      </w:r>
      <w:bookmarkEnd w:id="6"/>
      <w:bookmarkEnd w:id="7"/>
    </w:p>
    <w:p w:rsidR="006549FE" w:rsidRPr="00646ACA" w:rsidRDefault="00EF775E" w:rsidP="009D258F">
      <w:pPr>
        <w:pStyle w:val="DHHSbody"/>
      </w:pPr>
      <w:r>
        <w:t>T</w:t>
      </w:r>
      <w:r w:rsidR="006549FE" w:rsidRPr="00646ACA">
        <w:t xml:space="preserve">he state funds services through a mixture of individualised and block funding. Funding is provided in advance on an annualised payment schedule. </w:t>
      </w:r>
    </w:p>
    <w:p w:rsidR="006549FE" w:rsidRPr="00646ACA" w:rsidRDefault="006549FE" w:rsidP="009D258F">
      <w:pPr>
        <w:pStyle w:val="DHHSbody"/>
      </w:pPr>
      <w:r w:rsidRPr="00646ACA">
        <w:t>The National Disability Insurance Agency (NDIA) will fund all se</w:t>
      </w:r>
      <w:r w:rsidR="004F7A8C">
        <w:t xml:space="preserve">rvices on an individual basis. </w:t>
      </w:r>
      <w:r w:rsidRPr="00646ACA">
        <w:t xml:space="preserve">Funding will be paid </w:t>
      </w:r>
      <w:r w:rsidR="00842BEC">
        <w:t xml:space="preserve">to registered service providers </w:t>
      </w:r>
      <w:r w:rsidRPr="00646ACA">
        <w:t>in arrears, that is, after a service has been provided.</w:t>
      </w:r>
    </w:p>
    <w:p w:rsidR="006549FE" w:rsidRPr="00646ACA" w:rsidRDefault="006549FE" w:rsidP="009D258F">
      <w:pPr>
        <w:pStyle w:val="DHHSbody"/>
      </w:pPr>
      <w:r w:rsidRPr="00646ACA">
        <w:t>Service providers will be able to submit payment claims immediately after a service is provided (service providers should refer to the NDIA website for more details on its portal payment process and timing).</w:t>
      </w:r>
    </w:p>
    <w:p w:rsidR="006549FE" w:rsidRPr="006B4EE2" w:rsidRDefault="006549FE" w:rsidP="006549FE">
      <w:pPr>
        <w:pStyle w:val="Heading3"/>
        <w:numPr>
          <w:ilvl w:val="0"/>
          <w:numId w:val="34"/>
        </w:numPr>
        <w:ind w:left="426"/>
        <w:rPr>
          <w:sz w:val="20"/>
          <w:szCs w:val="20"/>
        </w:rPr>
      </w:pPr>
      <w:bookmarkStart w:id="8" w:name="_Toc479766941"/>
      <w:bookmarkStart w:id="9" w:name="_Toc506974693"/>
      <w:r w:rsidRPr="006B4EE2">
        <w:rPr>
          <w:sz w:val="20"/>
          <w:szCs w:val="20"/>
        </w:rPr>
        <w:t>How will state funding be withdrawn?</w:t>
      </w:r>
      <w:bookmarkEnd w:id="8"/>
      <w:bookmarkEnd w:id="9"/>
    </w:p>
    <w:p w:rsidR="00445978" w:rsidRDefault="00445978" w:rsidP="009D258F">
      <w:pPr>
        <w:pStyle w:val="DHHSbody"/>
      </w:pPr>
      <w:r w:rsidRPr="00445978">
        <w:t xml:space="preserve">State funding for in-scope services will be withdrawn </w:t>
      </w:r>
      <w:r w:rsidR="00CA7458">
        <w:t xml:space="preserve">as clients transition to the NDIS. This will include all clients who have </w:t>
      </w:r>
      <w:r w:rsidRPr="00445978">
        <w:t>received the service within the 12 months</w:t>
      </w:r>
      <w:r w:rsidR="007254CF">
        <w:t xml:space="preserve"> preceding the most recent client data</w:t>
      </w:r>
      <w:r w:rsidR="00A75677">
        <w:t xml:space="preserve"> refresh</w:t>
      </w:r>
      <w:r w:rsidRPr="00445978">
        <w:t>.</w:t>
      </w:r>
    </w:p>
    <w:p w:rsidR="006549FE" w:rsidRPr="00646ACA" w:rsidRDefault="006549FE" w:rsidP="0028608A">
      <w:pPr>
        <w:pStyle w:val="DHHSbody"/>
      </w:pPr>
      <w:r w:rsidRPr="00646ACA">
        <w:t>Individualised funding will be withdrawn on a pro-rata basis. Disability block funding will be withdrawn on a state-wide average per activity, per provider basis (and pro-rated), or a proportion of the cost of a house for Shared Supported Accommodation (and pro-rated).</w:t>
      </w:r>
      <w:r w:rsidR="001270D7">
        <w:t xml:space="preserve"> </w:t>
      </w:r>
      <w:r w:rsidRPr="00646ACA">
        <w:t>For Mental Health Community Support Services a client funding average is calculated by catchment area, by provider, by activity</w:t>
      </w:r>
      <w:r w:rsidR="00FB1369" w:rsidRPr="00646ACA">
        <w:t xml:space="preserve">. </w:t>
      </w:r>
    </w:p>
    <w:p w:rsidR="00301695" w:rsidRPr="00646ACA" w:rsidRDefault="00095837" w:rsidP="00095837">
      <w:pPr>
        <w:pStyle w:val="DHHSbody"/>
      </w:pPr>
      <w:r>
        <w:t>Funding for 2018-19 has been confirmed for the Informat</w:t>
      </w:r>
      <w:r w:rsidR="00E26DD4">
        <w:t>ion Services (17033)</w:t>
      </w:r>
      <w:r w:rsidR="00071FE2">
        <w:t xml:space="preserve"> </w:t>
      </w:r>
      <w:r w:rsidR="00ED4E32">
        <w:t>and Building Inclusive Communities (17061)</w:t>
      </w:r>
      <w:r w:rsidR="007254CF">
        <w:t xml:space="preserve"> </w:t>
      </w:r>
      <w:r w:rsidR="00A75677">
        <w:t xml:space="preserve">activities. </w:t>
      </w:r>
    </w:p>
    <w:p w:rsidR="006549FE" w:rsidRPr="006B4EE2" w:rsidRDefault="006549FE" w:rsidP="006549FE">
      <w:pPr>
        <w:pStyle w:val="Heading3"/>
        <w:numPr>
          <w:ilvl w:val="0"/>
          <w:numId w:val="34"/>
        </w:numPr>
        <w:ind w:left="426"/>
        <w:rPr>
          <w:sz w:val="20"/>
          <w:szCs w:val="20"/>
        </w:rPr>
      </w:pPr>
      <w:bookmarkStart w:id="10" w:name="_Toc479603153"/>
      <w:bookmarkStart w:id="11" w:name="_Toc479683980"/>
      <w:bookmarkStart w:id="12" w:name="_Toc479687302"/>
      <w:bookmarkStart w:id="13" w:name="_Toc479687722"/>
      <w:bookmarkStart w:id="14" w:name="_Toc479687892"/>
      <w:bookmarkStart w:id="15" w:name="_Toc479688081"/>
      <w:bookmarkStart w:id="16" w:name="_Toc479688144"/>
      <w:bookmarkStart w:id="17" w:name="_Toc479688207"/>
      <w:bookmarkStart w:id="18" w:name="_Toc479688269"/>
      <w:bookmarkStart w:id="19" w:name="_Toc479603154"/>
      <w:bookmarkStart w:id="20" w:name="_Toc479683981"/>
      <w:bookmarkStart w:id="21" w:name="_Toc479687303"/>
      <w:bookmarkStart w:id="22" w:name="_Toc479687723"/>
      <w:bookmarkStart w:id="23" w:name="_Toc479687893"/>
      <w:bookmarkStart w:id="24" w:name="_Toc479688082"/>
      <w:bookmarkStart w:id="25" w:name="_Toc479688145"/>
      <w:bookmarkStart w:id="26" w:name="_Toc479688208"/>
      <w:bookmarkStart w:id="27" w:name="_Toc479688270"/>
      <w:bookmarkStart w:id="28" w:name="_Toc479603155"/>
      <w:bookmarkStart w:id="29" w:name="_Toc479683982"/>
      <w:bookmarkStart w:id="30" w:name="_Toc479687304"/>
      <w:bookmarkStart w:id="31" w:name="_Toc479687724"/>
      <w:bookmarkStart w:id="32" w:name="_Toc479687894"/>
      <w:bookmarkStart w:id="33" w:name="_Toc479688083"/>
      <w:bookmarkStart w:id="34" w:name="_Toc479688146"/>
      <w:bookmarkStart w:id="35" w:name="_Toc479688209"/>
      <w:bookmarkStart w:id="36" w:name="_Toc479688271"/>
      <w:bookmarkStart w:id="37" w:name="_Toc479766942"/>
      <w:bookmarkStart w:id="38" w:name="_Toc50697469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6B4EE2">
        <w:rPr>
          <w:sz w:val="20"/>
          <w:szCs w:val="20"/>
        </w:rPr>
        <w:t>When will state funding be withdrawn?</w:t>
      </w:r>
      <w:bookmarkEnd w:id="37"/>
      <w:bookmarkEnd w:id="38"/>
    </w:p>
    <w:p w:rsidR="006549FE" w:rsidRPr="00646ACA" w:rsidRDefault="006549FE" w:rsidP="009D258F">
      <w:pPr>
        <w:pStyle w:val="DHHSbody"/>
      </w:pPr>
      <w:r w:rsidRPr="00646ACA">
        <w:t>State funding will, in effect, be withdrawn from the date a state client has a NDIS approved plan</w:t>
      </w:r>
      <w:r w:rsidR="006F5529">
        <w:t xml:space="preserve"> (see </w:t>
      </w:r>
      <w:r w:rsidR="003A4881">
        <w:t>Q</w:t>
      </w:r>
      <w:r w:rsidR="006F5529">
        <w:t xml:space="preserve">uestion </w:t>
      </w:r>
      <w:r w:rsidR="00CA7458">
        <w:t xml:space="preserve">5 </w:t>
      </w:r>
      <w:r w:rsidR="003A4881">
        <w:t>for further information</w:t>
      </w:r>
      <w:r w:rsidR="002E77C2">
        <w:t xml:space="preserve"> for clients </w:t>
      </w:r>
      <w:r w:rsidR="00711C6C">
        <w:t xml:space="preserve">with revised plan </w:t>
      </w:r>
      <w:r w:rsidR="002E77C2">
        <w:t>start date</w:t>
      </w:r>
      <w:r w:rsidR="00711C6C">
        <w:t>s</w:t>
      </w:r>
      <w:r w:rsidR="002E77C2">
        <w:t>)</w:t>
      </w:r>
      <w:r w:rsidRPr="00EE6500">
        <w:t xml:space="preserve">, </w:t>
      </w:r>
      <w:r w:rsidR="00445978" w:rsidRPr="00646ACA">
        <w:t xml:space="preserve">except </w:t>
      </w:r>
      <w:r w:rsidR="001270D7">
        <w:t>where</w:t>
      </w:r>
      <w:r w:rsidR="00445978" w:rsidRPr="00646ACA">
        <w:t xml:space="preserve"> Home and Community Care Program for Younger People (HACC-PYP)</w:t>
      </w:r>
      <w:r w:rsidR="00445978">
        <w:t xml:space="preserve"> service providers</w:t>
      </w:r>
      <w:r w:rsidR="00445978" w:rsidRPr="00646ACA">
        <w:t xml:space="preserve"> </w:t>
      </w:r>
      <w:r w:rsidR="001270D7">
        <w:t xml:space="preserve">have </w:t>
      </w:r>
      <w:r w:rsidR="00445978">
        <w:t>chose</w:t>
      </w:r>
      <w:r w:rsidR="001270D7">
        <w:t>n</w:t>
      </w:r>
      <w:r w:rsidR="00445978">
        <w:t xml:space="preserve"> to continue</w:t>
      </w:r>
      <w:r w:rsidR="00445978" w:rsidRPr="00646ACA">
        <w:t xml:space="preserve"> </w:t>
      </w:r>
      <w:r w:rsidR="00445978">
        <w:t xml:space="preserve">with the </w:t>
      </w:r>
      <w:r w:rsidR="00445978" w:rsidRPr="00646ACA">
        <w:t xml:space="preserve">in-kind </w:t>
      </w:r>
      <w:r w:rsidR="00445978">
        <w:t xml:space="preserve">funding </w:t>
      </w:r>
      <w:r w:rsidR="00445978" w:rsidRPr="00646ACA">
        <w:t>arrangement</w:t>
      </w:r>
      <w:r w:rsidR="007C7270">
        <w:t xml:space="preserve"> during the NDIS transition period </w:t>
      </w:r>
      <w:r w:rsidR="00CA7458">
        <w:t>(</w:t>
      </w:r>
      <w:r w:rsidR="007C7270">
        <w:t>see Question 4 for more information</w:t>
      </w:r>
      <w:r w:rsidR="00CA7458">
        <w:t>)</w:t>
      </w:r>
      <w:r w:rsidR="00A45A98" w:rsidRPr="00EE6500">
        <w:t>.</w:t>
      </w:r>
      <w:r w:rsidRPr="00EE6500">
        <w:t xml:space="preserve"> </w:t>
      </w:r>
    </w:p>
    <w:p w:rsidR="006549FE" w:rsidRPr="00646ACA" w:rsidRDefault="00E952BA" w:rsidP="009D258F">
      <w:pPr>
        <w:pStyle w:val="DHHSbody"/>
      </w:pPr>
      <w:r>
        <w:t xml:space="preserve">Generally, </w:t>
      </w:r>
      <w:r w:rsidR="00A60DA0">
        <w:t>a</w:t>
      </w:r>
      <w:r w:rsidR="00A45A98">
        <w:t>ll</w:t>
      </w:r>
      <w:r w:rsidR="006549FE" w:rsidRPr="00646ACA">
        <w:t xml:space="preserve"> transaction</w:t>
      </w:r>
      <w:r w:rsidR="00A45A98">
        <w:t>s</w:t>
      </w:r>
      <w:r w:rsidR="006549FE" w:rsidRPr="00646ACA">
        <w:t xml:space="preserve"> to reduce state funding will occur between one and three months after plan approval. </w:t>
      </w:r>
    </w:p>
    <w:p w:rsidR="006549FE" w:rsidRPr="00646ACA" w:rsidRDefault="005E482B" w:rsidP="009D258F">
      <w:pPr>
        <w:pStyle w:val="DHHSbody"/>
      </w:pPr>
      <w:r>
        <w:t>T</w:t>
      </w:r>
      <w:r w:rsidR="00DA577B" w:rsidRPr="00D37041">
        <w:t xml:space="preserve">he NDIA assumes funding responsibility for the client's supports </w:t>
      </w:r>
      <w:r>
        <w:t>from the date of plan approval</w:t>
      </w:r>
      <w:r w:rsidR="00DA577B" w:rsidRPr="00D37041">
        <w:t>.</w:t>
      </w:r>
      <w:r>
        <w:t xml:space="preserve"> F</w:t>
      </w:r>
      <w:r w:rsidR="006549FE" w:rsidRPr="00646ACA">
        <w:t>unding reductions will be backdated to plan approval date and will result in a reduction to future payments.</w:t>
      </w:r>
    </w:p>
    <w:p w:rsidR="006549FE" w:rsidRDefault="006549FE" w:rsidP="009D258F">
      <w:pPr>
        <w:pStyle w:val="DHHSbody"/>
      </w:pPr>
      <w:r w:rsidRPr="00646ACA">
        <w:t xml:space="preserve">The retrospective funding withdrawal will give </w:t>
      </w:r>
      <w:r w:rsidR="00CA7458">
        <w:t xml:space="preserve">service </w:t>
      </w:r>
      <w:r w:rsidRPr="00646ACA">
        <w:t>providers some cash flow relief and allow</w:t>
      </w:r>
      <w:r w:rsidR="00A156BE">
        <w:t xml:space="preserve"> </w:t>
      </w:r>
      <w:r w:rsidRPr="00646ACA">
        <w:t xml:space="preserve">sufficient time to </w:t>
      </w:r>
      <w:r w:rsidR="00B41081">
        <w:t>claim</w:t>
      </w:r>
      <w:r w:rsidRPr="00646ACA">
        <w:t xml:space="preserve"> payments from the NDIA. </w:t>
      </w:r>
    </w:p>
    <w:p w:rsidR="006549FE" w:rsidRDefault="006549FE" w:rsidP="009D258F">
      <w:pPr>
        <w:pStyle w:val="DHHSbody"/>
      </w:pPr>
      <w:r w:rsidRPr="00646ACA">
        <w:t xml:space="preserve">Refer to </w:t>
      </w:r>
      <w:r w:rsidRPr="00646ACA">
        <w:rPr>
          <w:b/>
        </w:rPr>
        <w:t xml:space="preserve">Appendix </w:t>
      </w:r>
      <w:r w:rsidR="009D258F" w:rsidRPr="00646ACA">
        <w:rPr>
          <w:b/>
        </w:rPr>
        <w:t>B</w:t>
      </w:r>
      <w:r w:rsidRPr="00646ACA">
        <w:t xml:space="preserve"> for examples of state funding withdrawal timing.</w:t>
      </w:r>
    </w:p>
    <w:p w:rsidR="001270D7" w:rsidRPr="007F79B0" w:rsidRDefault="001270D7" w:rsidP="003D6484">
      <w:pPr>
        <w:pStyle w:val="Heading3"/>
        <w:numPr>
          <w:ilvl w:val="0"/>
          <w:numId w:val="34"/>
        </w:numPr>
        <w:rPr>
          <w:sz w:val="20"/>
          <w:szCs w:val="20"/>
        </w:rPr>
      </w:pPr>
      <w:bookmarkStart w:id="39" w:name="_Toc506974695"/>
      <w:r w:rsidRPr="007F79B0">
        <w:rPr>
          <w:sz w:val="20"/>
          <w:szCs w:val="20"/>
        </w:rPr>
        <w:t>How will funding be withdrawn from HACC-PYP service providers?</w:t>
      </w:r>
      <w:bookmarkEnd w:id="39"/>
    </w:p>
    <w:p w:rsidR="00971733" w:rsidRPr="00956D08" w:rsidRDefault="001270D7" w:rsidP="009D258F">
      <w:pPr>
        <w:pStyle w:val="DHHSbody"/>
      </w:pPr>
      <w:r w:rsidRPr="00956D08">
        <w:t xml:space="preserve">HACC-PYP </w:t>
      </w:r>
      <w:r w:rsidR="00956D08" w:rsidRPr="00956D08">
        <w:t>service providers</w:t>
      </w:r>
      <w:r w:rsidRPr="00956D08">
        <w:t xml:space="preserve"> </w:t>
      </w:r>
      <w:r w:rsidR="00BB5468" w:rsidRPr="00956D08">
        <w:t xml:space="preserve">can chose between two </w:t>
      </w:r>
      <w:r w:rsidR="003E7C7F">
        <w:t xml:space="preserve">funding </w:t>
      </w:r>
      <w:r w:rsidR="00956D08" w:rsidRPr="00956D08">
        <w:t>withdraw</w:t>
      </w:r>
      <w:r w:rsidR="003E7C7F">
        <w:t>al</w:t>
      </w:r>
      <w:r w:rsidR="00971733" w:rsidRPr="00956D08">
        <w:t xml:space="preserve"> </w:t>
      </w:r>
      <w:r w:rsidR="003E7C7F">
        <w:t xml:space="preserve">options </w:t>
      </w:r>
      <w:r w:rsidRPr="00956D08">
        <w:t>during the NDIS transition.</w:t>
      </w:r>
    </w:p>
    <w:p w:rsidR="00A7549D" w:rsidRDefault="00A7549D" w:rsidP="009D258F">
      <w:pPr>
        <w:pStyle w:val="DHHSbody"/>
      </w:pPr>
      <w:r>
        <w:rPr>
          <w:b/>
          <w:u w:val="single"/>
        </w:rPr>
        <w:t>O</w:t>
      </w:r>
      <w:r w:rsidR="0091039F" w:rsidRPr="003D6484">
        <w:rPr>
          <w:b/>
          <w:u w:val="single"/>
        </w:rPr>
        <w:t>ption</w:t>
      </w:r>
      <w:r w:rsidR="00971733" w:rsidRPr="003D6484">
        <w:rPr>
          <w:b/>
          <w:u w:val="single"/>
        </w:rPr>
        <w:t xml:space="preserve"> 1</w:t>
      </w:r>
    </w:p>
    <w:p w:rsidR="00BB5468" w:rsidRPr="00956D08" w:rsidRDefault="00CA7458" w:rsidP="009D258F">
      <w:pPr>
        <w:pStyle w:val="DHHSbody"/>
      </w:pPr>
      <w:r>
        <w:t>Most s</w:t>
      </w:r>
      <w:r w:rsidR="00971733" w:rsidRPr="00956D08">
        <w:t xml:space="preserve">ervice providers </w:t>
      </w:r>
      <w:r>
        <w:t xml:space="preserve">will </w:t>
      </w:r>
      <w:r w:rsidR="00971733" w:rsidRPr="00956D08">
        <w:t>continue</w:t>
      </w:r>
      <w:r w:rsidR="00055904">
        <w:t xml:space="preserve"> </w:t>
      </w:r>
      <w:r>
        <w:t>to deliver services under the</w:t>
      </w:r>
      <w:r w:rsidR="00971733" w:rsidRPr="00956D08">
        <w:t xml:space="preserve"> </w:t>
      </w:r>
      <w:r w:rsidR="00F15DB7">
        <w:t xml:space="preserve">current funding arrangements </w:t>
      </w:r>
      <w:r>
        <w:t>with</w:t>
      </w:r>
      <w:r w:rsidRPr="00956D08">
        <w:t xml:space="preserve"> </w:t>
      </w:r>
      <w:r w:rsidR="00971733" w:rsidRPr="00956D08">
        <w:t xml:space="preserve">the department </w:t>
      </w:r>
      <w:r>
        <w:t xml:space="preserve">during the in-kind period </w:t>
      </w:r>
      <w:r w:rsidR="00971733" w:rsidRPr="00956D08">
        <w:t xml:space="preserve">(extended transition period). </w:t>
      </w:r>
    </w:p>
    <w:p w:rsidR="00A7549D" w:rsidRDefault="00956D08" w:rsidP="009D258F">
      <w:pPr>
        <w:pStyle w:val="DHHSbody"/>
        <w:rPr>
          <w:b/>
          <w:u w:val="single"/>
        </w:rPr>
      </w:pPr>
      <w:r>
        <w:t>At the end of the extended transition period</w:t>
      </w:r>
      <w:r w:rsidR="00BB5468" w:rsidRPr="00956D08">
        <w:t xml:space="preserve">, funding will be adjusted for each </w:t>
      </w:r>
      <w:r w:rsidR="00CA7458">
        <w:t xml:space="preserve">service </w:t>
      </w:r>
      <w:r w:rsidR="00BB5468" w:rsidRPr="00956D08">
        <w:t xml:space="preserve">provider based on the </w:t>
      </w:r>
      <w:r w:rsidR="00CA7458">
        <w:t xml:space="preserve">proportion of services previously delivered to </w:t>
      </w:r>
      <w:r w:rsidR="00BB5468" w:rsidRPr="00956D08">
        <w:t xml:space="preserve">clients who have </w:t>
      </w:r>
      <w:r w:rsidR="00055904">
        <w:t>transitioned to the NDIS</w:t>
      </w:r>
      <w:r w:rsidR="00BB5468" w:rsidRPr="00956D08">
        <w:t>.</w:t>
      </w:r>
      <w:r w:rsidR="00BB1179">
        <w:rPr>
          <w:b/>
          <w:u w:val="single"/>
        </w:rPr>
        <w:br w:type="column"/>
      </w:r>
      <w:r w:rsidR="007D2D2B" w:rsidRPr="00CD58EA">
        <w:rPr>
          <w:b/>
          <w:u w:val="single"/>
        </w:rPr>
        <w:lastRenderedPageBreak/>
        <w:t>O</w:t>
      </w:r>
      <w:r w:rsidR="0091039F" w:rsidRPr="00CD58EA">
        <w:rPr>
          <w:b/>
          <w:u w:val="single"/>
        </w:rPr>
        <w:t>ption</w:t>
      </w:r>
      <w:r w:rsidR="00BB5468" w:rsidRPr="00CD58EA">
        <w:rPr>
          <w:b/>
          <w:u w:val="single"/>
        </w:rPr>
        <w:t xml:space="preserve"> </w:t>
      </w:r>
      <w:r w:rsidR="0091039F" w:rsidRPr="00CD58EA">
        <w:rPr>
          <w:b/>
          <w:u w:val="single"/>
        </w:rPr>
        <w:t>2</w:t>
      </w:r>
    </w:p>
    <w:p w:rsidR="000323C2" w:rsidRDefault="00A7549D" w:rsidP="009D258F">
      <w:pPr>
        <w:pStyle w:val="DHHSbody"/>
      </w:pPr>
      <w:r>
        <w:t>S</w:t>
      </w:r>
      <w:r w:rsidR="0048542D" w:rsidRPr="00956D08">
        <w:t xml:space="preserve">ervice providers </w:t>
      </w:r>
      <w:r>
        <w:t>can cho</w:t>
      </w:r>
      <w:r w:rsidR="00A75677">
        <w:t>o</w:t>
      </w:r>
      <w:r>
        <w:t>se to</w:t>
      </w:r>
      <w:r w:rsidR="0048542D" w:rsidRPr="00956D08">
        <w:t xml:space="preserve"> </w:t>
      </w:r>
      <w:r w:rsidR="000323C2">
        <w:t xml:space="preserve">have their funding progressively </w:t>
      </w:r>
      <w:r w:rsidR="000323C2" w:rsidRPr="00956D08">
        <w:t>withdrawn each</w:t>
      </w:r>
      <w:r w:rsidR="00071FE2">
        <w:t xml:space="preserve"> </w:t>
      </w:r>
      <w:r w:rsidR="000323C2" w:rsidRPr="00956D08">
        <w:t>month based on the number of clients that have transitioned to the NDIS</w:t>
      </w:r>
      <w:r w:rsidR="000323C2">
        <w:t xml:space="preserve">. </w:t>
      </w:r>
    </w:p>
    <w:p w:rsidR="0048542D" w:rsidRPr="00956D08" w:rsidRDefault="000C5E5F" w:rsidP="009D258F">
      <w:pPr>
        <w:pStyle w:val="DHHSbody"/>
      </w:pPr>
      <w:r>
        <w:t>To identify which clients have transitioned to the NDIS, service p</w:t>
      </w:r>
      <w:r w:rsidR="003E7C7F">
        <w:t xml:space="preserve">roviders can access the </w:t>
      </w:r>
      <w:r w:rsidR="00CA7458">
        <w:t>O</w:t>
      </w:r>
      <w:r w:rsidR="003E7C7F">
        <w:t xml:space="preserve">nline </w:t>
      </w:r>
      <w:r w:rsidR="00CA7458">
        <w:t>P</w:t>
      </w:r>
      <w:r>
        <w:t xml:space="preserve">rovider </w:t>
      </w:r>
      <w:r w:rsidR="00CA7458">
        <w:t>R</w:t>
      </w:r>
      <w:r>
        <w:t>eport to view</w:t>
      </w:r>
      <w:r w:rsidR="00426268">
        <w:t xml:space="preserve"> clients that have attained plan approved status</w:t>
      </w:r>
      <w:r w:rsidR="001B3887">
        <w:t>.</w:t>
      </w:r>
      <w:r>
        <w:t xml:space="preserve"> R</w:t>
      </w:r>
      <w:r w:rsidR="007D2D2B">
        <w:t xml:space="preserve">efer to Question 10 </w:t>
      </w:r>
      <w:r>
        <w:t>and Appendix C for further information on</w:t>
      </w:r>
      <w:r w:rsidR="00E97895">
        <w:t xml:space="preserve"> the Online Provider Report.</w:t>
      </w:r>
      <w:r>
        <w:t xml:space="preserve"> </w:t>
      </w:r>
    </w:p>
    <w:p w:rsidR="00BB5468" w:rsidRPr="00956D08" w:rsidRDefault="009868C8" w:rsidP="009D258F">
      <w:pPr>
        <w:pStyle w:val="DHHSbody"/>
      </w:pPr>
      <w:r>
        <w:t>O</w:t>
      </w:r>
      <w:r w:rsidR="0048542D" w:rsidRPr="00956D08">
        <w:t xml:space="preserve">rganisations </w:t>
      </w:r>
      <w:r w:rsidR="00E97895">
        <w:t>that have r</w:t>
      </w:r>
      <w:r w:rsidR="004D584A" w:rsidRPr="00956D08">
        <w:t>egistered</w:t>
      </w:r>
      <w:r w:rsidR="00E97895">
        <w:t xml:space="preserve"> as a</w:t>
      </w:r>
      <w:r w:rsidR="004D584A" w:rsidRPr="00956D08">
        <w:t xml:space="preserve"> NDIS provider</w:t>
      </w:r>
      <w:r>
        <w:t xml:space="preserve"> can continue to deliver services to</w:t>
      </w:r>
      <w:r w:rsidR="004D584A" w:rsidRPr="00956D08">
        <w:t xml:space="preserve"> participants </w:t>
      </w:r>
      <w:r>
        <w:t>and claim payment from the NDIA.</w:t>
      </w:r>
      <w:r w:rsidR="00E97895">
        <w:t xml:space="preserve"> </w:t>
      </w:r>
    </w:p>
    <w:p w:rsidR="001270D7" w:rsidRPr="00646ACA" w:rsidRDefault="009868C8" w:rsidP="009D258F">
      <w:pPr>
        <w:pStyle w:val="DHHSbody"/>
      </w:pPr>
      <w:r>
        <w:t xml:space="preserve">Clients of </w:t>
      </w:r>
      <w:r w:rsidR="004D584A" w:rsidRPr="00956D08">
        <w:t xml:space="preserve">organisations that </w:t>
      </w:r>
      <w:r>
        <w:t xml:space="preserve">are not delivering services under the NDIS </w:t>
      </w:r>
      <w:r w:rsidR="004D584A" w:rsidRPr="00956D08">
        <w:t>will need to find an alternative service provider</w:t>
      </w:r>
      <w:r>
        <w:t>.</w:t>
      </w:r>
      <w:r w:rsidR="004D584A" w:rsidRPr="00956D08">
        <w:t xml:space="preserve"> </w:t>
      </w:r>
      <w:r w:rsidR="00A75677">
        <w:t xml:space="preserve">The NDIA’s </w:t>
      </w:r>
      <w:r w:rsidR="004D584A" w:rsidRPr="00956D08">
        <w:t>Local Area Co-</w:t>
      </w:r>
      <w:r>
        <w:t>o</w:t>
      </w:r>
      <w:r w:rsidR="004D584A" w:rsidRPr="00956D08">
        <w:t>rdinator</w:t>
      </w:r>
      <w:r>
        <w:t>s</w:t>
      </w:r>
      <w:r w:rsidR="004D584A" w:rsidRPr="00956D08">
        <w:t xml:space="preserve"> </w:t>
      </w:r>
      <w:r>
        <w:t xml:space="preserve">are able to assist </w:t>
      </w:r>
      <w:r w:rsidR="00240D47">
        <w:t xml:space="preserve">with </w:t>
      </w:r>
      <w:r w:rsidR="004D584A" w:rsidRPr="00956D08">
        <w:t>identify</w:t>
      </w:r>
      <w:r>
        <w:t>ing</w:t>
      </w:r>
      <w:r w:rsidR="004D584A" w:rsidRPr="00956D08">
        <w:t xml:space="preserve"> </w:t>
      </w:r>
      <w:r w:rsidR="003E7C7F">
        <w:t xml:space="preserve">and </w:t>
      </w:r>
      <w:r>
        <w:t xml:space="preserve">engaging </w:t>
      </w:r>
      <w:r w:rsidR="004D584A" w:rsidRPr="00956D08">
        <w:t>alternative service providers.</w:t>
      </w:r>
    </w:p>
    <w:p w:rsidR="00D8292F" w:rsidRPr="006B4EE2" w:rsidRDefault="00D714F2" w:rsidP="0089616E">
      <w:pPr>
        <w:pStyle w:val="Heading3"/>
        <w:numPr>
          <w:ilvl w:val="0"/>
          <w:numId w:val="34"/>
        </w:numPr>
        <w:rPr>
          <w:sz w:val="20"/>
          <w:szCs w:val="20"/>
        </w:rPr>
      </w:pPr>
      <w:bookmarkStart w:id="40" w:name="_Toc479683984"/>
      <w:bookmarkStart w:id="41" w:name="_Toc479687306"/>
      <w:bookmarkStart w:id="42" w:name="_Toc479687726"/>
      <w:bookmarkStart w:id="43" w:name="_Toc479687896"/>
      <w:bookmarkStart w:id="44" w:name="_Toc479688085"/>
      <w:bookmarkStart w:id="45" w:name="_Toc479688148"/>
      <w:bookmarkStart w:id="46" w:name="_Toc479688211"/>
      <w:bookmarkStart w:id="47" w:name="_Toc479688273"/>
      <w:bookmarkStart w:id="48" w:name="_Toc506974696"/>
      <w:bookmarkStart w:id="49" w:name="_Toc479766943"/>
      <w:bookmarkEnd w:id="40"/>
      <w:bookmarkEnd w:id="41"/>
      <w:bookmarkEnd w:id="42"/>
      <w:bookmarkEnd w:id="43"/>
      <w:bookmarkEnd w:id="44"/>
      <w:bookmarkEnd w:id="45"/>
      <w:bookmarkEnd w:id="46"/>
      <w:bookmarkEnd w:id="47"/>
      <w:r w:rsidRPr="006B4EE2">
        <w:rPr>
          <w:sz w:val="20"/>
          <w:szCs w:val="20"/>
        </w:rPr>
        <w:t xml:space="preserve">When is state funding withdrawn </w:t>
      </w:r>
      <w:r w:rsidR="00842BEC" w:rsidRPr="006B4EE2">
        <w:rPr>
          <w:sz w:val="20"/>
          <w:szCs w:val="20"/>
        </w:rPr>
        <w:t>for</w:t>
      </w:r>
      <w:r w:rsidRPr="006B4EE2">
        <w:rPr>
          <w:sz w:val="20"/>
          <w:szCs w:val="20"/>
        </w:rPr>
        <w:t xml:space="preserve"> client</w:t>
      </w:r>
      <w:r w:rsidR="00842BEC" w:rsidRPr="006B4EE2">
        <w:rPr>
          <w:sz w:val="20"/>
          <w:szCs w:val="20"/>
        </w:rPr>
        <w:t xml:space="preserve">s </w:t>
      </w:r>
      <w:r w:rsidR="007F6EC2" w:rsidRPr="006B4EE2">
        <w:rPr>
          <w:sz w:val="20"/>
          <w:szCs w:val="20"/>
        </w:rPr>
        <w:t>that</w:t>
      </w:r>
      <w:r w:rsidRPr="006B4EE2">
        <w:rPr>
          <w:sz w:val="20"/>
          <w:szCs w:val="20"/>
        </w:rPr>
        <w:t xml:space="preserve"> ha</w:t>
      </w:r>
      <w:r w:rsidR="007F6EC2" w:rsidRPr="006B4EE2">
        <w:rPr>
          <w:sz w:val="20"/>
          <w:szCs w:val="20"/>
        </w:rPr>
        <w:t>ve</w:t>
      </w:r>
      <w:r w:rsidRPr="006B4EE2">
        <w:rPr>
          <w:sz w:val="20"/>
          <w:szCs w:val="20"/>
        </w:rPr>
        <w:t xml:space="preserve"> their</w:t>
      </w:r>
      <w:r w:rsidR="00A75677">
        <w:rPr>
          <w:sz w:val="20"/>
          <w:szCs w:val="20"/>
        </w:rPr>
        <w:t xml:space="preserve"> original approved</w:t>
      </w:r>
      <w:r w:rsidRPr="006B4EE2">
        <w:rPr>
          <w:sz w:val="20"/>
          <w:szCs w:val="20"/>
        </w:rPr>
        <w:t xml:space="preserve"> NDIS plan reviewed and </w:t>
      </w:r>
      <w:r w:rsidR="007F6EC2" w:rsidRPr="006B4EE2">
        <w:rPr>
          <w:sz w:val="20"/>
          <w:szCs w:val="20"/>
        </w:rPr>
        <w:t>consequently</w:t>
      </w:r>
      <w:r w:rsidR="005014E1" w:rsidRPr="006B4EE2">
        <w:rPr>
          <w:sz w:val="20"/>
          <w:szCs w:val="20"/>
        </w:rPr>
        <w:t xml:space="preserve"> receive a</w:t>
      </w:r>
      <w:r w:rsidR="0077660F" w:rsidRPr="006B4EE2">
        <w:rPr>
          <w:sz w:val="20"/>
          <w:szCs w:val="20"/>
        </w:rPr>
        <w:t>n updated</w:t>
      </w:r>
      <w:r w:rsidR="005014E1" w:rsidRPr="006B4EE2">
        <w:rPr>
          <w:sz w:val="20"/>
          <w:szCs w:val="20"/>
        </w:rPr>
        <w:t xml:space="preserve"> plan </w:t>
      </w:r>
      <w:r w:rsidR="0077660F" w:rsidRPr="006B4EE2">
        <w:rPr>
          <w:sz w:val="20"/>
          <w:szCs w:val="20"/>
        </w:rPr>
        <w:t xml:space="preserve">and </w:t>
      </w:r>
      <w:r w:rsidRPr="006B4EE2">
        <w:rPr>
          <w:sz w:val="20"/>
          <w:szCs w:val="20"/>
        </w:rPr>
        <w:t>plan</w:t>
      </w:r>
      <w:r w:rsidR="007F6EC2" w:rsidRPr="006B4EE2">
        <w:rPr>
          <w:sz w:val="20"/>
          <w:szCs w:val="20"/>
        </w:rPr>
        <w:t xml:space="preserve"> start date</w:t>
      </w:r>
      <w:r w:rsidRPr="006B4EE2">
        <w:rPr>
          <w:sz w:val="20"/>
          <w:szCs w:val="20"/>
        </w:rPr>
        <w:t>?</w:t>
      </w:r>
      <w:bookmarkEnd w:id="48"/>
    </w:p>
    <w:p w:rsidR="00D714F2" w:rsidRDefault="00711C6C" w:rsidP="00EE6500">
      <w:pPr>
        <w:pStyle w:val="DHHSbody"/>
        <w:rPr>
          <w:rFonts w:ascii="Helv" w:hAnsi="Helv" w:cs="Helv"/>
          <w:iCs/>
          <w:color w:val="000000"/>
        </w:rPr>
      </w:pPr>
      <w:r>
        <w:rPr>
          <w:rFonts w:ascii="Helv" w:hAnsi="Helv" w:cs="Helv"/>
          <w:iCs/>
          <w:color w:val="000000"/>
        </w:rPr>
        <w:t xml:space="preserve">State </w:t>
      </w:r>
      <w:r w:rsidR="00C63F78">
        <w:rPr>
          <w:rFonts w:ascii="Helv" w:hAnsi="Helv" w:cs="Helv"/>
          <w:iCs/>
          <w:color w:val="000000"/>
        </w:rPr>
        <w:t>f</w:t>
      </w:r>
      <w:r w:rsidR="00D714F2" w:rsidRPr="00EE6500">
        <w:rPr>
          <w:rFonts w:ascii="Helv" w:hAnsi="Helv" w:cs="Helv"/>
          <w:iCs/>
          <w:color w:val="000000"/>
        </w:rPr>
        <w:t xml:space="preserve">unding </w:t>
      </w:r>
      <w:r w:rsidR="00D714F2">
        <w:rPr>
          <w:rFonts w:ascii="Helv" w:hAnsi="Helv" w:cs="Helv"/>
          <w:iCs/>
          <w:color w:val="000000"/>
        </w:rPr>
        <w:t xml:space="preserve">is </w:t>
      </w:r>
      <w:r w:rsidR="00D714F2" w:rsidRPr="00EE6500">
        <w:rPr>
          <w:rFonts w:ascii="Helv" w:hAnsi="Helv" w:cs="Helv"/>
          <w:iCs/>
          <w:color w:val="000000"/>
        </w:rPr>
        <w:t>withdrawn based on</w:t>
      </w:r>
      <w:r>
        <w:rPr>
          <w:rFonts w:ascii="Helv" w:hAnsi="Helv" w:cs="Helv"/>
          <w:iCs/>
          <w:color w:val="000000"/>
        </w:rPr>
        <w:t xml:space="preserve"> a client</w:t>
      </w:r>
      <w:r w:rsidR="00C63F78">
        <w:rPr>
          <w:rFonts w:ascii="Helv" w:hAnsi="Helv" w:cs="Helv"/>
          <w:iCs/>
          <w:color w:val="000000"/>
        </w:rPr>
        <w:t>’</w:t>
      </w:r>
      <w:r>
        <w:rPr>
          <w:rFonts w:ascii="Helv" w:hAnsi="Helv" w:cs="Helv"/>
          <w:iCs/>
          <w:color w:val="000000"/>
        </w:rPr>
        <w:t xml:space="preserve">s </w:t>
      </w:r>
      <w:r w:rsidR="00D714F2" w:rsidRPr="00EE6500">
        <w:rPr>
          <w:rFonts w:ascii="Helv" w:hAnsi="Helv" w:cs="Helv"/>
          <w:iCs/>
          <w:color w:val="000000"/>
          <w:u w:val="single"/>
        </w:rPr>
        <w:t xml:space="preserve">original </w:t>
      </w:r>
      <w:r>
        <w:rPr>
          <w:rFonts w:ascii="Helv" w:hAnsi="Helv" w:cs="Helv"/>
          <w:iCs/>
          <w:color w:val="000000"/>
          <w:u w:val="single"/>
        </w:rPr>
        <w:t xml:space="preserve">NDIS </w:t>
      </w:r>
      <w:r w:rsidR="00D714F2" w:rsidRPr="00EE6500">
        <w:rPr>
          <w:rFonts w:ascii="Helv" w:hAnsi="Helv" w:cs="Helv"/>
          <w:iCs/>
          <w:color w:val="000000"/>
          <w:u w:val="single"/>
        </w:rPr>
        <w:t>plan approval date</w:t>
      </w:r>
      <w:r w:rsidR="00D714F2" w:rsidRPr="00EE6500">
        <w:rPr>
          <w:rFonts w:ascii="Helv" w:hAnsi="Helv" w:cs="Helv"/>
          <w:iCs/>
          <w:color w:val="000000"/>
        </w:rPr>
        <w:t>. This is the date from which the NDIA assumes funding responsibility for the client's supports.</w:t>
      </w:r>
    </w:p>
    <w:p w:rsidR="00D714F2" w:rsidRPr="00EE6500" w:rsidRDefault="00D714F2" w:rsidP="00D714F2">
      <w:pPr>
        <w:autoSpaceDE w:val="0"/>
        <w:autoSpaceDN w:val="0"/>
        <w:adjustRightInd w:val="0"/>
        <w:rPr>
          <w:rFonts w:ascii="Helv" w:eastAsia="Times" w:hAnsi="Helv" w:cs="Helv"/>
          <w:iCs/>
          <w:color w:val="000000"/>
        </w:rPr>
      </w:pPr>
      <w:r w:rsidRPr="00EE6500">
        <w:rPr>
          <w:rFonts w:ascii="Helv" w:eastAsia="Times" w:hAnsi="Helv" w:cs="Helv"/>
          <w:iCs/>
          <w:color w:val="000000"/>
        </w:rPr>
        <w:t>If the plan is reviewed, even if soon after the first plan approval, any subsequent letter or plan will have a new plan approval date indicating when that revised plan commenced.</w:t>
      </w:r>
    </w:p>
    <w:p w:rsidR="00D714F2" w:rsidRPr="00EE6500" w:rsidRDefault="00D714F2" w:rsidP="00D714F2">
      <w:pPr>
        <w:autoSpaceDE w:val="0"/>
        <w:autoSpaceDN w:val="0"/>
        <w:adjustRightInd w:val="0"/>
        <w:rPr>
          <w:rFonts w:ascii="Helv" w:eastAsia="Times" w:hAnsi="Helv" w:cs="Helv"/>
          <w:iCs/>
          <w:color w:val="000000"/>
        </w:rPr>
      </w:pPr>
    </w:p>
    <w:p w:rsidR="00D714F2" w:rsidRPr="00EE6500" w:rsidRDefault="00D714F2" w:rsidP="00D714F2">
      <w:pPr>
        <w:autoSpaceDE w:val="0"/>
        <w:autoSpaceDN w:val="0"/>
        <w:adjustRightInd w:val="0"/>
        <w:rPr>
          <w:rFonts w:ascii="Helv" w:eastAsia="Times" w:hAnsi="Helv" w:cs="Helv"/>
          <w:iCs/>
          <w:color w:val="000000"/>
        </w:rPr>
      </w:pPr>
      <w:r w:rsidRPr="00EE6500">
        <w:rPr>
          <w:rFonts w:ascii="Helv" w:eastAsia="Times" w:hAnsi="Helv" w:cs="Helv"/>
          <w:iCs/>
          <w:color w:val="000000"/>
        </w:rPr>
        <w:t xml:space="preserve">Providers should ensure that service bookings are created back to the original plan approval date. The original plan approval date is shown on the </w:t>
      </w:r>
      <w:r w:rsidR="00C101F9">
        <w:rPr>
          <w:rFonts w:ascii="Helv" w:eastAsia="Times" w:hAnsi="Helv" w:cs="Helv"/>
          <w:iCs/>
          <w:color w:val="000000"/>
        </w:rPr>
        <w:t xml:space="preserve">Online </w:t>
      </w:r>
      <w:r w:rsidRPr="00EE6500">
        <w:rPr>
          <w:rFonts w:ascii="Helv" w:eastAsia="Times" w:hAnsi="Helv" w:cs="Helv"/>
          <w:iCs/>
          <w:color w:val="000000"/>
        </w:rPr>
        <w:t>Provider Report.</w:t>
      </w:r>
    </w:p>
    <w:p w:rsidR="00D714F2" w:rsidRPr="00EE6500" w:rsidRDefault="00D714F2" w:rsidP="00D714F2">
      <w:pPr>
        <w:autoSpaceDE w:val="0"/>
        <w:autoSpaceDN w:val="0"/>
        <w:adjustRightInd w:val="0"/>
        <w:rPr>
          <w:rFonts w:ascii="Helv" w:eastAsia="Times" w:hAnsi="Helv" w:cs="Helv"/>
          <w:iCs/>
          <w:color w:val="000000"/>
        </w:rPr>
      </w:pPr>
    </w:p>
    <w:p w:rsidR="00D714F2" w:rsidRPr="00842BEC" w:rsidRDefault="00D714F2" w:rsidP="00EE6500">
      <w:pPr>
        <w:pStyle w:val="DHHSbody"/>
      </w:pPr>
      <w:r w:rsidRPr="00EE6500">
        <w:rPr>
          <w:rFonts w:ascii="Helv" w:hAnsi="Helv" w:cs="Helv"/>
          <w:iCs/>
          <w:color w:val="000000"/>
        </w:rPr>
        <w:t xml:space="preserve">Further details on claiming back to the plan approval date can be found in the </w:t>
      </w:r>
      <w:r w:rsidR="00A156BE">
        <w:rPr>
          <w:rFonts w:ascii="Helv" w:hAnsi="Helv" w:cs="Helv"/>
          <w:iCs/>
          <w:color w:val="000000"/>
        </w:rPr>
        <w:t>‘</w:t>
      </w:r>
      <w:r w:rsidRPr="00EE6500">
        <w:rPr>
          <w:rFonts w:ascii="Helv" w:hAnsi="Helv" w:cs="Helv"/>
          <w:iCs/>
          <w:color w:val="000000"/>
        </w:rPr>
        <w:t>step-by-step guides</w:t>
      </w:r>
      <w:r w:rsidR="00A156BE">
        <w:rPr>
          <w:rFonts w:ascii="Helv" w:hAnsi="Helv" w:cs="Helv"/>
          <w:iCs/>
          <w:color w:val="000000"/>
        </w:rPr>
        <w:t>’</w:t>
      </w:r>
      <w:r w:rsidRPr="00EE6500">
        <w:rPr>
          <w:rFonts w:ascii="Helv" w:hAnsi="Helv" w:cs="Helv"/>
          <w:iCs/>
          <w:color w:val="000000"/>
        </w:rPr>
        <w:t xml:space="preserve"> on the </w:t>
      </w:r>
      <w:hyperlink r:id="rId10" w:history="1">
        <w:r w:rsidR="006E43AC" w:rsidRPr="00623960">
          <w:rPr>
            <w:rStyle w:val="Hyperlink"/>
            <w:rFonts w:ascii="Helv" w:hAnsi="Helv" w:cs="Helv"/>
            <w:iCs/>
          </w:rPr>
          <w:t>NDIS Provider Toolkit</w:t>
        </w:r>
      </w:hyperlink>
      <w:r w:rsidRPr="00EE6500">
        <w:rPr>
          <w:rFonts w:ascii="Helv" w:hAnsi="Helv" w:cs="Helv"/>
          <w:iCs/>
          <w:color w:val="000000"/>
        </w:rPr>
        <w:t xml:space="preserve"> </w:t>
      </w:r>
      <w:r w:rsidR="00657CF5" w:rsidRPr="007D2309">
        <w:rPr>
          <w:rFonts w:ascii="Helv" w:hAnsi="Helv" w:cs="Helv"/>
          <w:iCs/>
        </w:rPr>
        <w:t>&lt;https://providertoolkit.ndis.gov.au&gt;</w:t>
      </w:r>
    </w:p>
    <w:p w:rsidR="006549FE" w:rsidRPr="006B4EE2" w:rsidRDefault="006549FE" w:rsidP="0089616E">
      <w:pPr>
        <w:pStyle w:val="Heading3"/>
        <w:numPr>
          <w:ilvl w:val="0"/>
          <w:numId w:val="34"/>
        </w:numPr>
        <w:rPr>
          <w:sz w:val="20"/>
          <w:szCs w:val="20"/>
        </w:rPr>
      </w:pPr>
      <w:bookmarkStart w:id="50" w:name="_Toc506974697"/>
      <w:r w:rsidRPr="006B4EE2">
        <w:rPr>
          <w:sz w:val="20"/>
          <w:szCs w:val="20"/>
        </w:rPr>
        <w:t>What happens if a client transitions ahead</w:t>
      </w:r>
      <w:r w:rsidR="00071FE2">
        <w:rPr>
          <w:sz w:val="20"/>
          <w:szCs w:val="20"/>
        </w:rPr>
        <w:t xml:space="preserve"> </w:t>
      </w:r>
      <w:r w:rsidRPr="006B4EE2">
        <w:rPr>
          <w:sz w:val="20"/>
          <w:szCs w:val="20"/>
        </w:rPr>
        <w:t xml:space="preserve">of their area </w:t>
      </w:r>
      <w:r w:rsidR="009C143C" w:rsidRPr="006B4EE2">
        <w:rPr>
          <w:sz w:val="20"/>
          <w:szCs w:val="20"/>
        </w:rPr>
        <w:t>schedule</w:t>
      </w:r>
      <w:r w:rsidRPr="006B4EE2">
        <w:rPr>
          <w:sz w:val="20"/>
          <w:szCs w:val="20"/>
        </w:rPr>
        <w:t>?</w:t>
      </w:r>
      <w:bookmarkEnd w:id="49"/>
      <w:bookmarkEnd w:id="50"/>
    </w:p>
    <w:p w:rsidR="00AD254E" w:rsidRDefault="006549FE" w:rsidP="009D258F">
      <w:pPr>
        <w:pStyle w:val="DHHSbody"/>
      </w:pPr>
      <w:r w:rsidRPr="00646ACA">
        <w:t>Some clients may transition early</w:t>
      </w:r>
      <w:r w:rsidR="00C63F78">
        <w:t xml:space="preserve"> and </w:t>
      </w:r>
      <w:r w:rsidR="00DA577B">
        <w:t xml:space="preserve">ahead of their residential area rollout if they </w:t>
      </w:r>
      <w:r w:rsidR="009868C8">
        <w:t>a</w:t>
      </w:r>
      <w:r w:rsidR="00DA577B">
        <w:t>re on the Disability Support Register</w:t>
      </w:r>
      <w:r w:rsidR="00657CF5">
        <w:t xml:space="preserve"> or Early Childhood Intervention Services Waitlist</w:t>
      </w:r>
      <w:r w:rsidR="00AD254E">
        <w:t>. In these cases</w:t>
      </w:r>
      <w:r w:rsidR="000E2665">
        <w:t>,</w:t>
      </w:r>
      <w:r w:rsidR="00AD254E">
        <w:t xml:space="preserve"> f</w:t>
      </w:r>
      <w:r w:rsidRPr="00646ACA">
        <w:t>unding withdrawals w</w:t>
      </w:r>
      <w:r w:rsidR="00AD254E">
        <w:t>ill</w:t>
      </w:r>
      <w:r w:rsidRPr="00646ACA">
        <w:t xml:space="preserve"> occur sooner than service providers may have expected. </w:t>
      </w:r>
    </w:p>
    <w:p w:rsidR="00DA577B" w:rsidRDefault="006549FE" w:rsidP="00DA577B">
      <w:pPr>
        <w:pStyle w:val="DHHSbody"/>
      </w:pPr>
      <w:r w:rsidRPr="00646ACA">
        <w:t xml:space="preserve">It is important that service providers register as an NDIS provider early in order to claim payments from the </w:t>
      </w:r>
      <w:r w:rsidR="00AD254E" w:rsidRPr="00646ACA">
        <w:t>NDIA</w:t>
      </w:r>
      <w:r w:rsidR="00657CF5">
        <w:t>,</w:t>
      </w:r>
      <w:r w:rsidR="00C63F78">
        <w:t xml:space="preserve"> </w:t>
      </w:r>
      <w:r w:rsidR="00B3680B">
        <w:t>minimis</w:t>
      </w:r>
      <w:r w:rsidR="00657CF5">
        <w:t>ing</w:t>
      </w:r>
      <w:r w:rsidR="00C63F78">
        <w:t xml:space="preserve"> any</w:t>
      </w:r>
      <w:r w:rsidRPr="00646ACA">
        <w:t xml:space="preserve"> potential cash-flow issues. </w:t>
      </w:r>
      <w:r w:rsidR="00DA577B" w:rsidRPr="00D37041">
        <w:t xml:space="preserve">See the NDIS website for further details contained within its </w:t>
      </w:r>
      <w:hyperlink r:id="rId11" w:history="1">
        <w:r w:rsidR="00DA577B" w:rsidRPr="00657CF5">
          <w:rPr>
            <w:rStyle w:val="Hyperlink"/>
          </w:rPr>
          <w:t>Provider FAQs</w:t>
        </w:r>
      </w:hyperlink>
      <w:r w:rsidR="0077660F">
        <w:t xml:space="preserve">: </w:t>
      </w:r>
      <w:r w:rsidR="005014E1" w:rsidRPr="005014E1">
        <w:t>https://providertoolkit.ndis.gov.au/frequently-asked-questions</w:t>
      </w:r>
      <w:r w:rsidR="005014E1">
        <w:t>.</w:t>
      </w:r>
    </w:p>
    <w:p w:rsidR="00A45A98" w:rsidRPr="00646ACA" w:rsidRDefault="005E482B" w:rsidP="009D258F">
      <w:pPr>
        <w:pStyle w:val="DHHSbody"/>
      </w:pPr>
      <w:r>
        <w:t>U</w:t>
      </w:r>
      <w:r w:rsidR="00A45A98" w:rsidRPr="00646ACA">
        <w:t>nder the NDIS, participants are free to choo</w:t>
      </w:r>
      <w:r w:rsidR="004F7A8C">
        <w:t>se their own service provider.</w:t>
      </w:r>
    </w:p>
    <w:p w:rsidR="006549FE" w:rsidRPr="006B4EE2" w:rsidRDefault="006549FE" w:rsidP="0089616E">
      <w:pPr>
        <w:pStyle w:val="Heading3"/>
        <w:numPr>
          <w:ilvl w:val="0"/>
          <w:numId w:val="34"/>
        </w:numPr>
        <w:rPr>
          <w:sz w:val="20"/>
          <w:szCs w:val="20"/>
        </w:rPr>
      </w:pPr>
      <w:bookmarkStart w:id="51" w:name="_Toc479766944"/>
      <w:bookmarkStart w:id="52" w:name="_Toc506974698"/>
      <w:r w:rsidRPr="006B4EE2">
        <w:rPr>
          <w:sz w:val="20"/>
          <w:szCs w:val="20"/>
        </w:rPr>
        <w:t>How will state funding for each participant and service be determined?</w:t>
      </w:r>
      <w:bookmarkEnd w:id="51"/>
      <w:bookmarkEnd w:id="52"/>
    </w:p>
    <w:p w:rsidR="006549FE" w:rsidRDefault="006549FE" w:rsidP="009D258F">
      <w:pPr>
        <w:pStyle w:val="DHHSbody"/>
      </w:pPr>
      <w:r>
        <w:t>The following method</w:t>
      </w:r>
      <w:r w:rsidR="00AD254E">
        <w:t>s</w:t>
      </w:r>
      <w:r>
        <w:t xml:space="preserve"> </w:t>
      </w:r>
      <w:r w:rsidR="00AD254E">
        <w:t>are</w:t>
      </w:r>
      <w:r>
        <w:t xml:space="preserve"> used to </w:t>
      </w:r>
      <w:r w:rsidR="00AD254E">
        <w:t>withdraw</w:t>
      </w:r>
      <w:r>
        <w:t xml:space="preserve"> state funding for each activity</w:t>
      </w:r>
      <w:r w:rsidR="00AD254E">
        <w:t xml:space="preserve"> listed</w:t>
      </w:r>
      <w:r w:rsidR="00E23A26">
        <w:t xml:space="preserve"> below</w:t>
      </w:r>
      <w:r>
        <w:t>:</w:t>
      </w:r>
    </w:p>
    <w:tbl>
      <w:tblPr>
        <w:tblW w:w="9780" w:type="dxa"/>
        <w:tblInd w:w="426" w:type="dxa"/>
        <w:tblBorders>
          <w:top w:val="single" w:sz="4" w:space="0" w:color="auto"/>
          <w:left w:val="single" w:sz="4" w:space="0" w:color="auto"/>
          <w:bottom w:val="single" w:sz="4" w:space="0" w:color="auto"/>
          <w:right w:val="single" w:sz="4" w:space="0" w:color="auto"/>
          <w:insideH w:val="single" w:sz="4" w:space="0" w:color="000000"/>
        </w:tblBorders>
        <w:tblCellMar>
          <w:top w:w="57" w:type="dxa"/>
          <w:left w:w="0" w:type="dxa"/>
          <w:bottom w:w="57" w:type="dxa"/>
          <w:right w:w="0" w:type="dxa"/>
        </w:tblCellMar>
        <w:tblLook w:val="04A0" w:firstRow="1" w:lastRow="0" w:firstColumn="1" w:lastColumn="0" w:noHBand="0" w:noVBand="1"/>
      </w:tblPr>
      <w:tblGrid>
        <w:gridCol w:w="1984"/>
        <w:gridCol w:w="7796"/>
      </w:tblGrid>
      <w:tr w:rsidR="006549FE" w:rsidRPr="00C0518E" w:rsidTr="00365D5E">
        <w:trPr>
          <w:cantSplit/>
          <w:trHeight w:val="166"/>
          <w:tblHeader/>
        </w:trPr>
        <w:tc>
          <w:tcPr>
            <w:tcW w:w="1984" w:type="dxa"/>
            <w:tcBorders>
              <w:right w:val="single" w:sz="4" w:space="0" w:color="auto"/>
            </w:tcBorders>
            <w:shd w:val="clear" w:color="auto" w:fill="auto"/>
          </w:tcPr>
          <w:p w:rsidR="006549FE" w:rsidRPr="00365D5E" w:rsidRDefault="006549FE" w:rsidP="00365D5E">
            <w:pPr>
              <w:pStyle w:val="DHHStablecolhead"/>
            </w:pPr>
            <w:r w:rsidRPr="00365D5E">
              <w:t>Activities</w:t>
            </w:r>
          </w:p>
        </w:tc>
        <w:tc>
          <w:tcPr>
            <w:tcW w:w="7796" w:type="dxa"/>
            <w:tcBorders>
              <w:top w:val="single" w:sz="4" w:space="0" w:color="auto"/>
              <w:left w:val="single" w:sz="4" w:space="0" w:color="auto"/>
              <w:bottom w:val="single" w:sz="4" w:space="0" w:color="000000"/>
            </w:tcBorders>
            <w:shd w:val="clear" w:color="auto" w:fill="auto"/>
          </w:tcPr>
          <w:p w:rsidR="006549FE" w:rsidRPr="00365D5E" w:rsidRDefault="006549FE" w:rsidP="00365D5E">
            <w:pPr>
              <w:pStyle w:val="DHHStablecolhead"/>
            </w:pPr>
            <w:r w:rsidRPr="00365D5E">
              <w:t>Method</w:t>
            </w:r>
            <w:r w:rsidR="00AD254E">
              <w:t>s</w:t>
            </w:r>
          </w:p>
        </w:tc>
      </w:tr>
      <w:tr w:rsidR="006549FE" w:rsidRPr="00C0518E" w:rsidTr="00365D5E">
        <w:trPr>
          <w:cantSplit/>
        </w:trPr>
        <w:tc>
          <w:tcPr>
            <w:tcW w:w="1984" w:type="dxa"/>
            <w:tcBorders>
              <w:right w:val="single" w:sz="4" w:space="0" w:color="auto"/>
            </w:tcBorders>
            <w:shd w:val="clear" w:color="auto" w:fill="auto"/>
          </w:tcPr>
          <w:p w:rsidR="006549FE" w:rsidRPr="00365D5E" w:rsidRDefault="006549FE" w:rsidP="00365D5E">
            <w:pPr>
              <w:pStyle w:val="DHHStabletext"/>
            </w:pPr>
            <w:r w:rsidRPr="00365D5E">
              <w:t>Shared Supported Accommodation (SSA)</w:t>
            </w:r>
          </w:p>
        </w:tc>
        <w:tc>
          <w:tcPr>
            <w:tcW w:w="7796" w:type="dxa"/>
            <w:tcBorders>
              <w:top w:val="single" w:sz="4" w:space="0" w:color="000000"/>
              <w:left w:val="single" w:sz="4" w:space="0" w:color="auto"/>
              <w:bottom w:val="single" w:sz="4" w:space="0" w:color="000000"/>
            </w:tcBorders>
            <w:shd w:val="clear" w:color="auto" w:fill="auto"/>
          </w:tcPr>
          <w:p w:rsidR="006549FE" w:rsidRPr="00365D5E" w:rsidRDefault="006549FE" w:rsidP="00365D5E">
            <w:pPr>
              <w:pStyle w:val="DHHStabletext"/>
              <w:numPr>
                <w:ilvl w:val="0"/>
                <w:numId w:val="38"/>
              </w:numPr>
            </w:pPr>
            <w:r w:rsidRPr="00365D5E">
              <w:t>Each SSA house has its own service agreement commitment.</w:t>
            </w:r>
          </w:p>
          <w:p w:rsidR="006549FE" w:rsidRPr="00365D5E" w:rsidRDefault="006549FE" w:rsidP="00365D5E">
            <w:pPr>
              <w:pStyle w:val="DHHStabletext"/>
              <w:numPr>
                <w:ilvl w:val="0"/>
                <w:numId w:val="38"/>
              </w:numPr>
            </w:pPr>
            <w:r w:rsidRPr="00365D5E">
              <w:t>The cost per person is calculated as the total cost of the house divided by the number of clients identified as living in that dwelling in the last 12 months.</w:t>
            </w:r>
          </w:p>
        </w:tc>
      </w:tr>
      <w:tr w:rsidR="006549FE" w:rsidRPr="00C0518E" w:rsidTr="00365D5E">
        <w:trPr>
          <w:cantSplit/>
        </w:trPr>
        <w:tc>
          <w:tcPr>
            <w:tcW w:w="1984" w:type="dxa"/>
            <w:tcBorders>
              <w:right w:val="single" w:sz="4" w:space="0" w:color="auto"/>
            </w:tcBorders>
            <w:shd w:val="clear" w:color="auto" w:fill="auto"/>
          </w:tcPr>
          <w:p w:rsidR="006549FE" w:rsidRPr="00365D5E" w:rsidRDefault="006549FE" w:rsidP="00365D5E">
            <w:pPr>
              <w:pStyle w:val="DHHStabletext"/>
            </w:pPr>
            <w:r w:rsidRPr="00365D5E">
              <w:t>Individual Support Packages (ISPs) and Futures for Young Adults (FFYA)</w:t>
            </w:r>
          </w:p>
        </w:tc>
        <w:tc>
          <w:tcPr>
            <w:tcW w:w="7796" w:type="dxa"/>
            <w:tcBorders>
              <w:top w:val="single" w:sz="4" w:space="0" w:color="000000"/>
              <w:left w:val="single" w:sz="4" w:space="0" w:color="auto"/>
              <w:bottom w:val="single" w:sz="4" w:space="0" w:color="000000"/>
            </w:tcBorders>
            <w:shd w:val="clear" w:color="auto" w:fill="auto"/>
          </w:tcPr>
          <w:p w:rsidR="006549FE" w:rsidRPr="00365D5E" w:rsidRDefault="006549FE" w:rsidP="00365D5E">
            <w:pPr>
              <w:pStyle w:val="DHHStabletext"/>
              <w:numPr>
                <w:ilvl w:val="0"/>
                <w:numId w:val="38"/>
              </w:numPr>
            </w:pPr>
            <w:r w:rsidRPr="00365D5E">
              <w:t>The individualised funding allocated to clients is used to determine the state funding withdrawal.</w:t>
            </w:r>
          </w:p>
          <w:p w:rsidR="006549FE" w:rsidRPr="00365D5E" w:rsidRDefault="00AD254E" w:rsidP="00365D5E">
            <w:pPr>
              <w:pStyle w:val="DHHStabletext"/>
              <w:numPr>
                <w:ilvl w:val="0"/>
                <w:numId w:val="38"/>
              </w:numPr>
            </w:pPr>
            <w:r>
              <w:t>ISP</w:t>
            </w:r>
            <w:r w:rsidR="006549FE" w:rsidRPr="00365D5E">
              <w:t xml:space="preserve"> funding is evenly distributed throughout the year and has been pro-rated based on the timing of transition (i.e. monthly payment is equal to the total state funding divided by 12 months). </w:t>
            </w:r>
          </w:p>
          <w:p w:rsidR="006549FE" w:rsidRPr="00365D5E" w:rsidRDefault="006549FE" w:rsidP="00365D5E">
            <w:pPr>
              <w:pStyle w:val="DHHStabletext"/>
              <w:numPr>
                <w:ilvl w:val="0"/>
                <w:numId w:val="38"/>
              </w:numPr>
            </w:pPr>
            <w:r w:rsidRPr="00365D5E">
              <w:t>When a client becomes a NDIS participant, the plan approval date is the end date of the state funding.</w:t>
            </w:r>
          </w:p>
          <w:p w:rsidR="006549FE" w:rsidRPr="00365D5E" w:rsidRDefault="006549FE" w:rsidP="00F12108">
            <w:pPr>
              <w:pStyle w:val="DHHStabletext"/>
              <w:numPr>
                <w:ilvl w:val="0"/>
                <w:numId w:val="38"/>
              </w:numPr>
            </w:pPr>
            <w:r w:rsidRPr="00365D5E">
              <w:t>T</w:t>
            </w:r>
            <w:r w:rsidR="008C1BFC">
              <w:t>he</w:t>
            </w:r>
            <w:r w:rsidRPr="00365D5E">
              <w:t xml:space="preserve"> process </w:t>
            </w:r>
            <w:r w:rsidR="008C1BFC">
              <w:t xml:space="preserve">is the same </w:t>
            </w:r>
            <w:r w:rsidRPr="00365D5E">
              <w:t xml:space="preserve">for </w:t>
            </w:r>
            <w:r w:rsidR="00A75677">
              <w:t xml:space="preserve">ISPs funded </w:t>
            </w:r>
            <w:r w:rsidRPr="00365D5E">
              <w:t xml:space="preserve">via a service agreement with a lead agency, financial intermediary or direct payments to </w:t>
            </w:r>
            <w:r w:rsidR="002B62D0">
              <w:t xml:space="preserve">the </w:t>
            </w:r>
            <w:r w:rsidRPr="00365D5E">
              <w:t>client.</w:t>
            </w:r>
          </w:p>
        </w:tc>
      </w:tr>
      <w:tr w:rsidR="006549FE" w:rsidRPr="00C0518E" w:rsidTr="00365D5E">
        <w:trPr>
          <w:cantSplit/>
        </w:trPr>
        <w:tc>
          <w:tcPr>
            <w:tcW w:w="1984" w:type="dxa"/>
            <w:tcBorders>
              <w:right w:val="single" w:sz="4" w:space="0" w:color="auto"/>
            </w:tcBorders>
            <w:shd w:val="clear" w:color="auto" w:fill="auto"/>
          </w:tcPr>
          <w:p w:rsidR="006549FE" w:rsidRPr="00365D5E" w:rsidRDefault="006549FE" w:rsidP="00365D5E">
            <w:pPr>
              <w:pStyle w:val="DHHStabletext"/>
            </w:pPr>
            <w:r w:rsidRPr="00365D5E">
              <w:lastRenderedPageBreak/>
              <w:t>Disability Block-Funded Activities</w:t>
            </w:r>
          </w:p>
        </w:tc>
        <w:tc>
          <w:tcPr>
            <w:tcW w:w="7796" w:type="dxa"/>
            <w:tcBorders>
              <w:top w:val="single" w:sz="4" w:space="0" w:color="000000"/>
              <w:left w:val="single" w:sz="4" w:space="0" w:color="auto"/>
              <w:bottom w:val="single" w:sz="4" w:space="0" w:color="000000"/>
            </w:tcBorders>
            <w:shd w:val="clear" w:color="auto" w:fill="auto"/>
          </w:tcPr>
          <w:p w:rsidR="009868C8" w:rsidRPr="00950C78" w:rsidRDefault="006549FE" w:rsidP="00365D5E">
            <w:pPr>
              <w:pStyle w:val="DHHStabletext"/>
              <w:numPr>
                <w:ilvl w:val="0"/>
                <w:numId w:val="38"/>
              </w:numPr>
              <w:rPr>
                <w:i/>
              </w:rPr>
            </w:pPr>
            <w:r w:rsidRPr="00365D5E">
              <w:t xml:space="preserve">The total state-wide funding allocated to a service provider for a certain activity has been divided by the total number of its clients for that activity to arrive at an average cost per provider, per activity, per client. </w:t>
            </w:r>
          </w:p>
          <w:p w:rsidR="006549FE" w:rsidRPr="00365D5E" w:rsidRDefault="006549FE" w:rsidP="00950C78">
            <w:pPr>
              <w:pStyle w:val="DHHStabletext"/>
              <w:ind w:left="360"/>
              <w:rPr>
                <w:i/>
              </w:rPr>
            </w:pPr>
            <w:r w:rsidRPr="00365D5E">
              <w:rPr>
                <w:i/>
              </w:rPr>
              <w:t>See Q.</w:t>
            </w:r>
            <w:r w:rsidR="00A47685">
              <w:rPr>
                <w:i/>
              </w:rPr>
              <w:t>7</w:t>
            </w:r>
            <w:r w:rsidR="00A47685" w:rsidRPr="00365D5E">
              <w:rPr>
                <w:i/>
              </w:rPr>
              <w:t xml:space="preserve"> </w:t>
            </w:r>
            <w:r w:rsidRPr="00365D5E">
              <w:rPr>
                <w:i/>
              </w:rPr>
              <w:t>– Are block funded averages recalculated from time to time?</w:t>
            </w:r>
          </w:p>
          <w:p w:rsidR="006549FE" w:rsidRPr="00365D5E" w:rsidRDefault="006549FE" w:rsidP="00365D5E">
            <w:pPr>
              <w:pStyle w:val="DHHStabletext"/>
              <w:numPr>
                <w:ilvl w:val="0"/>
                <w:numId w:val="38"/>
              </w:numPr>
            </w:pPr>
            <w:r w:rsidRPr="00365D5E">
              <w:t>An area-based average cannot be used as state funding for each activity is not allocated solely within the department’s 17 geographical areas.</w:t>
            </w:r>
          </w:p>
        </w:tc>
      </w:tr>
      <w:tr w:rsidR="006549FE" w:rsidRPr="00C0518E" w:rsidTr="00365D5E">
        <w:trPr>
          <w:cantSplit/>
        </w:trPr>
        <w:tc>
          <w:tcPr>
            <w:tcW w:w="1984" w:type="dxa"/>
            <w:tcBorders>
              <w:right w:val="single" w:sz="4" w:space="0" w:color="auto"/>
            </w:tcBorders>
            <w:shd w:val="clear" w:color="auto" w:fill="auto"/>
          </w:tcPr>
          <w:p w:rsidR="006549FE" w:rsidRPr="00365D5E" w:rsidRDefault="006549FE" w:rsidP="00365D5E">
            <w:pPr>
              <w:pStyle w:val="DHHStabletext"/>
            </w:pPr>
            <w:r w:rsidRPr="00365D5E">
              <w:t>Mental Health Community Support Services (MHCSS)</w:t>
            </w:r>
          </w:p>
        </w:tc>
        <w:tc>
          <w:tcPr>
            <w:tcW w:w="7796" w:type="dxa"/>
            <w:tcBorders>
              <w:top w:val="single" w:sz="4" w:space="0" w:color="000000"/>
              <w:left w:val="single" w:sz="4" w:space="0" w:color="auto"/>
              <w:bottom w:val="single" w:sz="4" w:space="0" w:color="000000"/>
            </w:tcBorders>
            <w:shd w:val="clear" w:color="auto" w:fill="auto"/>
          </w:tcPr>
          <w:p w:rsidR="006549FE" w:rsidRPr="00365D5E" w:rsidRDefault="006549FE" w:rsidP="00365D5E">
            <w:pPr>
              <w:pStyle w:val="DHHStabletext"/>
              <w:numPr>
                <w:ilvl w:val="0"/>
                <w:numId w:val="38"/>
              </w:numPr>
            </w:pPr>
            <w:r w:rsidRPr="00365D5E">
              <w:t>MHCSS funds geographical catchment areas which are different to “DHHS” areas.</w:t>
            </w:r>
          </w:p>
          <w:p w:rsidR="006549FE" w:rsidRPr="00365D5E" w:rsidRDefault="006549FE" w:rsidP="000B75C4">
            <w:pPr>
              <w:pStyle w:val="DHHStabletext"/>
              <w:numPr>
                <w:ilvl w:val="0"/>
                <w:numId w:val="38"/>
              </w:numPr>
            </w:pPr>
            <w:r w:rsidRPr="00365D5E">
              <w:t xml:space="preserve">A client funding average </w:t>
            </w:r>
            <w:r w:rsidR="006F2DAE">
              <w:t>applies</w:t>
            </w:r>
            <w:r w:rsidR="00A86C9D">
              <w:t xml:space="preserve"> to each </w:t>
            </w:r>
            <w:r w:rsidRPr="00365D5E">
              <w:t>catchment, by provider, by sub activity (there are three MHCSS main activities in-scope for the NDIS</w:t>
            </w:r>
            <w:r w:rsidR="00A86C9D">
              <w:t xml:space="preserve"> </w:t>
            </w:r>
            <w:r w:rsidR="006F2DAE" w:rsidRPr="00365D5E">
              <w:rPr>
                <w:i/>
              </w:rPr>
              <w:t>–</w:t>
            </w:r>
            <w:r w:rsidR="00A86C9D">
              <w:t xml:space="preserve"> </w:t>
            </w:r>
            <w:r w:rsidRPr="00365D5E">
              <w:t>Individualised Client Support Packages, Supported Accommodation Services and Adult Residential Rehabilitation Services).</w:t>
            </w:r>
          </w:p>
        </w:tc>
      </w:tr>
      <w:tr w:rsidR="006549FE" w:rsidRPr="00C0518E" w:rsidTr="00365D5E">
        <w:trPr>
          <w:cantSplit/>
        </w:trPr>
        <w:tc>
          <w:tcPr>
            <w:tcW w:w="1984" w:type="dxa"/>
            <w:tcBorders>
              <w:right w:val="single" w:sz="4" w:space="0" w:color="auto"/>
            </w:tcBorders>
            <w:shd w:val="clear" w:color="auto" w:fill="auto"/>
          </w:tcPr>
          <w:p w:rsidR="006549FE" w:rsidRPr="00365D5E" w:rsidRDefault="006549FE" w:rsidP="00790777">
            <w:pPr>
              <w:pStyle w:val="DHHStabletext"/>
            </w:pPr>
            <w:r w:rsidRPr="00365D5E">
              <w:t>Home and Community Care Program for Younger People (HACC-PYP)</w:t>
            </w:r>
          </w:p>
        </w:tc>
        <w:tc>
          <w:tcPr>
            <w:tcW w:w="7796" w:type="dxa"/>
            <w:tcBorders>
              <w:top w:val="single" w:sz="4" w:space="0" w:color="000000"/>
              <w:left w:val="single" w:sz="4" w:space="0" w:color="auto"/>
              <w:bottom w:val="single" w:sz="4" w:space="0" w:color="000000"/>
            </w:tcBorders>
            <w:shd w:val="clear" w:color="auto" w:fill="auto"/>
          </w:tcPr>
          <w:p w:rsidR="009868C8" w:rsidRDefault="00657CF5" w:rsidP="00CD58EA">
            <w:pPr>
              <w:pStyle w:val="DHHStabletext"/>
              <w:numPr>
                <w:ilvl w:val="0"/>
                <w:numId w:val="38"/>
              </w:numPr>
            </w:pPr>
            <w:r>
              <w:t xml:space="preserve">HACC service providers </w:t>
            </w:r>
            <w:r w:rsidR="00F15DB7">
              <w:t>can ch</w:t>
            </w:r>
            <w:r w:rsidR="009868C8">
              <w:t>o</w:t>
            </w:r>
            <w:r w:rsidR="00F15DB7">
              <w:t xml:space="preserve">ose to </w:t>
            </w:r>
            <w:r w:rsidR="00426268">
              <w:t>continue with the existing funding arrangements</w:t>
            </w:r>
            <w:r w:rsidR="00426268" w:rsidRPr="00426268">
              <w:t xml:space="preserve"> from the department </w:t>
            </w:r>
            <w:r w:rsidR="009868C8">
              <w:t xml:space="preserve">during the in-kind </w:t>
            </w:r>
            <w:r w:rsidR="00426268" w:rsidRPr="00426268">
              <w:t>period</w:t>
            </w:r>
            <w:r w:rsidR="009868C8">
              <w:t>. The in-kind period continues for six months after the area transition period for all areas commencing transition after July 2017</w:t>
            </w:r>
            <w:r w:rsidR="00CD58EA">
              <w:t xml:space="preserve">. </w:t>
            </w:r>
          </w:p>
          <w:p w:rsidR="00912DD5" w:rsidRDefault="00912DD5" w:rsidP="00CD58EA">
            <w:pPr>
              <w:pStyle w:val="DHHStabletext"/>
              <w:numPr>
                <w:ilvl w:val="0"/>
                <w:numId w:val="38"/>
              </w:numPr>
            </w:pPr>
            <w:r>
              <w:t>Alternatively, service providers may opt to progressively withdraw funding as clients transition to the NDIS.</w:t>
            </w:r>
          </w:p>
          <w:p w:rsidR="00657CF5" w:rsidRDefault="00657CF5" w:rsidP="00365D5E">
            <w:pPr>
              <w:pStyle w:val="DHHStabletext"/>
              <w:numPr>
                <w:ilvl w:val="0"/>
                <w:numId w:val="38"/>
              </w:numPr>
            </w:pPr>
            <w:r>
              <w:t>Funding withdrawals are based on the proportion of services delivered to clients transitioning to the NDIS.</w:t>
            </w:r>
          </w:p>
          <w:p w:rsidR="009868C8" w:rsidRPr="00365D5E" w:rsidRDefault="009868C8" w:rsidP="009868C8">
            <w:pPr>
              <w:pStyle w:val="DHHStabletext"/>
              <w:numPr>
                <w:ilvl w:val="0"/>
                <w:numId w:val="38"/>
              </w:numPr>
            </w:pPr>
            <w:r w:rsidRPr="00950C78">
              <w:t xml:space="preserve">See the NDIS transition information for HACC-PYP providers on the </w:t>
            </w:r>
            <w:hyperlink r:id="rId12" w:history="1">
              <w:r w:rsidRPr="007D2309">
                <w:rPr>
                  <w:rStyle w:val="Hyperlink"/>
                </w:rPr>
                <w:t>Victorian Government NDIS website</w:t>
              </w:r>
            </w:hyperlink>
            <w:r w:rsidRPr="007D2309">
              <w:t xml:space="preserve"> </w:t>
            </w:r>
            <w:r w:rsidRPr="00E4182D">
              <w:t>&lt;https://www.vic.gov.au/ndis/service-providers.html&gt;</w:t>
            </w:r>
          </w:p>
        </w:tc>
      </w:tr>
      <w:tr w:rsidR="006549FE" w:rsidRPr="00C0518E" w:rsidTr="00365D5E">
        <w:trPr>
          <w:cantSplit/>
        </w:trPr>
        <w:tc>
          <w:tcPr>
            <w:tcW w:w="1984" w:type="dxa"/>
            <w:tcBorders>
              <w:right w:val="single" w:sz="4" w:space="0" w:color="auto"/>
            </w:tcBorders>
            <w:shd w:val="clear" w:color="auto" w:fill="auto"/>
          </w:tcPr>
          <w:p w:rsidR="006549FE" w:rsidRPr="00365D5E" w:rsidRDefault="006549FE" w:rsidP="00365D5E">
            <w:pPr>
              <w:pStyle w:val="DHHStabletext"/>
            </w:pPr>
            <w:r w:rsidRPr="00365D5E">
              <w:t>State-wide Contracts</w:t>
            </w:r>
          </w:p>
        </w:tc>
        <w:tc>
          <w:tcPr>
            <w:tcW w:w="7796" w:type="dxa"/>
            <w:tcBorders>
              <w:top w:val="single" w:sz="4" w:space="0" w:color="000000"/>
              <w:left w:val="single" w:sz="4" w:space="0" w:color="auto"/>
              <w:bottom w:val="single" w:sz="4" w:space="0" w:color="auto"/>
            </w:tcBorders>
            <w:shd w:val="clear" w:color="auto" w:fill="auto"/>
          </w:tcPr>
          <w:p w:rsidR="006549FE" w:rsidRPr="00365D5E" w:rsidRDefault="006549FE" w:rsidP="00365D5E">
            <w:pPr>
              <w:pStyle w:val="DHHStabletext"/>
              <w:numPr>
                <w:ilvl w:val="0"/>
                <w:numId w:val="38"/>
              </w:numPr>
            </w:pPr>
            <w:r w:rsidRPr="00365D5E">
              <w:t>There are two approaches to withdraw the funding for state-wide contracts:</w:t>
            </w:r>
          </w:p>
          <w:p w:rsidR="006549FE" w:rsidRPr="00365D5E" w:rsidRDefault="006549FE" w:rsidP="00950C78">
            <w:pPr>
              <w:pStyle w:val="DHHStabletext"/>
              <w:numPr>
                <w:ilvl w:val="1"/>
                <w:numId w:val="38"/>
              </w:numPr>
            </w:pPr>
            <w:r w:rsidRPr="00365D5E">
              <w:t>Where client information is available, the disability block</w:t>
            </w:r>
            <w:r w:rsidR="00790777">
              <w:t>-</w:t>
            </w:r>
            <w:r w:rsidRPr="00365D5E">
              <w:t>funded approach is used; or</w:t>
            </w:r>
          </w:p>
          <w:p w:rsidR="006549FE" w:rsidRPr="00365D5E" w:rsidRDefault="006549FE" w:rsidP="00950C78">
            <w:pPr>
              <w:pStyle w:val="DHHStabletext"/>
              <w:numPr>
                <w:ilvl w:val="1"/>
                <w:numId w:val="38"/>
              </w:numPr>
            </w:pPr>
            <w:r w:rsidRPr="00365D5E">
              <w:t>Where client information is not available (e.g. Aids and Equipment),</w:t>
            </w:r>
            <w:r w:rsidR="00A86C9D">
              <w:t xml:space="preserve"> specific </w:t>
            </w:r>
            <w:r w:rsidRPr="00365D5E">
              <w:t xml:space="preserve">funding </w:t>
            </w:r>
            <w:r w:rsidR="00A86C9D">
              <w:t>withdrawals have</w:t>
            </w:r>
            <w:r w:rsidRPr="00365D5E">
              <w:t xml:space="preserve"> been calculated for each </w:t>
            </w:r>
            <w:r w:rsidR="00377249">
              <w:t xml:space="preserve">service </w:t>
            </w:r>
            <w:r w:rsidRPr="00365D5E">
              <w:t>provider by area. The timing of state funding withdrawals will be agreed with each service provider in advance for both direct and administrative funding.</w:t>
            </w:r>
          </w:p>
        </w:tc>
      </w:tr>
    </w:tbl>
    <w:p w:rsidR="006549FE" w:rsidRPr="006B4EE2" w:rsidRDefault="006549FE" w:rsidP="00956D08">
      <w:pPr>
        <w:pStyle w:val="Heading3"/>
        <w:numPr>
          <w:ilvl w:val="0"/>
          <w:numId w:val="34"/>
        </w:numPr>
        <w:rPr>
          <w:sz w:val="20"/>
          <w:szCs w:val="20"/>
        </w:rPr>
      </w:pPr>
      <w:bookmarkStart w:id="53" w:name="_Toc479766945"/>
      <w:bookmarkStart w:id="54" w:name="_Toc506974699"/>
      <w:r w:rsidRPr="006B4EE2">
        <w:rPr>
          <w:sz w:val="20"/>
          <w:szCs w:val="20"/>
        </w:rPr>
        <w:t>Are block-funded averages recalculated from time to time?</w:t>
      </w:r>
      <w:bookmarkEnd w:id="53"/>
      <w:bookmarkEnd w:id="54"/>
    </w:p>
    <w:p w:rsidR="00377249" w:rsidRDefault="006549FE" w:rsidP="009D258F">
      <w:pPr>
        <w:pStyle w:val="DHHSbody"/>
      </w:pPr>
      <w:r>
        <w:t xml:space="preserve">Yes </w:t>
      </w:r>
      <w:r w:rsidR="00377249">
        <w:t>–</w:t>
      </w:r>
      <w:r>
        <w:t xml:space="preserve"> </w:t>
      </w:r>
      <w:r w:rsidR="00377249">
        <w:t xml:space="preserve">Block-funded averages are recalculated on </w:t>
      </w:r>
      <w:r w:rsidRPr="00631573">
        <w:t xml:space="preserve">1 July and 1 December each year to account for </w:t>
      </w:r>
      <w:r>
        <w:t xml:space="preserve">the </w:t>
      </w:r>
      <w:r w:rsidRPr="00631573">
        <w:t>E</w:t>
      </w:r>
      <w:r>
        <w:t xml:space="preserve">qual </w:t>
      </w:r>
      <w:r w:rsidRPr="00631573">
        <w:t>R</w:t>
      </w:r>
      <w:r>
        <w:t xml:space="preserve">emuneration </w:t>
      </w:r>
      <w:r w:rsidRPr="00631573">
        <w:t>O</w:t>
      </w:r>
      <w:r>
        <w:t>rder</w:t>
      </w:r>
      <w:r w:rsidRPr="00631573">
        <w:t xml:space="preserve"> and indexation. </w:t>
      </w:r>
    </w:p>
    <w:p w:rsidR="008F5DBF" w:rsidRDefault="006549FE" w:rsidP="00192122">
      <w:pPr>
        <w:pStyle w:val="DHHSbody"/>
      </w:pPr>
      <w:r w:rsidRPr="00631573">
        <w:t>The number of clients (denominator</w:t>
      </w:r>
      <w:r>
        <w:t>) is derived by filtering the 'D</w:t>
      </w:r>
      <w:r w:rsidRPr="00631573">
        <w:t>ate o</w:t>
      </w:r>
      <w:r>
        <w:t>f Last S</w:t>
      </w:r>
      <w:r w:rsidRPr="00631573">
        <w:t>ervice column'</w:t>
      </w:r>
      <w:r>
        <w:t xml:space="preserve"> in the Client Data Collection Template </w:t>
      </w:r>
      <w:r w:rsidRPr="00631573">
        <w:t xml:space="preserve">for those clients who received a service in the 12 months prior to the </w:t>
      </w:r>
      <w:r>
        <w:t xml:space="preserve">data collection </w:t>
      </w:r>
      <w:r w:rsidRPr="00631573">
        <w:t>submission</w:t>
      </w:r>
      <w:r>
        <w:t xml:space="preserve"> (</w:t>
      </w:r>
      <w:r w:rsidRPr="009D258F">
        <w:t>see</w:t>
      </w:r>
      <w:r w:rsidR="00B3680B">
        <w:t> </w:t>
      </w:r>
      <w:r w:rsidRPr="009D258F">
        <w:t xml:space="preserve">section – </w:t>
      </w:r>
      <w:r w:rsidRPr="00DF27FF">
        <w:rPr>
          <w:i/>
        </w:rPr>
        <w:t>Updating client data</w:t>
      </w:r>
      <w:r>
        <w:t>)</w:t>
      </w:r>
      <w:r w:rsidRPr="00631573">
        <w:t xml:space="preserve">. A service provider's </w:t>
      </w:r>
      <w:r>
        <w:t>latest</w:t>
      </w:r>
      <w:r w:rsidRPr="00631573">
        <w:t xml:space="preserve"> client data submission will be used to</w:t>
      </w:r>
      <w:r w:rsidR="00E23A26">
        <w:t xml:space="preserve"> inform</w:t>
      </w:r>
      <w:r w:rsidRPr="00631573">
        <w:t xml:space="preserve"> block</w:t>
      </w:r>
      <w:r w:rsidR="00B3680B">
        <w:noBreakHyphen/>
      </w:r>
      <w:r w:rsidRPr="00631573">
        <w:t xml:space="preserve">funded averages on 1 July and 1 December each year through </w:t>
      </w:r>
      <w:r w:rsidR="002B62D0">
        <w:t>transition.</w:t>
      </w:r>
      <w:bookmarkStart w:id="55" w:name="_Toc479766946"/>
      <w:r w:rsidR="001D7D20">
        <w:t xml:space="preserve"> </w:t>
      </w:r>
    </w:p>
    <w:p w:rsidR="005277CB" w:rsidRDefault="00B55728" w:rsidP="00192122">
      <w:pPr>
        <w:pStyle w:val="DHHSbody"/>
      </w:pPr>
      <w:r>
        <w:t xml:space="preserve">Following </w:t>
      </w:r>
      <w:r w:rsidR="00192122">
        <w:t xml:space="preserve">the application of indexation in </w:t>
      </w:r>
      <w:r w:rsidR="00377249">
        <w:t>July 2018</w:t>
      </w:r>
      <w:r w:rsidR="00192122">
        <w:t>,</w:t>
      </w:r>
      <w:r w:rsidR="00F4535E">
        <w:t xml:space="preserve"> </w:t>
      </w:r>
      <w:r>
        <w:t xml:space="preserve">updated </w:t>
      </w:r>
      <w:r w:rsidR="00192122">
        <w:t xml:space="preserve">block funded averages </w:t>
      </w:r>
      <w:r>
        <w:t xml:space="preserve">are based on the client </w:t>
      </w:r>
      <w:r w:rsidR="00192122">
        <w:t>data collected</w:t>
      </w:r>
      <w:r w:rsidR="00247BF0">
        <w:t xml:space="preserve"> </w:t>
      </w:r>
      <w:r w:rsidR="002F6496">
        <w:t>in March</w:t>
      </w:r>
      <w:r w:rsidR="00377249">
        <w:t xml:space="preserve"> </w:t>
      </w:r>
      <w:r w:rsidR="00247BF0">
        <w:t>201</w:t>
      </w:r>
      <w:r w:rsidR="00377249">
        <w:t>8</w:t>
      </w:r>
      <w:r w:rsidR="00247BF0">
        <w:t>.</w:t>
      </w:r>
      <w:r w:rsidR="00192122">
        <w:t xml:space="preserve"> The new averages </w:t>
      </w:r>
      <w:r w:rsidR="00377249">
        <w:t xml:space="preserve">take account of </w:t>
      </w:r>
      <w:r w:rsidR="007254CF">
        <w:t>withdrawals for clients who transitioned prior to</w:t>
      </w:r>
      <w:r w:rsidR="008F5DBF">
        <w:t xml:space="preserve">    </w:t>
      </w:r>
      <w:r w:rsidR="007254CF">
        <w:t xml:space="preserve"> 1July 2018</w:t>
      </w:r>
      <w:r w:rsidR="00377249">
        <w:t xml:space="preserve"> and </w:t>
      </w:r>
      <w:r w:rsidR="002B62D0">
        <w:t xml:space="preserve">will </w:t>
      </w:r>
      <w:r w:rsidR="00192122">
        <w:t xml:space="preserve">be used for funding withdrawals </w:t>
      </w:r>
      <w:r w:rsidR="00A47685">
        <w:t>for</w:t>
      </w:r>
      <w:r w:rsidR="00192122">
        <w:t xml:space="preserve"> clients who transition from 1 </w:t>
      </w:r>
      <w:r w:rsidR="00377249">
        <w:t>July 2018</w:t>
      </w:r>
      <w:r w:rsidR="00192122">
        <w:t xml:space="preserve">. These adjustments will be transacted from </w:t>
      </w:r>
      <w:r w:rsidR="00F4535E">
        <w:t xml:space="preserve">September </w:t>
      </w:r>
      <w:r w:rsidR="00377249">
        <w:t>2018</w:t>
      </w:r>
      <w:r w:rsidR="00192122">
        <w:t>.</w:t>
      </w:r>
    </w:p>
    <w:p w:rsidR="000B7AD4" w:rsidRDefault="000B7AD4" w:rsidP="00192122">
      <w:pPr>
        <w:pStyle w:val="DHHSbody"/>
      </w:pPr>
      <w:r>
        <w:t>Block-funded averages will also be recalculated in December 2018 and will be based on the client data refresh in September 201</w:t>
      </w:r>
      <w:r w:rsidR="007254CF">
        <w:t>8</w:t>
      </w:r>
      <w:r>
        <w:t>.</w:t>
      </w:r>
    </w:p>
    <w:p w:rsidR="000B7AD4" w:rsidRPr="005277CB" w:rsidRDefault="000B7AD4" w:rsidP="00192122">
      <w:pPr>
        <w:pStyle w:val="DHHSbody"/>
      </w:pPr>
    </w:p>
    <w:p w:rsidR="006549FE" w:rsidRPr="006B4EE2" w:rsidRDefault="007F79B0" w:rsidP="00956D08">
      <w:pPr>
        <w:pStyle w:val="Heading3"/>
        <w:numPr>
          <w:ilvl w:val="0"/>
          <w:numId w:val="34"/>
        </w:numPr>
        <w:rPr>
          <w:sz w:val="20"/>
          <w:szCs w:val="20"/>
        </w:rPr>
      </w:pPr>
      <w:r>
        <w:rPr>
          <w:sz w:val="20"/>
          <w:szCs w:val="20"/>
        </w:rPr>
        <w:br w:type="column"/>
      </w:r>
      <w:bookmarkStart w:id="56" w:name="_Toc506974700"/>
      <w:r w:rsidR="006549FE" w:rsidRPr="006B4EE2">
        <w:rPr>
          <w:sz w:val="20"/>
          <w:szCs w:val="20"/>
        </w:rPr>
        <w:t>Will a client’s funding be transferred to the NDIA as that client transitions to the NDIS?</w:t>
      </w:r>
      <w:bookmarkEnd w:id="55"/>
      <w:bookmarkEnd w:id="56"/>
      <w:r w:rsidR="006549FE" w:rsidRPr="006B4EE2">
        <w:rPr>
          <w:sz w:val="20"/>
          <w:szCs w:val="20"/>
        </w:rPr>
        <w:t xml:space="preserve"> </w:t>
      </w:r>
    </w:p>
    <w:p w:rsidR="006549FE" w:rsidRDefault="006549FE" w:rsidP="009D258F">
      <w:pPr>
        <w:pStyle w:val="DHHSbody"/>
      </w:pPr>
      <w:r>
        <w:t xml:space="preserve">Not directly. </w:t>
      </w:r>
    </w:p>
    <w:p w:rsidR="006549FE" w:rsidRDefault="006549FE" w:rsidP="009D258F">
      <w:pPr>
        <w:pStyle w:val="DHHSbody"/>
      </w:pPr>
      <w:r>
        <w:t xml:space="preserve">State funding that is withdrawn from service providers will </w:t>
      </w:r>
      <w:r w:rsidR="006D23EF">
        <w:t>form</w:t>
      </w:r>
      <w:r>
        <w:t xml:space="preserve"> part of Victoria’s financial contribution to the NDIS. Individual NDIS packages costs will be determined by the NDIA on a case-by-case basis. </w:t>
      </w:r>
    </w:p>
    <w:p w:rsidR="00F0077A" w:rsidRPr="006B4EE2" w:rsidRDefault="00F0077A" w:rsidP="00956D08">
      <w:pPr>
        <w:pStyle w:val="Heading3"/>
        <w:numPr>
          <w:ilvl w:val="0"/>
          <w:numId w:val="34"/>
        </w:numPr>
        <w:rPr>
          <w:sz w:val="20"/>
          <w:szCs w:val="20"/>
        </w:rPr>
      </w:pPr>
      <w:bookmarkStart w:id="57" w:name="_Toc506974701"/>
      <w:r w:rsidRPr="006B4EE2">
        <w:rPr>
          <w:sz w:val="20"/>
          <w:szCs w:val="20"/>
        </w:rPr>
        <w:t>How will we know which clients have become NDIS participants or have been deemed ineligible?</w:t>
      </w:r>
      <w:bookmarkEnd w:id="57"/>
    </w:p>
    <w:p w:rsidR="00F0077A" w:rsidRDefault="00F0077A" w:rsidP="00F0077A">
      <w:pPr>
        <w:pStyle w:val="DHHSbody"/>
      </w:pPr>
      <w:r w:rsidRPr="004043A7">
        <w:t xml:space="preserve">NDIA </w:t>
      </w:r>
      <w:r>
        <w:t>provides Victoria</w:t>
      </w:r>
      <w:r w:rsidRPr="004043A7">
        <w:t xml:space="preserve"> </w:t>
      </w:r>
      <w:r>
        <w:t xml:space="preserve">with reports on </w:t>
      </w:r>
      <w:r w:rsidRPr="004043A7">
        <w:t xml:space="preserve">clients’ </w:t>
      </w:r>
      <w:r>
        <w:t>NDIS transition</w:t>
      </w:r>
      <w:r w:rsidRPr="004043A7">
        <w:t xml:space="preserve"> </w:t>
      </w:r>
      <w:r>
        <w:t>progress twice each month.</w:t>
      </w:r>
      <w:r w:rsidRPr="004043A7">
        <w:t xml:space="preserve"> </w:t>
      </w:r>
      <w:r>
        <w:t xml:space="preserve">The department, in turn, updates the Online Provider Report which outlines the status of clients at a point in time (e.g. plan approved or access met) and the funding withdrawals that will result as a consequence of clients becoming NDIS participants (based on the phasing schedule). </w:t>
      </w:r>
    </w:p>
    <w:p w:rsidR="00F0077A" w:rsidRDefault="00F0077A" w:rsidP="00F0077A">
      <w:pPr>
        <w:pStyle w:val="DHHSbody"/>
      </w:pPr>
      <w:r>
        <w:t xml:space="preserve">The Online Provider Report (see </w:t>
      </w:r>
      <w:r w:rsidRPr="00DF27FF">
        <w:rPr>
          <w:b/>
        </w:rPr>
        <w:t>Appendix C</w:t>
      </w:r>
      <w:r>
        <w:t xml:space="preserve">) allows service providers to </w:t>
      </w:r>
      <w:r w:rsidRPr="00D37041">
        <w:t>monitor the progress of their clients</w:t>
      </w:r>
      <w:r>
        <w:t>’</w:t>
      </w:r>
      <w:r w:rsidRPr="00D37041">
        <w:t xml:space="preserve"> NDIS</w:t>
      </w:r>
      <w:r>
        <w:t xml:space="preserve"> transition. The Online Provider </w:t>
      </w:r>
      <w:r w:rsidRPr="004303DD">
        <w:t>Report</w:t>
      </w:r>
      <w:r>
        <w:t xml:space="preserve"> is a restricted and secure</w:t>
      </w:r>
      <w:r w:rsidRPr="004303DD">
        <w:t xml:space="preserve"> </w:t>
      </w:r>
      <w:r>
        <w:t>website that allows users to access the</w:t>
      </w:r>
      <w:r w:rsidR="001D7D20">
        <w:t xml:space="preserve"> </w:t>
      </w:r>
      <w:r>
        <w:t xml:space="preserve">most recent data available. User access is restricted with a unique login issued for each user. The Online Provider Report is available using the </w:t>
      </w:r>
      <w:hyperlink r:id="rId13" w:anchor="/site/NDISclientrollout/views/ProviderReportsProvider_0/Cover" w:history="1">
        <w:r w:rsidRPr="00377249">
          <w:rPr>
            <w:rStyle w:val="Hyperlink"/>
          </w:rPr>
          <w:t>link</w:t>
        </w:r>
      </w:hyperlink>
      <w:r>
        <w:t>:</w:t>
      </w:r>
      <w:r w:rsidRPr="00E4182D">
        <w:t xml:space="preserve"> </w:t>
      </w:r>
      <w:r>
        <w:t>&lt;</w:t>
      </w:r>
      <w:r w:rsidRPr="007D2309">
        <w:t>https://tableau.deloitte.com.au/#/site/NDISclientrollout/views/ProviderReportsProvider_0/Cover</w:t>
      </w:r>
      <w:r>
        <w:t>&gt;</w:t>
      </w:r>
      <w:r w:rsidRPr="00E4182D">
        <w:t>.</w:t>
      </w:r>
    </w:p>
    <w:p w:rsidR="00F0077A" w:rsidRDefault="00F0077A" w:rsidP="00F0077A">
      <w:pPr>
        <w:pStyle w:val="DHHSbody"/>
      </w:pPr>
      <w:r>
        <w:t>To support the transition to the Online Provider Report, provider reports will continue to be distributed to service providers through SigBox, a secure online data room.</w:t>
      </w:r>
    </w:p>
    <w:p w:rsidR="00F0077A" w:rsidRDefault="009868C8" w:rsidP="00F0077A">
      <w:pPr>
        <w:pStyle w:val="DHHSbody"/>
      </w:pPr>
      <w:r>
        <w:t>Service p</w:t>
      </w:r>
      <w:r w:rsidR="00F0077A" w:rsidRPr="00FE3F5E">
        <w:t>roviders are encouraged to use these tools to identify those clients who have</w:t>
      </w:r>
      <w:r w:rsidR="00F0077A">
        <w:t xml:space="preserve"> become NDIS participants (plan </w:t>
      </w:r>
      <w:r w:rsidR="00F0077A" w:rsidRPr="00FE3F5E">
        <w:t>approved status) and those clients likely to become participants in the near future (access met status). This information can assist in conversations between organisations and clients on their progress into the scheme and future intentions on provider choice.</w:t>
      </w:r>
    </w:p>
    <w:p w:rsidR="00F0077A" w:rsidRDefault="00F0077A" w:rsidP="00F0077A">
      <w:pPr>
        <w:pStyle w:val="DHHSbody"/>
      </w:pPr>
      <w:r>
        <w:t>Further, the Online Provider Report includes clients assessed by the NDIA as not meeting the NDIS eligibility criteria</w:t>
      </w:r>
      <w:r w:rsidR="005F75A2">
        <w:t xml:space="preserve"> under the status</w:t>
      </w:r>
      <w:r>
        <w:t xml:space="preserve"> ‘Access not met’.</w:t>
      </w:r>
    </w:p>
    <w:p w:rsidR="00F0077A" w:rsidRDefault="00F0077A" w:rsidP="00F0077A">
      <w:pPr>
        <w:pStyle w:val="DHHSbody"/>
      </w:pPr>
      <w:r>
        <w:t xml:space="preserve">See the Online </w:t>
      </w:r>
      <w:r w:rsidRPr="009D258F">
        <w:t>Provider Report</w:t>
      </w:r>
      <w:r>
        <w:t xml:space="preserve"> section below for more information.</w:t>
      </w:r>
    </w:p>
    <w:p w:rsidR="00997265" w:rsidRPr="006B4EE2" w:rsidRDefault="00997265" w:rsidP="00956D08">
      <w:pPr>
        <w:pStyle w:val="Heading3"/>
        <w:numPr>
          <w:ilvl w:val="0"/>
          <w:numId w:val="34"/>
        </w:numPr>
        <w:rPr>
          <w:sz w:val="20"/>
          <w:szCs w:val="20"/>
        </w:rPr>
      </w:pPr>
      <w:bookmarkStart w:id="58" w:name="_Toc506974702"/>
      <w:r w:rsidRPr="006B4EE2">
        <w:rPr>
          <w:sz w:val="20"/>
          <w:szCs w:val="20"/>
        </w:rPr>
        <w:t xml:space="preserve">Will service providers be impacted if a </w:t>
      </w:r>
      <w:r w:rsidR="00760C21">
        <w:rPr>
          <w:sz w:val="20"/>
          <w:szCs w:val="20"/>
        </w:rPr>
        <w:t xml:space="preserve">scheduled </w:t>
      </w:r>
      <w:r w:rsidRPr="006B4EE2">
        <w:rPr>
          <w:sz w:val="20"/>
          <w:szCs w:val="20"/>
        </w:rPr>
        <w:t xml:space="preserve">area </w:t>
      </w:r>
      <w:r w:rsidR="002F6496" w:rsidRPr="006B4EE2">
        <w:rPr>
          <w:sz w:val="20"/>
          <w:szCs w:val="20"/>
        </w:rPr>
        <w:t xml:space="preserve">transition </w:t>
      </w:r>
      <w:r w:rsidRPr="006B4EE2">
        <w:rPr>
          <w:sz w:val="20"/>
          <w:szCs w:val="20"/>
        </w:rPr>
        <w:t>period has ended and individual plans are still not approved?</w:t>
      </w:r>
      <w:bookmarkEnd w:id="58"/>
      <w:r w:rsidRPr="006B4EE2">
        <w:rPr>
          <w:sz w:val="20"/>
          <w:szCs w:val="20"/>
        </w:rPr>
        <w:t xml:space="preserve"> </w:t>
      </w:r>
    </w:p>
    <w:p w:rsidR="00997265" w:rsidRDefault="00997265" w:rsidP="00997265">
      <w:pPr>
        <w:rPr>
          <w:rFonts w:ascii="Arial" w:eastAsia="Times" w:hAnsi="Arial"/>
        </w:rPr>
      </w:pPr>
      <w:r w:rsidRPr="000B75C4">
        <w:rPr>
          <w:rFonts w:ascii="Arial" w:eastAsia="Times" w:hAnsi="Arial"/>
        </w:rPr>
        <w:t xml:space="preserve">Support to enter the NDIS scheme and to have a plan approved will continue even if the </w:t>
      </w:r>
      <w:r>
        <w:rPr>
          <w:rFonts w:ascii="Arial" w:eastAsia="Times" w:hAnsi="Arial"/>
        </w:rPr>
        <w:t>scheduled</w:t>
      </w:r>
      <w:r w:rsidRPr="000B75C4">
        <w:rPr>
          <w:rFonts w:ascii="Arial" w:eastAsia="Times" w:hAnsi="Arial"/>
        </w:rPr>
        <w:t xml:space="preserve"> </w:t>
      </w:r>
      <w:r>
        <w:rPr>
          <w:rFonts w:ascii="Arial" w:eastAsia="Times" w:hAnsi="Arial"/>
        </w:rPr>
        <w:t>area transition</w:t>
      </w:r>
      <w:r w:rsidRPr="000B75C4">
        <w:rPr>
          <w:rFonts w:ascii="Arial" w:eastAsia="Times" w:hAnsi="Arial"/>
        </w:rPr>
        <w:t xml:space="preserve"> period has ended. As the </w:t>
      </w:r>
      <w:r>
        <w:rPr>
          <w:rFonts w:ascii="Arial" w:eastAsia="Times" w:hAnsi="Arial"/>
        </w:rPr>
        <w:t xml:space="preserve">service </w:t>
      </w:r>
      <w:r w:rsidRPr="000B75C4">
        <w:rPr>
          <w:rFonts w:ascii="Arial" w:eastAsia="Times" w:hAnsi="Arial"/>
        </w:rPr>
        <w:t>provider, you will continue to receive state funding until an individual’s plan is approved</w:t>
      </w:r>
      <w:r>
        <w:rPr>
          <w:rFonts w:ascii="Arial" w:eastAsia="Times" w:hAnsi="Arial"/>
        </w:rPr>
        <w:t xml:space="preserve">, or all reasonable efforts to assist the client to transition have been exhausted. </w:t>
      </w:r>
    </w:p>
    <w:p w:rsidR="00C96A59" w:rsidRPr="007F79B0" w:rsidRDefault="00C96A59" w:rsidP="00C96A59">
      <w:pPr>
        <w:pStyle w:val="Heading3"/>
        <w:numPr>
          <w:ilvl w:val="0"/>
          <w:numId w:val="34"/>
        </w:numPr>
        <w:rPr>
          <w:sz w:val="20"/>
          <w:szCs w:val="20"/>
        </w:rPr>
      </w:pPr>
      <w:bookmarkStart w:id="59" w:name="_Toc506974703"/>
      <w:r w:rsidRPr="007F79B0">
        <w:rPr>
          <w:sz w:val="20"/>
          <w:szCs w:val="20"/>
        </w:rPr>
        <w:t>How</w:t>
      </w:r>
      <w:r w:rsidR="006159BF" w:rsidRPr="007F79B0">
        <w:rPr>
          <w:sz w:val="20"/>
          <w:szCs w:val="20"/>
        </w:rPr>
        <w:t xml:space="preserve"> and when</w:t>
      </w:r>
      <w:r w:rsidRPr="007F79B0">
        <w:rPr>
          <w:sz w:val="20"/>
          <w:szCs w:val="20"/>
        </w:rPr>
        <w:t xml:space="preserve"> will service delivery targets for disability services be adjusted during the NDIS transition?</w:t>
      </w:r>
      <w:bookmarkEnd w:id="59"/>
    </w:p>
    <w:p w:rsidR="00D30C2C" w:rsidRDefault="00EF5DAE" w:rsidP="002B754A">
      <w:pPr>
        <w:pStyle w:val="DHHSbody"/>
      </w:pPr>
      <w:r>
        <w:t>From</w:t>
      </w:r>
      <w:r w:rsidR="00A448C6">
        <w:t xml:space="preserve"> </w:t>
      </w:r>
      <w:r w:rsidR="00FB1180" w:rsidRPr="00FB1180">
        <w:t>1 January 2018,</w:t>
      </w:r>
      <w:r w:rsidR="00632E73">
        <w:t xml:space="preserve"> </w:t>
      </w:r>
      <w:r w:rsidR="00FB1180" w:rsidRPr="00FB1180">
        <w:t>service delivery targets</w:t>
      </w:r>
      <w:r w:rsidR="006A4B70">
        <w:t xml:space="preserve"> </w:t>
      </w:r>
      <w:r w:rsidR="00FB1180" w:rsidRPr="00FB1180">
        <w:t xml:space="preserve">for in-scope disability </w:t>
      </w:r>
      <w:r w:rsidR="00760C21">
        <w:t xml:space="preserve">activities </w:t>
      </w:r>
      <w:r w:rsidR="00A448C6">
        <w:t xml:space="preserve">have been </w:t>
      </w:r>
      <w:r w:rsidR="00FB1180" w:rsidRPr="00FB1180">
        <w:t xml:space="preserve">reduced to reflect the proportion of state funding withdrawn for clients </w:t>
      </w:r>
      <w:r w:rsidR="007928E4">
        <w:t xml:space="preserve">who </w:t>
      </w:r>
      <w:r w:rsidR="00FB1180" w:rsidRPr="00FB1180">
        <w:t>transitioned to the NDIS.</w:t>
      </w:r>
      <w:r w:rsidR="00F34CF4">
        <w:t xml:space="preserve"> </w:t>
      </w:r>
      <w:r w:rsidR="00490077">
        <w:t xml:space="preserve">The adjustments </w:t>
      </w:r>
      <w:r w:rsidR="006159BF">
        <w:t>ensure</w:t>
      </w:r>
      <w:r w:rsidR="004D636A">
        <w:t xml:space="preserve"> that</w:t>
      </w:r>
      <w:r w:rsidR="006159BF">
        <w:t xml:space="preserve"> service delivery targets </w:t>
      </w:r>
      <w:r w:rsidR="004D636A">
        <w:t xml:space="preserve">and measures </w:t>
      </w:r>
      <w:r w:rsidR="00D40D16">
        <w:t>remain</w:t>
      </w:r>
      <w:r w:rsidR="006159BF">
        <w:t xml:space="preserve"> accurate and relevant du</w:t>
      </w:r>
      <w:r w:rsidR="00F34CF4">
        <w:t>ring the NDIS transition.</w:t>
      </w:r>
      <w:r w:rsidR="00A448C6">
        <w:t xml:space="preserve"> </w:t>
      </w:r>
    </w:p>
    <w:p w:rsidR="00C96A59" w:rsidRDefault="007928E4" w:rsidP="002B754A">
      <w:pPr>
        <w:pStyle w:val="DHHSbody"/>
      </w:pPr>
      <w:r>
        <w:t xml:space="preserve"> </w:t>
      </w:r>
      <w:r w:rsidR="00760C21">
        <w:t xml:space="preserve">A </w:t>
      </w:r>
      <w:r>
        <w:t xml:space="preserve">Target Reduction Report </w:t>
      </w:r>
      <w:r w:rsidR="00760C21">
        <w:t xml:space="preserve">detailing service delivery target </w:t>
      </w:r>
      <w:r w:rsidR="007254CF">
        <w:t>adjustments</w:t>
      </w:r>
      <w:r>
        <w:t xml:space="preserve"> is</w:t>
      </w:r>
      <w:r w:rsidR="00632E73">
        <w:t xml:space="preserve"> </w:t>
      </w:r>
      <w:r w:rsidR="007254CF">
        <w:t>provided through My Agency</w:t>
      </w:r>
      <w:r w:rsidR="00100B5F">
        <w:t>.</w:t>
      </w:r>
    </w:p>
    <w:p w:rsidR="00263F50" w:rsidRDefault="00632E73" w:rsidP="002B754A">
      <w:pPr>
        <w:pStyle w:val="DHHSbody"/>
      </w:pPr>
      <w:r>
        <w:t xml:space="preserve">Target adjustments </w:t>
      </w:r>
      <w:r w:rsidR="00760C21">
        <w:t xml:space="preserve">are </w:t>
      </w:r>
      <w:r>
        <w:t>carried out on a quarterly basis</w:t>
      </w:r>
      <w:r w:rsidR="00760C21">
        <w:t>.</w:t>
      </w:r>
    </w:p>
    <w:p w:rsidR="00706A73" w:rsidRPr="004C4708" w:rsidRDefault="00706A73" w:rsidP="00706A73">
      <w:pPr>
        <w:pStyle w:val="Heading1"/>
      </w:pPr>
      <w:bookmarkStart w:id="60" w:name="_Toc506974704"/>
      <w:r w:rsidRPr="004C4708">
        <w:t>Funding withdrawal process</w:t>
      </w:r>
      <w:bookmarkEnd w:id="60"/>
    </w:p>
    <w:p w:rsidR="00706A73" w:rsidRPr="006B4EE2" w:rsidRDefault="00706A73" w:rsidP="0089616E">
      <w:pPr>
        <w:pStyle w:val="Heading3"/>
        <w:numPr>
          <w:ilvl w:val="0"/>
          <w:numId w:val="34"/>
        </w:numPr>
        <w:rPr>
          <w:sz w:val="20"/>
          <w:szCs w:val="20"/>
        </w:rPr>
      </w:pPr>
      <w:bookmarkStart w:id="61" w:name="_Toc506974705"/>
      <w:r w:rsidRPr="006B4EE2">
        <w:rPr>
          <w:sz w:val="20"/>
          <w:szCs w:val="20"/>
        </w:rPr>
        <w:t>What will happen to funding withdrawals during the annual process for end of financial year, roll-over and indexation?</w:t>
      </w:r>
      <w:bookmarkEnd w:id="61"/>
    </w:p>
    <w:p w:rsidR="00706A73" w:rsidRPr="00DF27FF" w:rsidRDefault="00706A73" w:rsidP="00706A73">
      <w:pPr>
        <w:pStyle w:val="DHHSbody"/>
      </w:pPr>
      <w:r w:rsidRPr="00DF27FF">
        <w:t xml:space="preserve">The department’s ability to withdraw funding relating to the NDIS transition </w:t>
      </w:r>
      <w:r>
        <w:t>is</w:t>
      </w:r>
      <w:r w:rsidRPr="00DF27FF">
        <w:t xml:space="preserve"> restricted during the annual process to roll-over service agreements and apply indexation increases on the Service Agreement Management System (SAMS).</w:t>
      </w:r>
    </w:p>
    <w:p w:rsidR="006A4B70" w:rsidRDefault="006A4B70" w:rsidP="00706A73">
      <w:pPr>
        <w:pStyle w:val="DHHSbody"/>
        <w:rPr>
          <w:u w:val="single"/>
        </w:rPr>
      </w:pPr>
    </w:p>
    <w:p w:rsidR="006A4B70" w:rsidRDefault="006A4B70" w:rsidP="00706A73">
      <w:pPr>
        <w:pStyle w:val="DHHSbody"/>
        <w:rPr>
          <w:u w:val="single"/>
        </w:rPr>
      </w:pPr>
    </w:p>
    <w:p w:rsidR="00706A73" w:rsidRPr="007D2309" w:rsidRDefault="001D793C" w:rsidP="00706A73">
      <w:pPr>
        <w:pStyle w:val="DHHSbody"/>
        <w:rPr>
          <w:u w:val="single"/>
        </w:rPr>
      </w:pPr>
      <w:r>
        <w:rPr>
          <w:u w:val="single"/>
        </w:rPr>
        <w:t>I</w:t>
      </w:r>
      <w:r w:rsidR="00706A73" w:rsidRPr="007D2309">
        <w:rPr>
          <w:u w:val="single"/>
        </w:rPr>
        <w:t>ndividual Support Packages and Futures for Young Adults</w:t>
      </w:r>
    </w:p>
    <w:p w:rsidR="00706A73" w:rsidRPr="00E4182D" w:rsidRDefault="00706A73" w:rsidP="00706A73">
      <w:pPr>
        <w:pStyle w:val="DHHSbody"/>
      </w:pPr>
      <w:r w:rsidRPr="00E4182D">
        <w:t>The withdrawal of individualised funding as clients become NDIS participants will continue each month</w:t>
      </w:r>
      <w:r>
        <w:t xml:space="preserve"> leading up to and following the end of financial year.</w:t>
      </w:r>
    </w:p>
    <w:p w:rsidR="00706A73" w:rsidRDefault="00706A73" w:rsidP="00706A73">
      <w:pPr>
        <w:pStyle w:val="DHHSbody"/>
      </w:pPr>
      <w:r>
        <w:t xml:space="preserve">Where a client receives an approved </w:t>
      </w:r>
      <w:r w:rsidR="00760C21">
        <w:t xml:space="preserve">NDIS </w:t>
      </w:r>
      <w:r>
        <w:t>plan prior to 30 June but the termination is not processed until the following financial year, the funding withdrawal will be processed as a prior year adjustment and recouped from the next available payment.</w:t>
      </w:r>
    </w:p>
    <w:p w:rsidR="00706A73" w:rsidRPr="007D2309" w:rsidRDefault="00706A73" w:rsidP="00706A73">
      <w:pPr>
        <w:pStyle w:val="DHHSbody"/>
        <w:rPr>
          <w:u w:val="single"/>
        </w:rPr>
      </w:pPr>
      <w:r w:rsidRPr="007D2309">
        <w:rPr>
          <w:u w:val="single"/>
        </w:rPr>
        <w:t>Block funded disability and Mental Health Support Services</w:t>
      </w:r>
      <w:r>
        <w:rPr>
          <w:u w:val="single"/>
        </w:rPr>
        <w:t xml:space="preserve"> – transition prior to 30 June</w:t>
      </w:r>
      <w:r w:rsidR="0062262B">
        <w:rPr>
          <w:u w:val="single"/>
        </w:rPr>
        <w:t xml:space="preserve"> 2018</w:t>
      </w:r>
    </w:p>
    <w:p w:rsidR="00706A73" w:rsidRPr="00E4182D" w:rsidRDefault="00706A73" w:rsidP="00706A73">
      <w:pPr>
        <w:pStyle w:val="DHHSbody"/>
      </w:pPr>
      <w:r w:rsidRPr="00E4182D">
        <w:t xml:space="preserve">Withdrawals of block funding relating to clients who become NDIS participants </w:t>
      </w:r>
      <w:r>
        <w:t>prior</w:t>
      </w:r>
      <w:r w:rsidRPr="00E4182D">
        <w:t xml:space="preserve"> to 30 June</w:t>
      </w:r>
      <w:r w:rsidR="0062262B">
        <w:t xml:space="preserve"> 2018</w:t>
      </w:r>
      <w:r w:rsidRPr="00E4182D">
        <w:t xml:space="preserve">, and where related funding </w:t>
      </w:r>
      <w:r>
        <w:t>was not</w:t>
      </w:r>
      <w:r w:rsidRPr="00E4182D">
        <w:t xml:space="preserve"> withdrawn</w:t>
      </w:r>
      <w:r>
        <w:t xml:space="preserve"> during the financial year</w:t>
      </w:r>
      <w:r w:rsidRPr="00E4182D">
        <w:t xml:space="preserve">, </w:t>
      </w:r>
      <w:r w:rsidR="00FB4FF4">
        <w:t>were</w:t>
      </w:r>
      <w:r w:rsidR="00FB4FF4" w:rsidRPr="00E4182D">
        <w:t xml:space="preserve"> </w:t>
      </w:r>
      <w:r w:rsidRPr="00E4182D">
        <w:t>transacted in SAMS</w:t>
      </w:r>
      <w:r w:rsidR="0062262B">
        <w:t xml:space="preserve"> in August 2018</w:t>
      </w:r>
      <w:r w:rsidRPr="00E4182D">
        <w:t xml:space="preserve"> as </w:t>
      </w:r>
      <w:r w:rsidRPr="00E4182D">
        <w:rPr>
          <w:i/>
        </w:rPr>
        <w:t>prior year adjustments</w:t>
      </w:r>
      <w:r w:rsidRPr="00E4182D">
        <w:t xml:space="preserve"> and recouped from the </w:t>
      </w:r>
      <w:r>
        <w:t xml:space="preserve">next available </w:t>
      </w:r>
      <w:r w:rsidRPr="00E4182D">
        <w:t>payment.</w:t>
      </w:r>
    </w:p>
    <w:p w:rsidR="00706A73" w:rsidRPr="00E4182D" w:rsidRDefault="00706A73" w:rsidP="00706A73">
      <w:pPr>
        <w:pStyle w:val="DHHSbody"/>
      </w:pPr>
      <w:r w:rsidRPr="00E4182D">
        <w:t xml:space="preserve">These variations will use the block funding average for each provider and activity </w:t>
      </w:r>
      <w:r w:rsidRPr="008F426A">
        <w:t>(and catchment area for MHCSS)</w:t>
      </w:r>
      <w:r>
        <w:t xml:space="preserve"> from the end of the previous financial year</w:t>
      </w:r>
      <w:r w:rsidRPr="00E4182D">
        <w:t xml:space="preserve">. </w:t>
      </w:r>
    </w:p>
    <w:p w:rsidR="00706A73" w:rsidRPr="008F426A" w:rsidRDefault="00706A73" w:rsidP="00706A73">
      <w:pPr>
        <w:pStyle w:val="DHHSbody"/>
        <w:rPr>
          <w:u w:val="single"/>
        </w:rPr>
      </w:pPr>
      <w:r w:rsidRPr="008F426A">
        <w:rPr>
          <w:u w:val="single"/>
        </w:rPr>
        <w:t>Block funded disability and Mental Health Support Services</w:t>
      </w:r>
      <w:r>
        <w:rPr>
          <w:u w:val="single"/>
        </w:rPr>
        <w:t xml:space="preserve"> – transition post 1 July</w:t>
      </w:r>
      <w:r w:rsidR="0062262B">
        <w:rPr>
          <w:u w:val="single"/>
        </w:rPr>
        <w:t xml:space="preserve"> 2018</w:t>
      </w:r>
    </w:p>
    <w:p w:rsidR="00706A73" w:rsidRPr="00E4182D" w:rsidRDefault="00706A73" w:rsidP="00706A73">
      <w:pPr>
        <w:pStyle w:val="DHHSbody"/>
      </w:pPr>
      <w:r w:rsidRPr="00E4182D">
        <w:t xml:space="preserve">Withdrawals of block funding related to clients who become NDIS participants from 1 July will commence on SAMS in </w:t>
      </w:r>
      <w:r w:rsidR="005E482B">
        <w:t>September</w:t>
      </w:r>
      <w:r w:rsidR="002F6496" w:rsidRPr="00E4182D">
        <w:t xml:space="preserve"> </w:t>
      </w:r>
      <w:r w:rsidR="0062262B">
        <w:t xml:space="preserve"> 2018 </w:t>
      </w:r>
      <w:r w:rsidRPr="00E4182D">
        <w:t xml:space="preserve">and impact on provider payments and </w:t>
      </w:r>
      <w:r w:rsidR="001E70DA" w:rsidRPr="00E4182D">
        <w:t>cash flow</w:t>
      </w:r>
      <w:r w:rsidRPr="00E4182D">
        <w:t xml:space="preserve"> from </w:t>
      </w:r>
      <w:r w:rsidR="005E482B">
        <w:t>October</w:t>
      </w:r>
      <w:r w:rsidR="0062262B">
        <w:t xml:space="preserve"> 2018</w:t>
      </w:r>
      <w:r w:rsidRPr="00E4182D">
        <w:t>.</w:t>
      </w:r>
    </w:p>
    <w:p w:rsidR="00706A73" w:rsidRPr="00DF27FF" w:rsidRDefault="00706A73" w:rsidP="00706A73">
      <w:pPr>
        <w:pStyle w:val="DHHSbody"/>
      </w:pPr>
      <w:r w:rsidRPr="00E4182D">
        <w:t>These variations will be based on an updated block funding average calculated for each provider and activity (and catchment area for MHCSS services).</w:t>
      </w:r>
      <w:r w:rsidRPr="00DF27FF">
        <w:t xml:space="preserve"> </w:t>
      </w:r>
    </w:p>
    <w:p w:rsidR="00706A73" w:rsidRPr="006B4EE2" w:rsidRDefault="00706A73" w:rsidP="00956D08">
      <w:pPr>
        <w:pStyle w:val="Heading3"/>
        <w:numPr>
          <w:ilvl w:val="0"/>
          <w:numId w:val="34"/>
        </w:numPr>
        <w:rPr>
          <w:sz w:val="20"/>
          <w:szCs w:val="20"/>
        </w:rPr>
      </w:pPr>
      <w:bookmarkStart w:id="62" w:name="_Toc506974706"/>
      <w:r w:rsidRPr="006B4EE2">
        <w:rPr>
          <w:sz w:val="20"/>
          <w:szCs w:val="20"/>
        </w:rPr>
        <w:t>What action should service providers take with unspent funding received from the Department of Health and Human Services which is associated with their clients entering the NDIS?</w:t>
      </w:r>
      <w:bookmarkEnd w:id="62"/>
    </w:p>
    <w:p w:rsidR="00706A73" w:rsidRPr="00DF27FF" w:rsidRDefault="00706A73" w:rsidP="00706A73">
      <w:pPr>
        <w:pStyle w:val="DHHSbody"/>
      </w:pPr>
      <w:r w:rsidRPr="00DF27FF">
        <w:t xml:space="preserve">Service providers should </w:t>
      </w:r>
      <w:r>
        <w:t>hold any funds</w:t>
      </w:r>
      <w:r w:rsidRPr="00DF27FF">
        <w:t xml:space="preserve"> </w:t>
      </w:r>
      <w:r>
        <w:t xml:space="preserve">received for services delivered post plan approval, </w:t>
      </w:r>
      <w:r w:rsidRPr="00DF27FF">
        <w:t xml:space="preserve">as the department will be making retrospective service agreement variations back to a client's NDIS plan approval date. </w:t>
      </w:r>
    </w:p>
    <w:p w:rsidR="00706A73" w:rsidRPr="00DF27FF" w:rsidRDefault="00706A73" w:rsidP="00706A73">
      <w:pPr>
        <w:pStyle w:val="DHHSbody"/>
      </w:pPr>
      <w:r w:rsidRPr="00DF27FF">
        <w:t xml:space="preserve">This will impact on future payments or, where the service provider has insufficient departmental funding remaining, require the provider to return funds via </w:t>
      </w:r>
      <w:r>
        <w:t xml:space="preserve">an </w:t>
      </w:r>
      <w:r w:rsidRPr="00DF27FF">
        <w:t xml:space="preserve">invoice. </w:t>
      </w:r>
    </w:p>
    <w:p w:rsidR="00706A73" w:rsidRPr="001330FD" w:rsidRDefault="00706A73" w:rsidP="00706A73">
      <w:pPr>
        <w:pStyle w:val="DHHSbody"/>
      </w:pPr>
      <w:r w:rsidRPr="00DF27FF">
        <w:t xml:space="preserve">Unspent funds should be </w:t>
      </w:r>
      <w:r>
        <w:t xml:space="preserve">kept </w:t>
      </w:r>
      <w:r w:rsidRPr="00DF27FF">
        <w:t>available in an account from which the organisation can withdraw funds rather than a trust account.</w:t>
      </w:r>
    </w:p>
    <w:p w:rsidR="00706A73" w:rsidRPr="0060080A" w:rsidRDefault="00706A73" w:rsidP="00956D08">
      <w:pPr>
        <w:pStyle w:val="Heading3"/>
        <w:numPr>
          <w:ilvl w:val="0"/>
          <w:numId w:val="34"/>
        </w:numPr>
        <w:rPr>
          <w:sz w:val="20"/>
          <w:szCs w:val="20"/>
        </w:rPr>
      </w:pPr>
      <w:bookmarkStart w:id="63" w:name="_Toc506974707"/>
      <w:r w:rsidRPr="0060080A">
        <w:rPr>
          <w:sz w:val="20"/>
          <w:szCs w:val="20"/>
        </w:rPr>
        <w:t>What happens if there are insufficient funds left to adjust future payments?</w:t>
      </w:r>
      <w:bookmarkEnd w:id="63"/>
      <w:r w:rsidRPr="0060080A">
        <w:rPr>
          <w:sz w:val="20"/>
          <w:szCs w:val="20"/>
        </w:rPr>
        <w:t xml:space="preserve"> </w:t>
      </w:r>
    </w:p>
    <w:p w:rsidR="00706A73" w:rsidRDefault="00706A73" w:rsidP="00706A73">
      <w:pPr>
        <w:pStyle w:val="DHHSbody"/>
      </w:pPr>
      <w:r>
        <w:t>F</w:t>
      </w:r>
      <w:r w:rsidRPr="004043A7">
        <w:t>uture monthly payments to</w:t>
      </w:r>
      <w:r>
        <w:t xml:space="preserve"> service </w:t>
      </w:r>
      <w:r w:rsidRPr="004043A7">
        <w:t>providers</w:t>
      </w:r>
      <w:r>
        <w:t xml:space="preserve"> will be reduced to account for clients who have transitioned to the NDIS.</w:t>
      </w:r>
    </w:p>
    <w:p w:rsidR="00706A73" w:rsidRDefault="00706A73" w:rsidP="00706A73">
      <w:pPr>
        <w:pStyle w:val="DHHSbody"/>
      </w:pPr>
      <w:r>
        <w:t xml:space="preserve">For disability services activities, if there is insufficient funding left in the disability services funding but sufficient departmental funding within non-disability services agreement, a negative payment will be applied to an </w:t>
      </w:r>
      <w:r w:rsidRPr="00DF27FF">
        <w:rPr>
          <w:i/>
        </w:rPr>
        <w:t>NDIS</w:t>
      </w:r>
      <w:r>
        <w:rPr>
          <w:i/>
        </w:rPr>
        <w:t xml:space="preserve"> </w:t>
      </w:r>
      <w:r w:rsidRPr="00DF27FF">
        <w:rPr>
          <w:i/>
        </w:rPr>
        <w:t>Disability Services funding recoupment</w:t>
      </w:r>
      <w:r>
        <w:t xml:space="preserve"> activity within an </w:t>
      </w:r>
      <w:r w:rsidRPr="00DF27FF">
        <w:rPr>
          <w:i/>
        </w:rPr>
        <w:t>NDIS Transition Recoupment</w:t>
      </w:r>
      <w:r>
        <w:t xml:space="preserve"> service plan in the non</w:t>
      </w:r>
      <w:r>
        <w:noBreakHyphen/>
        <w:t>disability services agreement. This withdrawal will effectively reduce other payments in this agreement.</w:t>
      </w:r>
    </w:p>
    <w:p w:rsidR="00706A73" w:rsidRDefault="00706A73" w:rsidP="00706A73">
      <w:pPr>
        <w:pStyle w:val="DHHSbody"/>
      </w:pPr>
      <w:r w:rsidRPr="004043A7">
        <w:t xml:space="preserve">Where </w:t>
      </w:r>
      <w:r>
        <w:t xml:space="preserve">the </w:t>
      </w:r>
      <w:r w:rsidRPr="004043A7">
        <w:t xml:space="preserve">service agreement </w:t>
      </w:r>
      <w:r>
        <w:t xml:space="preserve">between the department and </w:t>
      </w:r>
      <w:r w:rsidR="008A73A3">
        <w:t xml:space="preserve">a </w:t>
      </w:r>
      <w:r>
        <w:t>service</w:t>
      </w:r>
      <w:r w:rsidRPr="004043A7">
        <w:t xml:space="preserve"> provider do</w:t>
      </w:r>
      <w:r w:rsidR="008A73A3">
        <w:t>es</w:t>
      </w:r>
      <w:r w:rsidRPr="004043A7">
        <w:t xml:space="preserve"> not have sufficient fund</w:t>
      </w:r>
      <w:r>
        <w:t>ing</w:t>
      </w:r>
      <w:r w:rsidRPr="004043A7">
        <w:t xml:space="preserve"> to offset the adjustment, an invoice will be issued </w:t>
      </w:r>
      <w:r>
        <w:t>to the</w:t>
      </w:r>
      <w:r w:rsidR="00190249">
        <w:t xml:space="preserve"> service</w:t>
      </w:r>
      <w:r>
        <w:t xml:space="preserve"> provider. Invoices will have standard payment terms as per existing service agreements.</w:t>
      </w:r>
    </w:p>
    <w:p w:rsidR="00706A73" w:rsidRDefault="00706A73" w:rsidP="00706A73">
      <w:pPr>
        <w:pStyle w:val="DHHSbody"/>
      </w:pPr>
      <w:r w:rsidRPr="009B508A">
        <w:t xml:space="preserve">A decision tree indicating the scenarios and the resultant withdrawal method </w:t>
      </w:r>
      <w:r w:rsidR="00190249">
        <w:t xml:space="preserve">is </w:t>
      </w:r>
      <w:r>
        <w:t xml:space="preserve">shown </w:t>
      </w:r>
      <w:r w:rsidR="00190249">
        <w:t xml:space="preserve">at </w:t>
      </w:r>
      <w:r w:rsidRPr="00DF27FF">
        <w:rPr>
          <w:b/>
        </w:rPr>
        <w:t>Appendix A</w:t>
      </w:r>
      <w:r w:rsidRPr="009B508A">
        <w:t>.</w:t>
      </w:r>
    </w:p>
    <w:p w:rsidR="00706A73" w:rsidRPr="006B4EE2" w:rsidRDefault="00706A73" w:rsidP="0089616E">
      <w:pPr>
        <w:pStyle w:val="Heading3"/>
        <w:numPr>
          <w:ilvl w:val="0"/>
          <w:numId w:val="34"/>
        </w:numPr>
        <w:rPr>
          <w:sz w:val="20"/>
          <w:szCs w:val="20"/>
        </w:rPr>
      </w:pPr>
      <w:bookmarkStart w:id="64" w:name="_Toc506974708"/>
      <w:r w:rsidRPr="006B4EE2">
        <w:rPr>
          <w:sz w:val="20"/>
          <w:szCs w:val="20"/>
        </w:rPr>
        <w:t>What if clients decide to move to a new service provider upon transition?</w:t>
      </w:r>
      <w:bookmarkEnd w:id="64"/>
    </w:p>
    <w:p w:rsidR="00706A73" w:rsidRDefault="00706A73" w:rsidP="00706A73">
      <w:pPr>
        <w:pStyle w:val="DHHSbody"/>
      </w:pPr>
      <w:r>
        <w:t xml:space="preserve">The Online </w:t>
      </w:r>
      <w:r w:rsidRPr="00E0494E">
        <w:t xml:space="preserve">Provider </w:t>
      </w:r>
      <w:r>
        <w:t xml:space="preserve">Report is a useful planning tool which enables service providers to understand which clients have been earmarked for plan approval – ‘Access met’ status means that they have been deemed eligible and will likely transition soon. </w:t>
      </w:r>
    </w:p>
    <w:p w:rsidR="00706A73" w:rsidRPr="00E0494E" w:rsidRDefault="00706A73" w:rsidP="00706A73">
      <w:pPr>
        <w:pStyle w:val="DHHSbody"/>
      </w:pPr>
      <w:r>
        <w:t>Service providers are strongly encouraged to use the information in the Online Provider Report to facilitate conversations with clients about their intentions regarding</w:t>
      </w:r>
      <w:r w:rsidR="00190249">
        <w:t xml:space="preserve"> their</w:t>
      </w:r>
      <w:r>
        <w:t xml:space="preserve"> choice of service provider post transition.</w:t>
      </w:r>
    </w:p>
    <w:p w:rsidR="00706A73" w:rsidRPr="006B4EE2" w:rsidRDefault="00706A73" w:rsidP="0089616E">
      <w:pPr>
        <w:pStyle w:val="Heading3"/>
        <w:numPr>
          <w:ilvl w:val="0"/>
          <w:numId w:val="34"/>
        </w:numPr>
        <w:rPr>
          <w:sz w:val="20"/>
          <w:szCs w:val="20"/>
        </w:rPr>
      </w:pPr>
      <w:bookmarkStart w:id="65" w:name="_Toc506974709"/>
      <w:r w:rsidRPr="006B4EE2">
        <w:rPr>
          <w:sz w:val="20"/>
          <w:szCs w:val="20"/>
        </w:rPr>
        <w:t>How has information relating to clients who have been supported by a service provider been collated?</w:t>
      </w:r>
      <w:bookmarkEnd w:id="65"/>
    </w:p>
    <w:p w:rsidR="00706A73" w:rsidRDefault="00706A73" w:rsidP="00706A73">
      <w:pPr>
        <w:pStyle w:val="DHHSbody"/>
      </w:pPr>
      <w:r>
        <w:t xml:space="preserve">Client data (including service details) from all service providers was collected through the client data </w:t>
      </w:r>
      <w:r w:rsidR="008A73A3">
        <w:t xml:space="preserve">refresh </w:t>
      </w:r>
      <w:r>
        <w:t xml:space="preserve">in </w:t>
      </w:r>
      <w:r w:rsidR="00A448C6">
        <w:t>M</w:t>
      </w:r>
      <w:r w:rsidR="00FB4FF4">
        <w:t>arch</w:t>
      </w:r>
      <w:r w:rsidR="00A448C6">
        <w:t xml:space="preserve"> 2018 </w:t>
      </w:r>
      <w:r>
        <w:t xml:space="preserve">(and </w:t>
      </w:r>
      <w:r w:rsidR="002F6496">
        <w:t xml:space="preserve">previous </w:t>
      </w:r>
      <w:r>
        <w:t xml:space="preserve">client data refreshes) and uploaded to the department’s database. </w:t>
      </w:r>
      <w:r w:rsidRPr="007D2309">
        <w:rPr>
          <w:i/>
        </w:rPr>
        <w:t>See the updating client data section for further details.</w:t>
      </w:r>
    </w:p>
    <w:p w:rsidR="00706A73" w:rsidRDefault="00706A73" w:rsidP="00706A73">
      <w:pPr>
        <w:pStyle w:val="DHHSbody"/>
      </w:pPr>
      <w:r>
        <w:t>Client information is provided to the NDIA so that it can contact potential NDIS participants. This information also enables the department to accurately determine the quantum of state funding to be withdrawn from service providers, by client and by activity.</w:t>
      </w:r>
    </w:p>
    <w:p w:rsidR="0061647B" w:rsidRDefault="0061647B" w:rsidP="00623960">
      <w:pPr>
        <w:pStyle w:val="Heading1"/>
        <w:rPr>
          <w:rFonts w:eastAsia="Times"/>
        </w:rPr>
      </w:pPr>
      <w:bookmarkStart w:id="66" w:name="_Toc506974710"/>
      <w:r>
        <w:t>Clients not eligible for the NDIS</w:t>
      </w:r>
      <w:bookmarkEnd w:id="66"/>
    </w:p>
    <w:p w:rsidR="0061647B" w:rsidRPr="006B4EE2" w:rsidRDefault="0061647B" w:rsidP="0089616E">
      <w:pPr>
        <w:pStyle w:val="Heading3"/>
        <w:numPr>
          <w:ilvl w:val="0"/>
          <w:numId w:val="34"/>
        </w:numPr>
        <w:rPr>
          <w:sz w:val="20"/>
          <w:szCs w:val="20"/>
        </w:rPr>
      </w:pPr>
      <w:bookmarkStart w:id="67" w:name="_Toc505247796"/>
      <w:bookmarkStart w:id="68" w:name="_Toc505589209"/>
      <w:bookmarkStart w:id="69" w:name="_Toc505589257"/>
      <w:bookmarkStart w:id="70" w:name="_Toc505605109"/>
      <w:bookmarkStart w:id="71" w:name="_Toc505605402"/>
      <w:bookmarkStart w:id="72" w:name="_Toc505612931"/>
      <w:bookmarkStart w:id="73" w:name="_Toc505247797"/>
      <w:bookmarkStart w:id="74" w:name="_Toc505589210"/>
      <w:bookmarkStart w:id="75" w:name="_Toc505589258"/>
      <w:bookmarkStart w:id="76" w:name="_Toc505605110"/>
      <w:bookmarkStart w:id="77" w:name="_Toc505605403"/>
      <w:bookmarkStart w:id="78" w:name="_Toc505612932"/>
      <w:bookmarkStart w:id="79" w:name="_Toc505605113"/>
      <w:bookmarkStart w:id="80" w:name="_Toc505605406"/>
      <w:bookmarkStart w:id="81" w:name="_Toc505612935"/>
      <w:bookmarkStart w:id="82" w:name="_Toc505605114"/>
      <w:bookmarkStart w:id="83" w:name="_Toc505605407"/>
      <w:bookmarkStart w:id="84" w:name="_Toc505612936"/>
      <w:bookmarkStart w:id="85" w:name="_Toc505605115"/>
      <w:bookmarkStart w:id="86" w:name="_Toc505605408"/>
      <w:bookmarkStart w:id="87" w:name="_Toc505612937"/>
      <w:bookmarkStart w:id="88" w:name="_Toc50697471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6B4EE2">
        <w:rPr>
          <w:sz w:val="20"/>
          <w:szCs w:val="20"/>
        </w:rPr>
        <w:t>What if clients are not eligible to enter the NDIS?</w:t>
      </w:r>
      <w:bookmarkEnd w:id="88"/>
    </w:p>
    <w:p w:rsidR="0061647B" w:rsidRPr="007D2309" w:rsidRDefault="0061647B" w:rsidP="0061647B">
      <w:pPr>
        <w:pStyle w:val="DHHSbody"/>
      </w:pPr>
      <w:r w:rsidRPr="007D2309">
        <w:t xml:space="preserve">Clients who are aged over 65, or 50 to 64 years old for Aboriginal and Torres Strait Islander clients, and are ineligible for the NDIS </w:t>
      </w:r>
      <w:r w:rsidR="002F6496">
        <w:t xml:space="preserve">will </w:t>
      </w:r>
      <w:r w:rsidRPr="007D2309">
        <w:t xml:space="preserve">continue to receive services under the Commonwealth’s Continuity of Support arrangements. The majority of clients eligible for the Commonwealth Continuity of Support arrangements </w:t>
      </w:r>
      <w:r w:rsidR="008A73A3">
        <w:t xml:space="preserve">started to transition from </w:t>
      </w:r>
      <w:r w:rsidRPr="007D2309">
        <w:t>1 April 2018, with the small number of remaining clients transferring by 30 June 2019.</w:t>
      </w:r>
    </w:p>
    <w:p w:rsidR="0061647B" w:rsidRPr="007D2309" w:rsidRDefault="0061647B" w:rsidP="0061647B">
      <w:pPr>
        <w:pStyle w:val="DHHSbody"/>
      </w:pPr>
      <w:r w:rsidRPr="007D2309">
        <w:t xml:space="preserve">Further information on the Commonwealth’s Continuity of Support arrangements is available on the </w:t>
      </w:r>
      <w:hyperlink r:id="rId14" w:history="1">
        <w:r w:rsidRPr="007D2309">
          <w:rPr>
            <w:rStyle w:val="Hyperlink"/>
          </w:rPr>
          <w:t>Victorian Government NDIS website</w:t>
        </w:r>
      </w:hyperlink>
      <w:r w:rsidRPr="007D2309">
        <w:t xml:space="preserve"> </w:t>
      </w:r>
      <w:r w:rsidRPr="00E4182D">
        <w:t>&lt;https://www.vic.gov.au/ndis/service-providers.html&gt;</w:t>
      </w:r>
      <w:r w:rsidRPr="007D2309">
        <w:t>.</w:t>
      </w:r>
    </w:p>
    <w:p w:rsidR="0061647B" w:rsidRPr="007D2309" w:rsidRDefault="0061647B" w:rsidP="0061647B">
      <w:pPr>
        <w:pStyle w:val="DHHSbody"/>
      </w:pPr>
      <w:r w:rsidRPr="007D2309">
        <w:t>Clients who are not eligible for the NDIS or the Commonwealth’s Continuity of Support arrangements will continue to receive Victorian Government funded services.</w:t>
      </w:r>
    </w:p>
    <w:p w:rsidR="0061647B" w:rsidRPr="006B4EE2" w:rsidRDefault="0061647B" w:rsidP="0089616E">
      <w:pPr>
        <w:pStyle w:val="Heading3"/>
        <w:numPr>
          <w:ilvl w:val="0"/>
          <w:numId w:val="34"/>
        </w:numPr>
        <w:rPr>
          <w:sz w:val="20"/>
          <w:szCs w:val="20"/>
        </w:rPr>
      </w:pPr>
      <w:bookmarkStart w:id="89" w:name="_Toc506974712"/>
      <w:r w:rsidRPr="006B4EE2">
        <w:rPr>
          <w:sz w:val="20"/>
          <w:szCs w:val="20"/>
        </w:rPr>
        <w:t xml:space="preserve">When will service providers be notified of clients transferring to the Commonwealth </w:t>
      </w:r>
      <w:r w:rsidR="002F6496" w:rsidRPr="006B4EE2">
        <w:rPr>
          <w:sz w:val="20"/>
          <w:szCs w:val="20"/>
        </w:rPr>
        <w:t xml:space="preserve">Continuity </w:t>
      </w:r>
      <w:r w:rsidRPr="006B4EE2">
        <w:rPr>
          <w:sz w:val="20"/>
          <w:szCs w:val="20"/>
        </w:rPr>
        <w:t xml:space="preserve">of </w:t>
      </w:r>
      <w:r w:rsidR="002F6496" w:rsidRPr="006B4EE2">
        <w:rPr>
          <w:sz w:val="20"/>
          <w:szCs w:val="20"/>
        </w:rPr>
        <w:t xml:space="preserve">Support </w:t>
      </w:r>
      <w:r w:rsidR="00190249">
        <w:rPr>
          <w:sz w:val="20"/>
          <w:szCs w:val="20"/>
        </w:rPr>
        <w:t>arrangements?</w:t>
      </w:r>
      <w:bookmarkEnd w:id="89"/>
    </w:p>
    <w:p w:rsidR="0061647B" w:rsidRDefault="0061647B" w:rsidP="0061647B">
      <w:pPr>
        <w:pStyle w:val="DHHSbody"/>
      </w:pPr>
      <w:r>
        <w:t xml:space="preserve">Once a client has transitioned to the Commonwealth </w:t>
      </w:r>
      <w:r w:rsidRPr="00996490">
        <w:t xml:space="preserve">Continuity of Support </w:t>
      </w:r>
      <w:r w:rsidR="00190249">
        <w:t>arrangements</w:t>
      </w:r>
      <w:r>
        <w:t>, disability service providers will be funded under new agreements with the Commonwealth Department of Health.</w:t>
      </w:r>
      <w:r w:rsidRPr="00306ACF">
        <w:t xml:space="preserve"> </w:t>
      </w:r>
    </w:p>
    <w:p w:rsidR="0061647B" w:rsidRDefault="0061647B" w:rsidP="0061647B">
      <w:pPr>
        <w:pStyle w:val="DHHSbody"/>
      </w:pPr>
      <w:r>
        <w:t>Service providers were advised of the date of transition to the Continuity of Support arrangements in June 2017. Since this time</w:t>
      </w:r>
      <w:r w:rsidR="006E43AC">
        <w:t>,</w:t>
      </w:r>
      <w:r>
        <w:t xml:space="preserve"> the Commonwealth Department of Health has been working with service providers to finalise the list of clients transitioning.</w:t>
      </w:r>
    </w:p>
    <w:p w:rsidR="0061647B" w:rsidRPr="006B4EE2" w:rsidRDefault="0061647B" w:rsidP="0089616E">
      <w:pPr>
        <w:pStyle w:val="Heading3"/>
        <w:numPr>
          <w:ilvl w:val="0"/>
          <w:numId w:val="34"/>
        </w:numPr>
        <w:rPr>
          <w:sz w:val="20"/>
          <w:szCs w:val="20"/>
        </w:rPr>
      </w:pPr>
      <w:bookmarkStart w:id="90" w:name="_Toc506974713"/>
      <w:r w:rsidRPr="006B4EE2">
        <w:rPr>
          <w:sz w:val="20"/>
          <w:szCs w:val="20"/>
        </w:rPr>
        <w:t xml:space="preserve">How will the Commonwealth Continuity of Support arrangements impact service provider </w:t>
      </w:r>
      <w:r w:rsidR="00C9046C" w:rsidRPr="006B4EE2">
        <w:rPr>
          <w:sz w:val="20"/>
          <w:szCs w:val="20"/>
        </w:rPr>
        <w:t xml:space="preserve">state </w:t>
      </w:r>
      <w:r w:rsidRPr="006B4EE2">
        <w:rPr>
          <w:sz w:val="20"/>
          <w:szCs w:val="20"/>
        </w:rPr>
        <w:t>funding, and how will this be calculated?</w:t>
      </w:r>
      <w:bookmarkEnd w:id="90"/>
    </w:p>
    <w:p w:rsidR="0061647B" w:rsidRDefault="0061647B" w:rsidP="0061647B">
      <w:pPr>
        <w:pStyle w:val="DHHSbodyafterbullets"/>
      </w:pPr>
      <w:r>
        <w:t xml:space="preserve">Funding and Service Agreements </w:t>
      </w:r>
      <w:r w:rsidR="008A73A3">
        <w:t xml:space="preserve">began </w:t>
      </w:r>
      <w:r>
        <w:t>to be varied effective from 1 April 2018 as the first stage of clients trans</w:t>
      </w:r>
      <w:r w:rsidR="008A73A3">
        <w:t>ition</w:t>
      </w:r>
      <w:r w:rsidR="004404A5">
        <w:t>ed</w:t>
      </w:r>
      <w:r w:rsidR="008A73A3">
        <w:t xml:space="preserve"> </w:t>
      </w:r>
      <w:r>
        <w:t>to the Commonwealth.</w:t>
      </w:r>
    </w:p>
    <w:p w:rsidR="0061647B" w:rsidRDefault="0061647B" w:rsidP="0061647B">
      <w:pPr>
        <w:pStyle w:val="DHHSbullet1"/>
        <w:numPr>
          <w:ilvl w:val="0"/>
          <w:numId w:val="0"/>
        </w:numPr>
      </w:pPr>
      <w:r>
        <w:t xml:space="preserve">Funding adjustments </w:t>
      </w:r>
      <w:r w:rsidR="008A73A3">
        <w:t xml:space="preserve">are </w:t>
      </w:r>
      <w:r>
        <w:t xml:space="preserve">based on the </w:t>
      </w:r>
      <w:r w:rsidR="00F12108">
        <w:t>clients</w:t>
      </w:r>
      <w:r>
        <w:t xml:space="preserve"> </w:t>
      </w:r>
      <w:r w:rsidR="00F20DDE">
        <w:t xml:space="preserve">in-scope for the </w:t>
      </w:r>
      <w:r>
        <w:t xml:space="preserve">funding agreements prepared by the Commonwealth Department of Health. Withdrawals will be calculated using the same funding withdrawal methodology in place for clients transitioning to the NDIS. </w:t>
      </w:r>
    </w:p>
    <w:p w:rsidR="0061647B" w:rsidRDefault="0061647B" w:rsidP="0061647B">
      <w:pPr>
        <w:pStyle w:val="DHHSbodyafterbullets"/>
      </w:pPr>
      <w:r>
        <w:t>The funding agreements with the Commonwealth include a provision for funding to be backdated to the transition date. If there is a delay in the execution of a service provider’s funding agreement, the Commonwealth’s payments will be backdated to the clients’ transition date.</w:t>
      </w:r>
    </w:p>
    <w:p w:rsidR="0061647B" w:rsidRPr="0060080A" w:rsidRDefault="0061647B" w:rsidP="0089616E">
      <w:pPr>
        <w:pStyle w:val="Heading3"/>
        <w:numPr>
          <w:ilvl w:val="0"/>
          <w:numId w:val="34"/>
        </w:numPr>
        <w:rPr>
          <w:sz w:val="20"/>
          <w:szCs w:val="20"/>
        </w:rPr>
      </w:pPr>
      <w:bookmarkStart w:id="91" w:name="_Toc506974714"/>
      <w:r w:rsidRPr="0060080A">
        <w:rPr>
          <w:sz w:val="20"/>
          <w:szCs w:val="20"/>
        </w:rPr>
        <w:t xml:space="preserve">How can we ensure that as many clients as possible enter the </w:t>
      </w:r>
      <w:r>
        <w:rPr>
          <w:sz w:val="20"/>
          <w:szCs w:val="20"/>
        </w:rPr>
        <w:t>NDIS</w:t>
      </w:r>
      <w:r w:rsidRPr="0060080A">
        <w:rPr>
          <w:sz w:val="20"/>
          <w:szCs w:val="20"/>
        </w:rPr>
        <w:t xml:space="preserve"> before their 65th birthday?</w:t>
      </w:r>
      <w:bookmarkEnd w:id="91"/>
    </w:p>
    <w:p w:rsidR="0061647B" w:rsidRPr="004703AE" w:rsidRDefault="0061647B" w:rsidP="0061647B">
      <w:pPr>
        <w:pStyle w:val="DHHSbody"/>
      </w:pPr>
      <w:r w:rsidRPr="004703AE">
        <w:t xml:space="preserve">Clients over the age of 65 are not eligible to enter the NDIS (although clients who turn 65 </w:t>
      </w:r>
      <w:r w:rsidR="00190249">
        <w:t>after joining</w:t>
      </w:r>
      <w:r w:rsidRPr="004703AE">
        <w:t xml:space="preserve"> the </w:t>
      </w:r>
      <w:r>
        <w:t>NDIS</w:t>
      </w:r>
      <w:r w:rsidRPr="004703AE">
        <w:t xml:space="preserve"> </w:t>
      </w:r>
      <w:r w:rsidR="00C9046C">
        <w:t>can</w:t>
      </w:r>
      <w:r w:rsidR="00C9046C" w:rsidRPr="004703AE">
        <w:t xml:space="preserve"> </w:t>
      </w:r>
      <w:r>
        <w:t>r</w:t>
      </w:r>
      <w:r w:rsidRPr="004703AE">
        <w:t xml:space="preserve">emain </w:t>
      </w:r>
      <w:r>
        <w:t>in the NDIS</w:t>
      </w:r>
      <w:r w:rsidRPr="004703AE">
        <w:t xml:space="preserve">). </w:t>
      </w:r>
    </w:p>
    <w:p w:rsidR="0061647B" w:rsidRDefault="0061647B" w:rsidP="0061647B">
      <w:pPr>
        <w:pStyle w:val="DHHSbody"/>
      </w:pPr>
      <w:r>
        <w:t>Victoria</w:t>
      </w:r>
      <w:r w:rsidRPr="004703AE">
        <w:t xml:space="preserve"> and </w:t>
      </w:r>
      <w:r>
        <w:t xml:space="preserve">the </w:t>
      </w:r>
      <w:r w:rsidRPr="004703AE">
        <w:t xml:space="preserve">Commonwealth have agreed that clients who are aged 64 </w:t>
      </w:r>
      <w:r>
        <w:t>at the time of their area’s transition will be prioritised for access</w:t>
      </w:r>
      <w:r w:rsidRPr="004703AE">
        <w:t xml:space="preserve">. </w:t>
      </w:r>
    </w:p>
    <w:p w:rsidR="00F20448" w:rsidRDefault="00F20448" w:rsidP="00F20448">
      <w:pPr>
        <w:pStyle w:val="DHHSbody"/>
      </w:pPr>
      <w:r w:rsidRPr="004703AE">
        <w:t xml:space="preserve">The NDIA will perform assessments and provide the necessary access for clients who are aged 64 up to </w:t>
      </w:r>
      <w:r>
        <w:t>six</w:t>
      </w:r>
      <w:r w:rsidRPr="004703AE">
        <w:t xml:space="preserve"> months prior to their area rollout. Although access requests will be </w:t>
      </w:r>
      <w:r>
        <w:t>made</w:t>
      </w:r>
      <w:r w:rsidRPr="004703AE">
        <w:t xml:space="preserve"> earlier, the clients will transition to the NDIS in line with the</w:t>
      </w:r>
      <w:r>
        <w:t>ir</w:t>
      </w:r>
      <w:r w:rsidRPr="004703AE">
        <w:t xml:space="preserve"> transition </w:t>
      </w:r>
      <w:r>
        <w:t>period</w:t>
      </w:r>
      <w:r w:rsidRPr="004703AE">
        <w:t xml:space="preserve">. Once access is </w:t>
      </w:r>
      <w:r>
        <w:t>met</w:t>
      </w:r>
      <w:r w:rsidRPr="004703AE">
        <w:t xml:space="preserve">, these clients will transition to the NDIS even if they are 65 </w:t>
      </w:r>
      <w:r>
        <w:t>on</w:t>
      </w:r>
      <w:r w:rsidRPr="004703AE">
        <w:t xml:space="preserve"> the actual transition date.</w:t>
      </w:r>
      <w:r w:rsidDel="00CD40F2">
        <w:t xml:space="preserve"> </w:t>
      </w:r>
    </w:p>
    <w:p w:rsidR="00DB696C" w:rsidRDefault="00DB696C" w:rsidP="009D258F">
      <w:pPr>
        <w:pStyle w:val="DHHSbody"/>
      </w:pPr>
      <w:r w:rsidDel="00CD40F2">
        <w:t xml:space="preserve"> </w:t>
      </w:r>
    </w:p>
    <w:p w:rsidR="006549FE" w:rsidRDefault="006549FE" w:rsidP="006549FE">
      <w:pPr>
        <w:pStyle w:val="Heading1"/>
      </w:pPr>
      <w:bookmarkStart w:id="92" w:name="_Toc489002277"/>
      <w:bookmarkStart w:id="93" w:name="_Toc489003513"/>
      <w:bookmarkStart w:id="94" w:name="_Toc489011046"/>
      <w:bookmarkStart w:id="95" w:name="_Toc489258028"/>
      <w:bookmarkStart w:id="96" w:name="_Toc489258087"/>
      <w:bookmarkStart w:id="97" w:name="_Toc489274093"/>
      <w:bookmarkStart w:id="98" w:name="_Toc489274152"/>
      <w:bookmarkStart w:id="99" w:name="_Toc489274355"/>
      <w:bookmarkStart w:id="100" w:name="_Toc479766955"/>
      <w:bookmarkStart w:id="101" w:name="_Toc482364899"/>
      <w:bookmarkStart w:id="102" w:name="_Toc506974715"/>
      <w:bookmarkStart w:id="103" w:name="_Toc458153154"/>
      <w:bookmarkEnd w:id="92"/>
      <w:bookmarkEnd w:id="93"/>
      <w:bookmarkEnd w:id="94"/>
      <w:bookmarkEnd w:id="95"/>
      <w:bookmarkEnd w:id="96"/>
      <w:bookmarkEnd w:id="97"/>
      <w:bookmarkEnd w:id="98"/>
      <w:bookmarkEnd w:id="99"/>
      <w:r w:rsidRPr="00FD31D1">
        <w:t xml:space="preserve">Updating </w:t>
      </w:r>
      <w:r>
        <w:t>client d</w:t>
      </w:r>
      <w:r w:rsidRPr="00FD31D1">
        <w:t>ata</w:t>
      </w:r>
      <w:bookmarkEnd w:id="100"/>
      <w:bookmarkEnd w:id="101"/>
      <w:bookmarkEnd w:id="102"/>
    </w:p>
    <w:p w:rsidR="006549FE" w:rsidRPr="006B4EE2" w:rsidRDefault="006549FE" w:rsidP="0089616E">
      <w:pPr>
        <w:pStyle w:val="Heading3"/>
        <w:numPr>
          <w:ilvl w:val="0"/>
          <w:numId w:val="34"/>
        </w:numPr>
        <w:rPr>
          <w:sz w:val="20"/>
          <w:szCs w:val="20"/>
        </w:rPr>
      </w:pPr>
      <w:bookmarkStart w:id="104" w:name="_Toc479766956"/>
      <w:bookmarkStart w:id="105" w:name="_Toc506974716"/>
      <w:r w:rsidRPr="006B4EE2">
        <w:rPr>
          <w:sz w:val="20"/>
          <w:szCs w:val="20"/>
        </w:rPr>
        <w:t>How can service providers update the list of clients they support?</w:t>
      </w:r>
      <w:bookmarkEnd w:id="104"/>
      <w:bookmarkEnd w:id="105"/>
    </w:p>
    <w:p w:rsidR="006549FE" w:rsidRDefault="006549FE" w:rsidP="00DF27FF">
      <w:pPr>
        <w:pStyle w:val="DHHSbody"/>
      </w:pPr>
      <w:r>
        <w:t>Service providers will be asked to update their client data</w:t>
      </w:r>
      <w:r w:rsidR="00171594">
        <w:t xml:space="preserve"> in September 2018.</w:t>
      </w:r>
      <w:r>
        <w:t xml:space="preserve"> </w:t>
      </w:r>
    </w:p>
    <w:p w:rsidR="006549FE" w:rsidRDefault="006549FE" w:rsidP="00DF27FF">
      <w:pPr>
        <w:pStyle w:val="DHHSbody"/>
      </w:pPr>
      <w:r w:rsidRPr="00165D1E">
        <w:t xml:space="preserve">Service providers will be </w:t>
      </w:r>
      <w:r>
        <w:t>supplied</w:t>
      </w:r>
      <w:r w:rsidRPr="00165D1E">
        <w:t xml:space="preserve"> with a tailored spreadsheet (the </w:t>
      </w:r>
      <w:r w:rsidR="00190249">
        <w:t>c</w:t>
      </w:r>
      <w:r w:rsidRPr="00165D1E">
        <w:t xml:space="preserve">lient </w:t>
      </w:r>
      <w:r w:rsidR="00190249">
        <w:t>d</w:t>
      </w:r>
      <w:r w:rsidRPr="00165D1E">
        <w:t xml:space="preserve">ata </w:t>
      </w:r>
      <w:r w:rsidR="00190249">
        <w:t>c</w:t>
      </w:r>
      <w:r w:rsidRPr="00165D1E">
        <w:t xml:space="preserve">ollection </w:t>
      </w:r>
      <w:r w:rsidR="00190249">
        <w:t>t</w:t>
      </w:r>
      <w:r w:rsidRPr="00165D1E">
        <w:t xml:space="preserve">emplate) </w:t>
      </w:r>
      <w:r>
        <w:t xml:space="preserve">that </w:t>
      </w:r>
      <w:r w:rsidRPr="00165D1E">
        <w:t>will be pre</w:t>
      </w:r>
      <w:r w:rsidR="001F42CB">
        <w:noBreakHyphen/>
      </w:r>
      <w:r>
        <w:t xml:space="preserve">populated </w:t>
      </w:r>
      <w:r w:rsidRPr="00165D1E">
        <w:t xml:space="preserve">with client data </w:t>
      </w:r>
      <w:r>
        <w:t>previously supplied</w:t>
      </w:r>
      <w:r w:rsidRPr="00165D1E">
        <w:t xml:space="preserve"> </w:t>
      </w:r>
      <w:r>
        <w:t>by the service provider</w:t>
      </w:r>
      <w:r w:rsidRPr="00165D1E">
        <w:t>. Each service provider</w:t>
      </w:r>
      <w:r>
        <w:t xml:space="preserve"> will be asked to</w:t>
      </w:r>
      <w:r w:rsidRPr="00165D1E">
        <w:t xml:space="preserve"> </w:t>
      </w:r>
      <w:r>
        <w:t>add new department-funded clients and to update client details, as appropriate</w:t>
      </w:r>
      <w:r w:rsidR="00645213">
        <w:t>,</w:t>
      </w:r>
      <w:r>
        <w:t xml:space="preserve"> in the ‘Your Latest Client Data’ worksheet</w:t>
      </w:r>
      <w:r w:rsidRPr="00165D1E">
        <w:t>.</w:t>
      </w:r>
      <w:r>
        <w:t xml:space="preserve"> </w:t>
      </w:r>
    </w:p>
    <w:p w:rsidR="006549FE" w:rsidRDefault="006549FE" w:rsidP="00DF27FF">
      <w:pPr>
        <w:pStyle w:val="DHHSbody"/>
      </w:pPr>
      <w:r w:rsidRPr="00EE6500">
        <w:t xml:space="preserve">The transfer of client data to and from service providers will continue to be made through the SigBox </w:t>
      </w:r>
      <w:r w:rsidR="00C9046C">
        <w:t xml:space="preserve">online </w:t>
      </w:r>
      <w:r w:rsidRPr="00EE6500">
        <w:t>data room facility.</w:t>
      </w:r>
      <w:r w:rsidRPr="00165D1E">
        <w:t xml:space="preserve"> </w:t>
      </w:r>
    </w:p>
    <w:p w:rsidR="006549FE" w:rsidRDefault="006549FE" w:rsidP="00DF27FF">
      <w:pPr>
        <w:pStyle w:val="DHHSbody"/>
      </w:pPr>
      <w:r>
        <w:t>Further details are available in the</w:t>
      </w:r>
      <w:r w:rsidR="00C9046C">
        <w:t xml:space="preserve"> Client Data Refresh FAQs document available at</w:t>
      </w:r>
      <w:r w:rsidRPr="00DF27FF">
        <w:t xml:space="preserve"> </w:t>
      </w:r>
      <w:hyperlink r:id="rId15" w:history="1">
        <w:r w:rsidR="00C9046C">
          <w:rPr>
            <w:rStyle w:val="Hyperlink"/>
            <w:i/>
          </w:rPr>
          <w:t>https://www.vic.gov.au/ndis/service-providers.html</w:t>
        </w:r>
      </w:hyperlink>
      <w:r>
        <w:t xml:space="preserve"> .</w:t>
      </w:r>
    </w:p>
    <w:p w:rsidR="006549FE" w:rsidRPr="006B4EE2" w:rsidRDefault="006549FE" w:rsidP="0089616E">
      <w:pPr>
        <w:pStyle w:val="Heading3"/>
        <w:numPr>
          <w:ilvl w:val="0"/>
          <w:numId w:val="34"/>
        </w:numPr>
        <w:rPr>
          <w:sz w:val="20"/>
          <w:szCs w:val="20"/>
        </w:rPr>
      </w:pPr>
      <w:bookmarkStart w:id="106" w:name="_Toc479603170"/>
      <w:bookmarkStart w:id="107" w:name="_Toc479683998"/>
      <w:bookmarkStart w:id="108" w:name="_Toc479687320"/>
      <w:bookmarkStart w:id="109" w:name="_Toc479687740"/>
      <w:bookmarkStart w:id="110" w:name="_Toc479687910"/>
      <w:bookmarkStart w:id="111" w:name="_Toc479688099"/>
      <w:bookmarkStart w:id="112" w:name="_Toc479688162"/>
      <w:bookmarkStart w:id="113" w:name="_Toc479688225"/>
      <w:bookmarkStart w:id="114" w:name="_Toc479688287"/>
      <w:bookmarkStart w:id="115" w:name="_Toc478051543"/>
      <w:bookmarkStart w:id="116" w:name="_Toc478051694"/>
      <w:bookmarkStart w:id="117" w:name="_Toc478051745"/>
      <w:bookmarkStart w:id="118" w:name="_Toc478051796"/>
      <w:bookmarkStart w:id="119" w:name="_Toc478130591"/>
      <w:bookmarkStart w:id="120" w:name="_Toc478130644"/>
      <w:bookmarkStart w:id="121" w:name="_Toc478135433"/>
      <w:bookmarkStart w:id="122" w:name="_Toc478138014"/>
      <w:bookmarkStart w:id="123" w:name="_Toc478572692"/>
      <w:bookmarkStart w:id="124" w:name="_Toc479239668"/>
      <w:bookmarkStart w:id="125" w:name="_Toc478044027"/>
      <w:bookmarkStart w:id="126" w:name="_Toc478046936"/>
      <w:bookmarkStart w:id="127" w:name="_Toc478047063"/>
      <w:bookmarkStart w:id="128" w:name="_Toc478051544"/>
      <w:bookmarkStart w:id="129" w:name="_Toc478051695"/>
      <w:bookmarkStart w:id="130" w:name="_Toc478051746"/>
      <w:bookmarkStart w:id="131" w:name="_Toc478051797"/>
      <w:bookmarkStart w:id="132" w:name="_Toc478130592"/>
      <w:bookmarkStart w:id="133" w:name="_Toc478130645"/>
      <w:bookmarkStart w:id="134" w:name="_Toc478135434"/>
      <w:bookmarkStart w:id="135" w:name="_Toc478138015"/>
      <w:bookmarkStart w:id="136" w:name="_Toc478572693"/>
      <w:bookmarkStart w:id="137" w:name="_Toc479239669"/>
      <w:bookmarkStart w:id="138" w:name="_Toc479766957"/>
      <w:bookmarkStart w:id="139" w:name="_Toc506974717"/>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6B4EE2">
        <w:rPr>
          <w:sz w:val="20"/>
          <w:szCs w:val="20"/>
        </w:rPr>
        <w:t xml:space="preserve">Why is client data being </w:t>
      </w:r>
      <w:r w:rsidR="009C143C" w:rsidRPr="006B4EE2">
        <w:rPr>
          <w:sz w:val="20"/>
          <w:szCs w:val="20"/>
        </w:rPr>
        <w:t>updated</w:t>
      </w:r>
      <w:r w:rsidRPr="006B4EE2">
        <w:rPr>
          <w:sz w:val="20"/>
          <w:szCs w:val="20"/>
        </w:rPr>
        <w:t>?</w:t>
      </w:r>
      <w:bookmarkEnd w:id="138"/>
      <w:bookmarkEnd w:id="139"/>
    </w:p>
    <w:p w:rsidR="006549FE" w:rsidRDefault="006549FE" w:rsidP="00DF27FF">
      <w:pPr>
        <w:pStyle w:val="DHHSbody"/>
      </w:pPr>
      <w:r w:rsidRPr="006C2893">
        <w:t>There are three main reasons why client da</w:t>
      </w:r>
      <w:r w:rsidRPr="008715C0">
        <w:t>ta is updated</w:t>
      </w:r>
      <w:r>
        <w:t>:</w:t>
      </w:r>
    </w:p>
    <w:p w:rsidR="006549FE" w:rsidRPr="008715C0" w:rsidRDefault="006549FE" w:rsidP="00DF27FF">
      <w:pPr>
        <w:pStyle w:val="DHHSbody"/>
        <w:numPr>
          <w:ilvl w:val="0"/>
          <w:numId w:val="39"/>
        </w:numPr>
      </w:pPr>
      <w:r>
        <w:t>t</w:t>
      </w:r>
      <w:r w:rsidRPr="00631573">
        <w:t>o ensure that eligible clients do not miss ou</w:t>
      </w:r>
      <w:r>
        <w:t>t on streamlined access to the NDIS</w:t>
      </w:r>
    </w:p>
    <w:p w:rsidR="006549FE" w:rsidRPr="008715C0" w:rsidRDefault="006549FE" w:rsidP="00DF27FF">
      <w:pPr>
        <w:pStyle w:val="DHHSbody"/>
        <w:numPr>
          <w:ilvl w:val="0"/>
          <w:numId w:val="39"/>
        </w:numPr>
      </w:pPr>
      <w:r>
        <w:t xml:space="preserve">so service providers can identify when clients have become NDIS participants, and therefore </w:t>
      </w:r>
      <w:r w:rsidRPr="00631573">
        <w:t>can</w:t>
      </w:r>
      <w:r>
        <w:t xml:space="preserve"> commence invoicing</w:t>
      </w:r>
      <w:r w:rsidRPr="00631573">
        <w:t xml:space="preserve"> the NDIA for services provided to th</w:t>
      </w:r>
      <w:r>
        <w:t>o</w:t>
      </w:r>
      <w:r w:rsidRPr="00631573">
        <w:t xml:space="preserve">se </w:t>
      </w:r>
      <w:r>
        <w:t>clients</w:t>
      </w:r>
    </w:p>
    <w:p w:rsidR="006549FE" w:rsidRPr="006C2893" w:rsidRDefault="006549FE" w:rsidP="00DF27FF">
      <w:pPr>
        <w:pStyle w:val="DHHSbody"/>
        <w:numPr>
          <w:ilvl w:val="0"/>
          <w:numId w:val="39"/>
        </w:numPr>
      </w:pPr>
      <w:r w:rsidRPr="00631573">
        <w:t>accurate and up</w:t>
      </w:r>
      <w:r>
        <w:t>-</w:t>
      </w:r>
      <w:r w:rsidRPr="00631573">
        <w:t>to</w:t>
      </w:r>
      <w:r>
        <w:t>-</w:t>
      </w:r>
      <w:r w:rsidRPr="00631573">
        <w:t xml:space="preserve">date client data ensures that </w:t>
      </w:r>
      <w:r>
        <w:t xml:space="preserve">block </w:t>
      </w:r>
      <w:r w:rsidRPr="00631573">
        <w:t xml:space="preserve">funding withdrawals are calculated </w:t>
      </w:r>
      <w:r w:rsidR="00F65F9E">
        <w:t>correctly</w:t>
      </w:r>
      <w:r>
        <w:t>.</w:t>
      </w:r>
    </w:p>
    <w:p w:rsidR="006549FE" w:rsidRPr="006B4EE2" w:rsidRDefault="006549FE" w:rsidP="0089616E">
      <w:pPr>
        <w:pStyle w:val="Heading3"/>
        <w:numPr>
          <w:ilvl w:val="0"/>
          <w:numId w:val="34"/>
        </w:numPr>
        <w:rPr>
          <w:sz w:val="20"/>
          <w:szCs w:val="20"/>
        </w:rPr>
      </w:pPr>
      <w:bookmarkStart w:id="140" w:name="_Toc479603172"/>
      <w:bookmarkStart w:id="141" w:name="_Toc479684000"/>
      <w:bookmarkStart w:id="142" w:name="_Toc479687322"/>
      <w:bookmarkStart w:id="143" w:name="_Toc479687742"/>
      <w:bookmarkStart w:id="144" w:name="_Toc479687912"/>
      <w:bookmarkStart w:id="145" w:name="_Toc479688101"/>
      <w:bookmarkStart w:id="146" w:name="_Toc479688164"/>
      <w:bookmarkStart w:id="147" w:name="_Toc479688227"/>
      <w:bookmarkStart w:id="148" w:name="_Toc479688289"/>
      <w:bookmarkStart w:id="149" w:name="_Toc479766958"/>
      <w:bookmarkStart w:id="150" w:name="_Toc506974718"/>
      <w:bookmarkEnd w:id="140"/>
      <w:bookmarkEnd w:id="141"/>
      <w:bookmarkEnd w:id="142"/>
      <w:bookmarkEnd w:id="143"/>
      <w:bookmarkEnd w:id="144"/>
      <w:bookmarkEnd w:id="145"/>
      <w:bookmarkEnd w:id="146"/>
      <w:bookmarkEnd w:id="147"/>
      <w:bookmarkEnd w:id="148"/>
      <w:r w:rsidRPr="006B4EE2">
        <w:rPr>
          <w:sz w:val="20"/>
          <w:szCs w:val="20"/>
        </w:rPr>
        <w:t>Are service provide</w:t>
      </w:r>
      <w:r w:rsidR="00790777" w:rsidRPr="006B4EE2">
        <w:rPr>
          <w:sz w:val="20"/>
          <w:szCs w:val="20"/>
        </w:rPr>
        <w:t>r</w:t>
      </w:r>
      <w:r w:rsidRPr="006B4EE2">
        <w:rPr>
          <w:sz w:val="20"/>
          <w:szCs w:val="20"/>
        </w:rPr>
        <w:t>s that are solely funded for Home and Community Care Program for Younger People (HACC-PYP) required to update their client data?</w:t>
      </w:r>
      <w:bookmarkEnd w:id="149"/>
      <w:bookmarkEnd w:id="150"/>
    </w:p>
    <w:p w:rsidR="006549FE" w:rsidRDefault="006549FE" w:rsidP="00DF27FF">
      <w:pPr>
        <w:pStyle w:val="DHHSbody"/>
      </w:pPr>
      <w:r w:rsidRPr="00631573">
        <w:t xml:space="preserve">Yes. </w:t>
      </w:r>
      <w:r>
        <w:t xml:space="preserve">These service providers </w:t>
      </w:r>
      <w:r w:rsidRPr="00631573">
        <w:t xml:space="preserve">will be asked to identify </w:t>
      </w:r>
      <w:r>
        <w:t xml:space="preserve">their </w:t>
      </w:r>
      <w:r w:rsidRPr="00631573">
        <w:t>clients</w:t>
      </w:r>
      <w:r>
        <w:t xml:space="preserve"> </w:t>
      </w:r>
      <w:r w:rsidRPr="00631573">
        <w:t>who are likel</w:t>
      </w:r>
      <w:r w:rsidR="004F7A8C">
        <w:t>y to be eligible for the NDIS.</w:t>
      </w:r>
    </w:p>
    <w:p w:rsidR="006549FE" w:rsidRPr="006B4EE2" w:rsidRDefault="006549FE" w:rsidP="0089616E">
      <w:pPr>
        <w:pStyle w:val="Heading3"/>
        <w:numPr>
          <w:ilvl w:val="0"/>
          <w:numId w:val="34"/>
        </w:numPr>
        <w:rPr>
          <w:sz w:val="20"/>
          <w:szCs w:val="20"/>
        </w:rPr>
      </w:pPr>
      <w:bookmarkStart w:id="151" w:name="_Toc503536317"/>
      <w:bookmarkStart w:id="152" w:name="_Toc503536701"/>
      <w:bookmarkStart w:id="153" w:name="_Toc479766959"/>
      <w:bookmarkStart w:id="154" w:name="_Toc506974719"/>
      <w:bookmarkEnd w:id="151"/>
      <w:bookmarkEnd w:id="152"/>
      <w:r w:rsidRPr="006B4EE2">
        <w:rPr>
          <w:sz w:val="20"/>
          <w:szCs w:val="20"/>
        </w:rPr>
        <w:t>Should service providers alert the department when a client passes away?</w:t>
      </w:r>
      <w:bookmarkEnd w:id="153"/>
      <w:bookmarkEnd w:id="154"/>
    </w:p>
    <w:p w:rsidR="006549FE" w:rsidRDefault="006549FE" w:rsidP="00DF27FF">
      <w:pPr>
        <w:pStyle w:val="DHHSbody"/>
      </w:pPr>
      <w:r>
        <w:t>Yes. Service providers</w:t>
      </w:r>
      <w:r w:rsidRPr="00B26871">
        <w:t xml:space="preserve"> should communicate a client</w:t>
      </w:r>
      <w:r>
        <w:t>’s</w:t>
      </w:r>
      <w:r w:rsidRPr="00B26871">
        <w:t xml:space="preserve"> </w:t>
      </w:r>
      <w:r>
        <w:t xml:space="preserve">death </w:t>
      </w:r>
      <w:r w:rsidRPr="00B26871">
        <w:t xml:space="preserve">to their </w:t>
      </w:r>
      <w:r w:rsidR="00FB4FF4">
        <w:t>departmental Adviser</w:t>
      </w:r>
      <w:r w:rsidR="00FB4FF4" w:rsidRPr="00EA4BA6">
        <w:t xml:space="preserve"> </w:t>
      </w:r>
      <w:r w:rsidRPr="00B26871">
        <w:t xml:space="preserve">and to </w:t>
      </w:r>
      <w:hyperlink r:id="rId16" w:history="1">
        <w:r w:rsidR="00425BE5">
          <w:rPr>
            <w:rStyle w:val="Hyperlink"/>
          </w:rPr>
          <w:t>NDIS.data@dhhs.vic.gov.au</w:t>
        </w:r>
      </w:hyperlink>
      <w:r w:rsidRPr="00B26871">
        <w:t xml:space="preserve"> </w:t>
      </w:r>
      <w:r>
        <w:t xml:space="preserve">without delay </w:t>
      </w:r>
      <w:r w:rsidRPr="00B26871">
        <w:t xml:space="preserve">so </w:t>
      </w:r>
      <w:r>
        <w:t>that client records are updated and attempts to contact the client or their family</w:t>
      </w:r>
      <w:r w:rsidR="006D23EF">
        <w:t xml:space="preserve"> cease</w:t>
      </w:r>
      <w:r w:rsidR="00171594">
        <w:t>d</w:t>
      </w:r>
      <w:r>
        <w:t>.</w:t>
      </w:r>
      <w:r w:rsidRPr="00B26871">
        <w:t xml:space="preserve"> </w:t>
      </w:r>
    </w:p>
    <w:p w:rsidR="006549FE" w:rsidRPr="006B4EE2" w:rsidRDefault="006549FE" w:rsidP="0089616E">
      <w:pPr>
        <w:pStyle w:val="Heading3"/>
        <w:numPr>
          <w:ilvl w:val="0"/>
          <w:numId w:val="34"/>
        </w:numPr>
        <w:rPr>
          <w:sz w:val="20"/>
          <w:szCs w:val="20"/>
        </w:rPr>
      </w:pPr>
      <w:bookmarkStart w:id="155" w:name="_Toc479766960"/>
      <w:bookmarkStart w:id="156" w:name="_Toc506974720"/>
      <w:r w:rsidRPr="006B4EE2">
        <w:rPr>
          <w:sz w:val="20"/>
          <w:szCs w:val="20"/>
        </w:rPr>
        <w:t>Are there any other documents that service providers can review to assist with updating their client data</w:t>
      </w:r>
      <w:r w:rsidR="009C143C" w:rsidRPr="006B4EE2">
        <w:rPr>
          <w:sz w:val="20"/>
          <w:szCs w:val="20"/>
        </w:rPr>
        <w:t>?</w:t>
      </w:r>
      <w:bookmarkEnd w:id="155"/>
      <w:bookmarkEnd w:id="156"/>
    </w:p>
    <w:p w:rsidR="00EA4BA6" w:rsidRPr="00EA4BA6" w:rsidRDefault="00EA4BA6" w:rsidP="00EA4BA6">
      <w:pPr>
        <w:pStyle w:val="dhhsbody0"/>
        <w:rPr>
          <w:rFonts w:ascii="Arial" w:eastAsia="Times" w:hAnsi="Arial"/>
          <w:sz w:val="20"/>
          <w:szCs w:val="20"/>
          <w:lang w:eastAsia="en-US"/>
        </w:rPr>
      </w:pPr>
      <w:bookmarkStart w:id="157" w:name="_Toc479766961"/>
      <w:bookmarkStart w:id="158" w:name="_Toc482364900"/>
      <w:r w:rsidRPr="001869A2">
        <w:rPr>
          <w:rFonts w:ascii="Arial" w:eastAsia="Times" w:hAnsi="Arial"/>
          <w:sz w:val="20"/>
          <w:szCs w:val="20"/>
          <w:lang w:eastAsia="en-US"/>
        </w:rPr>
        <w:t>Yes. Along with detailed instructions in the client data collection template, there is an Information Summary for service providers</w:t>
      </w:r>
      <w:r w:rsidR="00645213">
        <w:rPr>
          <w:rFonts w:ascii="Arial" w:eastAsia="Times" w:hAnsi="Arial"/>
          <w:sz w:val="20"/>
          <w:szCs w:val="20"/>
          <w:lang w:eastAsia="en-US"/>
        </w:rPr>
        <w:t xml:space="preserve"> and</w:t>
      </w:r>
      <w:r w:rsidRPr="001869A2">
        <w:rPr>
          <w:rFonts w:ascii="Arial" w:eastAsia="Times" w:hAnsi="Arial"/>
          <w:sz w:val="20"/>
          <w:szCs w:val="20"/>
          <w:lang w:eastAsia="en-US"/>
        </w:rPr>
        <w:t xml:space="preserve"> a Frequently Asked Questions</w:t>
      </w:r>
      <w:r w:rsidR="007C4514" w:rsidRPr="001869A2">
        <w:rPr>
          <w:rFonts w:ascii="Arial" w:eastAsia="Times" w:hAnsi="Arial"/>
          <w:sz w:val="20"/>
          <w:szCs w:val="20"/>
          <w:lang w:eastAsia="en-US"/>
        </w:rPr>
        <w:t xml:space="preserve"> (FAQ</w:t>
      </w:r>
      <w:r w:rsidRPr="001869A2">
        <w:rPr>
          <w:rFonts w:ascii="Arial" w:eastAsia="Times" w:hAnsi="Arial"/>
          <w:sz w:val="20"/>
          <w:szCs w:val="20"/>
          <w:lang w:eastAsia="en-US"/>
        </w:rPr>
        <w:t>s) document on the client data refresh</w:t>
      </w:r>
      <w:r w:rsidR="00171594">
        <w:rPr>
          <w:rFonts w:ascii="Arial" w:eastAsia="Times" w:hAnsi="Arial"/>
          <w:sz w:val="20"/>
          <w:szCs w:val="20"/>
          <w:lang w:eastAsia="en-US"/>
        </w:rPr>
        <w:t>.</w:t>
      </w:r>
      <w:r w:rsidRPr="001869A2">
        <w:rPr>
          <w:rFonts w:ascii="Arial" w:eastAsia="Times" w:hAnsi="Arial"/>
          <w:sz w:val="20"/>
          <w:szCs w:val="20"/>
          <w:lang w:eastAsia="en-US"/>
        </w:rPr>
        <w:t xml:space="preserve"> </w:t>
      </w:r>
    </w:p>
    <w:p w:rsidR="00C9046C" w:rsidRPr="00C9046C" w:rsidRDefault="00C9046C" w:rsidP="00EA4BA6">
      <w:pPr>
        <w:pStyle w:val="dhhsbody0"/>
        <w:rPr>
          <w:rStyle w:val="Hyperlink"/>
          <w:rFonts w:ascii="Arial" w:hAnsi="Arial" w:cs="Arial"/>
          <w:i/>
          <w:sz w:val="20"/>
          <w:szCs w:val="20"/>
        </w:rPr>
      </w:pPr>
      <w:r w:rsidRPr="00C9046C">
        <w:rPr>
          <w:rFonts w:ascii="Arial" w:hAnsi="Arial" w:cs="Arial"/>
          <w:sz w:val="20"/>
          <w:szCs w:val="20"/>
        </w:rPr>
        <w:t xml:space="preserve">Further details are available at </w:t>
      </w:r>
      <w:hyperlink r:id="rId17" w:history="1">
        <w:r w:rsidRPr="00C9046C">
          <w:rPr>
            <w:rStyle w:val="Hyperlink"/>
            <w:rFonts w:ascii="Arial" w:hAnsi="Arial" w:cs="Arial"/>
            <w:i/>
            <w:sz w:val="20"/>
            <w:szCs w:val="20"/>
          </w:rPr>
          <w:t>https://www.vic.gov.au/ndis/service-providers.html</w:t>
        </w:r>
      </w:hyperlink>
    </w:p>
    <w:p w:rsidR="00EA4BA6" w:rsidRPr="00EA4BA6" w:rsidRDefault="00EA4BA6" w:rsidP="00EA4BA6">
      <w:pPr>
        <w:pStyle w:val="dhhsbody0"/>
        <w:rPr>
          <w:rFonts w:ascii="Arial" w:eastAsia="Times" w:hAnsi="Arial"/>
          <w:sz w:val="20"/>
          <w:szCs w:val="20"/>
          <w:lang w:eastAsia="en-US"/>
        </w:rPr>
      </w:pPr>
      <w:r w:rsidRPr="00EA4BA6">
        <w:rPr>
          <w:rFonts w:ascii="Arial" w:eastAsia="Times" w:hAnsi="Arial"/>
          <w:sz w:val="20"/>
          <w:szCs w:val="20"/>
          <w:lang w:eastAsia="en-US"/>
        </w:rPr>
        <w:t>Please contact your</w:t>
      </w:r>
      <w:r w:rsidR="00FB4FF4">
        <w:rPr>
          <w:rFonts w:ascii="Arial" w:eastAsia="Times" w:hAnsi="Arial"/>
          <w:sz w:val="20"/>
          <w:szCs w:val="20"/>
          <w:lang w:eastAsia="en-US"/>
        </w:rPr>
        <w:t xml:space="preserve"> departmental Adviser</w:t>
      </w:r>
      <w:r w:rsidRPr="00EA4BA6">
        <w:rPr>
          <w:rFonts w:ascii="Arial" w:eastAsia="Times" w:hAnsi="Arial"/>
          <w:sz w:val="20"/>
          <w:szCs w:val="20"/>
          <w:lang w:eastAsia="en-US"/>
        </w:rPr>
        <w:t xml:space="preserve"> if you require any additional assistance. </w:t>
      </w:r>
    </w:p>
    <w:p w:rsidR="006549FE" w:rsidRPr="0060080A" w:rsidRDefault="006549FE" w:rsidP="0089616E">
      <w:pPr>
        <w:pStyle w:val="Heading3"/>
        <w:numPr>
          <w:ilvl w:val="0"/>
          <w:numId w:val="34"/>
        </w:numPr>
        <w:rPr>
          <w:sz w:val="20"/>
          <w:szCs w:val="20"/>
        </w:rPr>
      </w:pPr>
      <w:bookmarkStart w:id="159" w:name="_Toc505247815"/>
      <w:bookmarkStart w:id="160" w:name="_Toc505589222"/>
      <w:bookmarkStart w:id="161" w:name="_Toc505589270"/>
      <w:bookmarkStart w:id="162" w:name="_Toc505605126"/>
      <w:bookmarkStart w:id="163" w:name="_Toc505605419"/>
      <w:bookmarkStart w:id="164" w:name="_Toc505612948"/>
      <w:bookmarkStart w:id="165" w:name="_Toc479766962"/>
      <w:bookmarkStart w:id="166" w:name="_Toc506974721"/>
      <w:bookmarkEnd w:id="103"/>
      <w:bookmarkEnd w:id="157"/>
      <w:bookmarkEnd w:id="158"/>
      <w:bookmarkEnd w:id="159"/>
      <w:bookmarkEnd w:id="160"/>
      <w:bookmarkEnd w:id="161"/>
      <w:bookmarkEnd w:id="162"/>
      <w:bookmarkEnd w:id="163"/>
      <w:bookmarkEnd w:id="164"/>
      <w:r w:rsidRPr="0060080A">
        <w:rPr>
          <w:sz w:val="20"/>
          <w:szCs w:val="20"/>
        </w:rPr>
        <w:t>Who should service providers contact with questions</w:t>
      </w:r>
      <w:r>
        <w:rPr>
          <w:sz w:val="20"/>
          <w:szCs w:val="20"/>
        </w:rPr>
        <w:t xml:space="preserve"> and/ or any issues</w:t>
      </w:r>
      <w:r w:rsidRPr="0060080A">
        <w:rPr>
          <w:sz w:val="20"/>
          <w:szCs w:val="20"/>
        </w:rPr>
        <w:t>?</w:t>
      </w:r>
      <w:bookmarkEnd w:id="165"/>
      <w:bookmarkEnd w:id="166"/>
    </w:p>
    <w:p w:rsidR="006549FE" w:rsidRDefault="006549FE" w:rsidP="00DF27FF">
      <w:pPr>
        <w:pStyle w:val="DHHSbody"/>
      </w:pPr>
      <w:r>
        <w:t xml:space="preserve">All issues and questions should be directed to the </w:t>
      </w:r>
      <w:r w:rsidR="00171594">
        <w:t xml:space="preserve">service </w:t>
      </w:r>
      <w:r>
        <w:t xml:space="preserve">provider’s </w:t>
      </w:r>
      <w:r w:rsidR="00FB4FF4">
        <w:t>departmental Adviser</w:t>
      </w:r>
      <w:r>
        <w:t>.</w:t>
      </w:r>
    </w:p>
    <w:p w:rsidR="00DA577B" w:rsidRPr="00937791" w:rsidRDefault="00DA577B" w:rsidP="00DA577B">
      <w:pPr>
        <w:pStyle w:val="Heading1"/>
      </w:pPr>
      <w:bookmarkStart w:id="167" w:name="_Toc489274366"/>
      <w:bookmarkStart w:id="168" w:name="_Toc506974722"/>
      <w:bookmarkStart w:id="169" w:name="_Toc479766963"/>
      <w:bookmarkStart w:id="170" w:name="_Toc482364901"/>
      <w:r>
        <w:t xml:space="preserve">Provider reports available through the Online </w:t>
      </w:r>
      <w:r w:rsidR="00645213">
        <w:t xml:space="preserve">Provider </w:t>
      </w:r>
      <w:r>
        <w:t>Report and SigBox</w:t>
      </w:r>
      <w:bookmarkEnd w:id="167"/>
      <w:bookmarkEnd w:id="168"/>
    </w:p>
    <w:p w:rsidR="006549FE" w:rsidRPr="006B4EE2" w:rsidRDefault="006549FE" w:rsidP="0089616E">
      <w:pPr>
        <w:pStyle w:val="Heading3"/>
        <w:numPr>
          <w:ilvl w:val="0"/>
          <w:numId w:val="34"/>
        </w:numPr>
        <w:rPr>
          <w:sz w:val="20"/>
          <w:szCs w:val="20"/>
        </w:rPr>
      </w:pPr>
      <w:bookmarkStart w:id="171" w:name="_Toc503536323"/>
      <w:bookmarkStart w:id="172" w:name="_Toc503536707"/>
      <w:bookmarkStart w:id="173" w:name="_Toc479766964"/>
      <w:bookmarkStart w:id="174" w:name="_Toc506974723"/>
      <w:bookmarkEnd w:id="169"/>
      <w:bookmarkEnd w:id="170"/>
      <w:bookmarkEnd w:id="171"/>
      <w:bookmarkEnd w:id="172"/>
      <w:r w:rsidRPr="006B4EE2">
        <w:rPr>
          <w:sz w:val="20"/>
          <w:szCs w:val="20"/>
        </w:rPr>
        <w:t xml:space="preserve">What </w:t>
      </w:r>
      <w:r w:rsidR="00645213" w:rsidRPr="006B4EE2">
        <w:rPr>
          <w:sz w:val="20"/>
          <w:szCs w:val="20"/>
        </w:rPr>
        <w:t>is the Online Provider Report</w:t>
      </w:r>
      <w:r w:rsidRPr="006B4EE2">
        <w:rPr>
          <w:sz w:val="20"/>
          <w:szCs w:val="20"/>
        </w:rPr>
        <w:t>?</w:t>
      </w:r>
      <w:bookmarkEnd w:id="173"/>
      <w:bookmarkEnd w:id="174"/>
    </w:p>
    <w:p w:rsidR="00C9046C" w:rsidRDefault="00645213" w:rsidP="00DF27FF">
      <w:pPr>
        <w:pStyle w:val="DHHSbody"/>
      </w:pPr>
      <w:r>
        <w:t>F</w:t>
      </w:r>
      <w:r w:rsidR="006549FE">
        <w:t xml:space="preserve">inancial reports are produced by the department and </w:t>
      </w:r>
      <w:r w:rsidR="00995E0A">
        <w:t xml:space="preserve">made </w:t>
      </w:r>
      <w:r w:rsidR="001F42CB">
        <w:t xml:space="preserve">available </w:t>
      </w:r>
      <w:r w:rsidR="00171594">
        <w:t xml:space="preserve">to </w:t>
      </w:r>
      <w:r w:rsidR="006549FE">
        <w:t>service providers</w:t>
      </w:r>
      <w:r w:rsidR="001F42CB">
        <w:t xml:space="preserve"> using the Online </w:t>
      </w:r>
      <w:r>
        <w:t xml:space="preserve">Provider </w:t>
      </w:r>
      <w:r w:rsidR="001F42CB">
        <w:t>Report</w:t>
      </w:r>
      <w:r w:rsidR="006549FE">
        <w:t xml:space="preserve">. </w:t>
      </w:r>
    </w:p>
    <w:p w:rsidR="006549FE" w:rsidRDefault="006549FE" w:rsidP="00DF27FF">
      <w:pPr>
        <w:pStyle w:val="DHHSbody"/>
      </w:pPr>
      <w:r>
        <w:t xml:space="preserve">These reports show </w:t>
      </w:r>
      <w:r w:rsidR="00026E07">
        <w:t>a full client list including when</w:t>
      </w:r>
      <w:r>
        <w:t xml:space="preserve"> clients are expected to transition to the NDIS (by month), their related services</w:t>
      </w:r>
      <w:r w:rsidR="00026E07">
        <w:t>,</w:t>
      </w:r>
      <w:r>
        <w:t xml:space="preserve"> the amount of state funding estimated to be withdrawn</w:t>
      </w:r>
      <w:r w:rsidR="00DE6347">
        <w:t xml:space="preserve"> and their NDIA status (</w:t>
      </w:r>
      <w:r w:rsidR="005E72EF">
        <w:t>such as plan</w:t>
      </w:r>
      <w:r w:rsidR="00DE6347">
        <w:t xml:space="preserve"> approved)</w:t>
      </w:r>
      <w:r>
        <w:t>. These reports cover all areas for the full period of the transition, to June</w:t>
      </w:r>
      <w:r w:rsidR="009A52C4">
        <w:t> </w:t>
      </w:r>
      <w:r>
        <w:t>2019.</w:t>
      </w:r>
    </w:p>
    <w:p w:rsidR="006549FE" w:rsidRPr="006B4EE2" w:rsidRDefault="00645213" w:rsidP="0089616E">
      <w:pPr>
        <w:pStyle w:val="Heading3"/>
        <w:numPr>
          <w:ilvl w:val="0"/>
          <w:numId w:val="34"/>
        </w:numPr>
        <w:rPr>
          <w:sz w:val="20"/>
          <w:szCs w:val="20"/>
        </w:rPr>
      </w:pPr>
      <w:bookmarkStart w:id="175" w:name="_Toc506974724"/>
      <w:r w:rsidRPr="006B4EE2">
        <w:rPr>
          <w:sz w:val="20"/>
          <w:szCs w:val="20"/>
        </w:rPr>
        <w:t xml:space="preserve">How often is the </w:t>
      </w:r>
      <w:r w:rsidR="00DB3EBD" w:rsidRPr="006B4EE2">
        <w:rPr>
          <w:sz w:val="20"/>
          <w:szCs w:val="20"/>
        </w:rPr>
        <w:t>Online Provider Report updated</w:t>
      </w:r>
      <w:bookmarkStart w:id="176" w:name="_Toc503536325"/>
      <w:bookmarkStart w:id="177" w:name="_Toc503536709"/>
      <w:bookmarkStart w:id="178" w:name="_Toc479603180"/>
      <w:bookmarkStart w:id="179" w:name="_Toc479684008"/>
      <w:bookmarkStart w:id="180" w:name="_Toc479687330"/>
      <w:bookmarkStart w:id="181" w:name="_Toc479687750"/>
      <w:bookmarkStart w:id="182" w:name="_Toc479687920"/>
      <w:bookmarkStart w:id="183" w:name="_Toc479688109"/>
      <w:bookmarkStart w:id="184" w:name="_Toc479688172"/>
      <w:bookmarkStart w:id="185" w:name="_Toc479688235"/>
      <w:bookmarkStart w:id="186" w:name="_Toc479688297"/>
      <w:bookmarkStart w:id="187" w:name="_Toc479603181"/>
      <w:bookmarkStart w:id="188" w:name="_Toc479684009"/>
      <w:bookmarkStart w:id="189" w:name="_Toc479687331"/>
      <w:bookmarkStart w:id="190" w:name="_Toc479687751"/>
      <w:bookmarkStart w:id="191" w:name="_Toc479687921"/>
      <w:bookmarkStart w:id="192" w:name="_Toc479688110"/>
      <w:bookmarkStart w:id="193" w:name="_Toc479688173"/>
      <w:bookmarkStart w:id="194" w:name="_Toc479688236"/>
      <w:bookmarkStart w:id="195" w:name="_Toc479688298"/>
      <w:bookmarkStart w:id="196" w:name="_Toc479603182"/>
      <w:bookmarkStart w:id="197" w:name="_Toc479684010"/>
      <w:bookmarkStart w:id="198" w:name="_Toc479687332"/>
      <w:bookmarkStart w:id="199" w:name="_Toc479687752"/>
      <w:bookmarkStart w:id="200" w:name="_Toc479687922"/>
      <w:bookmarkStart w:id="201" w:name="_Toc479688111"/>
      <w:bookmarkStart w:id="202" w:name="_Toc479688174"/>
      <w:bookmarkStart w:id="203" w:name="_Toc479688237"/>
      <w:bookmarkStart w:id="204" w:name="_Toc479688299"/>
      <w:bookmarkStart w:id="205" w:name="_Toc47976696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6549FE" w:rsidRPr="006B4EE2">
        <w:rPr>
          <w:sz w:val="20"/>
          <w:szCs w:val="20"/>
        </w:rPr>
        <w:t>?</w:t>
      </w:r>
      <w:bookmarkEnd w:id="175"/>
      <w:bookmarkEnd w:id="205"/>
    </w:p>
    <w:p w:rsidR="00E56F92" w:rsidRDefault="00122255" w:rsidP="00DF27FF">
      <w:pPr>
        <w:pStyle w:val="DHHSbody"/>
      </w:pPr>
      <w:r>
        <w:t xml:space="preserve">The Online </w:t>
      </w:r>
      <w:r w:rsidR="00DB3EBD">
        <w:t xml:space="preserve">Provider </w:t>
      </w:r>
      <w:r>
        <w:t xml:space="preserve">Report allows service providers to access their latest </w:t>
      </w:r>
      <w:r w:rsidR="00E56F92">
        <w:t>client transition information at any point in time</w:t>
      </w:r>
      <w:r w:rsidR="00A514CD">
        <w:t xml:space="preserve"> and removes the </w:t>
      </w:r>
      <w:r w:rsidR="00DB3EBD">
        <w:t xml:space="preserve">need </w:t>
      </w:r>
      <w:r w:rsidR="00A514CD">
        <w:t xml:space="preserve">for </w:t>
      </w:r>
      <w:r w:rsidR="00DB3EBD">
        <w:t xml:space="preserve">service </w:t>
      </w:r>
      <w:r w:rsidR="00A514CD">
        <w:t>providers to periodically access</w:t>
      </w:r>
      <w:r w:rsidR="00866374">
        <w:t xml:space="preserve"> SigBox</w:t>
      </w:r>
      <w:r w:rsidR="00A514CD">
        <w:t xml:space="preserve"> to download the latest provider reports</w:t>
      </w:r>
      <w:r w:rsidR="00866374">
        <w:t>.</w:t>
      </w:r>
      <w:r w:rsidR="00E56F92">
        <w:t xml:space="preserve"> </w:t>
      </w:r>
    </w:p>
    <w:p w:rsidR="006549FE" w:rsidRDefault="00DB3EBD" w:rsidP="00DF27FF">
      <w:pPr>
        <w:pStyle w:val="DHHSbody"/>
      </w:pPr>
      <w:r>
        <w:t>The Online Provider Report is updated twice per month following the receipt of updated information from the NDIA.</w:t>
      </w:r>
    </w:p>
    <w:p w:rsidR="006549FE" w:rsidRPr="006B4EE2" w:rsidRDefault="006549FE" w:rsidP="0089616E">
      <w:pPr>
        <w:pStyle w:val="Heading3"/>
        <w:numPr>
          <w:ilvl w:val="0"/>
          <w:numId w:val="34"/>
        </w:numPr>
        <w:rPr>
          <w:sz w:val="20"/>
          <w:szCs w:val="20"/>
        </w:rPr>
      </w:pPr>
      <w:bookmarkStart w:id="206" w:name="_Toc479766966"/>
      <w:bookmarkStart w:id="207" w:name="_Toc506974725"/>
      <w:r w:rsidRPr="006B4EE2">
        <w:rPr>
          <w:sz w:val="20"/>
          <w:szCs w:val="20"/>
        </w:rPr>
        <w:t xml:space="preserve">How will service providers </w:t>
      </w:r>
      <w:r w:rsidR="00DB3EBD" w:rsidRPr="006B4EE2">
        <w:rPr>
          <w:sz w:val="20"/>
          <w:szCs w:val="20"/>
        </w:rPr>
        <w:t xml:space="preserve">access </w:t>
      </w:r>
      <w:r w:rsidRPr="006B4EE2">
        <w:rPr>
          <w:sz w:val="20"/>
          <w:szCs w:val="20"/>
        </w:rPr>
        <w:t xml:space="preserve">the </w:t>
      </w:r>
      <w:r w:rsidR="00DB3EBD" w:rsidRPr="006B4EE2">
        <w:rPr>
          <w:sz w:val="20"/>
          <w:szCs w:val="20"/>
        </w:rPr>
        <w:t>Online Provider Report</w:t>
      </w:r>
      <w:r w:rsidRPr="006B4EE2">
        <w:rPr>
          <w:sz w:val="20"/>
          <w:szCs w:val="20"/>
        </w:rPr>
        <w:t>?</w:t>
      </w:r>
      <w:bookmarkEnd w:id="206"/>
      <w:bookmarkEnd w:id="207"/>
    </w:p>
    <w:p w:rsidR="006549FE" w:rsidRDefault="00DB3EBD" w:rsidP="00E4182D">
      <w:pPr>
        <w:pStyle w:val="DHHSbody"/>
      </w:pPr>
      <w:r>
        <w:t xml:space="preserve">The Online Provider Report can be accessed through this </w:t>
      </w:r>
      <w:hyperlink r:id="rId18" w:anchor="/site/NDISclientrollout/views/ProviderReportsProvider_0/Cover" w:history="1">
        <w:r w:rsidRPr="00DB3EBD">
          <w:rPr>
            <w:rStyle w:val="Hyperlink"/>
          </w:rPr>
          <w:t>link</w:t>
        </w:r>
      </w:hyperlink>
      <w:r>
        <w:t xml:space="preserve">: </w:t>
      </w:r>
      <w:hyperlink r:id="rId19" w:anchor="/site/NDISclientrollout/views/ProviderReportsProvider_0/Cover" w:history="1">
        <w:r w:rsidR="00FC6B28" w:rsidRPr="00343A4B">
          <w:rPr>
            <w:rStyle w:val="Hyperlink"/>
          </w:rPr>
          <w:t>https://tableau.deloitte.com.au/#/site/NDISclientrollout/views/ProviderReportsProvider_0/Cover</w:t>
        </w:r>
      </w:hyperlink>
    </w:p>
    <w:p w:rsidR="00FC6B28" w:rsidRDefault="00171594" w:rsidP="00E4182D">
      <w:pPr>
        <w:pStyle w:val="DHHSbody"/>
      </w:pPr>
      <w:r>
        <w:t xml:space="preserve">Service </w:t>
      </w:r>
      <w:r w:rsidR="0076033A">
        <w:t>provider</w:t>
      </w:r>
      <w:r w:rsidR="00A62228">
        <w:t xml:space="preserve">s </w:t>
      </w:r>
      <w:r>
        <w:t xml:space="preserve">should select the </w:t>
      </w:r>
      <w:r w:rsidR="003F2EAE">
        <w:t>‘</w:t>
      </w:r>
      <w:r w:rsidR="0076033A">
        <w:t>Client or business partner</w:t>
      </w:r>
      <w:r w:rsidR="003F2EAE">
        <w:t>’</w:t>
      </w:r>
      <w:r w:rsidR="0076033A">
        <w:t xml:space="preserve"> </w:t>
      </w:r>
      <w:r>
        <w:t>link</w:t>
      </w:r>
      <w:r w:rsidR="00776377">
        <w:t xml:space="preserve"> and proceed to login</w:t>
      </w:r>
      <w:r w:rsidR="000B3921">
        <w:t xml:space="preserve">. New users will need to set up Multi-Factor Authentication to login. </w:t>
      </w:r>
      <w:r w:rsidR="0076033A">
        <w:t xml:space="preserve"> </w:t>
      </w:r>
    </w:p>
    <w:p w:rsidR="00A62228" w:rsidRDefault="00A62228" w:rsidP="00E4182D">
      <w:pPr>
        <w:pStyle w:val="DHHSbody"/>
      </w:pPr>
      <w:r>
        <w:t xml:space="preserve">Any questions on accessing the Online Provider Report </w:t>
      </w:r>
      <w:r w:rsidR="001E70DA">
        <w:t xml:space="preserve">should be directed to the </w:t>
      </w:r>
      <w:r w:rsidR="000B3921">
        <w:t xml:space="preserve">service </w:t>
      </w:r>
      <w:r w:rsidR="001E70DA">
        <w:t xml:space="preserve">provider’s departmental Adviser. </w:t>
      </w:r>
    </w:p>
    <w:p w:rsidR="006549FE" w:rsidRPr="006B4EE2" w:rsidRDefault="006549FE" w:rsidP="0089616E">
      <w:pPr>
        <w:pStyle w:val="Heading3"/>
        <w:numPr>
          <w:ilvl w:val="0"/>
          <w:numId w:val="34"/>
        </w:numPr>
        <w:rPr>
          <w:rFonts w:eastAsia="Times"/>
        </w:rPr>
      </w:pPr>
      <w:bookmarkStart w:id="208" w:name="_Toc479766967"/>
      <w:bookmarkStart w:id="209" w:name="_Toc506974726"/>
      <w:r w:rsidRPr="006B4EE2">
        <w:rPr>
          <w:sz w:val="20"/>
          <w:szCs w:val="20"/>
        </w:rPr>
        <w:t>Who will have access to the</w:t>
      </w:r>
      <w:r w:rsidR="00DB3EBD" w:rsidRPr="006B4EE2">
        <w:rPr>
          <w:sz w:val="20"/>
          <w:szCs w:val="20"/>
        </w:rPr>
        <w:t xml:space="preserve"> Online P</w:t>
      </w:r>
      <w:r w:rsidRPr="006B4EE2">
        <w:rPr>
          <w:sz w:val="20"/>
          <w:szCs w:val="20"/>
        </w:rPr>
        <w:t xml:space="preserve">rovider </w:t>
      </w:r>
      <w:r w:rsidR="00DB3EBD" w:rsidRPr="006B4EE2">
        <w:rPr>
          <w:sz w:val="20"/>
          <w:szCs w:val="20"/>
        </w:rPr>
        <w:t>Report</w:t>
      </w:r>
      <w:r w:rsidRPr="006B4EE2">
        <w:rPr>
          <w:sz w:val="20"/>
          <w:szCs w:val="20"/>
        </w:rPr>
        <w:t>?</w:t>
      </w:r>
      <w:bookmarkEnd w:id="208"/>
      <w:bookmarkEnd w:id="209"/>
    </w:p>
    <w:p w:rsidR="006549FE" w:rsidRDefault="00917A91" w:rsidP="00DF27FF">
      <w:pPr>
        <w:pStyle w:val="DHHSbody"/>
      </w:pPr>
      <w:r>
        <w:t xml:space="preserve">The Online </w:t>
      </w:r>
      <w:r w:rsidR="00DB3EBD">
        <w:t xml:space="preserve">Provider </w:t>
      </w:r>
      <w:r>
        <w:t xml:space="preserve">Report </w:t>
      </w:r>
      <w:r w:rsidR="006549FE">
        <w:t xml:space="preserve">is a secure site with restricted access based on unique logins. Each service provider should have at least one person with access to </w:t>
      </w:r>
      <w:r w:rsidR="005711F5">
        <w:t>the Online</w:t>
      </w:r>
      <w:r w:rsidR="00DB3EBD">
        <w:t xml:space="preserve"> Provider</w:t>
      </w:r>
      <w:r w:rsidR="005711F5">
        <w:t xml:space="preserve"> Report</w:t>
      </w:r>
      <w:r w:rsidR="006549FE">
        <w:t xml:space="preserve">. </w:t>
      </w:r>
    </w:p>
    <w:p w:rsidR="006549FE" w:rsidRPr="006B4EE2" w:rsidRDefault="006549FE" w:rsidP="0089616E">
      <w:pPr>
        <w:pStyle w:val="Heading3"/>
        <w:numPr>
          <w:ilvl w:val="0"/>
          <w:numId w:val="34"/>
        </w:numPr>
        <w:rPr>
          <w:rFonts w:eastAsia="Times"/>
        </w:rPr>
      </w:pPr>
      <w:bookmarkStart w:id="210" w:name="_Toc479766968"/>
      <w:bookmarkStart w:id="211" w:name="_Toc506974727"/>
      <w:r w:rsidRPr="006B4EE2">
        <w:rPr>
          <w:sz w:val="20"/>
          <w:szCs w:val="20"/>
        </w:rPr>
        <w:t xml:space="preserve">Can a service provider allow additional access to </w:t>
      </w:r>
      <w:r w:rsidR="0027650C" w:rsidRPr="006B4EE2">
        <w:rPr>
          <w:sz w:val="20"/>
          <w:szCs w:val="20"/>
        </w:rPr>
        <w:t>the Online</w:t>
      </w:r>
      <w:r w:rsidR="00DB3EBD" w:rsidRPr="006B4EE2">
        <w:rPr>
          <w:sz w:val="20"/>
          <w:szCs w:val="20"/>
        </w:rPr>
        <w:t xml:space="preserve"> Provider</w:t>
      </w:r>
      <w:r w:rsidR="0027650C" w:rsidRPr="006B4EE2">
        <w:rPr>
          <w:sz w:val="20"/>
          <w:szCs w:val="20"/>
        </w:rPr>
        <w:t xml:space="preserve"> Report</w:t>
      </w:r>
      <w:r w:rsidRPr="006B4EE2">
        <w:rPr>
          <w:sz w:val="20"/>
          <w:szCs w:val="20"/>
        </w:rPr>
        <w:t>?</w:t>
      </w:r>
      <w:bookmarkEnd w:id="210"/>
      <w:bookmarkEnd w:id="211"/>
    </w:p>
    <w:p w:rsidR="006549FE" w:rsidRDefault="00DB3EBD" w:rsidP="00DF27FF">
      <w:pPr>
        <w:pStyle w:val="DHHSbody"/>
      </w:pPr>
      <w:r>
        <w:t xml:space="preserve">Yes, a service provider can </w:t>
      </w:r>
      <w:r w:rsidR="006549FE">
        <w:t xml:space="preserve">allow additional access, for example if the service provider would like another member of the organisation to be responsible for accessing </w:t>
      </w:r>
      <w:r>
        <w:t>the Online Provider Report</w:t>
      </w:r>
      <w:r w:rsidR="006549FE">
        <w:t>.</w:t>
      </w:r>
    </w:p>
    <w:p w:rsidR="006549FE" w:rsidRDefault="006549FE" w:rsidP="00DF27FF">
      <w:pPr>
        <w:pStyle w:val="DHHSbody"/>
      </w:pPr>
      <w:r>
        <w:t xml:space="preserve">Only the financial signatory to the service agreement can request access for another member of the organisation. Requests must be in writing; an email is sufficient. </w:t>
      </w:r>
    </w:p>
    <w:p w:rsidR="006549FE" w:rsidRDefault="006549FE" w:rsidP="00DF27FF">
      <w:pPr>
        <w:pStyle w:val="DHHSbody"/>
      </w:pPr>
      <w:r w:rsidRPr="003014C5">
        <w:t xml:space="preserve">Any requests for additional access or updates to existing access should be directed to </w:t>
      </w:r>
      <w:hyperlink r:id="rId20" w:history="1">
        <w:r w:rsidRPr="006C329E">
          <w:rPr>
            <w:rStyle w:val="Hyperlink"/>
          </w:rPr>
          <w:t>NDIS.data@dhhs.vic.gov.au</w:t>
        </w:r>
      </w:hyperlink>
      <w:r>
        <w:t xml:space="preserve"> and copied to the </w:t>
      </w:r>
      <w:r w:rsidR="000B3921">
        <w:t xml:space="preserve">service </w:t>
      </w:r>
      <w:r>
        <w:t>provider’s</w:t>
      </w:r>
      <w:r w:rsidR="00FB4FF4" w:rsidRPr="00FB4FF4">
        <w:t xml:space="preserve"> </w:t>
      </w:r>
      <w:r w:rsidR="00FB4FF4">
        <w:t>departmental Adviser</w:t>
      </w:r>
      <w:r w:rsidRPr="003014C5">
        <w:t>.</w:t>
      </w:r>
      <w:bookmarkStart w:id="212" w:name="_Toc479603186"/>
      <w:bookmarkStart w:id="213" w:name="_Toc479684014"/>
      <w:bookmarkStart w:id="214" w:name="_Toc479687336"/>
      <w:bookmarkStart w:id="215" w:name="_Toc479687756"/>
      <w:bookmarkStart w:id="216" w:name="_Toc479687926"/>
      <w:bookmarkStart w:id="217" w:name="_Toc479688114"/>
      <w:bookmarkStart w:id="218" w:name="_Toc479688177"/>
      <w:bookmarkEnd w:id="212"/>
      <w:bookmarkEnd w:id="213"/>
      <w:bookmarkEnd w:id="214"/>
      <w:bookmarkEnd w:id="215"/>
      <w:bookmarkEnd w:id="216"/>
      <w:bookmarkEnd w:id="217"/>
      <w:bookmarkEnd w:id="218"/>
    </w:p>
    <w:p w:rsidR="006549FE" w:rsidRPr="006B4EE2" w:rsidRDefault="006549FE" w:rsidP="0089616E">
      <w:pPr>
        <w:pStyle w:val="Heading3"/>
        <w:numPr>
          <w:ilvl w:val="0"/>
          <w:numId w:val="34"/>
        </w:numPr>
        <w:rPr>
          <w:sz w:val="20"/>
          <w:szCs w:val="20"/>
        </w:rPr>
      </w:pPr>
      <w:bookmarkStart w:id="219" w:name="_Toc479766969"/>
      <w:bookmarkStart w:id="220" w:name="_Toc506974728"/>
      <w:r w:rsidRPr="006B4EE2">
        <w:rPr>
          <w:sz w:val="20"/>
          <w:szCs w:val="20"/>
        </w:rPr>
        <w:t>What should service providers do when</w:t>
      </w:r>
      <w:r w:rsidR="000326CF" w:rsidRPr="006B4EE2">
        <w:rPr>
          <w:sz w:val="20"/>
          <w:szCs w:val="20"/>
        </w:rPr>
        <w:t xml:space="preserve"> using the Online</w:t>
      </w:r>
      <w:r w:rsidR="00DB3EBD" w:rsidRPr="006B4EE2">
        <w:rPr>
          <w:sz w:val="20"/>
          <w:szCs w:val="20"/>
        </w:rPr>
        <w:t xml:space="preserve"> Provider</w:t>
      </w:r>
      <w:r w:rsidR="000326CF" w:rsidRPr="006B4EE2">
        <w:rPr>
          <w:sz w:val="20"/>
          <w:szCs w:val="20"/>
        </w:rPr>
        <w:t xml:space="preserve"> Report</w:t>
      </w:r>
      <w:r w:rsidRPr="006B4EE2">
        <w:rPr>
          <w:sz w:val="20"/>
          <w:szCs w:val="20"/>
        </w:rPr>
        <w:t>?</w:t>
      </w:r>
      <w:bookmarkEnd w:id="219"/>
      <w:bookmarkEnd w:id="220"/>
    </w:p>
    <w:p w:rsidR="006549FE" w:rsidRDefault="006549FE" w:rsidP="00E4182D">
      <w:pPr>
        <w:pStyle w:val="DHHSbody"/>
      </w:pPr>
      <w:r>
        <w:t xml:space="preserve">Service providers should </w:t>
      </w:r>
      <w:r w:rsidR="000326CF">
        <w:t xml:space="preserve">use their unique logins to access </w:t>
      </w:r>
      <w:r w:rsidR="00462E3C">
        <w:t xml:space="preserve">the Online Provider Report </w:t>
      </w:r>
      <w:r w:rsidR="000326CF">
        <w:t xml:space="preserve">which </w:t>
      </w:r>
      <w:r w:rsidR="00462E3C">
        <w:t>is</w:t>
      </w:r>
      <w:r w:rsidR="000326CF">
        <w:t xml:space="preserve"> systematically refreshed based on the latest available data. </w:t>
      </w:r>
    </w:p>
    <w:p w:rsidR="006549FE" w:rsidRDefault="006549FE" w:rsidP="00DF27FF">
      <w:pPr>
        <w:pStyle w:val="DHHSbody"/>
      </w:pPr>
      <w:r>
        <w:t>It is important that service providers take the opportunity to review the</w:t>
      </w:r>
      <w:r w:rsidR="00462E3C">
        <w:t xml:space="preserve"> Online Provider</w:t>
      </w:r>
      <w:r>
        <w:t xml:space="preserve"> </w:t>
      </w:r>
      <w:r w:rsidR="00462E3C">
        <w:t xml:space="preserve">Report </w:t>
      </w:r>
      <w:r>
        <w:t xml:space="preserve">in a timely manner as </w:t>
      </w:r>
      <w:r w:rsidR="00462E3C">
        <w:t xml:space="preserve">it </w:t>
      </w:r>
      <w:r>
        <w:t>contain</w:t>
      </w:r>
      <w:r w:rsidR="00462E3C">
        <w:t>s</w:t>
      </w:r>
      <w:r>
        <w:t xml:space="preserve"> important information about the NDIS transition status of clients. State funding will be withdrawn as </w:t>
      </w:r>
      <w:r w:rsidR="00211856">
        <w:t>clients</w:t>
      </w:r>
      <w:r>
        <w:t xml:space="preserve"> transition to the NDIS.</w:t>
      </w:r>
    </w:p>
    <w:p w:rsidR="006549FE" w:rsidRDefault="006549FE" w:rsidP="00DF27FF">
      <w:pPr>
        <w:pStyle w:val="DHHSbody"/>
      </w:pPr>
      <w:r>
        <w:t>Any questions on the content of the provider reports should be directed to the</w:t>
      </w:r>
      <w:r w:rsidR="000B3921">
        <w:t xml:space="preserve"> service</w:t>
      </w:r>
      <w:r>
        <w:t xml:space="preserve"> provider’s </w:t>
      </w:r>
      <w:r w:rsidR="00FB4FF4">
        <w:t>departmental Adviser</w:t>
      </w:r>
      <w:r w:rsidR="00DF27FF">
        <w:t>.</w:t>
      </w:r>
    </w:p>
    <w:p w:rsidR="00462E3C" w:rsidRPr="006B4EE2" w:rsidRDefault="00462E3C" w:rsidP="00BC4174">
      <w:pPr>
        <w:pStyle w:val="Heading3"/>
        <w:numPr>
          <w:ilvl w:val="0"/>
          <w:numId w:val="34"/>
        </w:numPr>
      </w:pPr>
      <w:bookmarkStart w:id="221" w:name="_Toc506974729"/>
      <w:r w:rsidRPr="006B4EE2">
        <w:rPr>
          <w:sz w:val="20"/>
          <w:szCs w:val="20"/>
        </w:rPr>
        <w:t>Are the previous Provider Reports still available through SigB</w:t>
      </w:r>
      <w:r w:rsidR="000B3921">
        <w:rPr>
          <w:sz w:val="20"/>
          <w:szCs w:val="20"/>
        </w:rPr>
        <w:t>o</w:t>
      </w:r>
      <w:r w:rsidRPr="006B4EE2">
        <w:rPr>
          <w:sz w:val="20"/>
          <w:szCs w:val="20"/>
        </w:rPr>
        <w:t>x?</w:t>
      </w:r>
      <w:bookmarkEnd w:id="221"/>
    </w:p>
    <w:p w:rsidR="00462E3C" w:rsidRDefault="00462E3C" w:rsidP="00DF27FF">
      <w:pPr>
        <w:pStyle w:val="DHHSbody"/>
      </w:pPr>
      <w:r>
        <w:t>To help transition service providers to the Online Provider Report, Provider Reports</w:t>
      </w:r>
      <w:r w:rsidR="000B3921">
        <w:t xml:space="preserve"> will continue to be available </w:t>
      </w:r>
      <w:r>
        <w:t>through SigBox</w:t>
      </w:r>
      <w:r w:rsidR="000B3921">
        <w:t xml:space="preserve">. </w:t>
      </w:r>
      <w:r>
        <w:t xml:space="preserve"> </w:t>
      </w:r>
    </w:p>
    <w:p w:rsidR="00C9046C" w:rsidRPr="00DF27FF" w:rsidRDefault="00C9046C" w:rsidP="00DF27FF">
      <w:pPr>
        <w:pStyle w:val="DHHSbody"/>
      </w:pPr>
      <w:r w:rsidRPr="00DF27FF">
        <w:rPr>
          <w:i/>
        </w:rPr>
        <w:t xml:space="preserve">Note that there are currently two file paths used by the department on SigBox for data exchange with service providers: one for the </w:t>
      </w:r>
      <w:r w:rsidR="009F0D56">
        <w:rPr>
          <w:i/>
        </w:rPr>
        <w:t xml:space="preserve">client data refresh </w:t>
      </w:r>
      <w:r w:rsidRPr="00DF27FF">
        <w:rPr>
          <w:i/>
        </w:rPr>
        <w:t xml:space="preserve">and one for provider reports (with a prefix of “PR”). Access is set up for each path independently so an individual may have access to one path but not the other. To view </w:t>
      </w:r>
      <w:r w:rsidR="00190249">
        <w:rPr>
          <w:i/>
        </w:rPr>
        <w:t>P</w:t>
      </w:r>
      <w:r w:rsidRPr="00DF27FF">
        <w:rPr>
          <w:i/>
        </w:rPr>
        <w:t xml:space="preserve">rovider </w:t>
      </w:r>
      <w:r w:rsidR="00190249">
        <w:rPr>
          <w:i/>
        </w:rPr>
        <w:t>R</w:t>
      </w:r>
      <w:r w:rsidRPr="00DF27FF">
        <w:rPr>
          <w:i/>
        </w:rPr>
        <w:t xml:space="preserve">eports, the user must have access to the </w:t>
      </w:r>
      <w:r w:rsidR="00190249">
        <w:rPr>
          <w:i/>
        </w:rPr>
        <w:t>P</w:t>
      </w:r>
      <w:r w:rsidRPr="00DF27FF">
        <w:rPr>
          <w:i/>
        </w:rPr>
        <w:t xml:space="preserve">rovider </w:t>
      </w:r>
      <w:r w:rsidR="00190249">
        <w:rPr>
          <w:i/>
        </w:rPr>
        <w:t>R</w:t>
      </w:r>
      <w:r w:rsidRPr="00DF27FF">
        <w:rPr>
          <w:i/>
        </w:rPr>
        <w:t>eports file</w:t>
      </w:r>
      <w:r>
        <w:rPr>
          <w:i/>
        </w:rPr>
        <w:t xml:space="preserve"> path</w:t>
      </w:r>
      <w:r w:rsidRPr="00DF27FF">
        <w:rPr>
          <w:i/>
        </w:rPr>
        <w:t>.</w:t>
      </w:r>
    </w:p>
    <w:p w:rsidR="006549FE" w:rsidRPr="006B4EE2" w:rsidRDefault="006549FE" w:rsidP="00BC4174">
      <w:pPr>
        <w:pStyle w:val="Heading3"/>
        <w:numPr>
          <w:ilvl w:val="0"/>
          <w:numId w:val="34"/>
        </w:numPr>
        <w:rPr>
          <w:sz w:val="20"/>
          <w:szCs w:val="20"/>
        </w:rPr>
      </w:pPr>
      <w:bookmarkStart w:id="222" w:name="_Toc479766970"/>
      <w:bookmarkStart w:id="223" w:name="_Toc506974730"/>
      <w:r w:rsidRPr="006B4EE2">
        <w:rPr>
          <w:sz w:val="20"/>
          <w:szCs w:val="20"/>
        </w:rPr>
        <w:t xml:space="preserve">How will service providers know </w:t>
      </w:r>
      <w:r w:rsidR="00462E3C" w:rsidRPr="006B4EE2">
        <w:rPr>
          <w:sz w:val="20"/>
          <w:szCs w:val="20"/>
        </w:rPr>
        <w:t>the Online Provider Report has been updated</w:t>
      </w:r>
      <w:r w:rsidRPr="006B4EE2">
        <w:rPr>
          <w:sz w:val="20"/>
          <w:szCs w:val="20"/>
        </w:rPr>
        <w:t>?</w:t>
      </w:r>
      <w:bookmarkEnd w:id="222"/>
      <w:bookmarkEnd w:id="223"/>
    </w:p>
    <w:p w:rsidR="00C23822" w:rsidRDefault="00462E3C" w:rsidP="00DF27FF">
      <w:pPr>
        <w:pStyle w:val="DHHSbody"/>
      </w:pPr>
      <w:r>
        <w:t xml:space="preserve">The Online </w:t>
      </w:r>
      <w:r w:rsidR="00C23822">
        <w:t xml:space="preserve">Provider </w:t>
      </w:r>
      <w:r>
        <w:t>R</w:t>
      </w:r>
      <w:r w:rsidR="00C23822">
        <w:t>eport will</w:t>
      </w:r>
      <w:r>
        <w:t xml:space="preserve"> be</w:t>
      </w:r>
      <w:r w:rsidR="00C23822">
        <w:t xml:space="preserve"> systematically updated </w:t>
      </w:r>
      <w:r>
        <w:t>using</w:t>
      </w:r>
      <w:r w:rsidR="00C23822">
        <w:t xml:space="preserve"> the latest data </w:t>
      </w:r>
      <w:r>
        <w:t>available. Service providers should regularly review the Online Provider Report.</w:t>
      </w:r>
    </w:p>
    <w:p w:rsidR="00EA5C16" w:rsidRDefault="00EA5C16" w:rsidP="00DF27FF">
      <w:pPr>
        <w:pStyle w:val="DHHSbody"/>
      </w:pPr>
      <w:r>
        <w:t>The cover page shows:</w:t>
      </w:r>
    </w:p>
    <w:p w:rsidR="00EA5C16" w:rsidRDefault="00EA5C16" w:rsidP="00EA5C16">
      <w:pPr>
        <w:pStyle w:val="DHHSbody"/>
        <w:numPr>
          <w:ilvl w:val="0"/>
          <w:numId w:val="49"/>
        </w:numPr>
      </w:pPr>
      <w:r>
        <w:t>the date of the last NDIA update – to indicate when the status was last provided by the NDIA</w:t>
      </w:r>
    </w:p>
    <w:p w:rsidR="00EA5C16" w:rsidRDefault="00EA5C16" w:rsidP="00EA5C16">
      <w:pPr>
        <w:pStyle w:val="DHHSbody"/>
        <w:numPr>
          <w:ilvl w:val="0"/>
          <w:numId w:val="49"/>
        </w:numPr>
      </w:pPr>
      <w:r>
        <w:t>the client data refresh cycle – which client data return has been used.</w:t>
      </w:r>
    </w:p>
    <w:p w:rsidR="006549FE" w:rsidRDefault="009F0D56" w:rsidP="00DF27FF">
      <w:pPr>
        <w:pStyle w:val="DHHSbody"/>
      </w:pPr>
      <w:r>
        <w:t>S</w:t>
      </w:r>
      <w:r w:rsidR="006549FE">
        <w:t xml:space="preserve">ervice providers will </w:t>
      </w:r>
      <w:r w:rsidR="00462E3C">
        <w:t xml:space="preserve">continue to </w:t>
      </w:r>
      <w:r w:rsidR="006549FE">
        <w:t xml:space="preserve">receive an automated generic email from SigBox when new provider reports </w:t>
      </w:r>
      <w:r w:rsidR="00540745">
        <w:t>have been updated</w:t>
      </w:r>
      <w:r w:rsidR="0027199E">
        <w:t xml:space="preserve"> – these updates will automatically be reflected on the Online </w:t>
      </w:r>
      <w:r w:rsidR="00540745">
        <w:t>Provider Report</w:t>
      </w:r>
      <w:r w:rsidR="0027199E">
        <w:t>.</w:t>
      </w:r>
      <w:r w:rsidR="00C23822">
        <w:t xml:space="preserve"> </w:t>
      </w:r>
      <w:r w:rsidR="006549FE">
        <w:t xml:space="preserve">The prefix ‘PR’ in the File/Folder Name indicates that a provider report is available to download. </w:t>
      </w:r>
    </w:p>
    <w:p w:rsidR="006549FE" w:rsidRDefault="006549FE" w:rsidP="00DF27FF">
      <w:pPr>
        <w:pStyle w:val="DHHSbody"/>
      </w:pPr>
      <w:r>
        <w:t xml:space="preserve">The email will come from </w:t>
      </w:r>
      <w:hyperlink r:id="rId21" w:history="1">
        <w:r w:rsidR="00EA5C16">
          <w:rPr>
            <w:rStyle w:val="Hyperlink"/>
          </w:rPr>
          <w:t>sigbox</w:t>
        </w:r>
        <w:r w:rsidR="00EA5C16" w:rsidRPr="006C329E">
          <w:rPr>
            <w:rStyle w:val="Hyperlink"/>
          </w:rPr>
          <w:t>@dhhs.vic.gov.au</w:t>
        </w:r>
      </w:hyperlink>
      <w:r>
        <w:t>. Service providers should ensure that this is an email address in their safe list and doesn’t go into the Spam folder.</w:t>
      </w:r>
    </w:p>
    <w:p w:rsidR="006549FE" w:rsidRDefault="006549FE" w:rsidP="00DF27FF">
      <w:pPr>
        <w:pStyle w:val="DHHSbody"/>
      </w:pPr>
      <w:r>
        <w:t xml:space="preserve">Further information is available in the </w:t>
      </w:r>
      <w:r w:rsidRPr="00DF27FF">
        <w:rPr>
          <w:i/>
        </w:rPr>
        <w:t>Guidance to using SigBox</w:t>
      </w:r>
      <w:r>
        <w:t xml:space="preserve"> document.</w:t>
      </w:r>
    </w:p>
    <w:p w:rsidR="009D258F" w:rsidRPr="0060080A" w:rsidRDefault="00FF0980" w:rsidP="009D258F">
      <w:pPr>
        <w:pStyle w:val="Heading1"/>
        <w:rPr>
          <w:sz w:val="20"/>
          <w:szCs w:val="20"/>
        </w:rPr>
      </w:pPr>
      <w:bookmarkStart w:id="224" w:name="_Toc479766971"/>
      <w:r>
        <w:br w:type="page"/>
      </w:r>
      <w:bookmarkStart w:id="225" w:name="_Toc506974731"/>
      <w:bookmarkStart w:id="226" w:name="_Toc482364902"/>
      <w:r w:rsidR="009D258F" w:rsidRPr="0060080A">
        <w:t>Appendix A</w:t>
      </w:r>
      <w:r w:rsidR="009D258F">
        <w:t xml:space="preserve"> - e</w:t>
      </w:r>
      <w:r w:rsidR="009D258F" w:rsidRPr="003D57DE">
        <w:t xml:space="preserve">xamples of funding withdrawal </w:t>
      </w:r>
      <w:r w:rsidR="009D258F">
        <w:t>across service agreements</w:t>
      </w:r>
      <w:bookmarkEnd w:id="225"/>
    </w:p>
    <w:p w:rsidR="009D258F" w:rsidRDefault="009D258F" w:rsidP="009D258F">
      <w:pPr>
        <w:pStyle w:val="DHHSbullet1lastline"/>
        <w:rPr>
          <w:b/>
        </w:rPr>
      </w:pPr>
      <w:r w:rsidRPr="009D258F">
        <w:rPr>
          <w:b/>
        </w:rPr>
        <w:t>Disability Services: funding withdrawal scenarios</w:t>
      </w:r>
    </w:p>
    <w:p w:rsidR="0077660F" w:rsidRPr="009D258F" w:rsidRDefault="0077660F" w:rsidP="009D258F">
      <w:pPr>
        <w:pStyle w:val="DHHSbullet1lastline"/>
        <w:rPr>
          <w:b/>
        </w:rPr>
      </w:pPr>
      <w:r>
        <w:rPr>
          <w:rFonts w:cs="Arial"/>
          <w:noProof/>
          <w:lang w:eastAsia="en-AU"/>
        </w:rPr>
        <w:drawing>
          <wp:inline distT="0" distB="0" distL="0" distR="0" wp14:anchorId="152E0C47" wp14:editId="60CD30AF">
            <wp:extent cx="6479540" cy="812525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D258F" w:rsidRDefault="009D258F" w:rsidP="009D258F">
      <w:pPr>
        <w:ind w:left="426"/>
      </w:pPr>
    </w:p>
    <w:p w:rsidR="009D258F" w:rsidRDefault="009D258F" w:rsidP="009D258F">
      <w:pPr>
        <w:ind w:left="426"/>
      </w:pPr>
    </w:p>
    <w:p w:rsidR="009D258F" w:rsidRPr="0077660F" w:rsidRDefault="009D258F" w:rsidP="0077660F">
      <w:pPr>
        <w:pStyle w:val="DHHSbullet1lastline"/>
        <w:ind w:left="0" w:firstLine="0"/>
      </w:pPr>
      <w:r w:rsidRPr="009D258F">
        <w:t xml:space="preserve">The following tables provide examples of the method of funding withdrawal as </w:t>
      </w:r>
      <w:r w:rsidR="00211856" w:rsidRPr="009D258F">
        <w:t>clients’</w:t>
      </w:r>
      <w:r w:rsidRPr="009D258F">
        <w:t xml:space="preserve"> transition and funding is reduced.</w:t>
      </w:r>
    </w:p>
    <w:p w:rsidR="009D258F" w:rsidRDefault="009D258F" w:rsidP="009D258F">
      <w:pPr>
        <w:pStyle w:val="DHHStablecaption"/>
      </w:pPr>
      <w:r>
        <w:t xml:space="preserve">Table </w:t>
      </w:r>
      <w:r w:rsidR="0077660F">
        <w:t>1</w:t>
      </w:r>
      <w:r>
        <w:t>: Sufficient funding remaining in FY against activity</w:t>
      </w:r>
    </w:p>
    <w:p w:rsidR="009D258F" w:rsidRPr="009D258F" w:rsidRDefault="009D258F" w:rsidP="009D258F">
      <w:pPr>
        <w:pStyle w:val="DHHSbullet1lastline"/>
      </w:pPr>
      <w:r w:rsidRPr="009D258F">
        <w:t>Required variation: Withdraw $30,000 from Community Respite</w:t>
      </w:r>
    </w:p>
    <w:tbl>
      <w:tblPr>
        <w:tblW w:w="10617" w:type="dxa"/>
        <w:tblInd w:w="93" w:type="dxa"/>
        <w:tblLook w:val="04A0" w:firstRow="1" w:lastRow="0" w:firstColumn="1" w:lastColumn="0" w:noHBand="0" w:noVBand="1"/>
      </w:tblPr>
      <w:tblGrid>
        <w:gridCol w:w="1261"/>
        <w:gridCol w:w="1650"/>
        <w:gridCol w:w="1250"/>
        <w:gridCol w:w="939"/>
        <w:gridCol w:w="1261"/>
        <w:gridCol w:w="1028"/>
        <w:gridCol w:w="939"/>
        <w:gridCol w:w="1261"/>
        <w:gridCol w:w="1028"/>
      </w:tblGrid>
      <w:tr w:rsidR="009D258F" w:rsidRPr="00ED7280" w:rsidTr="0071286E">
        <w:trPr>
          <w:trHeight w:val="300"/>
        </w:trPr>
        <w:tc>
          <w:tcPr>
            <w:tcW w:w="1261" w:type="dxa"/>
            <w:vMerge w:val="restart"/>
            <w:tcBorders>
              <w:top w:val="single" w:sz="4" w:space="0" w:color="auto"/>
              <w:left w:val="single" w:sz="4" w:space="0" w:color="auto"/>
              <w:bottom w:val="single" w:sz="4" w:space="0" w:color="000000"/>
              <w:right w:val="nil"/>
            </w:tcBorders>
            <w:shd w:val="clear" w:color="auto" w:fill="auto"/>
            <w:vAlign w:val="center"/>
            <w:hideMark/>
          </w:tcPr>
          <w:p w:rsidR="009D258F" w:rsidRPr="00ED7280" w:rsidRDefault="009D258F" w:rsidP="0071286E">
            <w:pPr>
              <w:pStyle w:val="DHHStablecolhead"/>
            </w:pPr>
            <w:r w:rsidRPr="00ED7280">
              <w:t>Service Agreement</w:t>
            </w:r>
          </w:p>
        </w:tc>
        <w:tc>
          <w:tcPr>
            <w:tcW w:w="1650" w:type="dxa"/>
            <w:vMerge w:val="restart"/>
            <w:tcBorders>
              <w:top w:val="single" w:sz="4" w:space="0" w:color="auto"/>
              <w:left w:val="nil"/>
              <w:bottom w:val="single" w:sz="4" w:space="0" w:color="000000"/>
              <w:right w:val="nil"/>
            </w:tcBorders>
            <w:shd w:val="clear" w:color="auto" w:fill="auto"/>
            <w:vAlign w:val="center"/>
            <w:hideMark/>
          </w:tcPr>
          <w:p w:rsidR="009D258F" w:rsidRPr="00ED7280" w:rsidRDefault="009D258F" w:rsidP="0071286E">
            <w:pPr>
              <w:pStyle w:val="DHHStablecolhead"/>
            </w:pPr>
            <w:r w:rsidRPr="00ED7280">
              <w:t>Service Plan</w:t>
            </w:r>
          </w:p>
        </w:tc>
        <w:tc>
          <w:tcPr>
            <w:tcW w:w="1250" w:type="dxa"/>
            <w:vMerge w:val="restart"/>
            <w:tcBorders>
              <w:top w:val="single" w:sz="4" w:space="0" w:color="auto"/>
              <w:left w:val="nil"/>
              <w:bottom w:val="single" w:sz="4" w:space="0" w:color="000000"/>
              <w:right w:val="single" w:sz="4" w:space="0" w:color="auto"/>
            </w:tcBorders>
            <w:shd w:val="clear" w:color="auto" w:fill="auto"/>
            <w:vAlign w:val="center"/>
            <w:hideMark/>
          </w:tcPr>
          <w:p w:rsidR="009D258F" w:rsidRPr="00ED7280" w:rsidRDefault="009D258F" w:rsidP="0071286E">
            <w:pPr>
              <w:pStyle w:val="DHHStablecolhead"/>
            </w:pPr>
            <w:r w:rsidRPr="00ED7280">
              <w:t>Activity</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ED7280" w:rsidRDefault="009D258F" w:rsidP="0071286E">
            <w:pPr>
              <w:pStyle w:val="DHHStablecolhead"/>
              <w:jc w:val="center"/>
            </w:pPr>
            <w:r w:rsidRPr="00ED7280">
              <w:t>F</w:t>
            </w:r>
            <w:r>
              <w:t>Y f</w:t>
            </w:r>
            <w:r w:rsidRPr="00ED7280">
              <w:t xml:space="preserve">unding </w:t>
            </w:r>
            <w:r>
              <w:t xml:space="preserve">remaining </w:t>
            </w:r>
            <w:r w:rsidRPr="00ED7280">
              <w:t>before variation ($)</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ED7280" w:rsidRDefault="009D258F" w:rsidP="0071286E">
            <w:pPr>
              <w:pStyle w:val="DHHStablecolhead"/>
              <w:jc w:val="center"/>
            </w:pPr>
            <w:r w:rsidRPr="00ED7280">
              <w:t>F</w:t>
            </w:r>
            <w:r>
              <w:t>Y f</w:t>
            </w:r>
            <w:r w:rsidRPr="00ED7280">
              <w:t xml:space="preserve">unding </w:t>
            </w:r>
            <w:r>
              <w:t xml:space="preserve">remaining </w:t>
            </w:r>
            <w:r w:rsidRPr="00ED7280">
              <w:t>after variation ($)</w:t>
            </w:r>
          </w:p>
        </w:tc>
      </w:tr>
      <w:tr w:rsidR="009D258F" w:rsidRPr="00ED7280" w:rsidTr="0071286E">
        <w:trPr>
          <w:trHeight w:val="600"/>
        </w:trPr>
        <w:tc>
          <w:tcPr>
            <w:tcW w:w="1261" w:type="dxa"/>
            <w:vMerge/>
            <w:tcBorders>
              <w:top w:val="single" w:sz="4" w:space="0" w:color="auto"/>
              <w:left w:val="single" w:sz="4" w:space="0" w:color="auto"/>
              <w:bottom w:val="single" w:sz="4" w:space="0" w:color="000000"/>
              <w:right w:val="nil"/>
            </w:tcBorders>
            <w:vAlign w:val="center"/>
            <w:hideMark/>
          </w:tcPr>
          <w:p w:rsidR="009D258F" w:rsidRPr="00ED7280" w:rsidRDefault="009D258F" w:rsidP="0071286E">
            <w:pPr>
              <w:rPr>
                <w:rFonts w:ascii="Arial" w:hAnsi="Arial" w:cs="Arial"/>
                <w:b/>
                <w:bCs/>
                <w:color w:val="000000"/>
                <w:lang w:eastAsia="en-AU"/>
              </w:rPr>
            </w:pPr>
          </w:p>
        </w:tc>
        <w:tc>
          <w:tcPr>
            <w:tcW w:w="1650" w:type="dxa"/>
            <w:vMerge/>
            <w:tcBorders>
              <w:top w:val="single" w:sz="4" w:space="0" w:color="auto"/>
              <w:left w:val="nil"/>
              <w:bottom w:val="single" w:sz="4" w:space="0" w:color="000000"/>
              <w:right w:val="nil"/>
            </w:tcBorders>
            <w:vAlign w:val="center"/>
            <w:hideMark/>
          </w:tcPr>
          <w:p w:rsidR="009D258F" w:rsidRPr="00ED7280" w:rsidRDefault="009D258F" w:rsidP="0071286E">
            <w:pPr>
              <w:rPr>
                <w:rFonts w:ascii="Arial" w:hAnsi="Arial" w:cs="Arial"/>
                <w:b/>
                <w:bCs/>
                <w:color w:val="000000"/>
                <w:lang w:eastAsia="en-AU"/>
              </w:rPr>
            </w:pPr>
          </w:p>
        </w:tc>
        <w:tc>
          <w:tcPr>
            <w:tcW w:w="1250" w:type="dxa"/>
            <w:vMerge/>
            <w:tcBorders>
              <w:top w:val="single" w:sz="4" w:space="0" w:color="auto"/>
              <w:left w:val="nil"/>
              <w:bottom w:val="single" w:sz="4" w:space="0" w:color="000000"/>
              <w:right w:val="single" w:sz="4" w:space="0" w:color="auto"/>
            </w:tcBorders>
            <w:vAlign w:val="center"/>
            <w:hideMark/>
          </w:tcPr>
          <w:p w:rsidR="009D258F" w:rsidRPr="00ED7280" w:rsidRDefault="009D258F" w:rsidP="0071286E">
            <w:pPr>
              <w:rPr>
                <w:rFonts w:ascii="Arial" w:hAnsi="Arial" w:cs="Arial"/>
                <w:b/>
                <w:bCs/>
                <w:color w:val="000000"/>
                <w:lang w:eastAsia="en-AU"/>
              </w:rPr>
            </w:pPr>
          </w:p>
        </w:tc>
        <w:tc>
          <w:tcPr>
            <w:tcW w:w="939" w:type="dxa"/>
            <w:tcBorders>
              <w:top w:val="single" w:sz="4" w:space="0" w:color="auto"/>
              <w:left w:val="nil"/>
              <w:bottom w:val="single" w:sz="4" w:space="0" w:color="auto"/>
              <w:right w:val="nil"/>
            </w:tcBorders>
            <w:shd w:val="clear" w:color="auto" w:fill="auto"/>
            <w:vAlign w:val="center"/>
            <w:hideMark/>
          </w:tcPr>
          <w:p w:rsidR="009D258F" w:rsidRPr="00ED7280" w:rsidRDefault="009D258F" w:rsidP="0071286E">
            <w:pPr>
              <w:pStyle w:val="DHHStablecolhead"/>
              <w:jc w:val="center"/>
              <w:rPr>
                <w:rFonts w:cs="Arial"/>
                <w:bCs/>
                <w:color w:val="000000"/>
                <w:lang w:eastAsia="en-AU"/>
              </w:rPr>
            </w:pPr>
            <w:r w:rsidRPr="00ED7280">
              <w:t>Activity</w:t>
            </w:r>
          </w:p>
        </w:tc>
        <w:tc>
          <w:tcPr>
            <w:tcW w:w="1261" w:type="dxa"/>
            <w:tcBorders>
              <w:top w:val="single" w:sz="4" w:space="0" w:color="auto"/>
              <w:left w:val="nil"/>
              <w:bottom w:val="single" w:sz="4" w:space="0" w:color="auto"/>
              <w:right w:val="nil"/>
            </w:tcBorders>
            <w:shd w:val="clear" w:color="auto" w:fill="auto"/>
            <w:vAlign w:val="center"/>
            <w:hideMark/>
          </w:tcPr>
          <w:p w:rsidR="009D258F" w:rsidRPr="00ED7280" w:rsidRDefault="009D258F" w:rsidP="0071286E">
            <w:pPr>
              <w:pStyle w:val="DHHStablecolhead"/>
              <w:jc w:val="center"/>
            </w:pPr>
            <w:r w:rsidRPr="00ED7280">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ED7280" w:rsidRDefault="009D258F" w:rsidP="0071286E">
            <w:pPr>
              <w:pStyle w:val="DHHStablecolhead"/>
              <w:jc w:val="center"/>
            </w:pPr>
            <w:r w:rsidRPr="00ED7280">
              <w:t>Provider</w:t>
            </w:r>
          </w:p>
        </w:tc>
        <w:tc>
          <w:tcPr>
            <w:tcW w:w="939" w:type="dxa"/>
            <w:tcBorders>
              <w:top w:val="single" w:sz="4" w:space="0" w:color="auto"/>
              <w:left w:val="nil"/>
              <w:bottom w:val="single" w:sz="4" w:space="0" w:color="auto"/>
              <w:right w:val="nil"/>
            </w:tcBorders>
            <w:shd w:val="clear" w:color="auto" w:fill="auto"/>
            <w:vAlign w:val="center"/>
            <w:hideMark/>
          </w:tcPr>
          <w:p w:rsidR="009D258F" w:rsidRPr="00ED7280" w:rsidRDefault="009D258F" w:rsidP="0071286E">
            <w:pPr>
              <w:pStyle w:val="DHHStablecolhead"/>
              <w:jc w:val="center"/>
            </w:pPr>
            <w:r w:rsidRPr="00ED7280">
              <w:t>Activity</w:t>
            </w:r>
          </w:p>
        </w:tc>
        <w:tc>
          <w:tcPr>
            <w:tcW w:w="1261" w:type="dxa"/>
            <w:tcBorders>
              <w:top w:val="single" w:sz="4" w:space="0" w:color="auto"/>
              <w:left w:val="nil"/>
              <w:bottom w:val="single" w:sz="4" w:space="0" w:color="auto"/>
              <w:right w:val="nil"/>
            </w:tcBorders>
            <w:shd w:val="clear" w:color="auto" w:fill="auto"/>
            <w:vAlign w:val="center"/>
            <w:hideMark/>
          </w:tcPr>
          <w:p w:rsidR="009D258F" w:rsidRPr="00ED7280" w:rsidRDefault="009D258F" w:rsidP="0071286E">
            <w:pPr>
              <w:pStyle w:val="DHHStablecolhead"/>
              <w:jc w:val="center"/>
            </w:pPr>
            <w:r w:rsidRPr="00ED7280">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ED7280" w:rsidRDefault="009D258F" w:rsidP="0071286E">
            <w:pPr>
              <w:pStyle w:val="DHHStablecolhead"/>
              <w:jc w:val="center"/>
            </w:pPr>
            <w:r w:rsidRPr="00ED7280">
              <w:t>Provider</w:t>
            </w:r>
          </w:p>
        </w:tc>
      </w:tr>
      <w:tr w:rsidR="009D258F" w:rsidRPr="00ED7280" w:rsidTr="0071286E">
        <w:trPr>
          <w:trHeight w:val="510"/>
        </w:trPr>
        <w:tc>
          <w:tcPr>
            <w:tcW w:w="1261" w:type="dxa"/>
            <w:vMerge w:val="restart"/>
            <w:tcBorders>
              <w:top w:val="nil"/>
              <w:left w:val="single" w:sz="4" w:space="0" w:color="auto"/>
              <w:right w:val="nil"/>
            </w:tcBorders>
            <w:shd w:val="clear" w:color="000000" w:fill="F2F2F2"/>
            <w:vAlign w:val="center"/>
            <w:hideMark/>
          </w:tcPr>
          <w:p w:rsidR="009D258F" w:rsidRPr="00ED7280" w:rsidRDefault="009D258F" w:rsidP="0071286E">
            <w:pPr>
              <w:rPr>
                <w:rFonts w:ascii="Arial" w:hAnsi="Arial" w:cs="Arial"/>
                <w:color w:val="000000"/>
                <w:lang w:eastAsia="en-AU"/>
              </w:rPr>
            </w:pPr>
            <w:r w:rsidRPr="00ED7280">
              <w:rPr>
                <w:rFonts w:ascii="Arial" w:hAnsi="Arial" w:cs="Arial"/>
                <w:color w:val="000000"/>
                <w:lang w:eastAsia="en-AU"/>
              </w:rPr>
              <w:t>Disability Services</w:t>
            </w:r>
          </w:p>
        </w:tc>
        <w:tc>
          <w:tcPr>
            <w:tcW w:w="1650" w:type="dxa"/>
            <w:vMerge w:val="restart"/>
            <w:tcBorders>
              <w:top w:val="nil"/>
              <w:left w:val="nil"/>
              <w:right w:val="nil"/>
            </w:tcBorders>
            <w:shd w:val="clear" w:color="000000" w:fill="F2F2F2"/>
            <w:vAlign w:val="center"/>
            <w:hideMark/>
          </w:tcPr>
          <w:p w:rsidR="009D258F" w:rsidRPr="00ED7280" w:rsidRDefault="009D258F" w:rsidP="0071286E">
            <w:pPr>
              <w:rPr>
                <w:rFonts w:ascii="Arial" w:hAnsi="Arial" w:cs="Arial"/>
                <w:color w:val="000000"/>
                <w:lang w:eastAsia="en-AU"/>
              </w:rPr>
            </w:pPr>
            <w:r w:rsidRPr="00ED7280">
              <w:rPr>
                <w:rFonts w:ascii="Arial" w:hAnsi="Arial" w:cs="Arial"/>
                <w:color w:val="000000"/>
                <w:lang w:eastAsia="en-AU"/>
              </w:rPr>
              <w:t>Disability Services</w:t>
            </w:r>
          </w:p>
        </w:tc>
        <w:tc>
          <w:tcPr>
            <w:tcW w:w="1250" w:type="dxa"/>
            <w:tcBorders>
              <w:top w:val="nil"/>
              <w:left w:val="nil"/>
              <w:bottom w:val="nil"/>
              <w:right w:val="single" w:sz="4" w:space="0" w:color="auto"/>
            </w:tcBorders>
            <w:shd w:val="clear" w:color="000000" w:fill="F2F2F2"/>
            <w:vAlign w:val="center"/>
            <w:hideMark/>
          </w:tcPr>
          <w:p w:rsidR="009D258F" w:rsidRPr="00ED7280" w:rsidRDefault="009D258F" w:rsidP="0071286E">
            <w:pPr>
              <w:rPr>
                <w:rFonts w:ascii="Arial" w:hAnsi="Arial" w:cs="Arial"/>
                <w:color w:val="000000"/>
                <w:lang w:eastAsia="en-AU"/>
              </w:rPr>
            </w:pPr>
            <w:r w:rsidRPr="00ED7280">
              <w:rPr>
                <w:rFonts w:ascii="Arial" w:hAnsi="Arial" w:cs="Arial"/>
                <w:color w:val="000000"/>
                <w:lang w:eastAsia="en-AU"/>
              </w:rPr>
              <w:t>Community Respite</w:t>
            </w:r>
          </w:p>
        </w:tc>
        <w:tc>
          <w:tcPr>
            <w:tcW w:w="939" w:type="dxa"/>
            <w:tcBorders>
              <w:top w:val="nil"/>
              <w:left w:val="nil"/>
              <w:bottom w:val="nil"/>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50,000</w:t>
            </w:r>
          </w:p>
        </w:tc>
        <w:tc>
          <w:tcPr>
            <w:tcW w:w="1261" w:type="dxa"/>
            <w:vMerge w:val="restart"/>
            <w:tcBorders>
              <w:top w:val="nil"/>
              <w:left w:val="nil"/>
              <w:bottom w:val="nil"/>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1</w:t>
            </w:r>
            <w:r>
              <w:rPr>
                <w:rFonts w:ascii="Arial" w:hAnsi="Arial" w:cs="Arial"/>
                <w:color w:val="000000"/>
                <w:lang w:eastAsia="en-AU"/>
              </w:rPr>
              <w:t>1</w:t>
            </w:r>
            <w:r w:rsidRPr="00ED7280">
              <w:rPr>
                <w:rFonts w:ascii="Arial" w:hAnsi="Arial" w:cs="Arial"/>
                <w:color w:val="000000"/>
                <w:lang w:eastAsia="en-AU"/>
              </w:rPr>
              <w:t>0,000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210,000</w:t>
            </w:r>
          </w:p>
        </w:tc>
        <w:tc>
          <w:tcPr>
            <w:tcW w:w="939" w:type="dxa"/>
            <w:tcBorders>
              <w:top w:val="nil"/>
              <w:left w:val="nil"/>
              <w:bottom w:val="nil"/>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20,000</w:t>
            </w:r>
          </w:p>
        </w:tc>
        <w:tc>
          <w:tcPr>
            <w:tcW w:w="1261" w:type="dxa"/>
            <w:vMerge w:val="restart"/>
            <w:tcBorders>
              <w:top w:val="nil"/>
              <w:left w:val="nil"/>
              <w:bottom w:val="nil"/>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80,000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180,000</w:t>
            </w:r>
          </w:p>
        </w:tc>
      </w:tr>
      <w:tr w:rsidR="009D258F" w:rsidRPr="00ED7280" w:rsidTr="0071286E">
        <w:trPr>
          <w:trHeight w:val="510"/>
        </w:trPr>
        <w:tc>
          <w:tcPr>
            <w:tcW w:w="1261" w:type="dxa"/>
            <w:vMerge/>
            <w:tcBorders>
              <w:left w:val="single" w:sz="4" w:space="0" w:color="auto"/>
              <w:bottom w:val="nil"/>
              <w:right w:val="nil"/>
            </w:tcBorders>
            <w:shd w:val="clear" w:color="000000" w:fill="F2F2F2"/>
            <w:vAlign w:val="center"/>
            <w:hideMark/>
          </w:tcPr>
          <w:p w:rsidR="009D258F" w:rsidRPr="00ED7280" w:rsidRDefault="009D258F" w:rsidP="0071286E">
            <w:pPr>
              <w:rPr>
                <w:rFonts w:ascii="Arial" w:hAnsi="Arial" w:cs="Arial"/>
                <w:color w:val="000000"/>
                <w:lang w:eastAsia="en-AU"/>
              </w:rPr>
            </w:pPr>
          </w:p>
        </w:tc>
        <w:tc>
          <w:tcPr>
            <w:tcW w:w="1650" w:type="dxa"/>
            <w:vMerge/>
            <w:tcBorders>
              <w:left w:val="nil"/>
              <w:bottom w:val="nil"/>
              <w:right w:val="nil"/>
            </w:tcBorders>
            <w:shd w:val="clear" w:color="000000" w:fill="F2F2F2"/>
            <w:vAlign w:val="center"/>
            <w:hideMark/>
          </w:tcPr>
          <w:p w:rsidR="009D258F" w:rsidRPr="00ED7280" w:rsidRDefault="009D258F" w:rsidP="0071286E">
            <w:pPr>
              <w:rPr>
                <w:rFonts w:ascii="Arial" w:hAnsi="Arial" w:cs="Arial"/>
                <w:color w:val="000000"/>
                <w:lang w:eastAsia="en-AU"/>
              </w:rPr>
            </w:pPr>
          </w:p>
        </w:tc>
        <w:tc>
          <w:tcPr>
            <w:tcW w:w="1250" w:type="dxa"/>
            <w:tcBorders>
              <w:top w:val="nil"/>
              <w:left w:val="nil"/>
              <w:bottom w:val="nil"/>
              <w:right w:val="single" w:sz="4" w:space="0" w:color="auto"/>
            </w:tcBorders>
            <w:shd w:val="clear" w:color="000000" w:fill="F2F2F2"/>
            <w:vAlign w:val="center"/>
            <w:hideMark/>
          </w:tcPr>
          <w:p w:rsidR="009D258F" w:rsidRPr="00ED7280" w:rsidRDefault="009D258F" w:rsidP="0071286E">
            <w:pPr>
              <w:rPr>
                <w:rFonts w:ascii="Arial" w:hAnsi="Arial" w:cs="Arial"/>
                <w:color w:val="000000"/>
                <w:lang w:eastAsia="en-AU"/>
              </w:rPr>
            </w:pPr>
            <w:r w:rsidRPr="00ED7280">
              <w:rPr>
                <w:rFonts w:ascii="Arial" w:hAnsi="Arial" w:cs="Arial"/>
                <w:color w:val="000000"/>
                <w:lang w:eastAsia="en-AU"/>
              </w:rPr>
              <w:t>Therapy</w:t>
            </w:r>
          </w:p>
        </w:tc>
        <w:tc>
          <w:tcPr>
            <w:tcW w:w="939" w:type="dxa"/>
            <w:tcBorders>
              <w:top w:val="nil"/>
              <w:left w:val="nil"/>
              <w:bottom w:val="nil"/>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60,000</w:t>
            </w:r>
          </w:p>
        </w:tc>
        <w:tc>
          <w:tcPr>
            <w:tcW w:w="1261" w:type="dxa"/>
            <w:vMerge/>
            <w:tcBorders>
              <w:top w:val="nil"/>
              <w:left w:val="nil"/>
              <w:bottom w:val="nil"/>
              <w:right w:val="nil"/>
            </w:tcBorders>
            <w:vAlign w:val="center"/>
            <w:hideMark/>
          </w:tcPr>
          <w:p w:rsidR="009D258F" w:rsidRPr="00ED7280"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ED7280" w:rsidRDefault="009D258F" w:rsidP="0071286E">
            <w:pPr>
              <w:rPr>
                <w:rFonts w:ascii="Arial" w:hAnsi="Arial" w:cs="Arial"/>
                <w:color w:val="000000"/>
                <w:lang w:eastAsia="en-AU"/>
              </w:rPr>
            </w:pPr>
          </w:p>
        </w:tc>
        <w:tc>
          <w:tcPr>
            <w:tcW w:w="939" w:type="dxa"/>
            <w:tcBorders>
              <w:top w:val="nil"/>
              <w:left w:val="nil"/>
              <w:bottom w:val="nil"/>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60,000</w:t>
            </w:r>
          </w:p>
        </w:tc>
        <w:tc>
          <w:tcPr>
            <w:tcW w:w="1261" w:type="dxa"/>
            <w:vMerge/>
            <w:tcBorders>
              <w:top w:val="nil"/>
              <w:left w:val="nil"/>
              <w:bottom w:val="nil"/>
              <w:right w:val="nil"/>
            </w:tcBorders>
            <w:vAlign w:val="center"/>
            <w:hideMark/>
          </w:tcPr>
          <w:p w:rsidR="009D258F" w:rsidRPr="00ED7280"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ED7280" w:rsidRDefault="009D258F" w:rsidP="0071286E">
            <w:pPr>
              <w:rPr>
                <w:rFonts w:ascii="Arial" w:hAnsi="Arial" w:cs="Arial"/>
                <w:color w:val="000000"/>
                <w:lang w:eastAsia="en-AU"/>
              </w:rPr>
            </w:pPr>
          </w:p>
        </w:tc>
      </w:tr>
      <w:tr w:rsidR="009D258F" w:rsidRPr="00ED7280" w:rsidTr="0071286E">
        <w:trPr>
          <w:trHeight w:val="510"/>
        </w:trPr>
        <w:tc>
          <w:tcPr>
            <w:tcW w:w="1261" w:type="dxa"/>
            <w:tcBorders>
              <w:top w:val="nil"/>
              <w:left w:val="single" w:sz="4" w:space="0" w:color="auto"/>
              <w:bottom w:val="single" w:sz="4" w:space="0" w:color="auto"/>
              <w:right w:val="nil"/>
            </w:tcBorders>
            <w:shd w:val="clear" w:color="auto" w:fill="auto"/>
            <w:vAlign w:val="center"/>
            <w:hideMark/>
          </w:tcPr>
          <w:p w:rsidR="009D258F" w:rsidRPr="00ED7280" w:rsidRDefault="009D258F" w:rsidP="0071286E">
            <w:pPr>
              <w:rPr>
                <w:rFonts w:ascii="Arial" w:hAnsi="Arial" w:cs="Arial"/>
                <w:color w:val="000000"/>
                <w:lang w:eastAsia="en-AU"/>
              </w:rPr>
            </w:pPr>
            <w:r w:rsidRPr="00ED7280">
              <w:rPr>
                <w:rFonts w:ascii="Arial" w:hAnsi="Arial" w:cs="Arial"/>
                <w:color w:val="000000"/>
                <w:lang w:eastAsia="en-AU"/>
              </w:rPr>
              <w:t>DHHS NGO</w:t>
            </w:r>
          </w:p>
        </w:tc>
        <w:tc>
          <w:tcPr>
            <w:tcW w:w="1650" w:type="dxa"/>
            <w:tcBorders>
              <w:top w:val="nil"/>
              <w:left w:val="nil"/>
              <w:bottom w:val="single" w:sz="4" w:space="0" w:color="auto"/>
              <w:right w:val="nil"/>
            </w:tcBorders>
            <w:shd w:val="clear" w:color="auto" w:fill="auto"/>
            <w:vAlign w:val="center"/>
            <w:hideMark/>
          </w:tcPr>
          <w:p w:rsidR="009D258F" w:rsidRPr="00ED7280" w:rsidRDefault="009D258F" w:rsidP="0071286E">
            <w:pPr>
              <w:rPr>
                <w:rFonts w:ascii="Arial" w:hAnsi="Arial" w:cs="Arial"/>
                <w:color w:val="000000"/>
                <w:lang w:eastAsia="en-AU"/>
              </w:rPr>
            </w:pPr>
            <w:r w:rsidRPr="00ED7280">
              <w:rPr>
                <w:rFonts w:ascii="Arial" w:hAnsi="Arial" w:cs="Arial"/>
                <w:color w:val="000000"/>
                <w:lang w:eastAsia="en-AU"/>
              </w:rPr>
              <w:t>Homelessness Accommodation</w:t>
            </w:r>
          </w:p>
        </w:tc>
        <w:tc>
          <w:tcPr>
            <w:tcW w:w="1250" w:type="dxa"/>
            <w:tcBorders>
              <w:top w:val="nil"/>
              <w:left w:val="nil"/>
              <w:bottom w:val="single" w:sz="4" w:space="0" w:color="auto"/>
              <w:right w:val="single" w:sz="4" w:space="0" w:color="auto"/>
            </w:tcBorders>
            <w:shd w:val="clear" w:color="auto" w:fill="auto"/>
            <w:vAlign w:val="center"/>
            <w:hideMark/>
          </w:tcPr>
          <w:p w:rsidR="009D258F" w:rsidRPr="00ED7280" w:rsidRDefault="009D258F" w:rsidP="0071286E">
            <w:pPr>
              <w:rPr>
                <w:rFonts w:ascii="Arial" w:hAnsi="Arial" w:cs="Arial"/>
                <w:color w:val="000000"/>
                <w:lang w:eastAsia="en-AU"/>
              </w:rPr>
            </w:pPr>
            <w:r w:rsidRPr="00ED7280">
              <w:rPr>
                <w:rFonts w:ascii="Arial" w:hAnsi="Arial" w:cs="Arial"/>
                <w:color w:val="000000"/>
                <w:lang w:eastAsia="en-AU"/>
              </w:rPr>
              <w:t>Transitional Support</w:t>
            </w:r>
          </w:p>
        </w:tc>
        <w:tc>
          <w:tcPr>
            <w:tcW w:w="939" w:type="dxa"/>
            <w:tcBorders>
              <w:top w:val="nil"/>
              <w:left w:val="nil"/>
              <w:bottom w:val="single" w:sz="4" w:space="0" w:color="auto"/>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100,000</w:t>
            </w:r>
          </w:p>
        </w:tc>
        <w:tc>
          <w:tcPr>
            <w:tcW w:w="1261" w:type="dxa"/>
            <w:tcBorders>
              <w:top w:val="nil"/>
              <w:left w:val="nil"/>
              <w:bottom w:val="single" w:sz="4" w:space="0" w:color="auto"/>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100,000</w:t>
            </w:r>
          </w:p>
        </w:tc>
        <w:tc>
          <w:tcPr>
            <w:tcW w:w="1028" w:type="dxa"/>
            <w:vMerge/>
            <w:tcBorders>
              <w:top w:val="nil"/>
              <w:left w:val="nil"/>
              <w:bottom w:val="single" w:sz="4" w:space="0" w:color="000000"/>
              <w:right w:val="single" w:sz="4" w:space="0" w:color="auto"/>
            </w:tcBorders>
            <w:vAlign w:val="center"/>
            <w:hideMark/>
          </w:tcPr>
          <w:p w:rsidR="009D258F" w:rsidRPr="00ED7280" w:rsidRDefault="009D258F" w:rsidP="0071286E">
            <w:pPr>
              <w:rPr>
                <w:rFonts w:ascii="Arial" w:hAnsi="Arial" w:cs="Arial"/>
                <w:color w:val="000000"/>
                <w:lang w:eastAsia="en-AU"/>
              </w:rPr>
            </w:pPr>
          </w:p>
        </w:tc>
        <w:tc>
          <w:tcPr>
            <w:tcW w:w="939" w:type="dxa"/>
            <w:tcBorders>
              <w:top w:val="nil"/>
              <w:left w:val="nil"/>
              <w:bottom w:val="single" w:sz="4" w:space="0" w:color="auto"/>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100,000</w:t>
            </w:r>
          </w:p>
        </w:tc>
        <w:tc>
          <w:tcPr>
            <w:tcW w:w="1261" w:type="dxa"/>
            <w:tcBorders>
              <w:top w:val="nil"/>
              <w:left w:val="nil"/>
              <w:bottom w:val="single" w:sz="4" w:space="0" w:color="auto"/>
              <w:right w:val="nil"/>
            </w:tcBorders>
            <w:shd w:val="clear" w:color="auto" w:fill="auto"/>
            <w:vAlign w:val="center"/>
            <w:hideMark/>
          </w:tcPr>
          <w:p w:rsidR="009D258F" w:rsidRPr="00ED7280" w:rsidRDefault="009D258F" w:rsidP="0071286E">
            <w:pPr>
              <w:jc w:val="right"/>
              <w:rPr>
                <w:rFonts w:ascii="Arial" w:hAnsi="Arial" w:cs="Arial"/>
                <w:color w:val="000000"/>
                <w:lang w:eastAsia="en-AU"/>
              </w:rPr>
            </w:pPr>
            <w:r w:rsidRPr="00ED7280">
              <w:rPr>
                <w:rFonts w:ascii="Arial" w:hAnsi="Arial" w:cs="Arial"/>
                <w:color w:val="000000"/>
                <w:lang w:eastAsia="en-AU"/>
              </w:rPr>
              <w:t>100,000</w:t>
            </w:r>
          </w:p>
        </w:tc>
        <w:tc>
          <w:tcPr>
            <w:tcW w:w="1028" w:type="dxa"/>
            <w:vMerge/>
            <w:tcBorders>
              <w:top w:val="nil"/>
              <w:left w:val="nil"/>
              <w:bottom w:val="single" w:sz="4" w:space="0" w:color="000000"/>
              <w:right w:val="single" w:sz="4" w:space="0" w:color="auto"/>
            </w:tcBorders>
            <w:vAlign w:val="center"/>
            <w:hideMark/>
          </w:tcPr>
          <w:p w:rsidR="009D258F" w:rsidRPr="00ED7280" w:rsidRDefault="009D258F" w:rsidP="0071286E">
            <w:pPr>
              <w:rPr>
                <w:rFonts w:ascii="Arial" w:hAnsi="Arial" w:cs="Arial"/>
                <w:color w:val="000000"/>
                <w:lang w:eastAsia="en-AU"/>
              </w:rPr>
            </w:pPr>
          </w:p>
        </w:tc>
      </w:tr>
    </w:tbl>
    <w:p w:rsidR="009D258F" w:rsidRDefault="009D258F" w:rsidP="009D258F">
      <w:pPr>
        <w:pStyle w:val="DHHStablecaption"/>
      </w:pPr>
      <w:r>
        <w:t xml:space="preserve">Table </w:t>
      </w:r>
      <w:r w:rsidR="0077660F">
        <w:t>2</w:t>
      </w:r>
      <w:r>
        <w:t>: Insufficient funding remaining in FY against activity, sufficient funding remaining in FY against disability service agreement</w:t>
      </w:r>
    </w:p>
    <w:p w:rsidR="009D258F" w:rsidRPr="009D258F" w:rsidRDefault="009D258F" w:rsidP="009D258F">
      <w:pPr>
        <w:pStyle w:val="DHHSbullet1lastline"/>
      </w:pPr>
      <w:r w:rsidRPr="009D258F">
        <w:t>Required variation: Withdraw $30,000 from Community Respite</w:t>
      </w:r>
    </w:p>
    <w:tbl>
      <w:tblPr>
        <w:tblW w:w="10617" w:type="dxa"/>
        <w:tblInd w:w="93" w:type="dxa"/>
        <w:tblLook w:val="04A0" w:firstRow="1" w:lastRow="0" w:firstColumn="1" w:lastColumn="0" w:noHBand="0" w:noVBand="1"/>
      </w:tblPr>
      <w:tblGrid>
        <w:gridCol w:w="1261"/>
        <w:gridCol w:w="1650"/>
        <w:gridCol w:w="1250"/>
        <w:gridCol w:w="939"/>
        <w:gridCol w:w="1261"/>
        <w:gridCol w:w="1028"/>
        <w:gridCol w:w="939"/>
        <w:gridCol w:w="1261"/>
        <w:gridCol w:w="1028"/>
      </w:tblGrid>
      <w:tr w:rsidR="009D258F" w:rsidRPr="003460B9" w:rsidTr="0071286E">
        <w:trPr>
          <w:trHeight w:val="300"/>
        </w:trPr>
        <w:tc>
          <w:tcPr>
            <w:tcW w:w="1261" w:type="dxa"/>
            <w:vMerge w:val="restart"/>
            <w:tcBorders>
              <w:top w:val="single" w:sz="4" w:space="0" w:color="auto"/>
              <w:left w:val="single" w:sz="4" w:space="0" w:color="auto"/>
              <w:bottom w:val="single" w:sz="4" w:space="0" w:color="000000"/>
              <w:right w:val="nil"/>
            </w:tcBorders>
            <w:shd w:val="clear" w:color="auto" w:fill="auto"/>
            <w:vAlign w:val="center"/>
            <w:hideMark/>
          </w:tcPr>
          <w:p w:rsidR="009D258F" w:rsidRPr="003460B9" w:rsidRDefault="009D258F" w:rsidP="0071286E">
            <w:pPr>
              <w:pStyle w:val="DHHStablecolhead"/>
            </w:pPr>
            <w:r w:rsidRPr="003460B9">
              <w:t>Service Agreement</w:t>
            </w:r>
          </w:p>
        </w:tc>
        <w:tc>
          <w:tcPr>
            <w:tcW w:w="1650" w:type="dxa"/>
            <w:vMerge w:val="restart"/>
            <w:tcBorders>
              <w:top w:val="single" w:sz="4" w:space="0" w:color="auto"/>
              <w:left w:val="nil"/>
              <w:bottom w:val="single" w:sz="4" w:space="0" w:color="000000"/>
              <w:right w:val="nil"/>
            </w:tcBorders>
            <w:shd w:val="clear" w:color="auto" w:fill="auto"/>
            <w:vAlign w:val="center"/>
            <w:hideMark/>
          </w:tcPr>
          <w:p w:rsidR="009D258F" w:rsidRPr="003460B9" w:rsidRDefault="009D258F" w:rsidP="0071286E">
            <w:pPr>
              <w:pStyle w:val="DHHStablecolhead"/>
            </w:pPr>
            <w:r w:rsidRPr="003460B9">
              <w:t>Service Plan</w:t>
            </w:r>
          </w:p>
        </w:tc>
        <w:tc>
          <w:tcPr>
            <w:tcW w:w="1250" w:type="dxa"/>
            <w:vMerge w:val="restart"/>
            <w:tcBorders>
              <w:top w:val="single" w:sz="4" w:space="0" w:color="auto"/>
              <w:left w:val="nil"/>
              <w:bottom w:val="single" w:sz="4" w:space="0" w:color="000000"/>
              <w:right w:val="single" w:sz="4" w:space="0" w:color="auto"/>
            </w:tcBorders>
            <w:shd w:val="clear" w:color="auto" w:fill="auto"/>
            <w:vAlign w:val="center"/>
            <w:hideMark/>
          </w:tcPr>
          <w:p w:rsidR="009D258F" w:rsidRPr="003460B9" w:rsidRDefault="009D258F" w:rsidP="0071286E">
            <w:pPr>
              <w:pStyle w:val="DHHStablecolhead"/>
            </w:pPr>
            <w:r w:rsidRPr="003460B9">
              <w:t>Activity</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3460B9" w:rsidRDefault="009D258F" w:rsidP="0071286E">
            <w:pPr>
              <w:pStyle w:val="DHHStablecolhead"/>
              <w:jc w:val="center"/>
            </w:pPr>
            <w:r w:rsidRPr="00ED7280">
              <w:t>F</w:t>
            </w:r>
            <w:r>
              <w:t>Y f</w:t>
            </w:r>
            <w:r w:rsidRPr="00ED7280">
              <w:t xml:space="preserve">unding </w:t>
            </w:r>
            <w:r>
              <w:t xml:space="preserve">remaining </w:t>
            </w:r>
            <w:r w:rsidRPr="003460B9">
              <w:t>before variation ($)</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3460B9" w:rsidRDefault="009D258F" w:rsidP="0071286E">
            <w:pPr>
              <w:pStyle w:val="DHHStablecolhead"/>
              <w:jc w:val="center"/>
            </w:pPr>
            <w:r w:rsidRPr="00ED7280">
              <w:t>F</w:t>
            </w:r>
            <w:r>
              <w:t>Y f</w:t>
            </w:r>
            <w:r w:rsidRPr="00ED7280">
              <w:t xml:space="preserve">unding </w:t>
            </w:r>
            <w:r>
              <w:t xml:space="preserve">remaining </w:t>
            </w:r>
            <w:r w:rsidRPr="003460B9">
              <w:t>after variation ($)</w:t>
            </w:r>
          </w:p>
        </w:tc>
      </w:tr>
      <w:tr w:rsidR="009D258F" w:rsidRPr="003460B9" w:rsidTr="0071286E">
        <w:trPr>
          <w:trHeight w:val="651"/>
        </w:trPr>
        <w:tc>
          <w:tcPr>
            <w:tcW w:w="1261" w:type="dxa"/>
            <w:vMerge/>
            <w:tcBorders>
              <w:top w:val="single" w:sz="4" w:space="0" w:color="auto"/>
              <w:left w:val="single" w:sz="4" w:space="0" w:color="auto"/>
              <w:bottom w:val="single" w:sz="4" w:space="0" w:color="000000"/>
              <w:right w:val="nil"/>
            </w:tcBorders>
            <w:vAlign w:val="center"/>
            <w:hideMark/>
          </w:tcPr>
          <w:p w:rsidR="009D258F" w:rsidRPr="003460B9" w:rsidRDefault="009D258F" w:rsidP="0071286E">
            <w:pPr>
              <w:pStyle w:val="DHHStablecolhead"/>
            </w:pPr>
          </w:p>
        </w:tc>
        <w:tc>
          <w:tcPr>
            <w:tcW w:w="1650" w:type="dxa"/>
            <w:vMerge/>
            <w:tcBorders>
              <w:top w:val="single" w:sz="4" w:space="0" w:color="auto"/>
              <w:left w:val="nil"/>
              <w:bottom w:val="single" w:sz="4" w:space="0" w:color="000000"/>
              <w:right w:val="nil"/>
            </w:tcBorders>
            <w:vAlign w:val="center"/>
            <w:hideMark/>
          </w:tcPr>
          <w:p w:rsidR="009D258F" w:rsidRPr="003460B9" w:rsidRDefault="009D258F" w:rsidP="0071286E">
            <w:pPr>
              <w:pStyle w:val="DHHStablecolhead"/>
            </w:pPr>
          </w:p>
        </w:tc>
        <w:tc>
          <w:tcPr>
            <w:tcW w:w="1250" w:type="dxa"/>
            <w:vMerge/>
            <w:tcBorders>
              <w:top w:val="single" w:sz="4" w:space="0" w:color="auto"/>
              <w:left w:val="nil"/>
              <w:bottom w:val="single" w:sz="4" w:space="0" w:color="000000"/>
              <w:right w:val="single" w:sz="4" w:space="0" w:color="auto"/>
            </w:tcBorders>
            <w:vAlign w:val="center"/>
            <w:hideMark/>
          </w:tcPr>
          <w:p w:rsidR="009D258F" w:rsidRPr="003460B9" w:rsidRDefault="009D258F" w:rsidP="0071286E">
            <w:pPr>
              <w:pStyle w:val="DHHStablecolhead"/>
            </w:pPr>
          </w:p>
        </w:tc>
        <w:tc>
          <w:tcPr>
            <w:tcW w:w="939"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Activity</w:t>
            </w:r>
          </w:p>
        </w:tc>
        <w:tc>
          <w:tcPr>
            <w:tcW w:w="1261"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3460B9" w:rsidRDefault="009D258F" w:rsidP="0071286E">
            <w:pPr>
              <w:pStyle w:val="DHHStablecolhead"/>
              <w:jc w:val="center"/>
            </w:pPr>
            <w:r w:rsidRPr="003460B9">
              <w:t>Provider</w:t>
            </w:r>
          </w:p>
        </w:tc>
        <w:tc>
          <w:tcPr>
            <w:tcW w:w="939"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Activity</w:t>
            </w:r>
          </w:p>
        </w:tc>
        <w:tc>
          <w:tcPr>
            <w:tcW w:w="1261"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3460B9" w:rsidRDefault="009D258F" w:rsidP="0071286E">
            <w:pPr>
              <w:pStyle w:val="DHHStablecolhead"/>
              <w:jc w:val="center"/>
            </w:pPr>
            <w:r w:rsidRPr="003460B9">
              <w:t>Provider</w:t>
            </w:r>
          </w:p>
        </w:tc>
      </w:tr>
      <w:tr w:rsidR="009D258F" w:rsidRPr="003460B9" w:rsidTr="0071286E">
        <w:trPr>
          <w:trHeight w:val="510"/>
        </w:trPr>
        <w:tc>
          <w:tcPr>
            <w:tcW w:w="1261" w:type="dxa"/>
            <w:vMerge w:val="restart"/>
            <w:tcBorders>
              <w:top w:val="nil"/>
              <w:left w:val="single" w:sz="4" w:space="0" w:color="auto"/>
              <w:right w:val="nil"/>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Disability Services</w:t>
            </w:r>
          </w:p>
        </w:tc>
        <w:tc>
          <w:tcPr>
            <w:tcW w:w="1650" w:type="dxa"/>
            <w:vMerge w:val="restart"/>
            <w:tcBorders>
              <w:top w:val="nil"/>
              <w:left w:val="nil"/>
              <w:right w:val="nil"/>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Disability Services</w:t>
            </w:r>
          </w:p>
        </w:tc>
        <w:tc>
          <w:tcPr>
            <w:tcW w:w="1250" w:type="dxa"/>
            <w:tcBorders>
              <w:top w:val="nil"/>
              <w:left w:val="nil"/>
              <w:bottom w:val="nil"/>
              <w:right w:val="single" w:sz="4" w:space="0" w:color="auto"/>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Community Respite</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Pr>
                <w:rFonts w:ascii="Arial" w:hAnsi="Arial" w:cs="Arial"/>
                <w:color w:val="000000"/>
                <w:lang w:eastAsia="en-AU"/>
              </w:rPr>
              <w:t>20</w:t>
            </w:r>
            <w:r w:rsidRPr="003460B9">
              <w:rPr>
                <w:rFonts w:ascii="Arial" w:hAnsi="Arial" w:cs="Arial"/>
                <w:color w:val="000000"/>
                <w:lang w:eastAsia="en-AU"/>
              </w:rPr>
              <w:t>,000</w:t>
            </w:r>
          </w:p>
        </w:tc>
        <w:tc>
          <w:tcPr>
            <w:tcW w:w="1261" w:type="dxa"/>
            <w:vMerge w:val="restart"/>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Pr>
                <w:rFonts w:ascii="Arial" w:hAnsi="Arial" w:cs="Arial"/>
                <w:color w:val="000000"/>
                <w:lang w:eastAsia="en-AU"/>
              </w:rPr>
              <w:t>80</w:t>
            </w:r>
            <w:r w:rsidRPr="003460B9">
              <w:rPr>
                <w:rFonts w:ascii="Arial" w:hAnsi="Arial" w:cs="Arial"/>
                <w:color w:val="000000"/>
                <w:lang w:eastAsia="en-AU"/>
              </w:rPr>
              <w:t>,000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w:t>
            </w:r>
            <w:r>
              <w:rPr>
                <w:rFonts w:ascii="Arial" w:hAnsi="Arial" w:cs="Arial"/>
                <w:color w:val="000000"/>
                <w:lang w:eastAsia="en-AU"/>
              </w:rPr>
              <w:t>80</w:t>
            </w:r>
            <w:r w:rsidRPr="003460B9">
              <w:rPr>
                <w:rFonts w:ascii="Arial" w:hAnsi="Arial" w:cs="Arial"/>
                <w:color w:val="000000"/>
                <w:lang w:eastAsia="en-AU"/>
              </w:rPr>
              <w:t>,000</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w:t>
            </w:r>
            <w:r>
              <w:rPr>
                <w:rFonts w:ascii="Arial" w:hAnsi="Arial" w:cs="Arial"/>
                <w:color w:val="000000"/>
                <w:lang w:eastAsia="en-AU"/>
              </w:rPr>
              <w:t>0</w:t>
            </w:r>
            <w:r w:rsidRPr="003460B9">
              <w:rPr>
                <w:rFonts w:ascii="Arial" w:hAnsi="Arial" w:cs="Arial"/>
                <w:color w:val="000000"/>
                <w:lang w:eastAsia="en-AU"/>
              </w:rPr>
              <w:t>,000</w:t>
            </w:r>
          </w:p>
        </w:tc>
        <w:tc>
          <w:tcPr>
            <w:tcW w:w="1261" w:type="dxa"/>
            <w:vMerge w:val="restart"/>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Pr>
                <w:rFonts w:ascii="Arial" w:hAnsi="Arial" w:cs="Arial"/>
                <w:color w:val="000000"/>
                <w:lang w:eastAsia="en-AU"/>
              </w:rPr>
              <w:t>50</w:t>
            </w:r>
            <w:r w:rsidRPr="003460B9">
              <w:rPr>
                <w:rFonts w:ascii="Arial" w:hAnsi="Arial" w:cs="Arial"/>
                <w:color w:val="000000"/>
                <w:lang w:eastAsia="en-AU"/>
              </w:rPr>
              <w:t>,000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w:t>
            </w:r>
            <w:r>
              <w:rPr>
                <w:rFonts w:ascii="Arial" w:hAnsi="Arial" w:cs="Arial"/>
                <w:color w:val="000000"/>
                <w:lang w:eastAsia="en-AU"/>
              </w:rPr>
              <w:t>50</w:t>
            </w:r>
            <w:r w:rsidRPr="003460B9">
              <w:rPr>
                <w:rFonts w:ascii="Arial" w:hAnsi="Arial" w:cs="Arial"/>
                <w:color w:val="000000"/>
                <w:lang w:eastAsia="en-AU"/>
              </w:rPr>
              <w:t>,000</w:t>
            </w:r>
          </w:p>
        </w:tc>
      </w:tr>
      <w:tr w:rsidR="009D258F" w:rsidRPr="003460B9" w:rsidTr="0071286E">
        <w:trPr>
          <w:trHeight w:val="510"/>
        </w:trPr>
        <w:tc>
          <w:tcPr>
            <w:tcW w:w="1261" w:type="dxa"/>
            <w:vMerge/>
            <w:tcBorders>
              <w:left w:val="single" w:sz="4" w:space="0" w:color="auto"/>
              <w:bottom w:val="nil"/>
              <w:right w:val="nil"/>
            </w:tcBorders>
            <w:shd w:val="clear" w:color="000000" w:fill="F2F2F2"/>
            <w:vAlign w:val="center"/>
          </w:tcPr>
          <w:p w:rsidR="009D258F" w:rsidRPr="003460B9" w:rsidRDefault="009D258F" w:rsidP="0071286E">
            <w:pPr>
              <w:rPr>
                <w:rFonts w:ascii="Arial" w:hAnsi="Arial" w:cs="Arial"/>
                <w:color w:val="000000"/>
                <w:lang w:eastAsia="en-AU"/>
              </w:rPr>
            </w:pPr>
          </w:p>
        </w:tc>
        <w:tc>
          <w:tcPr>
            <w:tcW w:w="1650" w:type="dxa"/>
            <w:vMerge/>
            <w:tcBorders>
              <w:left w:val="nil"/>
              <w:bottom w:val="nil"/>
              <w:right w:val="nil"/>
            </w:tcBorders>
            <w:shd w:val="clear" w:color="000000" w:fill="F2F2F2"/>
            <w:vAlign w:val="center"/>
          </w:tcPr>
          <w:p w:rsidR="009D258F" w:rsidRPr="003460B9" w:rsidRDefault="009D258F" w:rsidP="0071286E">
            <w:pPr>
              <w:rPr>
                <w:rFonts w:ascii="Arial" w:hAnsi="Arial" w:cs="Arial"/>
                <w:color w:val="000000"/>
                <w:lang w:eastAsia="en-AU"/>
              </w:rPr>
            </w:pPr>
          </w:p>
        </w:tc>
        <w:tc>
          <w:tcPr>
            <w:tcW w:w="1250" w:type="dxa"/>
            <w:tcBorders>
              <w:top w:val="nil"/>
              <w:left w:val="nil"/>
              <w:bottom w:val="nil"/>
              <w:right w:val="single" w:sz="4" w:space="0" w:color="auto"/>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Therapy</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60,000</w:t>
            </w:r>
          </w:p>
        </w:tc>
        <w:tc>
          <w:tcPr>
            <w:tcW w:w="1261" w:type="dxa"/>
            <w:vMerge/>
            <w:tcBorders>
              <w:top w:val="nil"/>
              <w:left w:val="nil"/>
              <w:bottom w:val="nil"/>
              <w:right w:val="nil"/>
            </w:tcBorders>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60,000</w:t>
            </w:r>
          </w:p>
        </w:tc>
        <w:tc>
          <w:tcPr>
            <w:tcW w:w="1261" w:type="dxa"/>
            <w:vMerge/>
            <w:tcBorders>
              <w:top w:val="nil"/>
              <w:left w:val="nil"/>
              <w:bottom w:val="nil"/>
              <w:right w:val="nil"/>
            </w:tcBorders>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r>
      <w:tr w:rsidR="009D258F" w:rsidRPr="003460B9" w:rsidTr="0071286E">
        <w:trPr>
          <w:trHeight w:val="510"/>
        </w:trPr>
        <w:tc>
          <w:tcPr>
            <w:tcW w:w="1261" w:type="dxa"/>
            <w:tcBorders>
              <w:top w:val="nil"/>
              <w:left w:val="single" w:sz="4" w:space="0" w:color="auto"/>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DHHS NGO</w:t>
            </w:r>
          </w:p>
        </w:tc>
        <w:tc>
          <w:tcPr>
            <w:tcW w:w="1650" w:type="dxa"/>
            <w:tcBorders>
              <w:top w:val="nil"/>
              <w:left w:val="nil"/>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Homelessness Accommodation</w:t>
            </w:r>
          </w:p>
        </w:tc>
        <w:tc>
          <w:tcPr>
            <w:tcW w:w="1250" w:type="dxa"/>
            <w:tcBorders>
              <w:top w:val="nil"/>
              <w:left w:val="nil"/>
              <w:bottom w:val="single" w:sz="4" w:space="0" w:color="auto"/>
              <w:right w:val="single" w:sz="4" w:space="0" w:color="auto"/>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Transitional Support</w:t>
            </w:r>
          </w:p>
        </w:tc>
        <w:tc>
          <w:tcPr>
            <w:tcW w:w="939" w:type="dxa"/>
            <w:tcBorders>
              <w:top w:val="nil"/>
              <w:left w:val="nil"/>
              <w:bottom w:val="single" w:sz="4" w:space="0" w:color="auto"/>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100,000</w:t>
            </w:r>
          </w:p>
        </w:tc>
        <w:tc>
          <w:tcPr>
            <w:tcW w:w="1261" w:type="dxa"/>
            <w:tcBorders>
              <w:top w:val="nil"/>
              <w:left w:val="nil"/>
              <w:bottom w:val="single" w:sz="4" w:space="0" w:color="auto"/>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100,000</w:t>
            </w: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single" w:sz="4" w:space="0" w:color="auto"/>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100,000</w:t>
            </w:r>
          </w:p>
        </w:tc>
        <w:tc>
          <w:tcPr>
            <w:tcW w:w="1261" w:type="dxa"/>
            <w:tcBorders>
              <w:top w:val="nil"/>
              <w:left w:val="nil"/>
              <w:bottom w:val="single" w:sz="4" w:space="0" w:color="auto"/>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100,000</w:t>
            </w: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r>
    </w:tbl>
    <w:p w:rsidR="009D258F" w:rsidRDefault="009D258F" w:rsidP="009D258F">
      <w:pPr>
        <w:pStyle w:val="DHHStablecaption"/>
      </w:pPr>
      <w:r>
        <w:t xml:space="preserve">Table </w:t>
      </w:r>
      <w:r w:rsidR="0077660F">
        <w:t>3</w:t>
      </w:r>
      <w:r>
        <w:t>: Insufficient funding remaining in FY against activity, insufficient funding remaining in FY against disability service agreement, sufficient funding remaining in FY against non-disability service agreement</w:t>
      </w:r>
    </w:p>
    <w:p w:rsidR="009D258F" w:rsidRPr="009D258F" w:rsidRDefault="009D258F" w:rsidP="009D258F">
      <w:pPr>
        <w:pStyle w:val="DHHSbullet1lastline"/>
      </w:pPr>
      <w:r w:rsidRPr="009D258F">
        <w:t>Required variation: Withdraw $30,000 from Community Respite</w:t>
      </w:r>
    </w:p>
    <w:tbl>
      <w:tblPr>
        <w:tblW w:w="10640" w:type="dxa"/>
        <w:tblInd w:w="93" w:type="dxa"/>
        <w:tblLook w:val="04A0" w:firstRow="1" w:lastRow="0" w:firstColumn="1" w:lastColumn="0" w:noHBand="0" w:noVBand="1"/>
      </w:tblPr>
      <w:tblGrid>
        <w:gridCol w:w="1261"/>
        <w:gridCol w:w="1650"/>
        <w:gridCol w:w="1273"/>
        <w:gridCol w:w="939"/>
        <w:gridCol w:w="1261"/>
        <w:gridCol w:w="1028"/>
        <w:gridCol w:w="939"/>
        <w:gridCol w:w="1261"/>
        <w:gridCol w:w="1028"/>
      </w:tblGrid>
      <w:tr w:rsidR="009D258F" w:rsidRPr="003460B9" w:rsidTr="0071286E">
        <w:trPr>
          <w:trHeight w:val="300"/>
        </w:trPr>
        <w:tc>
          <w:tcPr>
            <w:tcW w:w="1261" w:type="dxa"/>
            <w:vMerge w:val="restart"/>
            <w:tcBorders>
              <w:top w:val="single" w:sz="4" w:space="0" w:color="auto"/>
              <w:left w:val="single" w:sz="4" w:space="0" w:color="auto"/>
              <w:bottom w:val="single" w:sz="4" w:space="0" w:color="000000"/>
              <w:right w:val="nil"/>
            </w:tcBorders>
            <w:shd w:val="clear" w:color="auto" w:fill="auto"/>
            <w:vAlign w:val="center"/>
            <w:hideMark/>
          </w:tcPr>
          <w:p w:rsidR="009D258F" w:rsidRPr="003460B9" w:rsidRDefault="009D258F" w:rsidP="0071286E">
            <w:pPr>
              <w:pStyle w:val="DHHStablecolhead"/>
            </w:pPr>
            <w:r w:rsidRPr="003460B9">
              <w:t>Service Agreement</w:t>
            </w:r>
          </w:p>
        </w:tc>
        <w:tc>
          <w:tcPr>
            <w:tcW w:w="1650" w:type="dxa"/>
            <w:vMerge w:val="restart"/>
            <w:tcBorders>
              <w:top w:val="single" w:sz="4" w:space="0" w:color="auto"/>
              <w:left w:val="nil"/>
              <w:bottom w:val="single" w:sz="4" w:space="0" w:color="000000"/>
              <w:right w:val="nil"/>
            </w:tcBorders>
            <w:shd w:val="clear" w:color="auto" w:fill="auto"/>
            <w:vAlign w:val="center"/>
            <w:hideMark/>
          </w:tcPr>
          <w:p w:rsidR="009D258F" w:rsidRPr="003460B9" w:rsidRDefault="009D258F" w:rsidP="0071286E">
            <w:pPr>
              <w:pStyle w:val="DHHStablecolhead"/>
            </w:pPr>
            <w:r w:rsidRPr="003460B9">
              <w:t>Service Plan</w:t>
            </w:r>
          </w:p>
        </w:tc>
        <w:tc>
          <w:tcPr>
            <w:tcW w:w="1273" w:type="dxa"/>
            <w:vMerge w:val="restart"/>
            <w:tcBorders>
              <w:top w:val="single" w:sz="4" w:space="0" w:color="auto"/>
              <w:left w:val="nil"/>
              <w:bottom w:val="single" w:sz="4" w:space="0" w:color="000000"/>
              <w:right w:val="single" w:sz="4" w:space="0" w:color="auto"/>
            </w:tcBorders>
            <w:shd w:val="clear" w:color="auto" w:fill="auto"/>
            <w:vAlign w:val="center"/>
            <w:hideMark/>
          </w:tcPr>
          <w:p w:rsidR="009D258F" w:rsidRPr="003460B9" w:rsidRDefault="009D258F" w:rsidP="0071286E">
            <w:pPr>
              <w:pStyle w:val="DHHStablecolhead"/>
            </w:pPr>
            <w:r w:rsidRPr="003460B9">
              <w:t>Activity</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3460B9" w:rsidRDefault="009D258F" w:rsidP="0071286E">
            <w:pPr>
              <w:pStyle w:val="DHHStablecolhead"/>
              <w:jc w:val="center"/>
            </w:pPr>
            <w:r w:rsidRPr="00ED7280">
              <w:t>F</w:t>
            </w:r>
            <w:r>
              <w:t>Y f</w:t>
            </w:r>
            <w:r w:rsidRPr="00ED7280">
              <w:t xml:space="preserve">unding </w:t>
            </w:r>
            <w:r>
              <w:t xml:space="preserve">remaining </w:t>
            </w:r>
            <w:r w:rsidRPr="003460B9">
              <w:t>before variation ($)</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3460B9" w:rsidRDefault="009D258F" w:rsidP="0071286E">
            <w:pPr>
              <w:pStyle w:val="DHHStablecolhead"/>
              <w:jc w:val="center"/>
            </w:pPr>
            <w:r w:rsidRPr="00ED7280">
              <w:t>F</w:t>
            </w:r>
            <w:r>
              <w:t>Y f</w:t>
            </w:r>
            <w:r w:rsidRPr="00ED7280">
              <w:t xml:space="preserve">unding </w:t>
            </w:r>
            <w:r>
              <w:t xml:space="preserve">remaining </w:t>
            </w:r>
            <w:r w:rsidRPr="003460B9">
              <w:t>after variation ($)</w:t>
            </w:r>
          </w:p>
        </w:tc>
      </w:tr>
      <w:tr w:rsidR="009D258F" w:rsidRPr="003460B9" w:rsidTr="0071286E">
        <w:trPr>
          <w:trHeight w:val="666"/>
        </w:trPr>
        <w:tc>
          <w:tcPr>
            <w:tcW w:w="1261" w:type="dxa"/>
            <w:vMerge/>
            <w:tcBorders>
              <w:top w:val="single" w:sz="4" w:space="0" w:color="auto"/>
              <w:left w:val="single" w:sz="4" w:space="0" w:color="auto"/>
              <w:bottom w:val="single" w:sz="4" w:space="0" w:color="000000"/>
              <w:right w:val="nil"/>
            </w:tcBorders>
            <w:vAlign w:val="center"/>
            <w:hideMark/>
          </w:tcPr>
          <w:p w:rsidR="009D258F" w:rsidRPr="003460B9" w:rsidRDefault="009D258F" w:rsidP="0071286E">
            <w:pPr>
              <w:pStyle w:val="DHHStablecolhead"/>
            </w:pPr>
          </w:p>
        </w:tc>
        <w:tc>
          <w:tcPr>
            <w:tcW w:w="1650" w:type="dxa"/>
            <w:vMerge/>
            <w:tcBorders>
              <w:top w:val="single" w:sz="4" w:space="0" w:color="auto"/>
              <w:left w:val="nil"/>
              <w:bottom w:val="single" w:sz="4" w:space="0" w:color="000000"/>
              <w:right w:val="nil"/>
            </w:tcBorders>
            <w:vAlign w:val="center"/>
            <w:hideMark/>
          </w:tcPr>
          <w:p w:rsidR="009D258F" w:rsidRPr="003460B9" w:rsidRDefault="009D258F" w:rsidP="0071286E">
            <w:pPr>
              <w:pStyle w:val="DHHStablecolhead"/>
            </w:pPr>
          </w:p>
        </w:tc>
        <w:tc>
          <w:tcPr>
            <w:tcW w:w="1273" w:type="dxa"/>
            <w:vMerge/>
            <w:tcBorders>
              <w:top w:val="single" w:sz="4" w:space="0" w:color="auto"/>
              <w:left w:val="nil"/>
              <w:bottom w:val="single" w:sz="4" w:space="0" w:color="000000"/>
              <w:right w:val="single" w:sz="4" w:space="0" w:color="auto"/>
            </w:tcBorders>
            <w:vAlign w:val="center"/>
            <w:hideMark/>
          </w:tcPr>
          <w:p w:rsidR="009D258F" w:rsidRPr="003460B9" w:rsidRDefault="009D258F" w:rsidP="0071286E">
            <w:pPr>
              <w:pStyle w:val="DHHStablecolhead"/>
            </w:pPr>
          </w:p>
        </w:tc>
        <w:tc>
          <w:tcPr>
            <w:tcW w:w="939"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Activity</w:t>
            </w:r>
          </w:p>
        </w:tc>
        <w:tc>
          <w:tcPr>
            <w:tcW w:w="1261"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3460B9" w:rsidRDefault="009D258F" w:rsidP="0071286E">
            <w:pPr>
              <w:pStyle w:val="DHHStablecolhead"/>
              <w:jc w:val="center"/>
            </w:pPr>
            <w:r w:rsidRPr="003460B9">
              <w:t>Provider</w:t>
            </w:r>
          </w:p>
        </w:tc>
        <w:tc>
          <w:tcPr>
            <w:tcW w:w="939" w:type="dxa"/>
            <w:tcBorders>
              <w:top w:val="single" w:sz="4" w:space="0" w:color="auto"/>
              <w:left w:val="nil"/>
              <w:bottom w:val="single" w:sz="4" w:space="0" w:color="auto"/>
            </w:tcBorders>
            <w:shd w:val="clear" w:color="auto" w:fill="auto"/>
            <w:vAlign w:val="center"/>
            <w:hideMark/>
          </w:tcPr>
          <w:p w:rsidR="009D258F" w:rsidRPr="003460B9" w:rsidRDefault="009D258F" w:rsidP="0071286E">
            <w:pPr>
              <w:pStyle w:val="DHHStablecolhead"/>
              <w:jc w:val="center"/>
            </w:pPr>
            <w:r w:rsidRPr="003460B9">
              <w:t>Activity</w:t>
            </w:r>
          </w:p>
        </w:tc>
        <w:tc>
          <w:tcPr>
            <w:tcW w:w="1261" w:type="dxa"/>
            <w:tcBorders>
              <w:top w:val="single" w:sz="4" w:space="0" w:color="auto"/>
              <w:bottom w:val="single" w:sz="4" w:space="0" w:color="auto"/>
            </w:tcBorders>
            <w:shd w:val="clear" w:color="auto" w:fill="auto"/>
            <w:vAlign w:val="center"/>
            <w:hideMark/>
          </w:tcPr>
          <w:p w:rsidR="009D258F" w:rsidRPr="003460B9" w:rsidRDefault="009D258F" w:rsidP="0071286E">
            <w:pPr>
              <w:pStyle w:val="DHHStablecolhead"/>
              <w:jc w:val="center"/>
            </w:pPr>
            <w:r w:rsidRPr="003460B9">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3460B9" w:rsidRDefault="009D258F" w:rsidP="0071286E">
            <w:pPr>
              <w:pStyle w:val="DHHStablecolhead"/>
              <w:jc w:val="center"/>
            </w:pPr>
            <w:r w:rsidRPr="003460B9">
              <w:t>Provider</w:t>
            </w:r>
          </w:p>
        </w:tc>
      </w:tr>
      <w:tr w:rsidR="009D258F" w:rsidRPr="003460B9" w:rsidTr="0071286E">
        <w:trPr>
          <w:trHeight w:val="510"/>
        </w:trPr>
        <w:tc>
          <w:tcPr>
            <w:tcW w:w="1261" w:type="dxa"/>
            <w:vMerge w:val="restart"/>
            <w:tcBorders>
              <w:top w:val="nil"/>
              <w:left w:val="single" w:sz="4" w:space="0" w:color="auto"/>
              <w:right w:val="nil"/>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Disability Services</w:t>
            </w:r>
          </w:p>
        </w:tc>
        <w:tc>
          <w:tcPr>
            <w:tcW w:w="1650" w:type="dxa"/>
            <w:vMerge w:val="restart"/>
            <w:tcBorders>
              <w:top w:val="nil"/>
              <w:left w:val="nil"/>
              <w:right w:val="nil"/>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Disability Services</w:t>
            </w:r>
          </w:p>
        </w:tc>
        <w:tc>
          <w:tcPr>
            <w:tcW w:w="1273" w:type="dxa"/>
            <w:tcBorders>
              <w:top w:val="nil"/>
              <w:left w:val="nil"/>
              <w:bottom w:val="nil"/>
              <w:right w:val="single" w:sz="4" w:space="0" w:color="auto"/>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Community Respite</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val="restart"/>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3460B9" w:rsidRDefault="009D258F" w:rsidP="000B75C4">
            <w:pPr>
              <w:rPr>
                <w:rFonts w:ascii="Arial" w:hAnsi="Arial" w:cs="Arial"/>
                <w:color w:val="000000"/>
                <w:lang w:eastAsia="en-AU"/>
              </w:rPr>
            </w:pPr>
            <w:r w:rsidRPr="003460B9">
              <w:rPr>
                <w:rFonts w:ascii="Arial" w:hAnsi="Arial" w:cs="Arial"/>
                <w:color w:val="000000"/>
                <w:lang w:eastAsia="en-AU"/>
              </w:rPr>
              <w:t>110,000</w:t>
            </w:r>
          </w:p>
        </w:tc>
        <w:tc>
          <w:tcPr>
            <w:tcW w:w="939" w:type="dxa"/>
            <w:tcBorders>
              <w:top w:val="nil"/>
              <w:left w:val="nil"/>
              <w:bottom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val="restart"/>
            <w:tcBorders>
              <w:top w:val="nil"/>
              <w:bottom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80,000</w:t>
            </w:r>
          </w:p>
        </w:tc>
      </w:tr>
      <w:tr w:rsidR="009D258F" w:rsidRPr="003460B9" w:rsidTr="0071286E">
        <w:trPr>
          <w:trHeight w:val="510"/>
        </w:trPr>
        <w:tc>
          <w:tcPr>
            <w:tcW w:w="1261" w:type="dxa"/>
            <w:vMerge/>
            <w:tcBorders>
              <w:left w:val="single" w:sz="4" w:space="0" w:color="auto"/>
              <w:bottom w:val="nil"/>
              <w:right w:val="nil"/>
            </w:tcBorders>
            <w:shd w:val="clear" w:color="000000" w:fill="F2F2F2"/>
            <w:vAlign w:val="center"/>
          </w:tcPr>
          <w:p w:rsidR="009D258F" w:rsidRPr="003460B9" w:rsidRDefault="009D258F" w:rsidP="0071286E">
            <w:pPr>
              <w:rPr>
                <w:rFonts w:ascii="Arial" w:hAnsi="Arial" w:cs="Arial"/>
                <w:color w:val="000000"/>
                <w:lang w:eastAsia="en-AU"/>
              </w:rPr>
            </w:pPr>
          </w:p>
        </w:tc>
        <w:tc>
          <w:tcPr>
            <w:tcW w:w="1650" w:type="dxa"/>
            <w:vMerge/>
            <w:tcBorders>
              <w:left w:val="nil"/>
              <w:bottom w:val="nil"/>
              <w:right w:val="nil"/>
            </w:tcBorders>
            <w:shd w:val="clear" w:color="000000" w:fill="F2F2F2"/>
            <w:vAlign w:val="center"/>
          </w:tcPr>
          <w:p w:rsidR="009D258F" w:rsidRPr="003460B9" w:rsidRDefault="009D258F" w:rsidP="0071286E">
            <w:pPr>
              <w:rPr>
                <w:rFonts w:ascii="Arial" w:hAnsi="Arial" w:cs="Arial"/>
                <w:color w:val="000000"/>
                <w:lang w:eastAsia="en-AU"/>
              </w:rPr>
            </w:pPr>
          </w:p>
        </w:tc>
        <w:tc>
          <w:tcPr>
            <w:tcW w:w="1273" w:type="dxa"/>
            <w:tcBorders>
              <w:top w:val="nil"/>
              <w:left w:val="nil"/>
              <w:bottom w:val="nil"/>
              <w:right w:val="single" w:sz="4" w:space="0" w:color="auto"/>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Therapy</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tcBorders>
              <w:top w:val="nil"/>
              <w:left w:val="nil"/>
              <w:bottom w:val="nil"/>
              <w:right w:val="nil"/>
            </w:tcBorders>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tcBorders>
              <w:top w:val="nil"/>
              <w:bottom w:val="nil"/>
            </w:tcBorders>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r>
      <w:tr w:rsidR="009D258F" w:rsidRPr="003460B9" w:rsidTr="0071286E">
        <w:trPr>
          <w:trHeight w:val="510"/>
        </w:trPr>
        <w:tc>
          <w:tcPr>
            <w:tcW w:w="1261" w:type="dxa"/>
            <w:vMerge w:val="restart"/>
            <w:tcBorders>
              <w:top w:val="nil"/>
              <w:left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DHHS NGO</w:t>
            </w:r>
          </w:p>
        </w:tc>
        <w:tc>
          <w:tcPr>
            <w:tcW w:w="1650" w:type="dxa"/>
            <w:tcBorders>
              <w:top w:val="nil"/>
              <w:left w:val="nil"/>
              <w:bottom w:val="nil"/>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Homelessness Accommodation</w:t>
            </w:r>
          </w:p>
        </w:tc>
        <w:tc>
          <w:tcPr>
            <w:tcW w:w="1273" w:type="dxa"/>
            <w:tcBorders>
              <w:top w:val="nil"/>
              <w:left w:val="nil"/>
              <w:bottom w:val="nil"/>
              <w:right w:val="single" w:sz="4" w:space="0" w:color="auto"/>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Transitional Support</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100,000</w:t>
            </w:r>
          </w:p>
        </w:tc>
        <w:tc>
          <w:tcPr>
            <w:tcW w:w="1261"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100,000</w:t>
            </w: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100,000</w:t>
            </w:r>
          </w:p>
        </w:tc>
        <w:tc>
          <w:tcPr>
            <w:tcW w:w="1261" w:type="dxa"/>
            <w:tcBorders>
              <w:top w:val="nil"/>
              <w:bottom w:val="nil"/>
            </w:tcBorders>
            <w:shd w:val="clear" w:color="auto" w:fill="auto"/>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r>
      <w:tr w:rsidR="009D258F" w:rsidRPr="003460B9" w:rsidTr="0071286E">
        <w:trPr>
          <w:trHeight w:val="1530"/>
        </w:trPr>
        <w:tc>
          <w:tcPr>
            <w:tcW w:w="1261" w:type="dxa"/>
            <w:vMerge/>
            <w:tcBorders>
              <w:left w:val="single" w:sz="4" w:space="0" w:color="auto"/>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p>
        </w:tc>
        <w:tc>
          <w:tcPr>
            <w:tcW w:w="1650" w:type="dxa"/>
            <w:tcBorders>
              <w:top w:val="nil"/>
              <w:left w:val="nil"/>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NDIS Transition Recoupment</w:t>
            </w:r>
          </w:p>
        </w:tc>
        <w:tc>
          <w:tcPr>
            <w:tcW w:w="1273" w:type="dxa"/>
            <w:tcBorders>
              <w:top w:val="nil"/>
              <w:left w:val="nil"/>
              <w:bottom w:val="single" w:sz="4" w:space="0" w:color="auto"/>
              <w:right w:val="single" w:sz="4" w:space="0" w:color="auto"/>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NDIS Disability Services funding recoupment (17159)</w:t>
            </w:r>
          </w:p>
        </w:tc>
        <w:tc>
          <w:tcPr>
            <w:tcW w:w="939" w:type="dxa"/>
            <w:tcBorders>
              <w:top w:val="nil"/>
              <w:left w:val="nil"/>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 </w:t>
            </w:r>
          </w:p>
        </w:tc>
        <w:tc>
          <w:tcPr>
            <w:tcW w:w="1261" w:type="dxa"/>
            <w:tcBorders>
              <w:top w:val="nil"/>
              <w:left w:val="nil"/>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 </w:t>
            </w: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single" w:sz="4" w:space="0" w:color="auto"/>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-20,000</w:t>
            </w:r>
          </w:p>
        </w:tc>
        <w:tc>
          <w:tcPr>
            <w:tcW w:w="1261" w:type="dxa"/>
            <w:tcBorders>
              <w:top w:val="nil"/>
              <w:bottom w:val="single" w:sz="4" w:space="0" w:color="auto"/>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80,000</w:t>
            </w: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r>
    </w:tbl>
    <w:p w:rsidR="00E048DD" w:rsidRDefault="00E048DD" w:rsidP="009D258F">
      <w:pPr>
        <w:pStyle w:val="DHHStablecaption"/>
      </w:pPr>
    </w:p>
    <w:p w:rsidR="009D258F" w:rsidRDefault="009D258F" w:rsidP="009D258F">
      <w:pPr>
        <w:pStyle w:val="DHHStablecaption"/>
      </w:pPr>
      <w:r>
        <w:t xml:space="preserve">Table </w:t>
      </w:r>
      <w:r w:rsidR="0077660F">
        <w:t>4</w:t>
      </w:r>
      <w:r>
        <w:t>: Insufficient funding remaining in FY against activity, insufficient funding remaining in FY against disability service agreement, in sufficient funding remaining in FY against non-disability service agreement, invoice required</w:t>
      </w:r>
    </w:p>
    <w:p w:rsidR="009D258F" w:rsidRPr="009D258F" w:rsidRDefault="009D258F" w:rsidP="009D258F">
      <w:pPr>
        <w:pStyle w:val="DHHSbullet1lastline"/>
      </w:pPr>
      <w:r w:rsidRPr="009D258F">
        <w:t>Required variation: Withdraw $30,000 from Community Respite</w:t>
      </w:r>
    </w:p>
    <w:tbl>
      <w:tblPr>
        <w:tblW w:w="10640" w:type="dxa"/>
        <w:tblInd w:w="93" w:type="dxa"/>
        <w:tblLook w:val="04A0" w:firstRow="1" w:lastRow="0" w:firstColumn="1" w:lastColumn="0" w:noHBand="0" w:noVBand="1"/>
      </w:tblPr>
      <w:tblGrid>
        <w:gridCol w:w="1261"/>
        <w:gridCol w:w="1650"/>
        <w:gridCol w:w="1273"/>
        <w:gridCol w:w="939"/>
        <w:gridCol w:w="1261"/>
        <w:gridCol w:w="1028"/>
        <w:gridCol w:w="939"/>
        <w:gridCol w:w="1261"/>
        <w:gridCol w:w="1028"/>
      </w:tblGrid>
      <w:tr w:rsidR="009D258F" w:rsidRPr="003460B9" w:rsidTr="0071286E">
        <w:trPr>
          <w:trHeight w:val="300"/>
        </w:trPr>
        <w:tc>
          <w:tcPr>
            <w:tcW w:w="1261" w:type="dxa"/>
            <w:vMerge w:val="restart"/>
            <w:tcBorders>
              <w:top w:val="single" w:sz="4" w:space="0" w:color="auto"/>
              <w:left w:val="single" w:sz="4" w:space="0" w:color="auto"/>
              <w:bottom w:val="single" w:sz="4" w:space="0" w:color="000000"/>
              <w:right w:val="nil"/>
            </w:tcBorders>
            <w:shd w:val="clear" w:color="auto" w:fill="auto"/>
            <w:vAlign w:val="center"/>
            <w:hideMark/>
          </w:tcPr>
          <w:p w:rsidR="009D258F" w:rsidRPr="003460B9" w:rsidRDefault="009D258F" w:rsidP="0071286E">
            <w:pPr>
              <w:pStyle w:val="DHHStablecolhead"/>
            </w:pPr>
            <w:r w:rsidRPr="003460B9">
              <w:t>Service Agreement</w:t>
            </w:r>
          </w:p>
        </w:tc>
        <w:tc>
          <w:tcPr>
            <w:tcW w:w="1650" w:type="dxa"/>
            <w:vMerge w:val="restart"/>
            <w:tcBorders>
              <w:top w:val="single" w:sz="4" w:space="0" w:color="auto"/>
              <w:left w:val="nil"/>
              <w:bottom w:val="single" w:sz="4" w:space="0" w:color="000000"/>
              <w:right w:val="nil"/>
            </w:tcBorders>
            <w:shd w:val="clear" w:color="auto" w:fill="auto"/>
            <w:vAlign w:val="center"/>
            <w:hideMark/>
          </w:tcPr>
          <w:p w:rsidR="009D258F" w:rsidRPr="003460B9" w:rsidRDefault="009D258F" w:rsidP="0071286E">
            <w:pPr>
              <w:pStyle w:val="DHHStablecolhead"/>
            </w:pPr>
            <w:r w:rsidRPr="003460B9">
              <w:t>Service Plan</w:t>
            </w:r>
          </w:p>
        </w:tc>
        <w:tc>
          <w:tcPr>
            <w:tcW w:w="1273" w:type="dxa"/>
            <w:vMerge w:val="restart"/>
            <w:tcBorders>
              <w:top w:val="single" w:sz="4" w:space="0" w:color="auto"/>
              <w:left w:val="nil"/>
              <w:bottom w:val="single" w:sz="4" w:space="0" w:color="000000"/>
              <w:right w:val="single" w:sz="4" w:space="0" w:color="auto"/>
            </w:tcBorders>
            <w:shd w:val="clear" w:color="auto" w:fill="auto"/>
            <w:vAlign w:val="center"/>
            <w:hideMark/>
          </w:tcPr>
          <w:p w:rsidR="009D258F" w:rsidRPr="003460B9" w:rsidRDefault="009D258F" w:rsidP="0071286E">
            <w:pPr>
              <w:pStyle w:val="DHHStablecolhead"/>
            </w:pPr>
            <w:r w:rsidRPr="003460B9">
              <w:t>Activity</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3460B9" w:rsidRDefault="009D258F" w:rsidP="0071286E">
            <w:pPr>
              <w:pStyle w:val="DHHStablecolhead"/>
              <w:jc w:val="center"/>
            </w:pPr>
            <w:r w:rsidRPr="00ED7280">
              <w:t>F</w:t>
            </w:r>
            <w:r>
              <w:t>Y f</w:t>
            </w:r>
            <w:r w:rsidRPr="00ED7280">
              <w:t xml:space="preserve">unding </w:t>
            </w:r>
            <w:r>
              <w:t xml:space="preserve">remaining </w:t>
            </w:r>
            <w:r w:rsidRPr="003460B9">
              <w:t>before variation ($)</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rsidR="009D258F" w:rsidRPr="003460B9" w:rsidRDefault="009D258F" w:rsidP="0071286E">
            <w:pPr>
              <w:pStyle w:val="DHHStablecolhead"/>
              <w:jc w:val="center"/>
            </w:pPr>
            <w:r w:rsidRPr="00ED7280">
              <w:t>F</w:t>
            </w:r>
            <w:r>
              <w:t>Y f</w:t>
            </w:r>
            <w:r w:rsidRPr="00ED7280">
              <w:t xml:space="preserve">unding </w:t>
            </w:r>
            <w:r>
              <w:t xml:space="preserve">remaining </w:t>
            </w:r>
            <w:r w:rsidRPr="003460B9">
              <w:t>after variation ($)</w:t>
            </w:r>
          </w:p>
        </w:tc>
      </w:tr>
      <w:tr w:rsidR="009D258F" w:rsidRPr="003460B9" w:rsidTr="0071286E">
        <w:trPr>
          <w:trHeight w:val="606"/>
        </w:trPr>
        <w:tc>
          <w:tcPr>
            <w:tcW w:w="1261" w:type="dxa"/>
            <w:vMerge/>
            <w:tcBorders>
              <w:top w:val="single" w:sz="4" w:space="0" w:color="auto"/>
              <w:left w:val="single" w:sz="4" w:space="0" w:color="auto"/>
              <w:bottom w:val="single" w:sz="4" w:space="0" w:color="000000"/>
              <w:right w:val="nil"/>
            </w:tcBorders>
            <w:vAlign w:val="center"/>
            <w:hideMark/>
          </w:tcPr>
          <w:p w:rsidR="009D258F" w:rsidRPr="003460B9" w:rsidRDefault="009D258F" w:rsidP="0071286E">
            <w:pPr>
              <w:pStyle w:val="DHHStablecolhead"/>
            </w:pPr>
          </w:p>
        </w:tc>
        <w:tc>
          <w:tcPr>
            <w:tcW w:w="1650" w:type="dxa"/>
            <w:vMerge/>
            <w:tcBorders>
              <w:top w:val="single" w:sz="4" w:space="0" w:color="auto"/>
              <w:left w:val="nil"/>
              <w:bottom w:val="single" w:sz="4" w:space="0" w:color="000000"/>
              <w:right w:val="nil"/>
            </w:tcBorders>
            <w:vAlign w:val="center"/>
            <w:hideMark/>
          </w:tcPr>
          <w:p w:rsidR="009D258F" w:rsidRPr="003460B9" w:rsidRDefault="009D258F" w:rsidP="0071286E">
            <w:pPr>
              <w:pStyle w:val="DHHStablecolhead"/>
            </w:pPr>
          </w:p>
        </w:tc>
        <w:tc>
          <w:tcPr>
            <w:tcW w:w="1273" w:type="dxa"/>
            <w:vMerge/>
            <w:tcBorders>
              <w:top w:val="single" w:sz="4" w:space="0" w:color="auto"/>
              <w:left w:val="nil"/>
              <w:bottom w:val="single" w:sz="4" w:space="0" w:color="000000"/>
              <w:right w:val="single" w:sz="4" w:space="0" w:color="auto"/>
            </w:tcBorders>
            <w:vAlign w:val="center"/>
            <w:hideMark/>
          </w:tcPr>
          <w:p w:rsidR="009D258F" w:rsidRPr="003460B9" w:rsidRDefault="009D258F" w:rsidP="0071286E">
            <w:pPr>
              <w:pStyle w:val="DHHStablecolhead"/>
            </w:pPr>
          </w:p>
        </w:tc>
        <w:tc>
          <w:tcPr>
            <w:tcW w:w="939"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Activity</w:t>
            </w:r>
          </w:p>
        </w:tc>
        <w:tc>
          <w:tcPr>
            <w:tcW w:w="1261"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3460B9" w:rsidRDefault="009D258F" w:rsidP="0071286E">
            <w:pPr>
              <w:pStyle w:val="DHHStablecolhead"/>
              <w:jc w:val="center"/>
            </w:pPr>
            <w:r w:rsidRPr="003460B9">
              <w:t>Provider</w:t>
            </w:r>
          </w:p>
        </w:tc>
        <w:tc>
          <w:tcPr>
            <w:tcW w:w="939"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Activity</w:t>
            </w:r>
          </w:p>
        </w:tc>
        <w:tc>
          <w:tcPr>
            <w:tcW w:w="1261" w:type="dxa"/>
            <w:tcBorders>
              <w:top w:val="single" w:sz="4" w:space="0" w:color="auto"/>
              <w:left w:val="nil"/>
              <w:bottom w:val="single" w:sz="4" w:space="0" w:color="auto"/>
              <w:right w:val="nil"/>
            </w:tcBorders>
            <w:shd w:val="clear" w:color="auto" w:fill="auto"/>
            <w:vAlign w:val="center"/>
            <w:hideMark/>
          </w:tcPr>
          <w:p w:rsidR="009D258F" w:rsidRPr="003460B9" w:rsidRDefault="009D258F" w:rsidP="0071286E">
            <w:pPr>
              <w:pStyle w:val="DHHStablecolhead"/>
              <w:jc w:val="center"/>
            </w:pPr>
            <w:r w:rsidRPr="003460B9">
              <w:t>Service Agreement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9D258F" w:rsidRPr="003460B9" w:rsidRDefault="009D258F" w:rsidP="0071286E">
            <w:pPr>
              <w:pStyle w:val="DHHStablecolhead"/>
              <w:jc w:val="center"/>
            </w:pPr>
            <w:r w:rsidRPr="003460B9">
              <w:t>Provider</w:t>
            </w:r>
          </w:p>
        </w:tc>
      </w:tr>
      <w:tr w:rsidR="009D258F" w:rsidRPr="003460B9" w:rsidTr="0071286E">
        <w:trPr>
          <w:trHeight w:val="510"/>
        </w:trPr>
        <w:tc>
          <w:tcPr>
            <w:tcW w:w="1261" w:type="dxa"/>
            <w:vMerge w:val="restart"/>
            <w:tcBorders>
              <w:top w:val="nil"/>
              <w:left w:val="single" w:sz="4" w:space="0" w:color="auto"/>
              <w:right w:val="nil"/>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Disability Services</w:t>
            </w:r>
          </w:p>
        </w:tc>
        <w:tc>
          <w:tcPr>
            <w:tcW w:w="1650" w:type="dxa"/>
            <w:vMerge w:val="restart"/>
            <w:tcBorders>
              <w:top w:val="nil"/>
              <w:left w:val="nil"/>
              <w:right w:val="nil"/>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Disability Services</w:t>
            </w:r>
          </w:p>
        </w:tc>
        <w:tc>
          <w:tcPr>
            <w:tcW w:w="1273" w:type="dxa"/>
            <w:tcBorders>
              <w:top w:val="nil"/>
              <w:left w:val="nil"/>
              <w:bottom w:val="nil"/>
              <w:right w:val="single" w:sz="4" w:space="0" w:color="auto"/>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Community Respite</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val="restart"/>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20,000</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val="restart"/>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0</w:t>
            </w:r>
          </w:p>
        </w:tc>
        <w:tc>
          <w:tcPr>
            <w:tcW w:w="1028" w:type="dxa"/>
            <w:vMerge w:val="restart"/>
            <w:tcBorders>
              <w:top w:val="nil"/>
              <w:left w:val="nil"/>
              <w:bottom w:val="single" w:sz="4" w:space="0" w:color="000000"/>
              <w:right w:val="single" w:sz="4" w:space="0" w:color="auto"/>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0</w:t>
            </w:r>
          </w:p>
        </w:tc>
      </w:tr>
      <w:tr w:rsidR="009D258F" w:rsidRPr="003460B9" w:rsidTr="0071286E">
        <w:trPr>
          <w:trHeight w:val="510"/>
        </w:trPr>
        <w:tc>
          <w:tcPr>
            <w:tcW w:w="1261" w:type="dxa"/>
            <w:vMerge/>
            <w:tcBorders>
              <w:left w:val="single" w:sz="4" w:space="0" w:color="auto"/>
              <w:bottom w:val="nil"/>
              <w:right w:val="nil"/>
            </w:tcBorders>
            <w:shd w:val="clear" w:color="000000" w:fill="F2F2F2"/>
            <w:vAlign w:val="center"/>
          </w:tcPr>
          <w:p w:rsidR="009D258F" w:rsidRPr="003460B9" w:rsidRDefault="009D258F" w:rsidP="0071286E">
            <w:pPr>
              <w:rPr>
                <w:rFonts w:ascii="Arial" w:hAnsi="Arial" w:cs="Arial"/>
                <w:color w:val="000000"/>
                <w:lang w:eastAsia="en-AU"/>
              </w:rPr>
            </w:pPr>
          </w:p>
        </w:tc>
        <w:tc>
          <w:tcPr>
            <w:tcW w:w="1650" w:type="dxa"/>
            <w:vMerge/>
            <w:tcBorders>
              <w:left w:val="nil"/>
              <w:bottom w:val="nil"/>
              <w:right w:val="nil"/>
            </w:tcBorders>
            <w:shd w:val="clear" w:color="000000" w:fill="F2F2F2"/>
            <w:vAlign w:val="center"/>
          </w:tcPr>
          <w:p w:rsidR="009D258F" w:rsidRPr="003460B9" w:rsidRDefault="009D258F" w:rsidP="0071286E">
            <w:pPr>
              <w:rPr>
                <w:rFonts w:ascii="Arial" w:hAnsi="Arial" w:cs="Arial"/>
                <w:color w:val="000000"/>
                <w:lang w:eastAsia="en-AU"/>
              </w:rPr>
            </w:pPr>
          </w:p>
        </w:tc>
        <w:tc>
          <w:tcPr>
            <w:tcW w:w="1273" w:type="dxa"/>
            <w:tcBorders>
              <w:top w:val="nil"/>
              <w:left w:val="nil"/>
              <w:bottom w:val="nil"/>
              <w:right w:val="single" w:sz="4" w:space="0" w:color="auto"/>
            </w:tcBorders>
            <w:shd w:val="clear" w:color="000000" w:fill="F2F2F2"/>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Therapy</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tcBorders>
              <w:top w:val="nil"/>
              <w:left w:val="nil"/>
              <w:bottom w:val="nil"/>
              <w:right w:val="nil"/>
            </w:tcBorders>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5,000</w:t>
            </w:r>
          </w:p>
        </w:tc>
        <w:tc>
          <w:tcPr>
            <w:tcW w:w="1261" w:type="dxa"/>
            <w:vMerge/>
            <w:tcBorders>
              <w:top w:val="nil"/>
              <w:left w:val="nil"/>
              <w:bottom w:val="nil"/>
              <w:right w:val="nil"/>
            </w:tcBorders>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r>
      <w:tr w:rsidR="009D258F" w:rsidRPr="003460B9" w:rsidTr="0071286E">
        <w:trPr>
          <w:trHeight w:val="510"/>
        </w:trPr>
        <w:tc>
          <w:tcPr>
            <w:tcW w:w="1261" w:type="dxa"/>
            <w:vMerge w:val="restart"/>
            <w:tcBorders>
              <w:top w:val="nil"/>
              <w:left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DHHS NGO</w:t>
            </w:r>
          </w:p>
        </w:tc>
        <w:tc>
          <w:tcPr>
            <w:tcW w:w="1650" w:type="dxa"/>
            <w:tcBorders>
              <w:top w:val="nil"/>
              <w:left w:val="nil"/>
              <w:bottom w:val="nil"/>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Homelessness Accommodation</w:t>
            </w:r>
          </w:p>
        </w:tc>
        <w:tc>
          <w:tcPr>
            <w:tcW w:w="1273" w:type="dxa"/>
            <w:tcBorders>
              <w:top w:val="nil"/>
              <w:left w:val="nil"/>
              <w:bottom w:val="nil"/>
              <w:right w:val="single" w:sz="4" w:space="0" w:color="auto"/>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Transitional Support</w:t>
            </w: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w:t>
            </w:r>
          </w:p>
        </w:tc>
        <w:tc>
          <w:tcPr>
            <w:tcW w:w="1261"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w:t>
            </w: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nil"/>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w:t>
            </w:r>
          </w:p>
        </w:tc>
        <w:tc>
          <w:tcPr>
            <w:tcW w:w="1261" w:type="dxa"/>
            <w:tcBorders>
              <w:top w:val="nil"/>
              <w:left w:val="nil"/>
              <w:bottom w:val="nil"/>
              <w:right w:val="nil"/>
            </w:tcBorders>
            <w:shd w:val="clear" w:color="auto" w:fill="auto"/>
            <w:vAlign w:val="center"/>
            <w:hideMark/>
          </w:tcPr>
          <w:p w:rsidR="009D258F" w:rsidRPr="003460B9" w:rsidRDefault="009D258F" w:rsidP="0071286E">
            <w:pPr>
              <w:rPr>
                <w:rFonts w:ascii="Arial" w:hAnsi="Arial" w:cs="Arial"/>
                <w:color w:val="000000"/>
                <w:lang w:eastAsia="en-AU"/>
              </w:rPr>
            </w:pPr>
          </w:p>
        </w:tc>
        <w:tc>
          <w:tcPr>
            <w:tcW w:w="1028" w:type="dxa"/>
            <w:vMerge/>
            <w:tcBorders>
              <w:top w:val="nil"/>
              <w:left w:val="nil"/>
              <w:bottom w:val="single" w:sz="4" w:space="0" w:color="000000"/>
              <w:right w:val="single" w:sz="4" w:space="0" w:color="auto"/>
            </w:tcBorders>
            <w:vAlign w:val="center"/>
            <w:hideMark/>
          </w:tcPr>
          <w:p w:rsidR="009D258F" w:rsidRPr="003460B9" w:rsidRDefault="009D258F" w:rsidP="0071286E">
            <w:pPr>
              <w:rPr>
                <w:rFonts w:ascii="Arial" w:hAnsi="Arial" w:cs="Arial"/>
                <w:color w:val="000000"/>
                <w:lang w:eastAsia="en-AU"/>
              </w:rPr>
            </w:pPr>
          </w:p>
        </w:tc>
      </w:tr>
      <w:tr w:rsidR="009D258F" w:rsidRPr="003460B9" w:rsidTr="0071286E">
        <w:trPr>
          <w:trHeight w:val="1530"/>
        </w:trPr>
        <w:tc>
          <w:tcPr>
            <w:tcW w:w="1261" w:type="dxa"/>
            <w:vMerge/>
            <w:tcBorders>
              <w:left w:val="single" w:sz="4" w:space="0" w:color="auto"/>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p>
        </w:tc>
        <w:tc>
          <w:tcPr>
            <w:tcW w:w="1650" w:type="dxa"/>
            <w:tcBorders>
              <w:top w:val="nil"/>
              <w:left w:val="nil"/>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NDIS Transition Recoupment</w:t>
            </w:r>
            <w:r>
              <w:rPr>
                <w:rFonts w:ascii="Arial" w:hAnsi="Arial" w:cs="Arial"/>
                <w:color w:val="000000"/>
                <w:lang w:eastAsia="en-AU"/>
              </w:rPr>
              <w:t>*</w:t>
            </w:r>
          </w:p>
        </w:tc>
        <w:tc>
          <w:tcPr>
            <w:tcW w:w="1273" w:type="dxa"/>
            <w:tcBorders>
              <w:top w:val="nil"/>
              <w:left w:val="nil"/>
              <w:bottom w:val="single" w:sz="4" w:space="0" w:color="auto"/>
              <w:right w:val="single" w:sz="4" w:space="0" w:color="auto"/>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NDIS Disability Services funding recoupment (17159)</w:t>
            </w:r>
            <w:r>
              <w:rPr>
                <w:rFonts w:ascii="Arial" w:hAnsi="Arial" w:cs="Arial"/>
                <w:color w:val="000000"/>
                <w:lang w:eastAsia="en-AU"/>
              </w:rPr>
              <w:t>*</w:t>
            </w:r>
          </w:p>
        </w:tc>
        <w:tc>
          <w:tcPr>
            <w:tcW w:w="939" w:type="dxa"/>
            <w:tcBorders>
              <w:top w:val="nil"/>
              <w:left w:val="nil"/>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 </w:t>
            </w:r>
          </w:p>
        </w:tc>
        <w:tc>
          <w:tcPr>
            <w:tcW w:w="1261" w:type="dxa"/>
            <w:tcBorders>
              <w:top w:val="nil"/>
              <w:left w:val="nil"/>
              <w:bottom w:val="single" w:sz="4" w:space="0" w:color="auto"/>
              <w:right w:val="nil"/>
            </w:tcBorders>
            <w:shd w:val="clear" w:color="auto" w:fill="auto"/>
            <w:vAlign w:val="center"/>
            <w:hideMark/>
          </w:tcPr>
          <w:p w:rsidR="009D258F" w:rsidRPr="003460B9" w:rsidRDefault="009D258F" w:rsidP="0071286E">
            <w:pPr>
              <w:rPr>
                <w:rFonts w:ascii="Arial" w:hAnsi="Arial" w:cs="Arial"/>
                <w:color w:val="000000"/>
                <w:lang w:eastAsia="en-AU"/>
              </w:rPr>
            </w:pPr>
            <w:r w:rsidRPr="003460B9">
              <w:rPr>
                <w:rFonts w:ascii="Arial" w:hAnsi="Arial" w:cs="Arial"/>
                <w:color w:val="000000"/>
                <w:lang w:eastAsia="en-AU"/>
              </w:rPr>
              <w:t> </w:t>
            </w:r>
          </w:p>
        </w:tc>
        <w:tc>
          <w:tcPr>
            <w:tcW w:w="1028" w:type="dxa"/>
            <w:vMerge/>
            <w:tcBorders>
              <w:top w:val="nil"/>
              <w:left w:val="nil"/>
              <w:bottom w:val="single" w:sz="4" w:space="0" w:color="auto"/>
              <w:right w:val="single" w:sz="4" w:space="0" w:color="auto"/>
            </w:tcBorders>
            <w:vAlign w:val="center"/>
            <w:hideMark/>
          </w:tcPr>
          <w:p w:rsidR="009D258F" w:rsidRPr="003460B9" w:rsidRDefault="009D258F" w:rsidP="0071286E">
            <w:pPr>
              <w:rPr>
                <w:rFonts w:ascii="Arial" w:hAnsi="Arial" w:cs="Arial"/>
                <w:color w:val="000000"/>
                <w:lang w:eastAsia="en-AU"/>
              </w:rPr>
            </w:pPr>
          </w:p>
        </w:tc>
        <w:tc>
          <w:tcPr>
            <w:tcW w:w="939" w:type="dxa"/>
            <w:tcBorders>
              <w:top w:val="nil"/>
              <w:left w:val="nil"/>
              <w:bottom w:val="single" w:sz="4" w:space="0" w:color="auto"/>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-10,000</w:t>
            </w:r>
          </w:p>
        </w:tc>
        <w:tc>
          <w:tcPr>
            <w:tcW w:w="1261" w:type="dxa"/>
            <w:tcBorders>
              <w:top w:val="nil"/>
              <w:left w:val="nil"/>
              <w:bottom w:val="single" w:sz="4" w:space="0" w:color="auto"/>
              <w:right w:val="nil"/>
            </w:tcBorders>
            <w:shd w:val="clear" w:color="auto" w:fill="auto"/>
            <w:vAlign w:val="center"/>
            <w:hideMark/>
          </w:tcPr>
          <w:p w:rsidR="009D258F" w:rsidRPr="003460B9" w:rsidRDefault="009D258F" w:rsidP="0071286E">
            <w:pPr>
              <w:jc w:val="right"/>
              <w:rPr>
                <w:rFonts w:ascii="Arial" w:hAnsi="Arial" w:cs="Arial"/>
                <w:color w:val="000000"/>
                <w:lang w:eastAsia="en-AU"/>
              </w:rPr>
            </w:pPr>
            <w:r w:rsidRPr="003460B9">
              <w:rPr>
                <w:rFonts w:ascii="Arial" w:hAnsi="Arial" w:cs="Arial"/>
                <w:color w:val="000000"/>
                <w:lang w:eastAsia="en-AU"/>
              </w:rPr>
              <w:t>0</w:t>
            </w:r>
          </w:p>
        </w:tc>
        <w:tc>
          <w:tcPr>
            <w:tcW w:w="1028" w:type="dxa"/>
            <w:vMerge/>
            <w:tcBorders>
              <w:top w:val="nil"/>
              <w:left w:val="nil"/>
              <w:bottom w:val="single" w:sz="4" w:space="0" w:color="auto"/>
              <w:right w:val="single" w:sz="4" w:space="0" w:color="auto"/>
            </w:tcBorders>
            <w:vAlign w:val="center"/>
            <w:hideMark/>
          </w:tcPr>
          <w:p w:rsidR="009D258F" w:rsidRPr="003460B9" w:rsidRDefault="009D258F" w:rsidP="0071286E">
            <w:pPr>
              <w:rPr>
                <w:rFonts w:ascii="Arial" w:hAnsi="Arial" w:cs="Arial"/>
                <w:color w:val="000000"/>
                <w:lang w:eastAsia="en-AU"/>
              </w:rPr>
            </w:pPr>
          </w:p>
        </w:tc>
      </w:tr>
      <w:tr w:rsidR="009D258F" w:rsidRPr="003460B9" w:rsidTr="0071286E">
        <w:trPr>
          <w:trHeight w:val="300"/>
        </w:trPr>
        <w:tc>
          <w:tcPr>
            <w:tcW w:w="10640" w:type="dxa"/>
            <w:gridSpan w:val="9"/>
            <w:tcBorders>
              <w:top w:val="single" w:sz="4" w:space="0" w:color="auto"/>
              <w:left w:val="single" w:sz="4" w:space="0" w:color="auto"/>
              <w:bottom w:val="single" w:sz="4" w:space="0" w:color="auto"/>
              <w:right w:val="single" w:sz="4" w:space="0" w:color="auto"/>
            </w:tcBorders>
            <w:shd w:val="clear" w:color="000000" w:fill="F2F2F2"/>
            <w:vAlign w:val="center"/>
            <w:hideMark/>
          </w:tcPr>
          <w:p w:rsidR="009D258F" w:rsidRPr="003460B9" w:rsidRDefault="009D258F" w:rsidP="0071286E">
            <w:pPr>
              <w:jc w:val="right"/>
              <w:rPr>
                <w:rFonts w:ascii="Arial" w:hAnsi="Arial" w:cs="Arial"/>
                <w:color w:val="000000"/>
                <w:lang w:eastAsia="en-AU"/>
              </w:rPr>
            </w:pPr>
            <w:r>
              <w:rPr>
                <w:rFonts w:ascii="Arial" w:hAnsi="Arial" w:cs="Arial"/>
                <w:color w:val="000000"/>
                <w:lang w:eastAsia="en-AU"/>
              </w:rPr>
              <w:t>Invoice raised for recoupment of $10,000 from service provider</w:t>
            </w:r>
            <w:r w:rsidRPr="003460B9">
              <w:rPr>
                <w:rFonts w:ascii="Arial" w:hAnsi="Arial" w:cs="Arial"/>
                <w:color w:val="000000"/>
                <w:lang w:eastAsia="en-AU"/>
              </w:rPr>
              <w:t> </w:t>
            </w:r>
          </w:p>
        </w:tc>
      </w:tr>
    </w:tbl>
    <w:p w:rsidR="009D258F" w:rsidRPr="00A330BB" w:rsidRDefault="009D258F" w:rsidP="009D258F">
      <w:pPr>
        <w:pStyle w:val="DHHStablefigurenote"/>
      </w:pPr>
      <w:r w:rsidRPr="001F0EC3">
        <w:t>*</w:t>
      </w:r>
      <w:r>
        <w:t xml:space="preserve"> The NDIS service plan and activity have been created to ensure a negative adjustment to a non-disability service agreement is clearly shown as being the result of a withdrawal of disability funding</w:t>
      </w:r>
    </w:p>
    <w:p w:rsidR="009D258F" w:rsidRPr="00A97FCB" w:rsidRDefault="009D258F" w:rsidP="009D258F">
      <w:pPr>
        <w:rPr>
          <w:rFonts w:ascii="Arial" w:hAnsi="Arial" w:cs="Arial"/>
        </w:rPr>
      </w:pPr>
    </w:p>
    <w:p w:rsidR="00FF0980" w:rsidRPr="0060080A" w:rsidRDefault="009D258F" w:rsidP="00FF0980">
      <w:pPr>
        <w:pStyle w:val="Heading1"/>
        <w:rPr>
          <w:sz w:val="20"/>
          <w:szCs w:val="20"/>
        </w:rPr>
      </w:pPr>
      <w:r>
        <w:br w:type="page"/>
      </w:r>
      <w:bookmarkStart w:id="227" w:name="_Toc506974732"/>
      <w:r w:rsidR="00FF0980" w:rsidRPr="0060080A">
        <w:t xml:space="preserve">Appendix </w:t>
      </w:r>
      <w:r>
        <w:t xml:space="preserve">B </w:t>
      </w:r>
      <w:r w:rsidR="00FF0980">
        <w:t>- e</w:t>
      </w:r>
      <w:r w:rsidR="00FF0980" w:rsidRPr="003D57DE">
        <w:t>xamples of state funding withdrawal timing</w:t>
      </w:r>
      <w:bookmarkEnd w:id="224"/>
      <w:bookmarkEnd w:id="226"/>
      <w:bookmarkEnd w:id="227"/>
    </w:p>
    <w:p w:rsidR="00FF0980" w:rsidRPr="00DF27FF" w:rsidRDefault="00FF0980" w:rsidP="00DF27FF">
      <w:pPr>
        <w:pStyle w:val="DHHSbody"/>
      </w:pPr>
      <w:r w:rsidRPr="00DF27FF">
        <w:t>Below are some illustrative examples of clients transitioning and the associated funding withdrawal implications.</w:t>
      </w:r>
    </w:p>
    <w:p w:rsidR="00FF0980" w:rsidRPr="00DF27FF" w:rsidRDefault="00FF0980" w:rsidP="00DF27FF">
      <w:pPr>
        <w:pStyle w:val="DHHSbody"/>
      </w:pPr>
      <w:r w:rsidRPr="00DF27FF">
        <w:t>Note: The following examples assume that there are RIS update and SAMS2 variation windows within the period and that the provider’s service agreement has sufficient funds to backdate any state funding reduction to the client’s plan approval date.</w:t>
      </w:r>
    </w:p>
    <w:p w:rsidR="00FF0980" w:rsidRPr="00551B47" w:rsidRDefault="00FF0980" w:rsidP="00551B47">
      <w:pPr>
        <w:pStyle w:val="DHHSbody"/>
        <w:rPr>
          <w:b/>
        </w:rPr>
      </w:pPr>
      <w:bookmarkStart w:id="228" w:name="_Toc479766972"/>
      <w:r w:rsidRPr="00551B47">
        <w:rPr>
          <w:b/>
        </w:rPr>
        <w:t>1 – ISP via providers and financial intermediary through RIS/SAMS2</w:t>
      </w:r>
      <w:bookmarkEnd w:id="228"/>
    </w:p>
    <w:p w:rsidR="00FF0980" w:rsidRPr="00DF27FF" w:rsidRDefault="00FF0980" w:rsidP="00DF27FF">
      <w:pPr>
        <w:pStyle w:val="DHHSbody"/>
      </w:pPr>
      <w:r w:rsidRPr="00DF27FF">
        <w:t>Information received by the department from the NDIA mid-month</w:t>
      </w:r>
    </w:p>
    <w:p w:rsidR="00FF0980" w:rsidRDefault="00FF0980" w:rsidP="00FF0980"/>
    <w:p w:rsidR="001D7D20" w:rsidRDefault="0078365C" w:rsidP="00F35587">
      <w:pPr>
        <w:spacing w:after="200"/>
        <w:rPr>
          <w:b/>
        </w:rPr>
      </w:pPr>
      <w:r>
        <w:rPr>
          <w:noProof/>
          <w:lang w:eastAsia="en-AU"/>
        </w:rPr>
        <w:drawing>
          <wp:inline distT="0" distB="0" distL="0" distR="0" wp14:anchorId="38406FA0" wp14:editId="1B07246B">
            <wp:extent cx="5610225" cy="3362325"/>
            <wp:effectExtent l="0" t="0" r="9525" b="9525"/>
            <wp:docPr id="2" name="Picture 1" descr="Title: Sample of information received - Description: A sample of information received by the deparment from the NDIA mid-month not critical to th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ample of information received - Description: A sample of information received by the deparment from the NDIA mid-month not critical to the factsheet"/>
                    <pic:cNvPicPr>
                      <a:picLocks noChangeAspect="1" noChangeArrowheads="1"/>
                    </pic:cNvPicPr>
                  </pic:nvPicPr>
                  <pic:blipFill>
                    <a:blip r:embed="rId27">
                      <a:extLst>
                        <a:ext uri="{28A0092B-C50C-407E-A947-70E740481C1C}">
                          <a14:useLocalDpi xmlns:a14="http://schemas.microsoft.com/office/drawing/2010/main" val="0"/>
                        </a:ext>
                      </a:extLst>
                    </a:blip>
                    <a:srcRect b="-215"/>
                    <a:stretch>
                      <a:fillRect/>
                    </a:stretch>
                  </pic:blipFill>
                  <pic:spPr bwMode="auto">
                    <a:xfrm>
                      <a:off x="0" y="0"/>
                      <a:ext cx="5610225" cy="3362325"/>
                    </a:xfrm>
                    <a:prstGeom prst="rect">
                      <a:avLst/>
                    </a:prstGeom>
                    <a:noFill/>
                    <a:ln>
                      <a:noFill/>
                    </a:ln>
                  </pic:spPr>
                </pic:pic>
              </a:graphicData>
            </a:graphic>
          </wp:inline>
        </w:drawing>
      </w:r>
      <w:bookmarkStart w:id="229" w:name="_Toc479766973"/>
    </w:p>
    <w:p w:rsidR="00FF0980" w:rsidRPr="006D2E9B" w:rsidRDefault="00FF0980" w:rsidP="00F35587">
      <w:pPr>
        <w:spacing w:after="200"/>
        <w:rPr>
          <w:rFonts w:ascii="Arial" w:eastAsia="Times" w:hAnsi="Arial"/>
          <w:b/>
        </w:rPr>
      </w:pPr>
      <w:r w:rsidRPr="006D2E9B">
        <w:rPr>
          <w:rFonts w:ascii="Arial" w:eastAsia="Times" w:hAnsi="Arial"/>
          <w:b/>
        </w:rPr>
        <w:t>2 – ISP via providers and financial intermediary through RIS/SAMS2</w:t>
      </w:r>
      <w:bookmarkEnd w:id="229"/>
    </w:p>
    <w:p w:rsidR="00FF0980" w:rsidRPr="00DF27FF" w:rsidRDefault="00FF0980" w:rsidP="00DF27FF">
      <w:pPr>
        <w:pStyle w:val="DHHSbody"/>
      </w:pPr>
      <w:r w:rsidRPr="00DF27FF">
        <w:t>Information received by the department from the NDIA at the end of the month</w:t>
      </w:r>
    </w:p>
    <w:p w:rsidR="006D2E9B" w:rsidRDefault="00531B18" w:rsidP="006D2E9B">
      <w:pPr>
        <w:pStyle w:val="DHHSbody"/>
      </w:pPr>
      <w:r>
        <w:rPr>
          <w:noProof/>
          <w:lang w:eastAsia="en-AU"/>
        </w:rPr>
        <w:drawing>
          <wp:inline distT="0" distB="0" distL="0" distR="0" wp14:anchorId="15C9EEA6" wp14:editId="7ED51C95">
            <wp:extent cx="5762625" cy="3448050"/>
            <wp:effectExtent l="0" t="0" r="9525" b="0"/>
            <wp:docPr id="10" name="Picture 10" descr="Title: Sample of  information received by the deparment from the NDIA end of month  - Description: A sample of information received by the deparment from the NDIA end of month not critical to th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Sample of  information received by the deparment from the NDIA end of month  - Description: A sample of information received by the deparment from the NDIA end of month not critical to the factsheet"/>
                    <pic:cNvPicPr>
                      <a:picLocks noChangeAspect="1" noChangeArrowheads="1"/>
                    </pic:cNvPicPr>
                  </pic:nvPicPr>
                  <pic:blipFill>
                    <a:blip r:embed="rId28">
                      <a:extLst>
                        <a:ext uri="{28A0092B-C50C-407E-A947-70E740481C1C}">
                          <a14:useLocalDpi xmlns:a14="http://schemas.microsoft.com/office/drawing/2010/main" val="0"/>
                        </a:ext>
                      </a:extLst>
                    </a:blip>
                    <a:srcRect r="-63" b="-209"/>
                    <a:stretch>
                      <a:fillRect/>
                    </a:stretch>
                  </pic:blipFill>
                  <pic:spPr bwMode="auto">
                    <a:xfrm>
                      <a:off x="0" y="0"/>
                      <a:ext cx="5762625" cy="3448050"/>
                    </a:xfrm>
                    <a:prstGeom prst="rect">
                      <a:avLst/>
                    </a:prstGeom>
                    <a:noFill/>
                    <a:ln>
                      <a:noFill/>
                    </a:ln>
                  </pic:spPr>
                </pic:pic>
              </a:graphicData>
            </a:graphic>
          </wp:inline>
        </w:drawing>
      </w:r>
    </w:p>
    <w:p w:rsidR="00FF0980" w:rsidRPr="006D2E9B" w:rsidRDefault="004C61D0" w:rsidP="00F35587">
      <w:pPr>
        <w:rPr>
          <w:rFonts w:ascii="Arial" w:eastAsia="Times" w:hAnsi="Arial"/>
          <w:b/>
        </w:rPr>
      </w:pPr>
      <w:bookmarkStart w:id="230" w:name="_Toc479766975"/>
      <w:r w:rsidRPr="006D2E9B">
        <w:rPr>
          <w:rFonts w:ascii="Arial" w:eastAsia="Times" w:hAnsi="Arial"/>
          <w:b/>
        </w:rPr>
        <w:t>3</w:t>
      </w:r>
      <w:r w:rsidR="00FF0980" w:rsidRPr="006D2E9B">
        <w:rPr>
          <w:rFonts w:ascii="Arial" w:eastAsia="Times" w:hAnsi="Arial"/>
          <w:b/>
        </w:rPr>
        <w:t xml:space="preserve"> – Block funded disability services and mental health</w:t>
      </w:r>
      <w:bookmarkEnd w:id="230"/>
    </w:p>
    <w:p w:rsidR="00FF0980" w:rsidRPr="00DF27FF" w:rsidRDefault="00FF0980" w:rsidP="00DF27FF">
      <w:pPr>
        <w:pStyle w:val="DHHSbody"/>
      </w:pPr>
      <w:r w:rsidRPr="00DF27FF">
        <w:t>Information received by the department from the NDIA mid-month</w:t>
      </w:r>
    </w:p>
    <w:p w:rsidR="00FF0980" w:rsidRDefault="00FF0980" w:rsidP="00FF0980"/>
    <w:p w:rsidR="00FF0980" w:rsidRDefault="0078365C" w:rsidP="00FF0980">
      <w:pPr>
        <w:pStyle w:val="Sectiontitle"/>
        <w:rPr>
          <w:rFonts w:ascii="Arial" w:hAnsi="Arial" w:cs="Arial"/>
          <w:sz w:val="40"/>
          <w:szCs w:val="40"/>
        </w:rPr>
      </w:pPr>
      <w:r>
        <w:rPr>
          <w:rFonts w:ascii="Arial" w:hAnsi="Arial" w:cs="Arial"/>
          <w:noProof/>
          <w:sz w:val="40"/>
          <w:szCs w:val="40"/>
          <w:lang w:val="en-AU" w:eastAsia="en-AU"/>
        </w:rPr>
        <w:drawing>
          <wp:inline distT="0" distB="0" distL="0" distR="0" wp14:anchorId="272BF2BF" wp14:editId="5C0C5151">
            <wp:extent cx="5724525" cy="3333750"/>
            <wp:effectExtent l="0" t="0" r="9525" b="0"/>
            <wp:docPr id="5" name="Picture 9" descr="Title: Block funded disability services and mental health - Description: Information received by the department from the NDIA mid-month not critical to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Block funded disability services and mental health - Description: Information received by the department from the NDIA mid-month not critical to fact sheet"/>
                    <pic:cNvPicPr>
                      <a:picLocks noChangeAspect="1" noChangeArrowheads="1"/>
                    </pic:cNvPicPr>
                  </pic:nvPicPr>
                  <pic:blipFill>
                    <a:blip r:embed="rId29">
                      <a:extLst>
                        <a:ext uri="{28A0092B-C50C-407E-A947-70E740481C1C}">
                          <a14:useLocalDpi xmlns:a14="http://schemas.microsoft.com/office/drawing/2010/main" val="0"/>
                        </a:ext>
                      </a:extLst>
                    </a:blip>
                    <a:srcRect b="-108"/>
                    <a:stretch>
                      <a:fillRect/>
                    </a:stretch>
                  </pic:blipFill>
                  <pic:spPr bwMode="auto">
                    <a:xfrm>
                      <a:off x="0" y="0"/>
                      <a:ext cx="5724525" cy="3333750"/>
                    </a:xfrm>
                    <a:prstGeom prst="rect">
                      <a:avLst/>
                    </a:prstGeom>
                    <a:noFill/>
                    <a:ln>
                      <a:noFill/>
                    </a:ln>
                  </pic:spPr>
                </pic:pic>
              </a:graphicData>
            </a:graphic>
          </wp:inline>
        </w:drawing>
      </w:r>
    </w:p>
    <w:p w:rsidR="00FF0980" w:rsidRPr="00551B47" w:rsidRDefault="00F35587" w:rsidP="00DF27FF">
      <w:pPr>
        <w:pStyle w:val="DHHSbody"/>
        <w:rPr>
          <w:b/>
        </w:rPr>
      </w:pPr>
      <w:bookmarkStart w:id="231" w:name="_Toc479766976"/>
      <w:r>
        <w:rPr>
          <w:b/>
        </w:rPr>
        <w:t>4</w:t>
      </w:r>
      <w:r w:rsidR="00FF0980" w:rsidRPr="00551B47">
        <w:rPr>
          <w:b/>
        </w:rPr>
        <w:t xml:space="preserve"> – Block funded disability services and mental health</w:t>
      </w:r>
      <w:bookmarkEnd w:id="231"/>
    </w:p>
    <w:p w:rsidR="00FF0980" w:rsidRPr="00DF27FF" w:rsidRDefault="00FF0980" w:rsidP="00DF27FF">
      <w:pPr>
        <w:pStyle w:val="DHHSbody"/>
      </w:pPr>
      <w:r w:rsidRPr="00DF27FF">
        <w:t>Information received by the department from the NDIA at the end of the month</w:t>
      </w:r>
    </w:p>
    <w:p w:rsidR="00FF0980" w:rsidRDefault="00FF0980" w:rsidP="00FF0980">
      <w:pPr>
        <w:spacing w:after="200" w:line="276" w:lineRule="auto"/>
      </w:pPr>
    </w:p>
    <w:p w:rsidR="00FF0980" w:rsidRDefault="0078365C" w:rsidP="00FF0980">
      <w:r>
        <w:rPr>
          <w:noProof/>
          <w:lang w:eastAsia="en-AU"/>
        </w:rPr>
        <w:drawing>
          <wp:inline distT="0" distB="0" distL="0" distR="0" wp14:anchorId="5F9878A6" wp14:editId="77596B8B">
            <wp:extent cx="5648325" cy="3124200"/>
            <wp:effectExtent l="0" t="0" r="9525" b="0"/>
            <wp:docPr id="6" name="Picture 25" descr="Title: Block funded disability services and mental health example - Description: Block funded disability services and mental health example not critical to the fact sheet. &#10;Information received by the department from the NDIA at the end of the mont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tle: Block funded disability services and mental health example - Description: Block funded disability services and mental health example not critical to the fact sheet. &#10;Information received by the department from the NDIA at the end of the month&#10;&#10;"/>
                    <pic:cNvPicPr>
                      <a:picLocks noChangeAspect="1" noChangeArrowheads="1"/>
                    </pic:cNvPicPr>
                  </pic:nvPicPr>
                  <pic:blipFill>
                    <a:blip r:embed="rId30">
                      <a:extLst>
                        <a:ext uri="{28A0092B-C50C-407E-A947-70E740481C1C}">
                          <a14:useLocalDpi xmlns:a14="http://schemas.microsoft.com/office/drawing/2010/main" val="0"/>
                        </a:ext>
                      </a:extLst>
                    </a:blip>
                    <a:srcRect b="-230"/>
                    <a:stretch>
                      <a:fillRect/>
                    </a:stretch>
                  </pic:blipFill>
                  <pic:spPr bwMode="auto">
                    <a:xfrm>
                      <a:off x="0" y="0"/>
                      <a:ext cx="5648325" cy="3124200"/>
                    </a:xfrm>
                    <a:prstGeom prst="rect">
                      <a:avLst/>
                    </a:prstGeom>
                    <a:noFill/>
                    <a:ln>
                      <a:noFill/>
                    </a:ln>
                  </pic:spPr>
                </pic:pic>
              </a:graphicData>
            </a:graphic>
          </wp:inline>
        </w:drawing>
      </w:r>
    </w:p>
    <w:p w:rsidR="00FF0980" w:rsidRPr="0060080A" w:rsidRDefault="00FF0980" w:rsidP="00FF0980">
      <w:pPr>
        <w:pStyle w:val="Heading1"/>
        <w:rPr>
          <w:sz w:val="20"/>
          <w:szCs w:val="20"/>
        </w:rPr>
      </w:pPr>
      <w:r>
        <w:br w:type="page"/>
      </w:r>
      <w:bookmarkStart w:id="232" w:name="_Toc458153156"/>
      <w:bookmarkStart w:id="233" w:name="_Toc479766977"/>
      <w:bookmarkStart w:id="234" w:name="_Toc482364903"/>
      <w:bookmarkStart w:id="235" w:name="_Toc506974733"/>
      <w:r w:rsidRPr="006B4EE2">
        <w:t xml:space="preserve">Appendix </w:t>
      </w:r>
      <w:bookmarkEnd w:id="232"/>
      <w:r w:rsidR="009D258F" w:rsidRPr="00362B0C">
        <w:t xml:space="preserve">C </w:t>
      </w:r>
      <w:r w:rsidRPr="00362B0C">
        <w:t>- examples of reports available for</w:t>
      </w:r>
      <w:r w:rsidR="009F0D56">
        <w:t xml:space="preserve"> service</w:t>
      </w:r>
      <w:r w:rsidRPr="00362B0C">
        <w:t xml:space="preserve"> providers</w:t>
      </w:r>
      <w:bookmarkEnd w:id="233"/>
      <w:bookmarkEnd w:id="234"/>
      <w:bookmarkEnd w:id="235"/>
    </w:p>
    <w:p w:rsidR="00FF0980" w:rsidRPr="00551B47" w:rsidRDefault="00FF0980" w:rsidP="00551B47">
      <w:pPr>
        <w:pStyle w:val="DHHSbody"/>
        <w:rPr>
          <w:b/>
        </w:rPr>
      </w:pPr>
      <w:bookmarkStart w:id="236" w:name="_Toc479766978"/>
      <w:r w:rsidRPr="00551B47">
        <w:rPr>
          <w:b/>
        </w:rPr>
        <w:t>What information will service providers receive?</w:t>
      </w:r>
      <w:bookmarkEnd w:id="236"/>
    </w:p>
    <w:p w:rsidR="00CB08AF" w:rsidRDefault="00E92A9F" w:rsidP="00551B47">
      <w:pPr>
        <w:pStyle w:val="DHHSbody"/>
      </w:pPr>
      <w:r>
        <w:t>T</w:t>
      </w:r>
      <w:r w:rsidR="00CB08AF">
        <w:t xml:space="preserve">he Online </w:t>
      </w:r>
      <w:r w:rsidR="00540745">
        <w:t xml:space="preserve">Provider </w:t>
      </w:r>
      <w:r w:rsidR="00CB08AF">
        <w:t xml:space="preserve">Report </w:t>
      </w:r>
      <w:r>
        <w:t xml:space="preserve">allows services </w:t>
      </w:r>
      <w:r w:rsidR="00CB08AF">
        <w:t>providers</w:t>
      </w:r>
      <w:r>
        <w:t xml:space="preserve"> to access reports </w:t>
      </w:r>
      <w:r w:rsidR="00CB08AF">
        <w:t>about their client</w:t>
      </w:r>
      <w:r>
        <w:t>s’ NDIS</w:t>
      </w:r>
      <w:r w:rsidR="00CB08AF">
        <w:t xml:space="preserve"> transition progress, including forward looking forecasts by month for the full period of the NDIS transition to June 2019. </w:t>
      </w:r>
      <w:r>
        <w:t xml:space="preserve">It also allows </w:t>
      </w:r>
      <w:r w:rsidR="00190249">
        <w:t xml:space="preserve">service </w:t>
      </w:r>
      <w:r>
        <w:t xml:space="preserve">providers ability to </w:t>
      </w:r>
      <w:r w:rsidR="00CB08AF">
        <w:t xml:space="preserve">sort, filter and </w:t>
      </w:r>
      <w:r>
        <w:t xml:space="preserve">generate information </w:t>
      </w:r>
      <w:r w:rsidR="00CB08AF">
        <w:t>most relevant to their needs.</w:t>
      </w:r>
    </w:p>
    <w:p w:rsidR="00711935" w:rsidRDefault="00CB08AF" w:rsidP="00E4182D">
      <w:pPr>
        <w:pStyle w:val="DHHSbody"/>
      </w:pPr>
      <w:r>
        <w:t xml:space="preserve">The information available on the Online </w:t>
      </w:r>
      <w:r w:rsidR="00540745">
        <w:t xml:space="preserve">Provider </w:t>
      </w:r>
      <w:r>
        <w:t>Report</w:t>
      </w:r>
      <w:r w:rsidR="00540745">
        <w:t xml:space="preserve"> </w:t>
      </w:r>
      <w:r>
        <w:t>is consi</w:t>
      </w:r>
      <w:r w:rsidR="00386AD8">
        <w:t>stent with the provider</w:t>
      </w:r>
      <w:r>
        <w:t xml:space="preserve"> reports distributed through Sig</w:t>
      </w:r>
      <w:r w:rsidR="00540745">
        <w:t>B</w:t>
      </w:r>
      <w:r>
        <w:t>ox</w:t>
      </w:r>
      <w:r w:rsidR="00711935">
        <w:t>.</w:t>
      </w:r>
    </w:p>
    <w:p w:rsidR="00A96B49" w:rsidRDefault="00A96B49" w:rsidP="00A96B49">
      <w:pPr>
        <w:pStyle w:val="DHHSbody"/>
      </w:pPr>
      <w:r>
        <w:t xml:space="preserve">Guidance on how to use the Online Provider </w:t>
      </w:r>
      <w:r w:rsidR="00211856">
        <w:t>Report</w:t>
      </w:r>
      <w:r>
        <w:t xml:space="preserve"> </w:t>
      </w:r>
      <w:r w:rsidR="00D86CA1">
        <w:t xml:space="preserve">is included under the </w:t>
      </w:r>
      <w:r>
        <w:t>‘User Guide 1/2’ and ‘User Guide 2/2’</w:t>
      </w:r>
      <w:r w:rsidR="00D86CA1">
        <w:t xml:space="preserve"> working tabs</w:t>
      </w:r>
      <w:r>
        <w:t xml:space="preserve">. </w:t>
      </w:r>
      <w:r w:rsidR="00D86CA1">
        <w:t>The Online</w:t>
      </w:r>
      <w:r w:rsidR="006D45C4">
        <w:t xml:space="preserve"> Provider</w:t>
      </w:r>
      <w:r w:rsidR="00D86CA1">
        <w:t xml:space="preserve"> Report includes a range of client transition reports, see below</w:t>
      </w:r>
      <w:r>
        <w:t>.</w:t>
      </w:r>
    </w:p>
    <w:p w:rsidR="00FF0980" w:rsidRPr="006616F1" w:rsidRDefault="00A96B49" w:rsidP="00551B47">
      <w:pPr>
        <w:pStyle w:val="DHHSbody"/>
        <w:rPr>
          <w:b/>
        </w:rPr>
      </w:pPr>
      <w:r w:rsidRPr="006616F1">
        <w:rPr>
          <w:b/>
        </w:rPr>
        <w:t>Table 1 – ‘Combined Overview’ provides a</w:t>
      </w:r>
      <w:r w:rsidR="007C6556">
        <w:rPr>
          <w:b/>
        </w:rPr>
        <w:t xml:space="preserve"> summary forecast by month. This includes</w:t>
      </w:r>
      <w:r w:rsidR="00FF0980" w:rsidRPr="006616F1">
        <w:rPr>
          <w:b/>
        </w:rPr>
        <w:t>:</w:t>
      </w:r>
    </w:p>
    <w:p w:rsidR="00FF0980" w:rsidRPr="00551B47" w:rsidRDefault="00FF0980" w:rsidP="00551B47">
      <w:pPr>
        <w:pStyle w:val="DHHSbullet1"/>
      </w:pPr>
      <w:r w:rsidRPr="00551B47">
        <w:t>the number of state clients who have transitioned to the NDIS</w:t>
      </w:r>
    </w:p>
    <w:p w:rsidR="00FF0980" w:rsidRPr="00551B47" w:rsidRDefault="00FF0980" w:rsidP="00551B47">
      <w:pPr>
        <w:pStyle w:val="DHHSbullet1"/>
      </w:pPr>
      <w:r w:rsidRPr="00551B47">
        <w:t>the forecast number of existing state clients who will transition to the NDIS by the end of the transition</w:t>
      </w:r>
    </w:p>
    <w:p w:rsidR="00FF0980" w:rsidRPr="00551B47" w:rsidRDefault="00FF0980" w:rsidP="00551B47">
      <w:pPr>
        <w:pStyle w:val="DHHSbullet1"/>
      </w:pPr>
      <w:r w:rsidRPr="00551B47">
        <w:t>the services that have been provided to each client (note that when multiple services are received by the same client, each service will be shown separately)</w:t>
      </w:r>
    </w:p>
    <w:p w:rsidR="00FF0980" w:rsidRDefault="00FF0980" w:rsidP="00551B47">
      <w:pPr>
        <w:pStyle w:val="DHHSbullet1"/>
      </w:pPr>
      <w:r w:rsidRPr="00551B47">
        <w:t>the state funding that will be released fo</w:t>
      </w:r>
      <w:r w:rsidR="00A96B49">
        <w:t>r each service</w:t>
      </w:r>
    </w:p>
    <w:p w:rsidR="00A96B49" w:rsidRDefault="00A96B49" w:rsidP="00551B47">
      <w:pPr>
        <w:pStyle w:val="DHHSbullet1"/>
      </w:pPr>
      <w:r>
        <w:t>a funding withdrawal chart detailing the monthly and cumulating funding withdrawal phasing.</w:t>
      </w:r>
    </w:p>
    <w:p w:rsidR="00FF0980" w:rsidRPr="00551B47" w:rsidRDefault="00FF0980" w:rsidP="00551B47">
      <w:pPr>
        <w:pStyle w:val="DHHSbody"/>
      </w:pPr>
      <w:r w:rsidRPr="00551B47">
        <w:t>The above will be provided at both a monthly and cumulative level for clients, services and state funding.</w:t>
      </w:r>
    </w:p>
    <w:p w:rsidR="00FF0980" w:rsidRPr="00A97FCB" w:rsidRDefault="00FF0980" w:rsidP="00FF0980">
      <w:pPr>
        <w:pStyle w:val="ListParagraph"/>
        <w:ind w:left="0" w:right="-2"/>
        <w:rPr>
          <w:rFonts w:ascii="Arial" w:hAnsi="Arial" w:cs="Arial"/>
        </w:rPr>
      </w:pPr>
    </w:p>
    <w:p w:rsidR="00FF0980" w:rsidRPr="006616F1" w:rsidRDefault="006616F1" w:rsidP="00551B47">
      <w:pPr>
        <w:pStyle w:val="DHHSbody"/>
        <w:rPr>
          <w:b/>
        </w:rPr>
      </w:pPr>
      <w:r w:rsidRPr="006616F1">
        <w:rPr>
          <w:b/>
        </w:rPr>
        <w:t>Table 2 – ‘D</w:t>
      </w:r>
      <w:r w:rsidR="00FF0980" w:rsidRPr="006616F1">
        <w:rPr>
          <w:b/>
        </w:rPr>
        <w:t xml:space="preserve">etailed </w:t>
      </w:r>
      <w:r w:rsidRPr="006616F1">
        <w:rPr>
          <w:b/>
        </w:rPr>
        <w:t>C</w:t>
      </w:r>
      <w:r w:rsidR="00FF0980" w:rsidRPr="006616F1">
        <w:rPr>
          <w:b/>
        </w:rPr>
        <w:t xml:space="preserve">lient </w:t>
      </w:r>
      <w:r w:rsidRPr="006616F1">
        <w:rPr>
          <w:b/>
        </w:rPr>
        <w:t>List’ provides client</w:t>
      </w:r>
      <w:r w:rsidR="007C6556">
        <w:rPr>
          <w:b/>
        </w:rPr>
        <w:t xml:space="preserve"> transition </w:t>
      </w:r>
      <w:r w:rsidR="007C6556" w:rsidRPr="006616F1">
        <w:rPr>
          <w:b/>
        </w:rPr>
        <w:t>information</w:t>
      </w:r>
      <w:r w:rsidR="007C6556">
        <w:rPr>
          <w:b/>
        </w:rPr>
        <w:t>. This includes</w:t>
      </w:r>
      <w:r w:rsidRPr="006616F1">
        <w:rPr>
          <w:b/>
        </w:rPr>
        <w:t>:</w:t>
      </w:r>
    </w:p>
    <w:p w:rsidR="00FF0980" w:rsidRPr="00551B47" w:rsidRDefault="00FF0980" w:rsidP="00551B47">
      <w:pPr>
        <w:pStyle w:val="DHHSbullet1"/>
      </w:pPr>
      <w:r w:rsidRPr="00551B47">
        <w:t>a list of all of the service providers’ state funded clients with a separate line for each service that each of the service provider’s clients receive (e.g. if a client receives an ISP and Therapy, these will be shown on two separate lines)</w:t>
      </w:r>
    </w:p>
    <w:p w:rsidR="00FF0980" w:rsidRPr="00551B47" w:rsidRDefault="00FF0980" w:rsidP="00551B47">
      <w:pPr>
        <w:pStyle w:val="DHHSbullet1"/>
      </w:pPr>
      <w:r w:rsidRPr="00551B47">
        <w:t>clients’ first name, surname and date of birth</w:t>
      </w:r>
      <w:r w:rsidR="006616F1">
        <w:t xml:space="preserve"> (</w:t>
      </w:r>
      <w:r w:rsidR="00190249">
        <w:t>t</w:t>
      </w:r>
      <w:r w:rsidR="006616F1">
        <w:t>he name fields are excluded from the examples used)</w:t>
      </w:r>
    </w:p>
    <w:p w:rsidR="00FF0980" w:rsidRPr="00551B47" w:rsidRDefault="00FF0980" w:rsidP="00551B47">
      <w:pPr>
        <w:pStyle w:val="DHHSbullet1"/>
      </w:pPr>
      <w:r w:rsidRPr="00551B47">
        <w:t>the current NDIA status</w:t>
      </w:r>
    </w:p>
    <w:p w:rsidR="00FF0980" w:rsidRPr="00551B47" w:rsidRDefault="00FF0980" w:rsidP="00551B47">
      <w:pPr>
        <w:pStyle w:val="DHHSbullet1"/>
      </w:pPr>
      <w:r w:rsidRPr="00551B47">
        <w:t xml:space="preserve">the forecast transition date </w:t>
      </w:r>
    </w:p>
    <w:p w:rsidR="00FF0980" w:rsidRPr="00551B47" w:rsidRDefault="00FF0980" w:rsidP="00551B47">
      <w:pPr>
        <w:pStyle w:val="DHHSbullet1"/>
      </w:pPr>
      <w:r w:rsidRPr="00551B47">
        <w:t xml:space="preserve">the actual transition date (plan approval date), when status is ‘Plan Approved’ </w:t>
      </w:r>
    </w:p>
    <w:p w:rsidR="00FF0980" w:rsidRPr="00551B47" w:rsidRDefault="00FF0980" w:rsidP="00551B47">
      <w:pPr>
        <w:pStyle w:val="DHHSbullet1"/>
      </w:pPr>
      <w:r w:rsidRPr="00551B47">
        <w:t>the annual state funding that is attributed to each service</w:t>
      </w:r>
    </w:p>
    <w:p w:rsidR="00FF0980" w:rsidRPr="00551B47" w:rsidRDefault="00FF0980" w:rsidP="00551B47">
      <w:pPr>
        <w:pStyle w:val="DHHSbullet1"/>
      </w:pPr>
      <w:r w:rsidRPr="00551B47">
        <w:t>the actual amount of state funding that will be withdrawn each year based on the actual plan approval date (pro-rated for the financial year based on actual plan approval date) or the forecast amount of state funding that is expected to be withdrawn in the financial year based on the forecast transition date.</w:t>
      </w:r>
    </w:p>
    <w:p w:rsidR="00FF0980" w:rsidRPr="00581209" w:rsidRDefault="00FF0980" w:rsidP="00FF0980">
      <w:pPr>
        <w:pStyle w:val="ListParagraph"/>
        <w:ind w:left="0" w:right="-2"/>
        <w:rPr>
          <w:rFonts w:ascii="Arial" w:hAnsi="Arial" w:cs="Arial"/>
        </w:rPr>
      </w:pPr>
    </w:p>
    <w:p w:rsidR="00FF0980" w:rsidRPr="006616F1" w:rsidRDefault="00FF0980" w:rsidP="00551B47">
      <w:pPr>
        <w:pStyle w:val="DHHSbody"/>
        <w:rPr>
          <w:b/>
        </w:rPr>
      </w:pPr>
      <w:r w:rsidRPr="006616F1">
        <w:rPr>
          <w:b/>
        </w:rPr>
        <w:t>Table 3 – Calculations – Supported Accommodation</w:t>
      </w:r>
      <w:r w:rsidR="006616F1" w:rsidRPr="006616F1">
        <w:rPr>
          <w:b/>
        </w:rPr>
        <w:t xml:space="preserve"> (SSA)</w:t>
      </w:r>
      <w:r w:rsidRPr="006616F1">
        <w:rPr>
          <w:b/>
        </w:rPr>
        <w:t>:</w:t>
      </w:r>
    </w:p>
    <w:p w:rsidR="00FF0980" w:rsidRPr="00551B47" w:rsidRDefault="00FF0980" w:rsidP="00551B47">
      <w:pPr>
        <w:pStyle w:val="DHHSbullet1"/>
      </w:pPr>
      <w:r w:rsidRPr="00551B47">
        <w:t>This table provides a summary of the service provider’s funded Shared Supported Accommodation houses (if applicable), along with a breakdown of the total number of clients matched to these houses (both under and over 65) and the estimated funding release for each client in a Supported Accommodation service that is determined by:</w:t>
      </w:r>
    </w:p>
    <w:p w:rsidR="00FF0980" w:rsidRDefault="00FF0980" w:rsidP="00551B47">
      <w:pPr>
        <w:pStyle w:val="DHHSbullet2"/>
      </w:pPr>
      <w:r w:rsidRPr="00551B47">
        <w:t xml:space="preserve">the amount of annualised funding for that Supported Accommodation house divided by the total number of clients matched to that house based on the residential addresses provided through the state-wide data </w:t>
      </w:r>
      <w:r w:rsidR="00190249">
        <w:t>collection</w:t>
      </w:r>
      <w:r w:rsidRPr="00551B47">
        <w:t>.</w:t>
      </w:r>
    </w:p>
    <w:p w:rsidR="00540745" w:rsidRDefault="00540745" w:rsidP="007D2309">
      <w:pPr>
        <w:pStyle w:val="DHHSbullet1"/>
      </w:pPr>
      <w:r>
        <w:t>The table includes the averages applying for each period between recalculations.</w:t>
      </w:r>
    </w:p>
    <w:p w:rsidR="00777AB9" w:rsidRDefault="00777AB9" w:rsidP="000B75C4">
      <w:pPr>
        <w:pStyle w:val="DHHSbullet1"/>
        <w:numPr>
          <w:ilvl w:val="0"/>
          <w:numId w:val="0"/>
        </w:numPr>
        <w:ind w:left="284" w:hanging="284"/>
      </w:pPr>
    </w:p>
    <w:p w:rsidR="00FF0980" w:rsidRPr="007C6556" w:rsidRDefault="006616F1" w:rsidP="00551B47">
      <w:pPr>
        <w:pStyle w:val="DHHSbody"/>
        <w:rPr>
          <w:b/>
        </w:rPr>
      </w:pPr>
      <w:r>
        <w:br w:type="column"/>
      </w:r>
      <w:r w:rsidR="00FF0980" w:rsidRPr="007C6556">
        <w:rPr>
          <w:b/>
        </w:rPr>
        <w:t>Table 4 – Calculations – Block</w:t>
      </w:r>
      <w:r w:rsidRPr="007C6556">
        <w:rPr>
          <w:b/>
        </w:rPr>
        <w:t xml:space="preserve"> F</w:t>
      </w:r>
      <w:r w:rsidR="00FF0980" w:rsidRPr="007C6556">
        <w:rPr>
          <w:b/>
        </w:rPr>
        <w:t>unded disability activities:</w:t>
      </w:r>
    </w:p>
    <w:p w:rsidR="00FF0980" w:rsidRPr="00551B47" w:rsidRDefault="00FF0980" w:rsidP="00551B47">
      <w:pPr>
        <w:pStyle w:val="DHHSbullet1"/>
      </w:pPr>
      <w:r w:rsidRPr="00551B47">
        <w:t xml:space="preserve">This table provides a summary of the service provider’s block-funded Disability activities, along with a breakdown of the total number of clients reported for each of these activities within the state-wide data collection process and the estimated funding release for the provider’s block-funded activity clients that is determined by: </w:t>
      </w:r>
    </w:p>
    <w:p w:rsidR="00FF0980" w:rsidRDefault="00FF0980" w:rsidP="003B3FF7">
      <w:pPr>
        <w:pStyle w:val="DHHSbullet2"/>
      </w:pPr>
      <w:r w:rsidRPr="00551B47">
        <w:t>the amount of annualised funding to the service provider for a particular activity divided by the total number of client services that the service provider has reported for that particular activity through the state-wide data collection.</w:t>
      </w:r>
    </w:p>
    <w:p w:rsidR="0026722B" w:rsidRPr="000B75C4" w:rsidRDefault="00540745" w:rsidP="007D2309">
      <w:pPr>
        <w:pStyle w:val="DHHSbullet1"/>
      </w:pPr>
      <w:r>
        <w:t>The table includes the averages applying for each period between recalculations.</w:t>
      </w:r>
    </w:p>
    <w:p w:rsidR="00FF0980" w:rsidRDefault="00FF0980" w:rsidP="00FF0980">
      <w:pPr>
        <w:ind w:left="720"/>
        <w:rPr>
          <w:rFonts w:ascii="Arial" w:hAnsi="Arial" w:cs="Arial"/>
        </w:rPr>
      </w:pPr>
    </w:p>
    <w:p w:rsidR="00365D5E" w:rsidRPr="00365D5E" w:rsidRDefault="00365D5E" w:rsidP="00551B47">
      <w:pPr>
        <w:pStyle w:val="DHHStablecaption"/>
      </w:pPr>
      <w:r w:rsidRPr="00365D5E">
        <w:t xml:space="preserve">NDIA </w:t>
      </w:r>
      <w:r w:rsidR="00E74F82">
        <w:t>s</w:t>
      </w:r>
      <w:r w:rsidRPr="00365D5E">
        <w:t>tatus definitions</w:t>
      </w:r>
    </w:p>
    <w:tbl>
      <w:tblPr>
        <w:tblW w:w="10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477"/>
      </w:tblGrid>
      <w:tr w:rsidR="00FF0980" w:rsidRPr="00A97FCB" w:rsidTr="00E74F82">
        <w:tc>
          <w:tcPr>
            <w:tcW w:w="2835" w:type="dxa"/>
            <w:shd w:val="clear" w:color="auto" w:fill="auto"/>
          </w:tcPr>
          <w:p w:rsidR="00FF0980" w:rsidRPr="00365D5E" w:rsidRDefault="00FF0980" w:rsidP="00E74F82">
            <w:pPr>
              <w:pStyle w:val="DHHStablecolhead"/>
            </w:pPr>
            <w:r w:rsidRPr="00365D5E">
              <w:t>NDIA Status</w:t>
            </w:r>
          </w:p>
        </w:tc>
        <w:tc>
          <w:tcPr>
            <w:tcW w:w="7477" w:type="dxa"/>
            <w:shd w:val="clear" w:color="auto" w:fill="auto"/>
          </w:tcPr>
          <w:p w:rsidR="00FF0980" w:rsidRPr="00365D5E" w:rsidRDefault="00FF0980" w:rsidP="00E74F82">
            <w:pPr>
              <w:pStyle w:val="DHHStablecolhead"/>
            </w:pPr>
            <w:r w:rsidRPr="00365D5E">
              <w:t>Definition</w:t>
            </w:r>
          </w:p>
        </w:tc>
      </w:tr>
      <w:tr w:rsidR="00FF0980" w:rsidRPr="00A97FCB" w:rsidTr="00E74F82">
        <w:tc>
          <w:tcPr>
            <w:tcW w:w="2835" w:type="dxa"/>
            <w:shd w:val="clear" w:color="auto" w:fill="auto"/>
          </w:tcPr>
          <w:p w:rsidR="00FF0980" w:rsidRPr="00365D5E" w:rsidRDefault="00FF0980" w:rsidP="00551B47">
            <w:pPr>
              <w:pStyle w:val="DHHStablebullet"/>
            </w:pPr>
            <w:r w:rsidRPr="00365D5E">
              <w:t>Access Met</w:t>
            </w:r>
          </w:p>
        </w:tc>
        <w:tc>
          <w:tcPr>
            <w:tcW w:w="7477" w:type="dxa"/>
            <w:shd w:val="clear" w:color="auto" w:fill="auto"/>
          </w:tcPr>
          <w:p w:rsidR="00FF0980" w:rsidRPr="00365D5E" w:rsidRDefault="00FF0980" w:rsidP="00EE6500">
            <w:pPr>
              <w:pStyle w:val="DHHStabletext"/>
              <w:ind w:left="34"/>
            </w:pPr>
            <w:r w:rsidRPr="00365D5E">
              <w:t>Person is now an eligible participant of the Scheme.</w:t>
            </w:r>
          </w:p>
        </w:tc>
      </w:tr>
      <w:tr w:rsidR="00FF0980" w:rsidRPr="00A97FCB" w:rsidTr="00E74F82">
        <w:tc>
          <w:tcPr>
            <w:tcW w:w="2835" w:type="dxa"/>
            <w:shd w:val="clear" w:color="auto" w:fill="auto"/>
          </w:tcPr>
          <w:p w:rsidR="00FF0980" w:rsidRPr="00365D5E" w:rsidRDefault="00FF0980" w:rsidP="00551B47">
            <w:pPr>
              <w:pStyle w:val="DHHStablebullet"/>
            </w:pPr>
            <w:r w:rsidRPr="00365D5E">
              <w:t>Access Not Met</w:t>
            </w:r>
          </w:p>
        </w:tc>
        <w:tc>
          <w:tcPr>
            <w:tcW w:w="7477" w:type="dxa"/>
            <w:shd w:val="clear" w:color="auto" w:fill="auto"/>
          </w:tcPr>
          <w:p w:rsidR="00FF0980" w:rsidRPr="00365D5E" w:rsidRDefault="00FF0980" w:rsidP="00EE6500">
            <w:pPr>
              <w:pStyle w:val="DHHStablebullet"/>
              <w:ind w:left="34" w:firstLine="0"/>
            </w:pPr>
            <w:r w:rsidRPr="00365D5E">
              <w:t>Person has been found ineligible for the Scheme.</w:t>
            </w:r>
          </w:p>
        </w:tc>
      </w:tr>
      <w:tr w:rsidR="00FF0980" w:rsidRPr="00A97FCB" w:rsidTr="00E74F82">
        <w:tc>
          <w:tcPr>
            <w:tcW w:w="2835" w:type="dxa"/>
            <w:shd w:val="clear" w:color="auto" w:fill="auto"/>
          </w:tcPr>
          <w:p w:rsidR="00FF0980" w:rsidRPr="00365D5E" w:rsidRDefault="00FF0980" w:rsidP="00551B47">
            <w:pPr>
              <w:pStyle w:val="DHHStablebullet"/>
            </w:pPr>
            <w:r w:rsidRPr="00365D5E">
              <w:t>Withdrawn</w:t>
            </w:r>
          </w:p>
        </w:tc>
        <w:tc>
          <w:tcPr>
            <w:tcW w:w="7477" w:type="dxa"/>
            <w:shd w:val="clear" w:color="auto" w:fill="auto"/>
          </w:tcPr>
          <w:p w:rsidR="00FF0980" w:rsidRPr="00365D5E" w:rsidRDefault="00FF0980" w:rsidP="00EE6500">
            <w:pPr>
              <w:pStyle w:val="DHHStablebullet"/>
              <w:ind w:left="34" w:firstLine="0"/>
            </w:pPr>
            <w:r w:rsidRPr="00365D5E">
              <w:t>Person is required to provide additional evidence for the access decision to be met.</w:t>
            </w:r>
          </w:p>
        </w:tc>
      </w:tr>
      <w:tr w:rsidR="00FF0980" w:rsidRPr="00A97FCB" w:rsidTr="00E74F82">
        <w:tc>
          <w:tcPr>
            <w:tcW w:w="2835" w:type="dxa"/>
            <w:shd w:val="clear" w:color="auto" w:fill="auto"/>
          </w:tcPr>
          <w:p w:rsidR="00FF0980" w:rsidRPr="00365D5E" w:rsidRDefault="00FF0980" w:rsidP="00EE6500">
            <w:pPr>
              <w:pStyle w:val="DHHStablebullet"/>
              <w:ind w:left="34" w:hanging="34"/>
            </w:pPr>
            <w:r w:rsidRPr="00365D5E">
              <w:t>Cancelled - Unable to Contact</w:t>
            </w:r>
          </w:p>
        </w:tc>
        <w:tc>
          <w:tcPr>
            <w:tcW w:w="7477" w:type="dxa"/>
            <w:shd w:val="clear" w:color="auto" w:fill="auto"/>
          </w:tcPr>
          <w:p w:rsidR="00FF0980" w:rsidRPr="00365D5E" w:rsidRDefault="00FF0980" w:rsidP="00EE6500">
            <w:pPr>
              <w:pStyle w:val="DHHStablebullet"/>
              <w:ind w:left="34" w:firstLine="0"/>
            </w:pPr>
            <w:r w:rsidRPr="00365D5E">
              <w:t>After 4 attempted phone calls, have not yet made contact with this person. Letter and Access Request Form have been sent.</w:t>
            </w:r>
          </w:p>
        </w:tc>
      </w:tr>
      <w:tr w:rsidR="00FF0980" w:rsidRPr="00A97FCB" w:rsidTr="00E74F82">
        <w:tc>
          <w:tcPr>
            <w:tcW w:w="2835" w:type="dxa"/>
            <w:shd w:val="clear" w:color="auto" w:fill="auto"/>
          </w:tcPr>
          <w:p w:rsidR="00FF0980" w:rsidRPr="00365D5E" w:rsidRDefault="00FF0980" w:rsidP="00551B47">
            <w:pPr>
              <w:pStyle w:val="DHHStablebullet"/>
            </w:pPr>
            <w:r w:rsidRPr="00365D5E">
              <w:t>Revoked / Ceased (Access)</w:t>
            </w:r>
          </w:p>
        </w:tc>
        <w:tc>
          <w:tcPr>
            <w:tcW w:w="7477" w:type="dxa"/>
            <w:shd w:val="clear" w:color="auto" w:fill="auto"/>
          </w:tcPr>
          <w:p w:rsidR="00FF0980" w:rsidRPr="00365D5E" w:rsidRDefault="00301695" w:rsidP="00EE6500">
            <w:pPr>
              <w:pStyle w:val="DHHStablebullet"/>
              <w:ind w:left="34" w:firstLine="0"/>
            </w:pPr>
            <w:r w:rsidRPr="00365D5E">
              <w:t>This person has been made eligible, but is</w:t>
            </w:r>
            <w:r w:rsidR="00FF0980" w:rsidRPr="00365D5E">
              <w:t xml:space="preserve"> no longer eligible or deceased.</w:t>
            </w:r>
          </w:p>
        </w:tc>
      </w:tr>
      <w:tr w:rsidR="00FF0980" w:rsidRPr="00A97FCB" w:rsidTr="00E74F82">
        <w:tc>
          <w:tcPr>
            <w:tcW w:w="2835" w:type="dxa"/>
            <w:shd w:val="clear" w:color="auto" w:fill="auto"/>
          </w:tcPr>
          <w:p w:rsidR="00FF0980" w:rsidRPr="00365D5E" w:rsidRDefault="00FF0980" w:rsidP="00551B47">
            <w:pPr>
              <w:pStyle w:val="DHHStablebullet"/>
            </w:pPr>
            <w:r w:rsidRPr="00365D5E">
              <w:t>Access Decision in Progress</w:t>
            </w:r>
          </w:p>
        </w:tc>
        <w:tc>
          <w:tcPr>
            <w:tcW w:w="7477" w:type="dxa"/>
            <w:shd w:val="clear" w:color="auto" w:fill="auto"/>
          </w:tcPr>
          <w:p w:rsidR="00FF0980" w:rsidRPr="00365D5E" w:rsidRDefault="00FF0980" w:rsidP="00EE6500">
            <w:pPr>
              <w:pStyle w:val="DHHStablebullet"/>
              <w:ind w:left="34" w:firstLine="0"/>
            </w:pPr>
            <w:r w:rsidRPr="00365D5E">
              <w:t>An access request for this person is underway, but a decision is yet to be made</w:t>
            </w:r>
          </w:p>
        </w:tc>
      </w:tr>
      <w:tr w:rsidR="00FF0980" w:rsidRPr="00A97FCB" w:rsidTr="00E74F82">
        <w:tc>
          <w:tcPr>
            <w:tcW w:w="2835" w:type="dxa"/>
            <w:shd w:val="clear" w:color="auto" w:fill="auto"/>
          </w:tcPr>
          <w:p w:rsidR="00FF0980" w:rsidRPr="00365D5E" w:rsidRDefault="00FF0980" w:rsidP="00551B47">
            <w:pPr>
              <w:pStyle w:val="DHHStablebullet"/>
            </w:pPr>
            <w:r w:rsidRPr="00365D5E">
              <w:t>Draft</w:t>
            </w:r>
          </w:p>
        </w:tc>
        <w:tc>
          <w:tcPr>
            <w:tcW w:w="7477" w:type="dxa"/>
            <w:shd w:val="clear" w:color="auto" w:fill="auto"/>
          </w:tcPr>
          <w:p w:rsidR="00FF0980" w:rsidRPr="00365D5E" w:rsidRDefault="00FF0980" w:rsidP="00EE6500">
            <w:pPr>
              <w:pStyle w:val="DHHStablebullet"/>
              <w:ind w:left="34" w:firstLine="0"/>
            </w:pPr>
            <w:r w:rsidRPr="00365D5E">
              <w:t>This is the default status until an access request is commenced.</w:t>
            </w:r>
          </w:p>
        </w:tc>
      </w:tr>
      <w:tr w:rsidR="00FF0980" w:rsidRPr="00A97FCB" w:rsidTr="00E74F82">
        <w:tc>
          <w:tcPr>
            <w:tcW w:w="2835" w:type="dxa"/>
            <w:shd w:val="clear" w:color="auto" w:fill="auto"/>
          </w:tcPr>
          <w:p w:rsidR="00FF0980" w:rsidRPr="00365D5E" w:rsidRDefault="00FF0980" w:rsidP="00551B47">
            <w:pPr>
              <w:pStyle w:val="DHHStablebullet"/>
            </w:pPr>
            <w:r w:rsidRPr="00365D5E">
              <w:t>Cancelled –</w:t>
            </w:r>
            <w:r w:rsidR="005E6415">
              <w:t xml:space="preserve"> </w:t>
            </w:r>
            <w:r w:rsidR="009F0D56">
              <w:t>Evidence not provided</w:t>
            </w:r>
          </w:p>
        </w:tc>
        <w:tc>
          <w:tcPr>
            <w:tcW w:w="7477" w:type="dxa"/>
            <w:shd w:val="clear" w:color="auto" w:fill="auto"/>
          </w:tcPr>
          <w:p w:rsidR="00FF0980" w:rsidRPr="00365D5E" w:rsidRDefault="004C61D0" w:rsidP="00EE6500">
            <w:pPr>
              <w:pStyle w:val="DHHStablebullet"/>
              <w:ind w:left="34" w:firstLine="0"/>
            </w:pPr>
            <w:r>
              <w:t>Insufficient evidence has been provided.</w:t>
            </w:r>
          </w:p>
        </w:tc>
      </w:tr>
      <w:tr w:rsidR="00FF0980" w:rsidRPr="00A97FCB" w:rsidTr="00E74F82">
        <w:tc>
          <w:tcPr>
            <w:tcW w:w="2835" w:type="dxa"/>
            <w:shd w:val="clear" w:color="auto" w:fill="auto"/>
          </w:tcPr>
          <w:p w:rsidR="00FF0980" w:rsidRPr="00365D5E" w:rsidRDefault="00FF0980" w:rsidP="00551B47">
            <w:pPr>
              <w:pStyle w:val="DHHStablebullet"/>
            </w:pPr>
            <w:r w:rsidRPr="00365D5E">
              <w:t>Plan Submitted for Approval</w:t>
            </w:r>
          </w:p>
        </w:tc>
        <w:tc>
          <w:tcPr>
            <w:tcW w:w="7477" w:type="dxa"/>
            <w:shd w:val="clear" w:color="auto" w:fill="auto"/>
          </w:tcPr>
          <w:p w:rsidR="00FF0980" w:rsidRPr="00365D5E" w:rsidRDefault="00FF0980" w:rsidP="00EE6500">
            <w:pPr>
              <w:pStyle w:val="DHHStablebullet"/>
              <w:ind w:left="34" w:firstLine="0"/>
            </w:pPr>
            <w:r w:rsidRPr="00365D5E">
              <w:t>Person’s plan has been submitted for approval to the NDIS.</w:t>
            </w:r>
          </w:p>
        </w:tc>
      </w:tr>
      <w:tr w:rsidR="00FF0980" w:rsidRPr="00A97FCB" w:rsidTr="00E74F82">
        <w:tc>
          <w:tcPr>
            <w:tcW w:w="2835" w:type="dxa"/>
            <w:shd w:val="clear" w:color="auto" w:fill="auto"/>
          </w:tcPr>
          <w:p w:rsidR="00FF0980" w:rsidRPr="00365D5E" w:rsidRDefault="00FF0980" w:rsidP="00551B47">
            <w:pPr>
              <w:pStyle w:val="DHHStablebullet"/>
            </w:pPr>
            <w:r w:rsidRPr="00365D5E">
              <w:t>Plan Approved</w:t>
            </w:r>
          </w:p>
        </w:tc>
        <w:tc>
          <w:tcPr>
            <w:tcW w:w="7477" w:type="dxa"/>
            <w:shd w:val="clear" w:color="auto" w:fill="auto"/>
          </w:tcPr>
          <w:p w:rsidR="00FF0980" w:rsidRPr="00365D5E" w:rsidRDefault="00FF0980" w:rsidP="00EE6500">
            <w:pPr>
              <w:pStyle w:val="DHHStablebullet"/>
              <w:ind w:left="34" w:firstLine="0"/>
            </w:pPr>
            <w:r w:rsidRPr="00365D5E">
              <w:t>Person has become an NDIS participant.</w:t>
            </w:r>
          </w:p>
        </w:tc>
      </w:tr>
      <w:tr w:rsidR="00FF0980" w:rsidRPr="00A97FCB" w:rsidTr="00E74F82">
        <w:tc>
          <w:tcPr>
            <w:tcW w:w="2835" w:type="dxa"/>
            <w:shd w:val="clear" w:color="auto" w:fill="auto"/>
          </w:tcPr>
          <w:p w:rsidR="00FF0980" w:rsidRPr="00365D5E" w:rsidRDefault="00FF0980" w:rsidP="00551B47">
            <w:pPr>
              <w:pStyle w:val="DHHStablebullet"/>
            </w:pPr>
            <w:r w:rsidRPr="00365D5E">
              <w:t>No NDIA Status</w:t>
            </w:r>
          </w:p>
        </w:tc>
        <w:tc>
          <w:tcPr>
            <w:tcW w:w="7477" w:type="dxa"/>
            <w:shd w:val="clear" w:color="auto" w:fill="auto"/>
          </w:tcPr>
          <w:p w:rsidR="00FF0980" w:rsidRPr="00365D5E" w:rsidRDefault="00FF0980" w:rsidP="00F12108">
            <w:pPr>
              <w:pStyle w:val="DHHStablebullet"/>
              <w:ind w:left="34" w:firstLine="0"/>
            </w:pPr>
            <w:r w:rsidRPr="00365D5E">
              <w:t>There is no k</w:t>
            </w:r>
            <w:r w:rsidR="00551B47">
              <w:t>nown NDIA status for the person</w:t>
            </w:r>
            <w:r w:rsidRPr="00365D5E">
              <w:t>; their data may not have been</w:t>
            </w:r>
            <w:r w:rsidR="00F12108">
              <w:t xml:space="preserve"> </w:t>
            </w:r>
            <w:r w:rsidRPr="00365D5E">
              <w:t>loaded into the NDIA’s customer database.</w:t>
            </w:r>
          </w:p>
        </w:tc>
      </w:tr>
    </w:tbl>
    <w:p w:rsidR="00FF0980" w:rsidRDefault="00FF0980" w:rsidP="00FF0980"/>
    <w:p w:rsidR="00FF0980" w:rsidRDefault="00FF0980" w:rsidP="00FF0980">
      <w:pPr>
        <w:rPr>
          <w:rFonts w:ascii="Arial" w:eastAsia="Times" w:hAnsi="Arial"/>
        </w:rPr>
      </w:pPr>
    </w:p>
    <w:p w:rsidR="00FF0980" w:rsidRDefault="00FF0980" w:rsidP="00FF0980">
      <w:pPr>
        <w:pStyle w:val="DHHSbody"/>
        <w:jc w:val="both"/>
        <w:sectPr w:rsidR="00FF0980" w:rsidSect="007D2309">
          <w:headerReference w:type="default" r:id="rId31"/>
          <w:footerReference w:type="default" r:id="rId32"/>
          <w:type w:val="continuous"/>
          <w:pgSz w:w="11906" w:h="16838" w:code="9"/>
          <w:pgMar w:top="723" w:right="851" w:bottom="851" w:left="851" w:header="567" w:footer="510" w:gutter="0"/>
          <w:cols w:space="340"/>
          <w:titlePg/>
          <w:docGrid w:linePitch="360"/>
        </w:sectPr>
      </w:pPr>
    </w:p>
    <w:p w:rsidR="00FF0980" w:rsidRDefault="00FF0980" w:rsidP="00365D5E">
      <w:pPr>
        <w:pStyle w:val="DHHStablecaption"/>
      </w:pPr>
      <w:bookmarkStart w:id="237" w:name="_Toc479766979"/>
      <w:r w:rsidRPr="003D57DE">
        <w:t>Table 1</w:t>
      </w:r>
      <w:r w:rsidR="00DE634C">
        <w:t xml:space="preserve"> </w:t>
      </w:r>
      <w:r w:rsidRPr="003D57DE">
        <w:t>– Summary forecast by month for the provider</w:t>
      </w:r>
      <w:bookmarkEnd w:id="237"/>
      <w:r w:rsidR="00DE634C">
        <w:t xml:space="preserve"> (clients)</w:t>
      </w:r>
    </w:p>
    <w:p w:rsidR="00DE634C" w:rsidRDefault="00DE634C" w:rsidP="00623960">
      <w:pPr>
        <w:pStyle w:val="DHHSbody"/>
      </w:pPr>
      <w:r w:rsidRPr="00DE634C">
        <w:rPr>
          <w:noProof/>
          <w:lang w:eastAsia="en-AU"/>
        </w:rPr>
        <w:drawing>
          <wp:inline distT="0" distB="0" distL="0" distR="0" wp14:anchorId="27199DE6" wp14:editId="5D66C788">
            <wp:extent cx="9407769" cy="3675184"/>
            <wp:effectExtent l="0" t="0" r="3175"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a:srcRect b="8312"/>
                    <a:stretch/>
                  </pic:blipFill>
                  <pic:spPr bwMode="auto">
                    <a:xfrm>
                      <a:off x="0" y="0"/>
                      <a:ext cx="9404242" cy="3673806"/>
                    </a:xfrm>
                    <a:prstGeom prst="rect">
                      <a:avLst/>
                    </a:prstGeom>
                    <a:ln>
                      <a:noFill/>
                    </a:ln>
                    <a:extLst>
                      <a:ext uri="{53640926-AAD7-44D8-BBD7-CCE9431645EC}">
                        <a14:shadowObscured xmlns:a14="http://schemas.microsoft.com/office/drawing/2010/main"/>
                      </a:ext>
                    </a:extLst>
                  </pic:spPr>
                </pic:pic>
              </a:graphicData>
            </a:graphic>
          </wp:inline>
        </w:drawing>
      </w:r>
    </w:p>
    <w:p w:rsidR="00DE634C" w:rsidRDefault="00FF408A" w:rsidP="00DE634C">
      <w:pPr>
        <w:pStyle w:val="DHHStablecaption"/>
      </w:pPr>
      <w:r w:rsidRPr="00FF408A">
        <w:rPr>
          <w:b w:val="0"/>
          <w:sz w:val="18"/>
        </w:rPr>
        <w:t xml:space="preserve">Note: </w:t>
      </w:r>
      <w:r w:rsidR="00733FA1" w:rsidRPr="00733FA1">
        <w:rPr>
          <w:b w:val="0"/>
          <w:sz w:val="18"/>
        </w:rPr>
        <w:t>All data used is for illustrative purposes only and is not real data</w:t>
      </w:r>
      <w:r w:rsidR="00733FA1">
        <w:rPr>
          <w:b w:val="0"/>
          <w:sz w:val="18"/>
        </w:rPr>
        <w:t>.</w:t>
      </w:r>
      <w:r w:rsidR="00733FA1" w:rsidRPr="00733FA1">
        <w:rPr>
          <w:b w:val="0"/>
          <w:sz w:val="18"/>
        </w:rPr>
        <w:t xml:space="preserve"> </w:t>
      </w:r>
      <w:r w:rsidR="00DE634C">
        <w:br w:type="column"/>
      </w:r>
      <w:r w:rsidR="00DE634C" w:rsidRPr="003D57DE">
        <w:t>Table 1</w:t>
      </w:r>
      <w:r w:rsidR="00DE634C">
        <w:t xml:space="preserve"> </w:t>
      </w:r>
      <w:r w:rsidR="00DE634C" w:rsidRPr="003D57DE">
        <w:t>– Summary forecast by month for the provider</w:t>
      </w:r>
      <w:r w:rsidR="00DE634C">
        <w:t xml:space="preserve"> (funding)</w:t>
      </w:r>
      <w:r w:rsidR="00D86CA1">
        <w:t xml:space="preserve"> (continued)</w:t>
      </w:r>
    </w:p>
    <w:p w:rsidR="00DE634C" w:rsidRPr="00623960" w:rsidRDefault="00DE634C" w:rsidP="00623960">
      <w:pPr>
        <w:pStyle w:val="DHHSbody"/>
      </w:pPr>
      <w:r w:rsidRPr="00DE634C">
        <w:rPr>
          <w:noProof/>
          <w:lang w:eastAsia="en-AU"/>
        </w:rPr>
        <w:drawing>
          <wp:inline distT="0" distB="0" distL="0" distR="0" wp14:anchorId="6FF2917B" wp14:editId="458AA15D">
            <wp:extent cx="9351470" cy="5749755"/>
            <wp:effectExtent l="0" t="0" r="254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stretch>
                      <a:fillRect/>
                    </a:stretch>
                  </pic:blipFill>
                  <pic:spPr>
                    <a:xfrm>
                      <a:off x="0" y="0"/>
                      <a:ext cx="9362267" cy="5756394"/>
                    </a:xfrm>
                    <a:prstGeom prst="rect">
                      <a:avLst/>
                    </a:prstGeom>
                  </pic:spPr>
                </pic:pic>
              </a:graphicData>
            </a:graphic>
          </wp:inline>
        </w:drawing>
      </w:r>
    </w:p>
    <w:p w:rsidR="00FF0980" w:rsidRPr="00365D5E" w:rsidRDefault="00FF408A" w:rsidP="00B01108">
      <w:pPr>
        <w:pStyle w:val="DHHSbody"/>
        <w:rPr>
          <w:rFonts w:eastAsia="Times New Roman"/>
          <w:b/>
        </w:rPr>
      </w:pPr>
      <w:r w:rsidRPr="00937E70">
        <w:rPr>
          <w:sz w:val="18"/>
        </w:rPr>
        <w:t xml:space="preserve">Note: </w:t>
      </w:r>
      <w:r w:rsidR="00733FA1" w:rsidRPr="00733FA1">
        <w:rPr>
          <w:sz w:val="18"/>
        </w:rPr>
        <w:t>All data used is for illustrative purposes only and is not real data</w:t>
      </w:r>
      <w:r w:rsidR="00733FA1">
        <w:rPr>
          <w:b/>
          <w:sz w:val="18"/>
        </w:rPr>
        <w:t>.</w:t>
      </w:r>
      <w:r w:rsidR="00733FA1" w:rsidRPr="00733FA1">
        <w:rPr>
          <w:sz w:val="18"/>
        </w:rPr>
        <w:t xml:space="preserve"> </w:t>
      </w:r>
      <w:r w:rsidR="00FF0980">
        <w:rPr>
          <w:sz w:val="40"/>
          <w:szCs w:val="40"/>
        </w:rPr>
        <w:br w:type="page"/>
      </w:r>
      <w:bookmarkStart w:id="238" w:name="_Toc479766980"/>
      <w:r w:rsidR="00FF0980" w:rsidRPr="00365D5E">
        <w:rPr>
          <w:rFonts w:eastAsia="Times New Roman"/>
          <w:b/>
        </w:rPr>
        <w:t>Table 2 – Detailed client listing for provider</w:t>
      </w:r>
      <w:bookmarkEnd w:id="238"/>
    </w:p>
    <w:p w:rsidR="00365D5E" w:rsidRDefault="00DE634C" w:rsidP="00FF0980">
      <w:r w:rsidRPr="00DE634C">
        <w:rPr>
          <w:noProof/>
          <w:lang w:eastAsia="en-AU"/>
        </w:rPr>
        <w:t xml:space="preserve"> </w:t>
      </w:r>
      <w:r w:rsidR="00087F50" w:rsidRPr="00087F50">
        <w:rPr>
          <w:noProof/>
          <w:lang w:eastAsia="en-AU"/>
        </w:rPr>
        <w:t xml:space="preserve"> </w:t>
      </w:r>
      <w:r w:rsidR="00087F50">
        <w:rPr>
          <w:noProof/>
          <w:lang w:eastAsia="en-AU"/>
        </w:rPr>
        <w:drawing>
          <wp:inline distT="0" distB="0" distL="0" distR="0" wp14:anchorId="67B1A0F8" wp14:editId="3D681DDA">
            <wp:extent cx="9404350" cy="523870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411570" cy="5242727"/>
                    </a:xfrm>
                    <a:prstGeom prst="rect">
                      <a:avLst/>
                    </a:prstGeom>
                  </pic:spPr>
                </pic:pic>
              </a:graphicData>
            </a:graphic>
          </wp:inline>
        </w:drawing>
      </w:r>
      <w:r w:rsidR="00FF0980" w:rsidRPr="002935DB">
        <w:t xml:space="preserve"> </w:t>
      </w:r>
    </w:p>
    <w:p w:rsidR="00FF0980" w:rsidRDefault="00FF408A" w:rsidP="00365D5E">
      <w:pPr>
        <w:pStyle w:val="DHHStablecaption"/>
      </w:pPr>
      <w:r w:rsidRPr="00FF408A">
        <w:rPr>
          <w:b w:val="0"/>
          <w:sz w:val="18"/>
        </w:rPr>
        <w:t>Note:</w:t>
      </w:r>
      <w:r w:rsidRPr="008B33A4">
        <w:rPr>
          <w:b w:val="0"/>
          <w:sz w:val="18"/>
        </w:rPr>
        <w:t xml:space="preserve"> </w:t>
      </w:r>
      <w:r w:rsidR="00733FA1" w:rsidRPr="00733FA1">
        <w:rPr>
          <w:b w:val="0"/>
          <w:sz w:val="18"/>
        </w:rPr>
        <w:t>All data used is for illustrative purposes only and is not real data</w:t>
      </w:r>
      <w:r w:rsidR="00733FA1">
        <w:rPr>
          <w:b w:val="0"/>
          <w:sz w:val="18"/>
        </w:rPr>
        <w:t>.</w:t>
      </w:r>
      <w:r w:rsidR="00733FA1" w:rsidRPr="00733FA1">
        <w:rPr>
          <w:b w:val="0"/>
          <w:sz w:val="18"/>
        </w:rPr>
        <w:t xml:space="preserve"> </w:t>
      </w:r>
      <w:r w:rsidR="00365D5E">
        <w:br w:type="page"/>
      </w:r>
      <w:bookmarkStart w:id="239" w:name="_Toc479766981"/>
      <w:r w:rsidR="00FF0980" w:rsidRPr="00365D5E">
        <w:t xml:space="preserve">Table 3 - Estimated funding withdrawal calculation </w:t>
      </w:r>
      <w:r w:rsidR="00FF0980" w:rsidRPr="00623960">
        <w:t>methodology – supported accommodation</w:t>
      </w:r>
      <w:bookmarkEnd w:id="239"/>
      <w:r w:rsidR="006634E5" w:rsidRPr="00623960">
        <w:t xml:space="preserve"> </w:t>
      </w:r>
    </w:p>
    <w:p w:rsidR="006634E5" w:rsidRPr="00623960" w:rsidRDefault="006634E5" w:rsidP="00623960">
      <w:pPr>
        <w:pStyle w:val="DHHSbody"/>
      </w:pPr>
    </w:p>
    <w:p w:rsidR="00FF0980" w:rsidRDefault="00087F50" w:rsidP="00FF0980">
      <w:pPr>
        <w:pStyle w:val="DHHSbody"/>
        <w:jc w:val="both"/>
      </w:pPr>
      <w:r w:rsidRPr="00087F50">
        <w:rPr>
          <w:noProof/>
          <w:lang w:eastAsia="en-AU"/>
        </w:rPr>
        <w:t xml:space="preserve"> </w:t>
      </w:r>
      <w:r>
        <w:rPr>
          <w:noProof/>
          <w:lang w:eastAsia="en-AU"/>
        </w:rPr>
        <w:drawing>
          <wp:inline distT="0" distB="0" distL="0" distR="0" wp14:anchorId="72E85E6D" wp14:editId="6E5C7F03">
            <wp:extent cx="9434834" cy="511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1949"/>
                    <a:stretch/>
                  </pic:blipFill>
                  <pic:spPr bwMode="auto">
                    <a:xfrm>
                      <a:off x="0" y="0"/>
                      <a:ext cx="9438484" cy="5113727"/>
                    </a:xfrm>
                    <a:prstGeom prst="rect">
                      <a:avLst/>
                    </a:prstGeom>
                    <a:ln>
                      <a:noFill/>
                    </a:ln>
                    <a:extLst>
                      <a:ext uri="{53640926-AAD7-44D8-BBD7-CCE9431645EC}">
                        <a14:shadowObscured xmlns:a14="http://schemas.microsoft.com/office/drawing/2010/main"/>
                      </a:ext>
                    </a:extLst>
                  </pic:spPr>
                </pic:pic>
              </a:graphicData>
            </a:graphic>
          </wp:inline>
        </w:drawing>
      </w:r>
    </w:p>
    <w:p w:rsidR="00FF0980" w:rsidRDefault="00FF408A" w:rsidP="00B01108">
      <w:pPr>
        <w:pStyle w:val="DHHSbody"/>
        <w:rPr>
          <w:rFonts w:eastAsia="Times New Roman"/>
          <w:b/>
        </w:rPr>
      </w:pPr>
      <w:r w:rsidRPr="00FF408A">
        <w:rPr>
          <w:sz w:val="18"/>
        </w:rPr>
        <w:t xml:space="preserve">Note: </w:t>
      </w:r>
      <w:r w:rsidR="00733FA1" w:rsidRPr="00733FA1">
        <w:rPr>
          <w:sz w:val="18"/>
        </w:rPr>
        <w:t>All data used is for illustrative purposes only and is not real data</w:t>
      </w:r>
      <w:r w:rsidR="00733FA1">
        <w:rPr>
          <w:b/>
          <w:sz w:val="18"/>
        </w:rPr>
        <w:t>.</w:t>
      </w:r>
      <w:r w:rsidR="00733FA1" w:rsidRPr="00733FA1">
        <w:rPr>
          <w:sz w:val="18"/>
        </w:rPr>
        <w:t xml:space="preserve"> </w:t>
      </w:r>
      <w:r w:rsidR="00FF0980">
        <w:br w:type="page"/>
      </w:r>
      <w:bookmarkStart w:id="240" w:name="_Toc479766982"/>
      <w:r w:rsidR="00FF0980" w:rsidRPr="00365D5E">
        <w:rPr>
          <w:rFonts w:eastAsia="Times New Roman"/>
          <w:b/>
        </w:rPr>
        <w:t>Table 4 - Estimated funding withdrawal calculation methodology - block funded disability activities</w:t>
      </w:r>
      <w:bookmarkEnd w:id="240"/>
      <w:r w:rsidR="00C81069">
        <w:rPr>
          <w:rFonts w:eastAsia="Times New Roman"/>
          <w:b/>
        </w:rPr>
        <w:t xml:space="preserve"> </w:t>
      </w:r>
    </w:p>
    <w:p w:rsidR="006634E5" w:rsidRDefault="006634E5" w:rsidP="00365D5E">
      <w:pPr>
        <w:pStyle w:val="DHHSbody"/>
        <w:jc w:val="both"/>
        <w:rPr>
          <w:rFonts w:eastAsia="Times New Roman"/>
          <w:b/>
        </w:rPr>
      </w:pPr>
    </w:p>
    <w:p w:rsidR="006634E5" w:rsidRDefault="00087F50" w:rsidP="00365D5E">
      <w:pPr>
        <w:pStyle w:val="DHHSbody"/>
        <w:jc w:val="both"/>
        <w:rPr>
          <w:rFonts w:eastAsia="Times New Roman"/>
          <w:b/>
        </w:rPr>
      </w:pPr>
      <w:r w:rsidRPr="00087F50">
        <w:rPr>
          <w:noProof/>
          <w:lang w:eastAsia="en-AU"/>
        </w:rPr>
        <w:t xml:space="preserve"> </w:t>
      </w:r>
      <w:r>
        <w:rPr>
          <w:noProof/>
          <w:lang w:eastAsia="en-AU"/>
        </w:rPr>
        <w:drawing>
          <wp:inline distT="0" distB="0" distL="0" distR="0" wp14:anchorId="2F31B4B6" wp14:editId="38A4822E">
            <wp:extent cx="9456740" cy="539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456740" cy="5391150"/>
                    </a:xfrm>
                    <a:prstGeom prst="rect">
                      <a:avLst/>
                    </a:prstGeom>
                  </pic:spPr>
                </pic:pic>
              </a:graphicData>
            </a:graphic>
          </wp:inline>
        </w:drawing>
      </w:r>
    </w:p>
    <w:p w:rsidR="00A3550F" w:rsidRPr="00FF408A" w:rsidRDefault="00FF408A" w:rsidP="006616F1">
      <w:pPr>
        <w:pStyle w:val="DHHSbody"/>
        <w:rPr>
          <w:rFonts w:eastAsia="Times New Roman"/>
        </w:rPr>
        <w:sectPr w:rsidR="00A3550F" w:rsidRPr="00FF408A" w:rsidSect="00760AB9">
          <w:pgSz w:w="16838" w:h="11906" w:orient="landscape" w:code="9"/>
          <w:pgMar w:top="851" w:right="726" w:bottom="851" w:left="1134" w:header="567" w:footer="510" w:gutter="0"/>
          <w:cols w:space="340"/>
          <w:docGrid w:linePitch="360"/>
        </w:sectPr>
      </w:pPr>
      <w:r w:rsidRPr="00FF408A">
        <w:rPr>
          <w:sz w:val="18"/>
        </w:rPr>
        <w:t xml:space="preserve">Note: </w:t>
      </w:r>
      <w:r w:rsidR="00733FA1" w:rsidRPr="00733FA1">
        <w:rPr>
          <w:sz w:val="18"/>
        </w:rPr>
        <w:t>All data used is for illustrative purposes only and is not real data</w:t>
      </w:r>
      <w:r w:rsidR="00733FA1">
        <w:rPr>
          <w:b/>
          <w:sz w:val="18"/>
        </w:rPr>
        <w:t>.</w:t>
      </w:r>
    </w:p>
    <w:p w:rsidR="00FF0980" w:rsidRPr="0060080A" w:rsidRDefault="00FF0980" w:rsidP="00FF0980">
      <w:pPr>
        <w:pStyle w:val="Heading1"/>
      </w:pPr>
      <w:bookmarkStart w:id="241" w:name="_Toc479766984"/>
      <w:bookmarkStart w:id="242" w:name="_Toc482364904"/>
      <w:bookmarkStart w:id="243" w:name="_Toc506974734"/>
      <w:r w:rsidRPr="0060080A">
        <w:t xml:space="preserve">Appendix </w:t>
      </w:r>
      <w:r w:rsidR="009D258F">
        <w:t xml:space="preserve">D </w:t>
      </w:r>
      <w:r w:rsidR="00C03AA9">
        <w:t>-</w:t>
      </w:r>
      <w:r>
        <w:t xml:space="preserve"> more information</w:t>
      </w:r>
      <w:bookmarkEnd w:id="241"/>
      <w:bookmarkEnd w:id="242"/>
      <w:bookmarkEnd w:id="243"/>
    </w:p>
    <w:p w:rsidR="00FF0980" w:rsidRPr="0060080A" w:rsidRDefault="00FF0980" w:rsidP="00FF0980">
      <w:pPr>
        <w:pStyle w:val="Heading3"/>
        <w:rPr>
          <w:sz w:val="20"/>
          <w:szCs w:val="20"/>
        </w:rPr>
      </w:pPr>
      <w:bookmarkStart w:id="244" w:name="_Toc479766985"/>
      <w:bookmarkStart w:id="245" w:name="_Toc506974735"/>
      <w:r w:rsidRPr="0060080A">
        <w:rPr>
          <w:sz w:val="20"/>
          <w:szCs w:val="20"/>
        </w:rPr>
        <w:t>Where can I obtain more information on the NDIS?</w:t>
      </w:r>
      <w:bookmarkEnd w:id="244"/>
      <w:bookmarkEnd w:id="245"/>
    </w:p>
    <w:p w:rsidR="00FF0980" w:rsidRPr="0038719A" w:rsidRDefault="00FF0980" w:rsidP="00FF0980">
      <w:pPr>
        <w:rPr>
          <w:rFonts w:ascii="Arial" w:hAnsi="Arial" w:cs="Arial"/>
        </w:rPr>
      </w:pPr>
      <w:r w:rsidRPr="0038719A">
        <w:rPr>
          <w:rFonts w:ascii="Arial" w:hAnsi="Arial" w:cs="Arial"/>
        </w:rPr>
        <w:t xml:space="preserve">More information about the NDIS is available through the NDIS website at </w:t>
      </w:r>
      <w:hyperlink r:id="rId38" w:history="1">
        <w:r w:rsidRPr="0038719A">
          <w:rPr>
            <w:rStyle w:val="Hyperlink"/>
            <w:rFonts w:ascii="Arial" w:hAnsi="Arial" w:cs="Arial"/>
          </w:rPr>
          <w:t>www.ndis.gov.au</w:t>
        </w:r>
      </w:hyperlink>
      <w:r w:rsidRPr="0038719A">
        <w:rPr>
          <w:rFonts w:ascii="Arial" w:hAnsi="Arial" w:cs="Arial"/>
        </w:rPr>
        <w:t xml:space="preserve"> or by telephone at 1800 800 110. </w:t>
      </w:r>
    </w:p>
    <w:p w:rsidR="00FF0980" w:rsidRPr="0038719A" w:rsidRDefault="00FF0980" w:rsidP="00FF0980">
      <w:pPr>
        <w:rPr>
          <w:rFonts w:ascii="Arial" w:hAnsi="Arial" w:cs="Arial"/>
        </w:rPr>
      </w:pPr>
    </w:p>
    <w:p w:rsidR="00FF0980" w:rsidRPr="0038719A" w:rsidRDefault="00FF0980" w:rsidP="00FF0980">
      <w:pPr>
        <w:rPr>
          <w:rFonts w:ascii="Arial" w:hAnsi="Arial" w:cs="Arial"/>
        </w:rPr>
      </w:pPr>
      <w:r w:rsidRPr="0038719A">
        <w:rPr>
          <w:rFonts w:ascii="Arial" w:hAnsi="Arial" w:cs="Arial"/>
        </w:rPr>
        <w:t xml:space="preserve">The Department of Health and Human Services will be engaging with providers’ peak associations. Questions about registration for the Scheme should be directed to the NDIA at </w:t>
      </w:r>
      <w:hyperlink r:id="rId39" w:history="1">
        <w:r w:rsidRPr="0038719A">
          <w:rPr>
            <w:rStyle w:val="Hyperlink"/>
            <w:rFonts w:ascii="Arial" w:hAnsi="Arial" w:cs="Arial"/>
          </w:rPr>
          <w:t>www.ndis.gov.au/providers</w:t>
        </w:r>
      </w:hyperlink>
      <w:r w:rsidRPr="0038719A">
        <w:rPr>
          <w:rFonts w:ascii="Arial" w:hAnsi="Arial" w:cs="Arial"/>
        </w:rPr>
        <w:t>.</w:t>
      </w:r>
    </w:p>
    <w:p w:rsidR="00FF0980" w:rsidRPr="0060080A" w:rsidRDefault="00FF0980" w:rsidP="00FF0980">
      <w:pPr>
        <w:pStyle w:val="Heading3"/>
        <w:rPr>
          <w:sz w:val="20"/>
          <w:szCs w:val="20"/>
        </w:rPr>
      </w:pPr>
      <w:bookmarkStart w:id="246" w:name="_Toc479766986"/>
      <w:bookmarkStart w:id="247" w:name="_Toc506974736"/>
      <w:r w:rsidRPr="0060080A">
        <w:rPr>
          <w:sz w:val="20"/>
          <w:szCs w:val="20"/>
        </w:rPr>
        <w:t>Resources</w:t>
      </w:r>
      <w:bookmarkEnd w:id="246"/>
      <w:bookmarkEnd w:id="247"/>
    </w:p>
    <w:p w:rsidR="00E4182D" w:rsidRPr="0038719A" w:rsidRDefault="00E4182D" w:rsidP="00E4182D">
      <w:pPr>
        <w:rPr>
          <w:rFonts w:ascii="Arial" w:hAnsi="Arial" w:cs="Arial"/>
        </w:rPr>
      </w:pPr>
      <w:r w:rsidRPr="0038719A">
        <w:rPr>
          <w:rFonts w:ascii="Arial" w:hAnsi="Arial" w:cs="Arial"/>
        </w:rPr>
        <w:t xml:space="preserve">Victorian NDIS Site </w:t>
      </w:r>
    </w:p>
    <w:p w:rsidR="00E4182D" w:rsidRPr="0038719A" w:rsidRDefault="00E4182D" w:rsidP="00E4182D">
      <w:pPr>
        <w:rPr>
          <w:rFonts w:ascii="Arial" w:hAnsi="Arial" w:cs="Arial"/>
        </w:rPr>
      </w:pPr>
      <w:r w:rsidRPr="0038719A">
        <w:rPr>
          <w:rFonts w:ascii="Arial" w:hAnsi="Arial" w:cs="Arial"/>
        </w:rPr>
        <w:t>(</w:t>
      </w:r>
      <w:hyperlink r:id="rId40" w:history="1">
        <w:r w:rsidRPr="0038719A">
          <w:rPr>
            <w:rStyle w:val="Hyperlink"/>
            <w:rFonts w:ascii="Arial" w:hAnsi="Arial" w:cs="Arial"/>
          </w:rPr>
          <w:t>http://www.vic.gov.au/ndis.html</w:t>
        </w:r>
      </w:hyperlink>
      <w:r w:rsidRPr="0038719A">
        <w:rPr>
          <w:rFonts w:ascii="Arial" w:hAnsi="Arial" w:cs="Arial"/>
        </w:rPr>
        <w:t xml:space="preserve">) </w:t>
      </w:r>
    </w:p>
    <w:p w:rsidR="00E4182D" w:rsidRPr="0038719A" w:rsidRDefault="00E4182D" w:rsidP="00E4182D">
      <w:pPr>
        <w:rPr>
          <w:rFonts w:ascii="Arial" w:hAnsi="Arial" w:cs="Arial"/>
        </w:rPr>
      </w:pPr>
    </w:p>
    <w:p w:rsidR="00E4182D" w:rsidRPr="0038719A" w:rsidRDefault="00E4182D" w:rsidP="00E4182D">
      <w:pPr>
        <w:rPr>
          <w:rFonts w:ascii="Arial" w:hAnsi="Arial" w:cs="Arial"/>
        </w:rPr>
      </w:pPr>
      <w:r w:rsidRPr="0038719A">
        <w:rPr>
          <w:rFonts w:ascii="Arial" w:hAnsi="Arial" w:cs="Arial"/>
        </w:rPr>
        <w:t>Victorian NDIS Site: Phasing Fact Sheets (for N</w:t>
      </w:r>
      <w:r>
        <w:rPr>
          <w:rFonts w:ascii="Arial" w:hAnsi="Arial" w:cs="Arial"/>
        </w:rPr>
        <w:t>orth East Melbourne,</w:t>
      </w:r>
      <w:r w:rsidRPr="0038719A">
        <w:rPr>
          <w:rFonts w:ascii="Arial" w:hAnsi="Arial" w:cs="Arial"/>
        </w:rPr>
        <w:t xml:space="preserve"> Central Highlands</w:t>
      </w:r>
      <w:r>
        <w:rPr>
          <w:rFonts w:ascii="Arial" w:hAnsi="Arial" w:cs="Arial"/>
        </w:rPr>
        <w:t>, Loddon</w:t>
      </w:r>
      <w:r w:rsidRPr="0038719A">
        <w:rPr>
          <w:rFonts w:ascii="Arial" w:hAnsi="Arial" w:cs="Arial"/>
        </w:rPr>
        <w:t>,</w:t>
      </w:r>
      <w:r>
        <w:rPr>
          <w:rFonts w:ascii="Arial" w:hAnsi="Arial" w:cs="Arial"/>
        </w:rPr>
        <w:t xml:space="preserve"> Inner Gippsland, Ovens Murray, Wimmera South West, Outer Eastern Melbourne, Inner Eastern Melbourne, Hume Moreland and Bayside Peninsula</w:t>
      </w:r>
      <w:r w:rsidRPr="0038719A">
        <w:rPr>
          <w:rFonts w:ascii="Arial" w:hAnsi="Arial" w:cs="Arial"/>
        </w:rPr>
        <w:t xml:space="preserve"> as at </w:t>
      </w:r>
      <w:r>
        <w:rPr>
          <w:rFonts w:ascii="Arial" w:hAnsi="Arial" w:cs="Arial"/>
        </w:rPr>
        <w:t>January 2018,</w:t>
      </w:r>
      <w:r w:rsidRPr="0038719A">
        <w:rPr>
          <w:rFonts w:ascii="Arial" w:hAnsi="Arial" w:cs="Arial"/>
        </w:rPr>
        <w:t xml:space="preserve"> with others to follow as rollout progresses)</w:t>
      </w:r>
    </w:p>
    <w:p w:rsidR="00E4182D" w:rsidRDefault="00E4182D" w:rsidP="00E4182D">
      <w:pPr>
        <w:rPr>
          <w:rFonts w:ascii="Arial" w:hAnsi="Arial" w:cs="Arial"/>
        </w:rPr>
      </w:pPr>
      <w:r w:rsidRPr="0038719A">
        <w:rPr>
          <w:rFonts w:ascii="Arial" w:hAnsi="Arial" w:cs="Arial"/>
        </w:rPr>
        <w:t>(</w:t>
      </w:r>
      <w:hyperlink r:id="rId41" w:history="1">
        <w:r w:rsidR="008D3781">
          <w:rPr>
            <w:rStyle w:val="Hyperlink"/>
            <w:rFonts w:ascii="Arial" w:hAnsi="Arial" w:cs="Arial"/>
          </w:rPr>
          <w:t>https://www.vic.gov.au/ndis/rollout-in-victoria.html</w:t>
        </w:r>
      </w:hyperlink>
      <w:r w:rsidRPr="0038719A">
        <w:rPr>
          <w:rFonts w:ascii="Arial" w:hAnsi="Arial" w:cs="Arial"/>
        </w:rPr>
        <w:t xml:space="preserve">) </w:t>
      </w:r>
    </w:p>
    <w:p w:rsidR="00E4182D" w:rsidRPr="0038719A" w:rsidRDefault="00E4182D" w:rsidP="00E4182D">
      <w:pPr>
        <w:rPr>
          <w:rFonts w:ascii="Arial" w:hAnsi="Arial" w:cs="Arial"/>
        </w:rPr>
      </w:pPr>
    </w:p>
    <w:p w:rsidR="00FF0980" w:rsidRPr="0038719A" w:rsidRDefault="00FF0980" w:rsidP="00FF0980">
      <w:pPr>
        <w:rPr>
          <w:rFonts w:ascii="Arial" w:hAnsi="Arial" w:cs="Arial"/>
        </w:rPr>
      </w:pPr>
      <w:r w:rsidRPr="0038719A">
        <w:rPr>
          <w:rFonts w:ascii="Arial" w:hAnsi="Arial" w:cs="Arial"/>
        </w:rPr>
        <w:t xml:space="preserve">NDIS Provider Toolkit </w:t>
      </w:r>
    </w:p>
    <w:p w:rsidR="00FF0980" w:rsidRPr="0038719A" w:rsidRDefault="00FF0980" w:rsidP="00FF0980">
      <w:pPr>
        <w:rPr>
          <w:rFonts w:ascii="Arial" w:hAnsi="Arial" w:cs="Arial"/>
        </w:rPr>
      </w:pPr>
      <w:r w:rsidRPr="0038719A">
        <w:rPr>
          <w:rFonts w:ascii="Arial" w:hAnsi="Arial" w:cs="Arial"/>
        </w:rPr>
        <w:t>(</w:t>
      </w:r>
      <w:hyperlink r:id="rId42" w:history="1">
        <w:r w:rsidR="008D3781">
          <w:rPr>
            <w:rStyle w:val="Hyperlink"/>
            <w:rFonts w:ascii="Arial" w:hAnsi="Arial" w:cs="Arial"/>
          </w:rPr>
          <w:t>https://providertoolkit.ndis.gov.au/</w:t>
        </w:r>
      </w:hyperlink>
      <w:r w:rsidRPr="0038719A">
        <w:rPr>
          <w:rFonts w:ascii="Arial" w:hAnsi="Arial" w:cs="Arial"/>
        </w:rPr>
        <w:t xml:space="preserve">) </w:t>
      </w:r>
    </w:p>
    <w:p w:rsidR="00FF0980" w:rsidRPr="0038719A" w:rsidRDefault="00FF0980" w:rsidP="00FF0980">
      <w:pPr>
        <w:rPr>
          <w:rFonts w:ascii="Arial" w:hAnsi="Arial" w:cs="Arial"/>
        </w:rPr>
      </w:pPr>
    </w:p>
    <w:p w:rsidR="00FF0980" w:rsidRPr="0038719A" w:rsidRDefault="00FF0980" w:rsidP="00FF0980">
      <w:pPr>
        <w:rPr>
          <w:rFonts w:ascii="Arial" w:hAnsi="Arial" w:cs="Arial"/>
        </w:rPr>
      </w:pPr>
      <w:r w:rsidRPr="0038719A">
        <w:rPr>
          <w:rFonts w:ascii="Arial" w:hAnsi="Arial" w:cs="Arial"/>
        </w:rPr>
        <w:t>NDIS Victoria Information and Operational Plan</w:t>
      </w:r>
    </w:p>
    <w:p w:rsidR="00FF0980" w:rsidRPr="0038719A" w:rsidRDefault="00FF0980" w:rsidP="00FF0980">
      <w:pPr>
        <w:rPr>
          <w:rFonts w:ascii="Arial" w:hAnsi="Arial" w:cs="Arial"/>
        </w:rPr>
      </w:pPr>
      <w:r w:rsidRPr="0038719A">
        <w:rPr>
          <w:rFonts w:ascii="Arial" w:hAnsi="Arial" w:cs="Arial"/>
        </w:rPr>
        <w:t>(</w:t>
      </w:r>
      <w:hyperlink r:id="rId43" w:history="1">
        <w:r w:rsidR="008D3781">
          <w:rPr>
            <w:rStyle w:val="Hyperlink"/>
            <w:rFonts w:ascii="Arial" w:hAnsi="Arial" w:cs="Arial"/>
          </w:rPr>
          <w:t>https://www.ndis.gov.au/about-us/our-sites/VIC.html</w:t>
        </w:r>
      </w:hyperlink>
      <w:r w:rsidRPr="0038719A">
        <w:rPr>
          <w:rFonts w:ascii="Arial" w:hAnsi="Arial" w:cs="Arial"/>
        </w:rPr>
        <w:t>)</w:t>
      </w:r>
    </w:p>
    <w:p w:rsidR="00FF0980" w:rsidRPr="0038719A" w:rsidRDefault="00FF0980" w:rsidP="00FF0980">
      <w:pPr>
        <w:rPr>
          <w:rFonts w:ascii="Arial" w:hAnsi="Arial" w:cs="Arial"/>
        </w:rPr>
      </w:pPr>
    </w:p>
    <w:p w:rsidR="00646ACA" w:rsidRDefault="00646ACA" w:rsidP="00FF0980">
      <w:pPr>
        <w:rPr>
          <w:rFonts w:ascii="Arial" w:hAnsi="Arial" w:cs="Arial"/>
        </w:rPr>
      </w:pPr>
    </w:p>
    <w:tbl>
      <w:tblPr>
        <w:tblpPr w:leftFromText="180" w:rightFromText="180" w:vertAnchor="text" w:horzAnchor="margin" w:tblpY="60"/>
        <w:tblW w:w="4800" w:type="pct"/>
        <w:tblCellMar>
          <w:top w:w="113" w:type="dxa"/>
          <w:bottom w:w="57" w:type="dxa"/>
        </w:tblCellMar>
        <w:tblLook w:val="00A0" w:firstRow="1" w:lastRow="0" w:firstColumn="1" w:lastColumn="0" w:noHBand="0" w:noVBand="0"/>
      </w:tblPr>
      <w:tblGrid>
        <w:gridCol w:w="10003"/>
      </w:tblGrid>
      <w:tr w:rsidR="00646ACA" w:rsidTr="00646ACA">
        <w:trPr>
          <w:cantSplit/>
        </w:trPr>
        <w:tc>
          <w:tcPr>
            <w:tcW w:w="5000" w:type="pct"/>
            <w:tcBorders>
              <w:top w:val="single" w:sz="4" w:space="0" w:color="auto"/>
              <w:left w:val="single" w:sz="4" w:space="0" w:color="auto"/>
              <w:bottom w:val="single" w:sz="4" w:space="0" w:color="auto"/>
              <w:right w:val="single" w:sz="4" w:space="0" w:color="auto"/>
            </w:tcBorders>
            <w:vAlign w:val="bottom"/>
            <w:hideMark/>
          </w:tcPr>
          <w:p w:rsidR="00646ACA" w:rsidRDefault="00646ACA">
            <w:pPr>
              <w:pStyle w:val="DHHSaccessibilitypara"/>
            </w:pPr>
            <w:r>
              <w:rPr>
                <w:lang w:val="en-US"/>
              </w:rPr>
              <w:t xml:space="preserve">To receive this publication in an accessible format, please email </w:t>
            </w:r>
            <w:hyperlink r:id="rId44" w:history="1">
              <w:r>
                <w:rPr>
                  <w:rStyle w:val="Hyperlink"/>
                  <w:lang w:val="en-US"/>
                </w:rPr>
                <w:t>publishing.services@dhhs.vic.gov.au</w:t>
              </w:r>
            </w:hyperlink>
            <w:r>
              <w:rPr>
                <w:rStyle w:val="Hyperlink"/>
                <w:lang w:val="en-US"/>
              </w:rPr>
              <w:t>,</w:t>
            </w:r>
            <w:r>
              <w:t>, using the National Relay Service 13 36 77 if required.</w:t>
            </w:r>
          </w:p>
          <w:p w:rsidR="00646ACA" w:rsidRDefault="00646ACA">
            <w:pPr>
              <w:pStyle w:val="DHHSbody"/>
            </w:pPr>
            <w:r>
              <w:t>Authorised and published by the Victorian Government, 1 Treasury Place, Melbourne.</w:t>
            </w:r>
          </w:p>
          <w:p w:rsidR="00646ACA" w:rsidRDefault="00646ACA">
            <w:pPr>
              <w:pStyle w:val="DHHSbody"/>
            </w:pPr>
            <w:r>
              <w:t>© State of Victoria, Department of Health and Human Services</w:t>
            </w:r>
            <w:r>
              <w:rPr>
                <w:color w:val="008950"/>
              </w:rPr>
              <w:t xml:space="preserve"> </w:t>
            </w:r>
            <w:r w:rsidR="008E288A">
              <w:t>August</w:t>
            </w:r>
            <w:r>
              <w:t>, 201</w:t>
            </w:r>
            <w:r w:rsidR="00F650CA">
              <w:t>8</w:t>
            </w:r>
            <w:r>
              <w:t>.</w:t>
            </w:r>
          </w:p>
          <w:p w:rsidR="00646ACA" w:rsidRDefault="00646ACA" w:rsidP="008D3781">
            <w:pPr>
              <w:pStyle w:val="DHHSbody"/>
            </w:pPr>
            <w:r>
              <w:t xml:space="preserve">Available at </w:t>
            </w:r>
            <w:hyperlink r:id="rId45" w:history="1">
              <w:r w:rsidR="008D3781" w:rsidRPr="007A7D90">
                <w:rPr>
                  <w:rStyle w:val="Hyperlink"/>
                  <w:rFonts w:cs="Arial"/>
                </w:rPr>
                <w:t>https://www.vic.gov.au/ndis/service-providers.html</w:t>
              </w:r>
            </w:hyperlink>
          </w:p>
        </w:tc>
      </w:tr>
    </w:tbl>
    <w:p w:rsidR="00B2752E" w:rsidRPr="00906490" w:rsidRDefault="00B2752E" w:rsidP="00FF6D9D">
      <w:pPr>
        <w:pStyle w:val="DHHSbody"/>
      </w:pPr>
    </w:p>
    <w:sectPr w:rsidR="00B2752E" w:rsidRPr="00906490" w:rsidSect="00760AB9">
      <w:pgSz w:w="11906" w:h="16838" w:code="9"/>
      <w:pgMar w:top="1985" w:right="851" w:bottom="1701" w:left="851" w:header="567"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7D5" w:rsidRDefault="008177D5">
      <w:r>
        <w:separator/>
      </w:r>
    </w:p>
  </w:endnote>
  <w:endnote w:type="continuationSeparator" w:id="0">
    <w:p w:rsidR="008177D5" w:rsidRDefault="0081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3A3" w:rsidRPr="00F65AA9" w:rsidRDefault="008A73A3" w:rsidP="00E055A0">
    <w:pPr>
      <w:pStyle w:val="DHHSfooter"/>
    </w:pPr>
    <w:r>
      <w:rPr>
        <w:noProof/>
        <w:lang w:eastAsia="en-AU"/>
      </w:rPr>
      <w:drawing>
        <wp:anchor distT="0" distB="0" distL="114300" distR="114300" simplePos="0" relativeHeight="251657728" behindDoc="0" locked="1" layoutInCell="0" allowOverlap="1" wp14:anchorId="6DCF3401" wp14:editId="410B0B9D">
          <wp:simplePos x="0" y="0"/>
          <wp:positionH relativeFrom="page">
            <wp:posOffset>0</wp:posOffset>
          </wp:positionH>
          <wp:positionV relativeFrom="page">
            <wp:posOffset>6840855</wp:posOffset>
          </wp:positionV>
          <wp:extent cx="7561580" cy="3856355"/>
          <wp:effectExtent l="0" t="0" r="1270" b="0"/>
          <wp:wrapNone/>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3856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3A3" w:rsidRPr="00A11421" w:rsidRDefault="008A73A3" w:rsidP="0051568D">
    <w:pPr>
      <w:pStyle w:val="DHHSfooter"/>
    </w:pPr>
    <w:r>
      <w:t>Service Agreement Variation Process – NDIS August 2018</w:t>
    </w:r>
    <w:r w:rsidRPr="00A11421">
      <w:tab/>
    </w:r>
    <w:r w:rsidRPr="00A11421">
      <w:fldChar w:fldCharType="begin"/>
    </w:r>
    <w:r w:rsidRPr="00A11421">
      <w:instrText xml:space="preserve"> PAGE </w:instrText>
    </w:r>
    <w:r w:rsidRPr="00A11421">
      <w:fldChar w:fldCharType="separate"/>
    </w:r>
    <w:r w:rsidR="008E288A">
      <w:rPr>
        <w:noProof/>
      </w:rPr>
      <w:t>22</w:t>
    </w:r>
    <w:r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7D5" w:rsidRDefault="008177D5" w:rsidP="002862F1">
      <w:pPr>
        <w:spacing w:before="120"/>
      </w:pPr>
      <w:r>
        <w:separator/>
      </w:r>
    </w:p>
  </w:footnote>
  <w:footnote w:type="continuationSeparator" w:id="0">
    <w:p w:rsidR="008177D5" w:rsidRDefault="00817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3A3" w:rsidRPr="0051568D" w:rsidRDefault="008A73A3"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2452D13"/>
    <w:multiLevelType w:val="hybridMultilevel"/>
    <w:tmpl w:val="C9DA6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50056"/>
    <w:multiLevelType w:val="multilevel"/>
    <w:tmpl w:val="C270C05C"/>
    <w:numStyleLink w:val="ZZNumbersLowerAlpha"/>
  </w:abstractNum>
  <w:abstractNum w:abstractNumId="3" w15:restartNumberingAfterBreak="0">
    <w:nsid w:val="086962BF"/>
    <w:multiLevelType w:val="hybridMultilevel"/>
    <w:tmpl w:val="E8083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8BB8ADBA"/>
    <w:numStyleLink w:val="ZZNumbersDigit"/>
  </w:abstractNum>
  <w:abstractNum w:abstractNumId="5" w15:restartNumberingAfterBreak="0">
    <w:nsid w:val="0BAD2E30"/>
    <w:multiLevelType w:val="multilevel"/>
    <w:tmpl w:val="C270C05C"/>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6" w15:restartNumberingAfterBreak="0">
    <w:nsid w:val="0C635E42"/>
    <w:multiLevelType w:val="hybridMultilevel"/>
    <w:tmpl w:val="B59CA66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02AA5"/>
    <w:multiLevelType w:val="multilevel"/>
    <w:tmpl w:val="391E8732"/>
    <w:styleLink w:val="ZZKeyMessagesBullets"/>
    <w:lvl w:ilvl="0">
      <w:start w:val="1"/>
      <w:numFmt w:val="bullet"/>
      <w:pStyle w:val="DHHSkeymessagesbullet"/>
      <w:lvlText w:val="•"/>
      <w:lvlJc w:val="left"/>
      <w:pPr>
        <w:ind w:left="284" w:hanging="284"/>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8F23434"/>
    <w:multiLevelType w:val="hybridMultilevel"/>
    <w:tmpl w:val="B6EE5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E5532"/>
    <w:multiLevelType w:val="hybridMultilevel"/>
    <w:tmpl w:val="677A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0000FE"/>
    <w:multiLevelType w:val="hybridMultilevel"/>
    <w:tmpl w:val="8B6C2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612D4"/>
    <w:multiLevelType w:val="hybridMultilevel"/>
    <w:tmpl w:val="B358E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B9138A"/>
    <w:multiLevelType w:val="hybridMultilevel"/>
    <w:tmpl w:val="6C324790"/>
    <w:lvl w:ilvl="0" w:tplc="A40ABA7E">
      <w:start w:val="1"/>
      <w:numFmt w:val="decimal"/>
      <w:lvlText w:val="%1."/>
      <w:lvlJc w:val="left"/>
      <w:pPr>
        <w:ind w:left="36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C8334B"/>
    <w:multiLevelType w:val="hybridMultilevel"/>
    <w:tmpl w:val="20909668"/>
    <w:lvl w:ilvl="0" w:tplc="A40ABA7E">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4D5F2F"/>
    <w:multiLevelType w:val="hybridMultilevel"/>
    <w:tmpl w:val="AFD89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42213D"/>
    <w:multiLevelType w:val="hybridMultilevel"/>
    <w:tmpl w:val="40C89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4F71C2"/>
    <w:multiLevelType w:val="hybridMultilevel"/>
    <w:tmpl w:val="FDD6A312"/>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33D10DC7"/>
    <w:multiLevelType w:val="hybridMultilevel"/>
    <w:tmpl w:val="6F628FA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37B96CDA"/>
    <w:multiLevelType w:val="multilevel"/>
    <w:tmpl w:val="115427AC"/>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tabs>
          <w:tab w:val="num" w:pos="794"/>
        </w:tabs>
        <w:ind w:left="794" w:hanging="397"/>
      </w:pPr>
      <w:rPr>
        <w:rFonts w:ascii="Calibri" w:hAnsi="Calibri" w:hint="default"/>
      </w:rPr>
    </w:lvl>
    <w:lvl w:ilvl="3">
      <w:start w:val="1"/>
      <w:numFmt w:val="bullet"/>
      <w:lvlRestart w:val="0"/>
      <w:pStyle w:val="DHHSbulletafternumbers2"/>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D11631A"/>
    <w:multiLevelType w:val="hybridMultilevel"/>
    <w:tmpl w:val="6A3A9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6C68D4"/>
    <w:multiLevelType w:val="multilevel"/>
    <w:tmpl w:val="8BB8ADBA"/>
    <w:styleLink w:val="ZZNumbersDigit"/>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FBAC941E"/>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3091"/>
        </w:tabs>
        <w:ind w:left="3091"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3F83E8E"/>
    <w:multiLevelType w:val="hybridMultilevel"/>
    <w:tmpl w:val="A0CAE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166274"/>
    <w:multiLevelType w:val="hybridMultilevel"/>
    <w:tmpl w:val="FD2ABA8E"/>
    <w:lvl w:ilvl="0" w:tplc="A40ABA7E">
      <w:start w:val="1"/>
      <w:numFmt w:val="decimal"/>
      <w:lvlText w:val="%1."/>
      <w:lvlJc w:val="left"/>
      <w:pPr>
        <w:ind w:left="36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050D93"/>
    <w:multiLevelType w:val="hybridMultilevel"/>
    <w:tmpl w:val="C372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A15E1390"/>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BC626AC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AB21CF3"/>
    <w:multiLevelType w:val="hybridMultilevel"/>
    <w:tmpl w:val="9DFE9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056F27"/>
    <w:multiLevelType w:val="hybridMultilevel"/>
    <w:tmpl w:val="F692D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09259F"/>
    <w:multiLevelType w:val="multilevel"/>
    <w:tmpl w:val="3354876C"/>
    <w:styleLink w:val="ZZQuoteBullets"/>
    <w:lvl w:ilvl="0">
      <w:start w:val="1"/>
      <w:numFmt w:val="bullet"/>
      <w:pStyle w:val="DHHSquotebullet1"/>
      <w:lvlText w:val="•"/>
      <w:lvlJc w:val="left"/>
      <w:pPr>
        <w:ind w:left="794" w:hanging="397"/>
      </w:pPr>
      <w:rPr>
        <w:rFonts w:ascii="Calibri" w:hAnsi="Calibri" w:hint="default"/>
        <w:color w:val="auto"/>
      </w:rPr>
    </w:lvl>
    <w:lvl w:ilvl="1">
      <w:start w:val="1"/>
      <w:numFmt w:val="bullet"/>
      <w:lvlRestart w:val="0"/>
      <w:pStyle w:val="DHHS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48B7C29"/>
    <w:multiLevelType w:val="hybridMultilevel"/>
    <w:tmpl w:val="4FB8A8E6"/>
    <w:lvl w:ilvl="0" w:tplc="A40ABA7E">
      <w:start w:val="1"/>
      <w:numFmt w:val="decimal"/>
      <w:lvlText w:val="%1."/>
      <w:lvlJc w:val="left"/>
      <w:pPr>
        <w:ind w:left="36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1E79D3"/>
    <w:multiLevelType w:val="multilevel"/>
    <w:tmpl w:val="6D5A78E8"/>
    <w:styleLink w:val="Style1"/>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2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8"/>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6"/>
  </w:num>
  <w:num w:numId="25">
    <w:abstractNumId w:val="19"/>
  </w:num>
  <w:num w:numId="26">
    <w:abstractNumId w:val="14"/>
  </w:num>
  <w:num w:numId="27">
    <w:abstractNumId w:val="10"/>
  </w:num>
  <w:num w:numId="28">
    <w:abstractNumId w:val="27"/>
  </w:num>
  <w:num w:numId="29">
    <w:abstractNumId w:val="11"/>
  </w:num>
  <w:num w:numId="30">
    <w:abstractNumId w:val="9"/>
  </w:num>
  <w:num w:numId="31">
    <w:abstractNumId w:val="3"/>
  </w:num>
  <w:num w:numId="32">
    <w:abstractNumId w:val="15"/>
  </w:num>
  <w:num w:numId="33">
    <w:abstractNumId w:val="22"/>
  </w:num>
  <w:num w:numId="34">
    <w:abstractNumId w:val="23"/>
  </w:num>
  <w:num w:numId="35">
    <w:abstractNumId w:val="17"/>
  </w:num>
  <w:num w:numId="36">
    <w:abstractNumId w:val="16"/>
  </w:num>
  <w:num w:numId="37">
    <w:abstractNumId w:val="28"/>
  </w:num>
  <w:num w:numId="38">
    <w:abstractNumId w:val="8"/>
  </w:num>
  <w:num w:numId="39">
    <w:abstractNumId w:val="24"/>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6"/>
  </w:num>
  <w:num w:numId="47">
    <w:abstractNumId w:val="13"/>
  </w:num>
  <w:num w:numId="48">
    <w:abstractNumId w:val="30"/>
  </w:num>
  <w:num w:numId="49">
    <w:abstractNumId w:val="1"/>
  </w:num>
  <w:num w:numId="5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5C"/>
    <w:rsid w:val="0000156A"/>
    <w:rsid w:val="000072B6"/>
    <w:rsid w:val="0001021B"/>
    <w:rsid w:val="00011D89"/>
    <w:rsid w:val="0001386C"/>
    <w:rsid w:val="00022872"/>
    <w:rsid w:val="00024D89"/>
    <w:rsid w:val="000250B6"/>
    <w:rsid w:val="00026E07"/>
    <w:rsid w:val="000323C2"/>
    <w:rsid w:val="000326CF"/>
    <w:rsid w:val="00033D81"/>
    <w:rsid w:val="0003470A"/>
    <w:rsid w:val="00041BF0"/>
    <w:rsid w:val="0004536B"/>
    <w:rsid w:val="0004556D"/>
    <w:rsid w:val="00046B68"/>
    <w:rsid w:val="000510B9"/>
    <w:rsid w:val="0005249D"/>
    <w:rsid w:val="000527DD"/>
    <w:rsid w:val="00055904"/>
    <w:rsid w:val="000578B2"/>
    <w:rsid w:val="00060959"/>
    <w:rsid w:val="000663CD"/>
    <w:rsid w:val="00071FE2"/>
    <w:rsid w:val="000733FE"/>
    <w:rsid w:val="00074219"/>
    <w:rsid w:val="00074ED5"/>
    <w:rsid w:val="0008508E"/>
    <w:rsid w:val="00087F50"/>
    <w:rsid w:val="000906E3"/>
    <w:rsid w:val="00091058"/>
    <w:rsid w:val="0009113B"/>
    <w:rsid w:val="00094DA3"/>
    <w:rsid w:val="00095837"/>
    <w:rsid w:val="00096CD1"/>
    <w:rsid w:val="000A012C"/>
    <w:rsid w:val="000A0EB9"/>
    <w:rsid w:val="000A186C"/>
    <w:rsid w:val="000A1AC6"/>
    <w:rsid w:val="000A1EA4"/>
    <w:rsid w:val="000B3921"/>
    <w:rsid w:val="000B3C2D"/>
    <w:rsid w:val="000B3EDB"/>
    <w:rsid w:val="000B543D"/>
    <w:rsid w:val="000B5BF7"/>
    <w:rsid w:val="000B6BC8"/>
    <w:rsid w:val="000B75C4"/>
    <w:rsid w:val="000B7AD4"/>
    <w:rsid w:val="000C0303"/>
    <w:rsid w:val="000C42EA"/>
    <w:rsid w:val="000C4546"/>
    <w:rsid w:val="000C5E5F"/>
    <w:rsid w:val="000D1242"/>
    <w:rsid w:val="000E2665"/>
    <w:rsid w:val="000E2F61"/>
    <w:rsid w:val="000E3CC7"/>
    <w:rsid w:val="000E6BD4"/>
    <w:rsid w:val="000F1F1E"/>
    <w:rsid w:val="000F2259"/>
    <w:rsid w:val="00100B5F"/>
    <w:rsid w:val="0010392D"/>
    <w:rsid w:val="00103F7B"/>
    <w:rsid w:val="0010447F"/>
    <w:rsid w:val="00104FE3"/>
    <w:rsid w:val="00105F2F"/>
    <w:rsid w:val="001069F5"/>
    <w:rsid w:val="00113183"/>
    <w:rsid w:val="00114B42"/>
    <w:rsid w:val="00120BD3"/>
    <w:rsid w:val="00122255"/>
    <w:rsid w:val="00122FEA"/>
    <w:rsid w:val="001232BD"/>
    <w:rsid w:val="00124ED5"/>
    <w:rsid w:val="001250AB"/>
    <w:rsid w:val="00126B9C"/>
    <w:rsid w:val="001270D7"/>
    <w:rsid w:val="00131284"/>
    <w:rsid w:val="00141398"/>
    <w:rsid w:val="001447B3"/>
    <w:rsid w:val="0015051D"/>
    <w:rsid w:val="00152073"/>
    <w:rsid w:val="00161939"/>
    <w:rsid w:val="00161AA0"/>
    <w:rsid w:val="00162093"/>
    <w:rsid w:val="0016364F"/>
    <w:rsid w:val="00171594"/>
    <w:rsid w:val="00172BAF"/>
    <w:rsid w:val="001762F2"/>
    <w:rsid w:val="001771DD"/>
    <w:rsid w:val="00177995"/>
    <w:rsid w:val="00177A8C"/>
    <w:rsid w:val="0018290A"/>
    <w:rsid w:val="00182C3C"/>
    <w:rsid w:val="001869A2"/>
    <w:rsid w:val="00186B33"/>
    <w:rsid w:val="00187C63"/>
    <w:rsid w:val="00190249"/>
    <w:rsid w:val="00191013"/>
    <w:rsid w:val="00192122"/>
    <w:rsid w:val="001924D0"/>
    <w:rsid w:val="00192F9D"/>
    <w:rsid w:val="00196EB8"/>
    <w:rsid w:val="00196EFB"/>
    <w:rsid w:val="001979FF"/>
    <w:rsid w:val="00197B17"/>
    <w:rsid w:val="001A3ACE"/>
    <w:rsid w:val="001B3887"/>
    <w:rsid w:val="001C277E"/>
    <w:rsid w:val="001C2A72"/>
    <w:rsid w:val="001C3FBE"/>
    <w:rsid w:val="001D0B75"/>
    <w:rsid w:val="001D3C09"/>
    <w:rsid w:val="001D44E8"/>
    <w:rsid w:val="001D60EC"/>
    <w:rsid w:val="001D76D9"/>
    <w:rsid w:val="001D793C"/>
    <w:rsid w:val="001D7D20"/>
    <w:rsid w:val="001E44DF"/>
    <w:rsid w:val="001E68A5"/>
    <w:rsid w:val="001E6BB0"/>
    <w:rsid w:val="001E70DA"/>
    <w:rsid w:val="001F3826"/>
    <w:rsid w:val="001F42CB"/>
    <w:rsid w:val="001F5A94"/>
    <w:rsid w:val="001F6E46"/>
    <w:rsid w:val="001F7C91"/>
    <w:rsid w:val="00201AD3"/>
    <w:rsid w:val="00206463"/>
    <w:rsid w:val="00206F2F"/>
    <w:rsid w:val="0021053D"/>
    <w:rsid w:val="00210A92"/>
    <w:rsid w:val="00211856"/>
    <w:rsid w:val="00216C03"/>
    <w:rsid w:val="00220C04"/>
    <w:rsid w:val="0022278D"/>
    <w:rsid w:val="00225E77"/>
    <w:rsid w:val="0022701F"/>
    <w:rsid w:val="002314A2"/>
    <w:rsid w:val="002333F5"/>
    <w:rsid w:val="00233724"/>
    <w:rsid w:val="00240644"/>
    <w:rsid w:val="00240D47"/>
    <w:rsid w:val="002432E1"/>
    <w:rsid w:val="00246207"/>
    <w:rsid w:val="00246C5E"/>
    <w:rsid w:val="00247BF0"/>
    <w:rsid w:val="00251343"/>
    <w:rsid w:val="002536A4"/>
    <w:rsid w:val="00254F58"/>
    <w:rsid w:val="0025552F"/>
    <w:rsid w:val="002620BC"/>
    <w:rsid w:val="00262802"/>
    <w:rsid w:val="00263A90"/>
    <w:rsid w:val="00263F50"/>
    <w:rsid w:val="0026408B"/>
    <w:rsid w:val="0026722B"/>
    <w:rsid w:val="00267C3E"/>
    <w:rsid w:val="002709BB"/>
    <w:rsid w:val="0027199E"/>
    <w:rsid w:val="002763B3"/>
    <w:rsid w:val="0027650C"/>
    <w:rsid w:val="002802E3"/>
    <w:rsid w:val="00281EC4"/>
    <w:rsid w:val="0028213D"/>
    <w:rsid w:val="00285352"/>
    <w:rsid w:val="0028608A"/>
    <w:rsid w:val="002862F1"/>
    <w:rsid w:val="00291373"/>
    <w:rsid w:val="00293D6A"/>
    <w:rsid w:val="0029597D"/>
    <w:rsid w:val="002962C3"/>
    <w:rsid w:val="00296447"/>
    <w:rsid w:val="0029752B"/>
    <w:rsid w:val="002A483C"/>
    <w:rsid w:val="002A6E53"/>
    <w:rsid w:val="002B0C7C"/>
    <w:rsid w:val="002B1729"/>
    <w:rsid w:val="002B22FE"/>
    <w:rsid w:val="002B36C7"/>
    <w:rsid w:val="002B4DD4"/>
    <w:rsid w:val="002B5277"/>
    <w:rsid w:val="002B5375"/>
    <w:rsid w:val="002B62D0"/>
    <w:rsid w:val="002B754A"/>
    <w:rsid w:val="002B77C1"/>
    <w:rsid w:val="002C1F02"/>
    <w:rsid w:val="002C2728"/>
    <w:rsid w:val="002C4109"/>
    <w:rsid w:val="002C56C3"/>
    <w:rsid w:val="002D4B9F"/>
    <w:rsid w:val="002D5006"/>
    <w:rsid w:val="002E01D0"/>
    <w:rsid w:val="002E161D"/>
    <w:rsid w:val="002E1AF4"/>
    <w:rsid w:val="002E3100"/>
    <w:rsid w:val="002E6AFC"/>
    <w:rsid w:val="002E6C95"/>
    <w:rsid w:val="002E77C2"/>
    <w:rsid w:val="002E7C36"/>
    <w:rsid w:val="002F5F31"/>
    <w:rsid w:val="002F5F46"/>
    <w:rsid w:val="002F603D"/>
    <w:rsid w:val="002F6496"/>
    <w:rsid w:val="00301695"/>
    <w:rsid w:val="00302216"/>
    <w:rsid w:val="00303E53"/>
    <w:rsid w:val="0030513B"/>
    <w:rsid w:val="00306ACF"/>
    <w:rsid w:val="00306E5F"/>
    <w:rsid w:val="00307E14"/>
    <w:rsid w:val="00313AA6"/>
    <w:rsid w:val="00314054"/>
    <w:rsid w:val="00314DA6"/>
    <w:rsid w:val="00316F27"/>
    <w:rsid w:val="00322E4B"/>
    <w:rsid w:val="00324C55"/>
    <w:rsid w:val="00327870"/>
    <w:rsid w:val="0033259D"/>
    <w:rsid w:val="00333317"/>
    <w:rsid w:val="003333D2"/>
    <w:rsid w:val="003406C6"/>
    <w:rsid w:val="003418CC"/>
    <w:rsid w:val="003459BD"/>
    <w:rsid w:val="00350C51"/>
    <w:rsid w:val="00350D38"/>
    <w:rsid w:val="00351B36"/>
    <w:rsid w:val="00357B4E"/>
    <w:rsid w:val="00362B0C"/>
    <w:rsid w:val="00365D5E"/>
    <w:rsid w:val="00366DAA"/>
    <w:rsid w:val="003744CF"/>
    <w:rsid w:val="00374717"/>
    <w:rsid w:val="0037676C"/>
    <w:rsid w:val="00377249"/>
    <w:rsid w:val="00381043"/>
    <w:rsid w:val="003829E5"/>
    <w:rsid w:val="0038515F"/>
    <w:rsid w:val="00386AD8"/>
    <w:rsid w:val="003914A4"/>
    <w:rsid w:val="003956CC"/>
    <w:rsid w:val="00395C9A"/>
    <w:rsid w:val="003A4881"/>
    <w:rsid w:val="003A6B67"/>
    <w:rsid w:val="003B15E6"/>
    <w:rsid w:val="003B3FF7"/>
    <w:rsid w:val="003C08A2"/>
    <w:rsid w:val="003C1F54"/>
    <w:rsid w:val="003C2045"/>
    <w:rsid w:val="003C236E"/>
    <w:rsid w:val="003C43A1"/>
    <w:rsid w:val="003C4FC0"/>
    <w:rsid w:val="003C55F4"/>
    <w:rsid w:val="003C7897"/>
    <w:rsid w:val="003C7A3F"/>
    <w:rsid w:val="003D2766"/>
    <w:rsid w:val="003D3E8F"/>
    <w:rsid w:val="003D6475"/>
    <w:rsid w:val="003D6484"/>
    <w:rsid w:val="003E375C"/>
    <w:rsid w:val="003E4086"/>
    <w:rsid w:val="003E7C7F"/>
    <w:rsid w:val="003F0445"/>
    <w:rsid w:val="003F0CF0"/>
    <w:rsid w:val="003F14B1"/>
    <w:rsid w:val="003F2EAE"/>
    <w:rsid w:val="003F3289"/>
    <w:rsid w:val="003F553E"/>
    <w:rsid w:val="00401FCF"/>
    <w:rsid w:val="00403477"/>
    <w:rsid w:val="004038D8"/>
    <w:rsid w:val="00406285"/>
    <w:rsid w:val="004148F9"/>
    <w:rsid w:val="00415623"/>
    <w:rsid w:val="004171BA"/>
    <w:rsid w:val="0042084E"/>
    <w:rsid w:val="0042164B"/>
    <w:rsid w:val="00421EEF"/>
    <w:rsid w:val="00424D65"/>
    <w:rsid w:val="00425BE5"/>
    <w:rsid w:val="00426268"/>
    <w:rsid w:val="004303DD"/>
    <w:rsid w:val="0043662A"/>
    <w:rsid w:val="00437F91"/>
    <w:rsid w:val="004404A5"/>
    <w:rsid w:val="0044252B"/>
    <w:rsid w:val="00442C6C"/>
    <w:rsid w:val="00443CBE"/>
    <w:rsid w:val="00443E8A"/>
    <w:rsid w:val="004441BC"/>
    <w:rsid w:val="00445978"/>
    <w:rsid w:val="004462BA"/>
    <w:rsid w:val="004468B4"/>
    <w:rsid w:val="0045230A"/>
    <w:rsid w:val="00457337"/>
    <w:rsid w:val="00462E3C"/>
    <w:rsid w:val="00470AEB"/>
    <w:rsid w:val="0047372D"/>
    <w:rsid w:val="004743DD"/>
    <w:rsid w:val="00474CEA"/>
    <w:rsid w:val="00481330"/>
    <w:rsid w:val="004832B4"/>
    <w:rsid w:val="00483968"/>
    <w:rsid w:val="00484715"/>
    <w:rsid w:val="00484F86"/>
    <w:rsid w:val="0048542D"/>
    <w:rsid w:val="00486FB6"/>
    <w:rsid w:val="00490077"/>
    <w:rsid w:val="00490746"/>
    <w:rsid w:val="00490852"/>
    <w:rsid w:val="00490C12"/>
    <w:rsid w:val="00492F30"/>
    <w:rsid w:val="004946F4"/>
    <w:rsid w:val="0049487E"/>
    <w:rsid w:val="00495593"/>
    <w:rsid w:val="004A10C6"/>
    <w:rsid w:val="004A160D"/>
    <w:rsid w:val="004A3E81"/>
    <w:rsid w:val="004A5C62"/>
    <w:rsid w:val="004A707D"/>
    <w:rsid w:val="004B7359"/>
    <w:rsid w:val="004C034B"/>
    <w:rsid w:val="004C0E2F"/>
    <w:rsid w:val="004C61D0"/>
    <w:rsid w:val="004C62AD"/>
    <w:rsid w:val="004C6EEE"/>
    <w:rsid w:val="004C702B"/>
    <w:rsid w:val="004D0033"/>
    <w:rsid w:val="004D016B"/>
    <w:rsid w:val="004D1B22"/>
    <w:rsid w:val="004D36F2"/>
    <w:rsid w:val="004D584A"/>
    <w:rsid w:val="004D636A"/>
    <w:rsid w:val="004E1106"/>
    <w:rsid w:val="004E138F"/>
    <w:rsid w:val="004E4649"/>
    <w:rsid w:val="004E5C2B"/>
    <w:rsid w:val="004F00DD"/>
    <w:rsid w:val="004F2133"/>
    <w:rsid w:val="004F31C1"/>
    <w:rsid w:val="004F55F1"/>
    <w:rsid w:val="004F6936"/>
    <w:rsid w:val="004F7A8C"/>
    <w:rsid w:val="005014E1"/>
    <w:rsid w:val="00503DC6"/>
    <w:rsid w:val="00506F5D"/>
    <w:rsid w:val="005126D0"/>
    <w:rsid w:val="00514E1A"/>
    <w:rsid w:val="0051568D"/>
    <w:rsid w:val="00526C15"/>
    <w:rsid w:val="005277CB"/>
    <w:rsid w:val="00531B18"/>
    <w:rsid w:val="00531F29"/>
    <w:rsid w:val="00533717"/>
    <w:rsid w:val="00536499"/>
    <w:rsid w:val="00540745"/>
    <w:rsid w:val="00542BD6"/>
    <w:rsid w:val="005432B7"/>
    <w:rsid w:val="00543903"/>
    <w:rsid w:val="00543F11"/>
    <w:rsid w:val="00547A95"/>
    <w:rsid w:val="00551B47"/>
    <w:rsid w:val="00561BC1"/>
    <w:rsid w:val="00567982"/>
    <w:rsid w:val="005711F5"/>
    <w:rsid w:val="00572031"/>
    <w:rsid w:val="00576E84"/>
    <w:rsid w:val="00582B8C"/>
    <w:rsid w:val="005836DC"/>
    <w:rsid w:val="00585ED4"/>
    <w:rsid w:val="0058757E"/>
    <w:rsid w:val="00591134"/>
    <w:rsid w:val="00596A4B"/>
    <w:rsid w:val="00597507"/>
    <w:rsid w:val="005A1DB6"/>
    <w:rsid w:val="005A36BD"/>
    <w:rsid w:val="005B002B"/>
    <w:rsid w:val="005B0B75"/>
    <w:rsid w:val="005B15DE"/>
    <w:rsid w:val="005B1C6D"/>
    <w:rsid w:val="005B21B6"/>
    <w:rsid w:val="005B3A08"/>
    <w:rsid w:val="005B7A4C"/>
    <w:rsid w:val="005B7A63"/>
    <w:rsid w:val="005C0955"/>
    <w:rsid w:val="005C0A2D"/>
    <w:rsid w:val="005C37ED"/>
    <w:rsid w:val="005C49DA"/>
    <w:rsid w:val="005C50F3"/>
    <w:rsid w:val="005C54B5"/>
    <w:rsid w:val="005C5D80"/>
    <w:rsid w:val="005C5D91"/>
    <w:rsid w:val="005D07B8"/>
    <w:rsid w:val="005D6597"/>
    <w:rsid w:val="005D6CDC"/>
    <w:rsid w:val="005E07C4"/>
    <w:rsid w:val="005E14E7"/>
    <w:rsid w:val="005E26A3"/>
    <w:rsid w:val="005E3083"/>
    <w:rsid w:val="005E447E"/>
    <w:rsid w:val="005E482B"/>
    <w:rsid w:val="005E6415"/>
    <w:rsid w:val="005E72EF"/>
    <w:rsid w:val="005F0775"/>
    <w:rsid w:val="005F0CF5"/>
    <w:rsid w:val="005F21EB"/>
    <w:rsid w:val="005F75A2"/>
    <w:rsid w:val="00605908"/>
    <w:rsid w:val="0061088F"/>
    <w:rsid w:val="00610D7C"/>
    <w:rsid w:val="00613414"/>
    <w:rsid w:val="00615672"/>
    <w:rsid w:val="006159BF"/>
    <w:rsid w:val="0061623F"/>
    <w:rsid w:val="00616386"/>
    <w:rsid w:val="0061647B"/>
    <w:rsid w:val="00620154"/>
    <w:rsid w:val="0062262B"/>
    <w:rsid w:val="00623960"/>
    <w:rsid w:val="0062408D"/>
    <w:rsid w:val="006240CC"/>
    <w:rsid w:val="006254F8"/>
    <w:rsid w:val="00627DA7"/>
    <w:rsid w:val="00630EB5"/>
    <w:rsid w:val="0063238E"/>
    <w:rsid w:val="00632E73"/>
    <w:rsid w:val="0063379F"/>
    <w:rsid w:val="006358B4"/>
    <w:rsid w:val="0064194C"/>
    <w:rsid w:val="006419AA"/>
    <w:rsid w:val="00644B1F"/>
    <w:rsid w:val="00644B7E"/>
    <w:rsid w:val="00645213"/>
    <w:rsid w:val="006454E6"/>
    <w:rsid w:val="00646A68"/>
    <w:rsid w:val="00646ACA"/>
    <w:rsid w:val="00647C1F"/>
    <w:rsid w:val="00647F45"/>
    <w:rsid w:val="0065084B"/>
    <w:rsid w:val="0065092E"/>
    <w:rsid w:val="00652F12"/>
    <w:rsid w:val="006549FE"/>
    <w:rsid w:val="006557A7"/>
    <w:rsid w:val="00656290"/>
    <w:rsid w:val="006579AE"/>
    <w:rsid w:val="00657CF5"/>
    <w:rsid w:val="006616F1"/>
    <w:rsid w:val="006617FE"/>
    <w:rsid w:val="006621D7"/>
    <w:rsid w:val="0066302A"/>
    <w:rsid w:val="006634E5"/>
    <w:rsid w:val="00670597"/>
    <w:rsid w:val="006706D0"/>
    <w:rsid w:val="00677574"/>
    <w:rsid w:val="006826ED"/>
    <w:rsid w:val="0068454C"/>
    <w:rsid w:val="006858DB"/>
    <w:rsid w:val="00691B62"/>
    <w:rsid w:val="0069227A"/>
    <w:rsid w:val="006933B5"/>
    <w:rsid w:val="00693D14"/>
    <w:rsid w:val="006A18C2"/>
    <w:rsid w:val="006A4B70"/>
    <w:rsid w:val="006A6CD8"/>
    <w:rsid w:val="006B077C"/>
    <w:rsid w:val="006B4EE2"/>
    <w:rsid w:val="006B6803"/>
    <w:rsid w:val="006C329E"/>
    <w:rsid w:val="006C35B2"/>
    <w:rsid w:val="006D23EF"/>
    <w:rsid w:val="006D2503"/>
    <w:rsid w:val="006D2A3F"/>
    <w:rsid w:val="006D2E9B"/>
    <w:rsid w:val="006D2FBC"/>
    <w:rsid w:val="006D45C4"/>
    <w:rsid w:val="006D72D7"/>
    <w:rsid w:val="006E138B"/>
    <w:rsid w:val="006E43AC"/>
    <w:rsid w:val="006E4651"/>
    <w:rsid w:val="006E4E24"/>
    <w:rsid w:val="006E52A3"/>
    <w:rsid w:val="006F1FDC"/>
    <w:rsid w:val="006F2DAE"/>
    <w:rsid w:val="006F5529"/>
    <w:rsid w:val="007013EF"/>
    <w:rsid w:val="00706A73"/>
    <w:rsid w:val="007103CB"/>
    <w:rsid w:val="00711935"/>
    <w:rsid w:val="00711C6C"/>
    <w:rsid w:val="0071286E"/>
    <w:rsid w:val="007173CA"/>
    <w:rsid w:val="007216AA"/>
    <w:rsid w:val="00721AB5"/>
    <w:rsid w:val="00721DEF"/>
    <w:rsid w:val="00724A43"/>
    <w:rsid w:val="007254CF"/>
    <w:rsid w:val="00727221"/>
    <w:rsid w:val="00727928"/>
    <w:rsid w:val="00731C4A"/>
    <w:rsid w:val="00733FA1"/>
    <w:rsid w:val="007346E4"/>
    <w:rsid w:val="00734884"/>
    <w:rsid w:val="00740F22"/>
    <w:rsid w:val="00741F1A"/>
    <w:rsid w:val="007421AD"/>
    <w:rsid w:val="007450F8"/>
    <w:rsid w:val="007453F3"/>
    <w:rsid w:val="0074696E"/>
    <w:rsid w:val="00750135"/>
    <w:rsid w:val="00750EC2"/>
    <w:rsid w:val="00752B28"/>
    <w:rsid w:val="007544DF"/>
    <w:rsid w:val="00754E36"/>
    <w:rsid w:val="007556DB"/>
    <w:rsid w:val="0076024B"/>
    <w:rsid w:val="0076033A"/>
    <w:rsid w:val="00760AB9"/>
    <w:rsid w:val="00760C21"/>
    <w:rsid w:val="00763139"/>
    <w:rsid w:val="00764E6F"/>
    <w:rsid w:val="00770F37"/>
    <w:rsid w:val="007711A0"/>
    <w:rsid w:val="00772346"/>
    <w:rsid w:val="00772D5E"/>
    <w:rsid w:val="00773AD5"/>
    <w:rsid w:val="00774A78"/>
    <w:rsid w:val="00775CC8"/>
    <w:rsid w:val="00776377"/>
    <w:rsid w:val="0077660F"/>
    <w:rsid w:val="00776928"/>
    <w:rsid w:val="00777AB9"/>
    <w:rsid w:val="0078365C"/>
    <w:rsid w:val="00785677"/>
    <w:rsid w:val="00786F16"/>
    <w:rsid w:val="007903B7"/>
    <w:rsid w:val="00790777"/>
    <w:rsid w:val="007928E4"/>
    <w:rsid w:val="00793089"/>
    <w:rsid w:val="00796E20"/>
    <w:rsid w:val="00797C32"/>
    <w:rsid w:val="007A0DEC"/>
    <w:rsid w:val="007A144A"/>
    <w:rsid w:val="007B0914"/>
    <w:rsid w:val="007B1374"/>
    <w:rsid w:val="007B589F"/>
    <w:rsid w:val="007B6186"/>
    <w:rsid w:val="007B73BC"/>
    <w:rsid w:val="007C20B9"/>
    <w:rsid w:val="007C44ED"/>
    <w:rsid w:val="007C4514"/>
    <w:rsid w:val="007C6556"/>
    <w:rsid w:val="007C7270"/>
    <w:rsid w:val="007C7301"/>
    <w:rsid w:val="007C7859"/>
    <w:rsid w:val="007D2309"/>
    <w:rsid w:val="007D26FC"/>
    <w:rsid w:val="007D2BDE"/>
    <w:rsid w:val="007D2D2B"/>
    <w:rsid w:val="007D2FB6"/>
    <w:rsid w:val="007D49EB"/>
    <w:rsid w:val="007E0B20"/>
    <w:rsid w:val="007E0DE2"/>
    <w:rsid w:val="007E36D6"/>
    <w:rsid w:val="007E3B98"/>
    <w:rsid w:val="007E417A"/>
    <w:rsid w:val="007F31B6"/>
    <w:rsid w:val="007F3A6E"/>
    <w:rsid w:val="007F546C"/>
    <w:rsid w:val="007F58EA"/>
    <w:rsid w:val="007F625F"/>
    <w:rsid w:val="007F665E"/>
    <w:rsid w:val="007F6A3F"/>
    <w:rsid w:val="007F6EC2"/>
    <w:rsid w:val="007F79B0"/>
    <w:rsid w:val="00800412"/>
    <w:rsid w:val="0080587B"/>
    <w:rsid w:val="00806468"/>
    <w:rsid w:val="00811A46"/>
    <w:rsid w:val="00814968"/>
    <w:rsid w:val="008155F0"/>
    <w:rsid w:val="00816735"/>
    <w:rsid w:val="008177D5"/>
    <w:rsid w:val="00820141"/>
    <w:rsid w:val="00820E0C"/>
    <w:rsid w:val="00820E7B"/>
    <w:rsid w:val="00826958"/>
    <w:rsid w:val="008338A2"/>
    <w:rsid w:val="00834731"/>
    <w:rsid w:val="00841AA9"/>
    <w:rsid w:val="0084274B"/>
    <w:rsid w:val="00842BEC"/>
    <w:rsid w:val="00843D3E"/>
    <w:rsid w:val="00850D32"/>
    <w:rsid w:val="008524BF"/>
    <w:rsid w:val="00852B48"/>
    <w:rsid w:val="00853EE4"/>
    <w:rsid w:val="00855535"/>
    <w:rsid w:val="00857371"/>
    <w:rsid w:val="0086255E"/>
    <w:rsid w:val="008633F0"/>
    <w:rsid w:val="00866374"/>
    <w:rsid w:val="00867D9D"/>
    <w:rsid w:val="00872E0A"/>
    <w:rsid w:val="008744F5"/>
    <w:rsid w:val="008750C3"/>
    <w:rsid w:val="00875285"/>
    <w:rsid w:val="00884B62"/>
    <w:rsid w:val="0088529C"/>
    <w:rsid w:val="00885BBB"/>
    <w:rsid w:val="008866C1"/>
    <w:rsid w:val="00887903"/>
    <w:rsid w:val="00887930"/>
    <w:rsid w:val="0089270A"/>
    <w:rsid w:val="00893AF6"/>
    <w:rsid w:val="0089401C"/>
    <w:rsid w:val="00894BC4"/>
    <w:rsid w:val="008953ED"/>
    <w:rsid w:val="008958EE"/>
    <w:rsid w:val="0089616E"/>
    <w:rsid w:val="008A0273"/>
    <w:rsid w:val="008A5B32"/>
    <w:rsid w:val="008A6C52"/>
    <w:rsid w:val="008A73A3"/>
    <w:rsid w:val="008B2EE4"/>
    <w:rsid w:val="008B33A4"/>
    <w:rsid w:val="008B343E"/>
    <w:rsid w:val="008B4D3D"/>
    <w:rsid w:val="008B57C7"/>
    <w:rsid w:val="008C1BFC"/>
    <w:rsid w:val="008C2F92"/>
    <w:rsid w:val="008D2846"/>
    <w:rsid w:val="008D3781"/>
    <w:rsid w:val="008D3783"/>
    <w:rsid w:val="008D4236"/>
    <w:rsid w:val="008D462F"/>
    <w:rsid w:val="008D6DCF"/>
    <w:rsid w:val="008E288A"/>
    <w:rsid w:val="008E4376"/>
    <w:rsid w:val="008E4A96"/>
    <w:rsid w:val="008E7141"/>
    <w:rsid w:val="008E762D"/>
    <w:rsid w:val="008E7A0A"/>
    <w:rsid w:val="008F4462"/>
    <w:rsid w:val="008F5DBF"/>
    <w:rsid w:val="00900719"/>
    <w:rsid w:val="009017AC"/>
    <w:rsid w:val="00904A1C"/>
    <w:rsid w:val="00905030"/>
    <w:rsid w:val="00905A47"/>
    <w:rsid w:val="00905A59"/>
    <w:rsid w:val="00906490"/>
    <w:rsid w:val="0091039F"/>
    <w:rsid w:val="009111B2"/>
    <w:rsid w:val="00912DD5"/>
    <w:rsid w:val="009135B0"/>
    <w:rsid w:val="009174B6"/>
    <w:rsid w:val="00917A91"/>
    <w:rsid w:val="00922C16"/>
    <w:rsid w:val="00924AE1"/>
    <w:rsid w:val="009269B1"/>
    <w:rsid w:val="00926B72"/>
    <w:rsid w:val="0092724D"/>
    <w:rsid w:val="00932402"/>
    <w:rsid w:val="0093338F"/>
    <w:rsid w:val="00937BD9"/>
    <w:rsid w:val="00940DB7"/>
    <w:rsid w:val="00947A06"/>
    <w:rsid w:val="00950C78"/>
    <w:rsid w:val="00950E2C"/>
    <w:rsid w:val="00951D50"/>
    <w:rsid w:val="009525EB"/>
    <w:rsid w:val="00954874"/>
    <w:rsid w:val="00956D08"/>
    <w:rsid w:val="00961400"/>
    <w:rsid w:val="00963646"/>
    <w:rsid w:val="0096540F"/>
    <w:rsid w:val="009713C7"/>
    <w:rsid w:val="00971733"/>
    <w:rsid w:val="0097559F"/>
    <w:rsid w:val="009853E1"/>
    <w:rsid w:val="009868C8"/>
    <w:rsid w:val="00986E6B"/>
    <w:rsid w:val="00991769"/>
    <w:rsid w:val="00994386"/>
    <w:rsid w:val="00995E0A"/>
    <w:rsid w:val="00996490"/>
    <w:rsid w:val="00996ADC"/>
    <w:rsid w:val="00997265"/>
    <w:rsid w:val="009A13D8"/>
    <w:rsid w:val="009A279E"/>
    <w:rsid w:val="009A52C4"/>
    <w:rsid w:val="009B0277"/>
    <w:rsid w:val="009B0A6F"/>
    <w:rsid w:val="009B0A94"/>
    <w:rsid w:val="009B447D"/>
    <w:rsid w:val="009B508A"/>
    <w:rsid w:val="009B59E9"/>
    <w:rsid w:val="009B70AA"/>
    <w:rsid w:val="009C0DD2"/>
    <w:rsid w:val="009C143C"/>
    <w:rsid w:val="009C5E77"/>
    <w:rsid w:val="009C7A7E"/>
    <w:rsid w:val="009D02E8"/>
    <w:rsid w:val="009D258F"/>
    <w:rsid w:val="009D51D0"/>
    <w:rsid w:val="009D70A4"/>
    <w:rsid w:val="009E08D1"/>
    <w:rsid w:val="009E0DDC"/>
    <w:rsid w:val="009E1B95"/>
    <w:rsid w:val="009E496F"/>
    <w:rsid w:val="009E4B0D"/>
    <w:rsid w:val="009E7F92"/>
    <w:rsid w:val="009F02A3"/>
    <w:rsid w:val="009F0D56"/>
    <w:rsid w:val="009F2F27"/>
    <w:rsid w:val="009F34AA"/>
    <w:rsid w:val="009F6BCB"/>
    <w:rsid w:val="009F7B78"/>
    <w:rsid w:val="00A0057A"/>
    <w:rsid w:val="00A021B3"/>
    <w:rsid w:val="00A02435"/>
    <w:rsid w:val="00A0776B"/>
    <w:rsid w:val="00A07B63"/>
    <w:rsid w:val="00A11421"/>
    <w:rsid w:val="00A156BE"/>
    <w:rsid w:val="00A157B1"/>
    <w:rsid w:val="00A22229"/>
    <w:rsid w:val="00A243D2"/>
    <w:rsid w:val="00A330BB"/>
    <w:rsid w:val="00A3550F"/>
    <w:rsid w:val="00A44882"/>
    <w:rsid w:val="00A448C6"/>
    <w:rsid w:val="00A44A5D"/>
    <w:rsid w:val="00A45A98"/>
    <w:rsid w:val="00A47685"/>
    <w:rsid w:val="00A51094"/>
    <w:rsid w:val="00A514CD"/>
    <w:rsid w:val="00A54715"/>
    <w:rsid w:val="00A6061C"/>
    <w:rsid w:val="00A60DA0"/>
    <w:rsid w:val="00A62228"/>
    <w:rsid w:val="00A625A9"/>
    <w:rsid w:val="00A62C8A"/>
    <w:rsid w:val="00A62D44"/>
    <w:rsid w:val="00A63760"/>
    <w:rsid w:val="00A659D1"/>
    <w:rsid w:val="00A67263"/>
    <w:rsid w:val="00A67855"/>
    <w:rsid w:val="00A70152"/>
    <w:rsid w:val="00A7161C"/>
    <w:rsid w:val="00A7549D"/>
    <w:rsid w:val="00A75677"/>
    <w:rsid w:val="00A77AA3"/>
    <w:rsid w:val="00A84247"/>
    <w:rsid w:val="00A854EB"/>
    <w:rsid w:val="00A86C9D"/>
    <w:rsid w:val="00A872E5"/>
    <w:rsid w:val="00A91406"/>
    <w:rsid w:val="00A92D40"/>
    <w:rsid w:val="00A93FCC"/>
    <w:rsid w:val="00A96B49"/>
    <w:rsid w:val="00A96E65"/>
    <w:rsid w:val="00A97C72"/>
    <w:rsid w:val="00AA148E"/>
    <w:rsid w:val="00AA63D4"/>
    <w:rsid w:val="00AB06E8"/>
    <w:rsid w:val="00AB1CD3"/>
    <w:rsid w:val="00AB352F"/>
    <w:rsid w:val="00AC274B"/>
    <w:rsid w:val="00AC4764"/>
    <w:rsid w:val="00AC519E"/>
    <w:rsid w:val="00AC5DC2"/>
    <w:rsid w:val="00AC6D36"/>
    <w:rsid w:val="00AD0CBA"/>
    <w:rsid w:val="00AD254E"/>
    <w:rsid w:val="00AD26E2"/>
    <w:rsid w:val="00AD71D3"/>
    <w:rsid w:val="00AD784C"/>
    <w:rsid w:val="00AE126A"/>
    <w:rsid w:val="00AE20A1"/>
    <w:rsid w:val="00AE3005"/>
    <w:rsid w:val="00AE3BD5"/>
    <w:rsid w:val="00AE4045"/>
    <w:rsid w:val="00AE59A0"/>
    <w:rsid w:val="00AE7D71"/>
    <w:rsid w:val="00AF0C57"/>
    <w:rsid w:val="00AF1FB7"/>
    <w:rsid w:val="00AF26F3"/>
    <w:rsid w:val="00AF3062"/>
    <w:rsid w:val="00AF5F04"/>
    <w:rsid w:val="00AF7541"/>
    <w:rsid w:val="00B00672"/>
    <w:rsid w:val="00B01108"/>
    <w:rsid w:val="00B01B4D"/>
    <w:rsid w:val="00B053F9"/>
    <w:rsid w:val="00B06571"/>
    <w:rsid w:val="00B068BA"/>
    <w:rsid w:val="00B13851"/>
    <w:rsid w:val="00B13B1C"/>
    <w:rsid w:val="00B147FD"/>
    <w:rsid w:val="00B15BFC"/>
    <w:rsid w:val="00B22291"/>
    <w:rsid w:val="00B2308F"/>
    <w:rsid w:val="00B23F9A"/>
    <w:rsid w:val="00B2417B"/>
    <w:rsid w:val="00B24E6F"/>
    <w:rsid w:val="00B26377"/>
    <w:rsid w:val="00B26CB5"/>
    <w:rsid w:val="00B2752E"/>
    <w:rsid w:val="00B307CC"/>
    <w:rsid w:val="00B326B7"/>
    <w:rsid w:val="00B361C5"/>
    <w:rsid w:val="00B3680B"/>
    <w:rsid w:val="00B40404"/>
    <w:rsid w:val="00B41081"/>
    <w:rsid w:val="00B431E8"/>
    <w:rsid w:val="00B45141"/>
    <w:rsid w:val="00B5273A"/>
    <w:rsid w:val="00B53193"/>
    <w:rsid w:val="00B54211"/>
    <w:rsid w:val="00B55728"/>
    <w:rsid w:val="00B57329"/>
    <w:rsid w:val="00B60E61"/>
    <w:rsid w:val="00B61A50"/>
    <w:rsid w:val="00B62B50"/>
    <w:rsid w:val="00B62BFA"/>
    <w:rsid w:val="00B635B7"/>
    <w:rsid w:val="00B63AE8"/>
    <w:rsid w:val="00B65950"/>
    <w:rsid w:val="00B66D83"/>
    <w:rsid w:val="00B672C0"/>
    <w:rsid w:val="00B75646"/>
    <w:rsid w:val="00B77E72"/>
    <w:rsid w:val="00B83FD0"/>
    <w:rsid w:val="00B90729"/>
    <w:rsid w:val="00B907DA"/>
    <w:rsid w:val="00B90CBF"/>
    <w:rsid w:val="00B9218C"/>
    <w:rsid w:val="00B950BC"/>
    <w:rsid w:val="00B95104"/>
    <w:rsid w:val="00B9714C"/>
    <w:rsid w:val="00BA29AD"/>
    <w:rsid w:val="00BA3F8D"/>
    <w:rsid w:val="00BB1179"/>
    <w:rsid w:val="00BB5468"/>
    <w:rsid w:val="00BB6B8F"/>
    <w:rsid w:val="00BB7A10"/>
    <w:rsid w:val="00BC4174"/>
    <w:rsid w:val="00BC69DA"/>
    <w:rsid w:val="00BC7468"/>
    <w:rsid w:val="00BC7D4F"/>
    <w:rsid w:val="00BC7ED7"/>
    <w:rsid w:val="00BD2850"/>
    <w:rsid w:val="00BE28D2"/>
    <w:rsid w:val="00BE4A64"/>
    <w:rsid w:val="00BF30D2"/>
    <w:rsid w:val="00BF557D"/>
    <w:rsid w:val="00BF62D7"/>
    <w:rsid w:val="00BF7F58"/>
    <w:rsid w:val="00C01381"/>
    <w:rsid w:val="00C01AB1"/>
    <w:rsid w:val="00C03AA9"/>
    <w:rsid w:val="00C04090"/>
    <w:rsid w:val="00C079B8"/>
    <w:rsid w:val="00C101F9"/>
    <w:rsid w:val="00C123EA"/>
    <w:rsid w:val="00C12A49"/>
    <w:rsid w:val="00C133EE"/>
    <w:rsid w:val="00C1480C"/>
    <w:rsid w:val="00C149D0"/>
    <w:rsid w:val="00C168BA"/>
    <w:rsid w:val="00C23822"/>
    <w:rsid w:val="00C26588"/>
    <w:rsid w:val="00C27DE9"/>
    <w:rsid w:val="00C33388"/>
    <w:rsid w:val="00C35484"/>
    <w:rsid w:val="00C4173A"/>
    <w:rsid w:val="00C45D9D"/>
    <w:rsid w:val="00C51C76"/>
    <w:rsid w:val="00C602FF"/>
    <w:rsid w:val="00C61174"/>
    <w:rsid w:val="00C6148F"/>
    <w:rsid w:val="00C62222"/>
    <w:rsid w:val="00C62F7A"/>
    <w:rsid w:val="00C63B9C"/>
    <w:rsid w:val="00C63F78"/>
    <w:rsid w:val="00C6682F"/>
    <w:rsid w:val="00C66DF2"/>
    <w:rsid w:val="00C7275E"/>
    <w:rsid w:val="00C72B68"/>
    <w:rsid w:val="00C74C5D"/>
    <w:rsid w:val="00C76E68"/>
    <w:rsid w:val="00C8034E"/>
    <w:rsid w:val="00C81069"/>
    <w:rsid w:val="00C863C4"/>
    <w:rsid w:val="00C9046C"/>
    <w:rsid w:val="00C920EA"/>
    <w:rsid w:val="00C93C3E"/>
    <w:rsid w:val="00C96A59"/>
    <w:rsid w:val="00CA0C56"/>
    <w:rsid w:val="00CA12E3"/>
    <w:rsid w:val="00CA6611"/>
    <w:rsid w:val="00CA6AE6"/>
    <w:rsid w:val="00CA7458"/>
    <w:rsid w:val="00CA782F"/>
    <w:rsid w:val="00CB07E6"/>
    <w:rsid w:val="00CB08AF"/>
    <w:rsid w:val="00CB3285"/>
    <w:rsid w:val="00CB3A86"/>
    <w:rsid w:val="00CC0C72"/>
    <w:rsid w:val="00CC2BFD"/>
    <w:rsid w:val="00CC30EC"/>
    <w:rsid w:val="00CC4901"/>
    <w:rsid w:val="00CC5F90"/>
    <w:rsid w:val="00CD3476"/>
    <w:rsid w:val="00CD39E8"/>
    <w:rsid w:val="00CD40F2"/>
    <w:rsid w:val="00CD58EA"/>
    <w:rsid w:val="00CD64DF"/>
    <w:rsid w:val="00CE0622"/>
    <w:rsid w:val="00CE7A56"/>
    <w:rsid w:val="00CF2F50"/>
    <w:rsid w:val="00CF6198"/>
    <w:rsid w:val="00D01E20"/>
    <w:rsid w:val="00D02919"/>
    <w:rsid w:val="00D04C61"/>
    <w:rsid w:val="00D059C0"/>
    <w:rsid w:val="00D05B8D"/>
    <w:rsid w:val="00D065A2"/>
    <w:rsid w:val="00D07F00"/>
    <w:rsid w:val="00D14FA8"/>
    <w:rsid w:val="00D16A1F"/>
    <w:rsid w:val="00D17B72"/>
    <w:rsid w:val="00D30C2C"/>
    <w:rsid w:val="00D3185C"/>
    <w:rsid w:val="00D3318E"/>
    <w:rsid w:val="00D33E72"/>
    <w:rsid w:val="00D357A3"/>
    <w:rsid w:val="00D35BD6"/>
    <w:rsid w:val="00D361B5"/>
    <w:rsid w:val="00D40D16"/>
    <w:rsid w:val="00D411A2"/>
    <w:rsid w:val="00D4606D"/>
    <w:rsid w:val="00D50B9C"/>
    <w:rsid w:val="00D52D73"/>
    <w:rsid w:val="00D52E58"/>
    <w:rsid w:val="00D56B20"/>
    <w:rsid w:val="00D6452E"/>
    <w:rsid w:val="00D66F7D"/>
    <w:rsid w:val="00D714CC"/>
    <w:rsid w:val="00D714F2"/>
    <w:rsid w:val="00D75EA7"/>
    <w:rsid w:val="00D77E92"/>
    <w:rsid w:val="00D81F21"/>
    <w:rsid w:val="00D8292F"/>
    <w:rsid w:val="00D86CA1"/>
    <w:rsid w:val="00D95292"/>
    <w:rsid w:val="00D95470"/>
    <w:rsid w:val="00DA2619"/>
    <w:rsid w:val="00DA4239"/>
    <w:rsid w:val="00DA577B"/>
    <w:rsid w:val="00DA7145"/>
    <w:rsid w:val="00DB0B61"/>
    <w:rsid w:val="00DB3972"/>
    <w:rsid w:val="00DB3EBD"/>
    <w:rsid w:val="00DB4DC5"/>
    <w:rsid w:val="00DB52FB"/>
    <w:rsid w:val="00DB696C"/>
    <w:rsid w:val="00DC090B"/>
    <w:rsid w:val="00DC1679"/>
    <w:rsid w:val="00DC2CF1"/>
    <w:rsid w:val="00DC38D1"/>
    <w:rsid w:val="00DC4E6C"/>
    <w:rsid w:val="00DC4FCF"/>
    <w:rsid w:val="00DC50E0"/>
    <w:rsid w:val="00DC6386"/>
    <w:rsid w:val="00DC71F9"/>
    <w:rsid w:val="00DD1130"/>
    <w:rsid w:val="00DD1951"/>
    <w:rsid w:val="00DD6385"/>
    <w:rsid w:val="00DD6628"/>
    <w:rsid w:val="00DD6945"/>
    <w:rsid w:val="00DE3250"/>
    <w:rsid w:val="00DE6028"/>
    <w:rsid w:val="00DE6347"/>
    <w:rsid w:val="00DE634C"/>
    <w:rsid w:val="00DE78A3"/>
    <w:rsid w:val="00DF0024"/>
    <w:rsid w:val="00DF1A71"/>
    <w:rsid w:val="00DF27FF"/>
    <w:rsid w:val="00DF68C7"/>
    <w:rsid w:val="00DF731A"/>
    <w:rsid w:val="00E048DD"/>
    <w:rsid w:val="00E055A0"/>
    <w:rsid w:val="00E11332"/>
    <w:rsid w:val="00E11352"/>
    <w:rsid w:val="00E11487"/>
    <w:rsid w:val="00E16DA9"/>
    <w:rsid w:val="00E170DC"/>
    <w:rsid w:val="00E23872"/>
    <w:rsid w:val="00E23A26"/>
    <w:rsid w:val="00E2454B"/>
    <w:rsid w:val="00E25BFD"/>
    <w:rsid w:val="00E26818"/>
    <w:rsid w:val="00E26DD4"/>
    <w:rsid w:val="00E27FFC"/>
    <w:rsid w:val="00E30B15"/>
    <w:rsid w:val="00E332A7"/>
    <w:rsid w:val="00E376A1"/>
    <w:rsid w:val="00E40181"/>
    <w:rsid w:val="00E4182D"/>
    <w:rsid w:val="00E44B22"/>
    <w:rsid w:val="00E4773B"/>
    <w:rsid w:val="00E50035"/>
    <w:rsid w:val="00E50105"/>
    <w:rsid w:val="00E54BB6"/>
    <w:rsid w:val="00E56A01"/>
    <w:rsid w:val="00E56F92"/>
    <w:rsid w:val="00E629A1"/>
    <w:rsid w:val="00E64340"/>
    <w:rsid w:val="00E65B12"/>
    <w:rsid w:val="00E6794C"/>
    <w:rsid w:val="00E70166"/>
    <w:rsid w:val="00E71591"/>
    <w:rsid w:val="00E721B8"/>
    <w:rsid w:val="00E73864"/>
    <w:rsid w:val="00E74F82"/>
    <w:rsid w:val="00E80DE3"/>
    <w:rsid w:val="00E82C55"/>
    <w:rsid w:val="00E82D78"/>
    <w:rsid w:val="00E860ED"/>
    <w:rsid w:val="00E86204"/>
    <w:rsid w:val="00E91427"/>
    <w:rsid w:val="00E92A9F"/>
    <w:rsid w:val="00E92AC3"/>
    <w:rsid w:val="00E94269"/>
    <w:rsid w:val="00E94E19"/>
    <w:rsid w:val="00E952BA"/>
    <w:rsid w:val="00E97895"/>
    <w:rsid w:val="00EA0EBF"/>
    <w:rsid w:val="00EA4BA6"/>
    <w:rsid w:val="00EA5C16"/>
    <w:rsid w:val="00EB00E0"/>
    <w:rsid w:val="00EB0403"/>
    <w:rsid w:val="00EB53DE"/>
    <w:rsid w:val="00EB64C7"/>
    <w:rsid w:val="00EB720B"/>
    <w:rsid w:val="00EC059F"/>
    <w:rsid w:val="00EC1F24"/>
    <w:rsid w:val="00EC22F6"/>
    <w:rsid w:val="00EC6493"/>
    <w:rsid w:val="00EC70E9"/>
    <w:rsid w:val="00ED199A"/>
    <w:rsid w:val="00ED3CFD"/>
    <w:rsid w:val="00ED4E32"/>
    <w:rsid w:val="00ED5B9B"/>
    <w:rsid w:val="00ED6BAD"/>
    <w:rsid w:val="00ED7447"/>
    <w:rsid w:val="00ED7629"/>
    <w:rsid w:val="00EE1488"/>
    <w:rsid w:val="00EE3E24"/>
    <w:rsid w:val="00EE4D5D"/>
    <w:rsid w:val="00EE5131"/>
    <w:rsid w:val="00EE6500"/>
    <w:rsid w:val="00EE7872"/>
    <w:rsid w:val="00EF024E"/>
    <w:rsid w:val="00EF109B"/>
    <w:rsid w:val="00EF2A26"/>
    <w:rsid w:val="00EF36AF"/>
    <w:rsid w:val="00EF5DAE"/>
    <w:rsid w:val="00EF6973"/>
    <w:rsid w:val="00EF6A2C"/>
    <w:rsid w:val="00EF775E"/>
    <w:rsid w:val="00F0077A"/>
    <w:rsid w:val="00F00F9C"/>
    <w:rsid w:val="00F01E5F"/>
    <w:rsid w:val="00F02ABA"/>
    <w:rsid w:val="00F0437A"/>
    <w:rsid w:val="00F11037"/>
    <w:rsid w:val="00F12108"/>
    <w:rsid w:val="00F12390"/>
    <w:rsid w:val="00F13B93"/>
    <w:rsid w:val="00F15DB7"/>
    <w:rsid w:val="00F16F1B"/>
    <w:rsid w:val="00F20448"/>
    <w:rsid w:val="00F20DDE"/>
    <w:rsid w:val="00F250A9"/>
    <w:rsid w:val="00F2697C"/>
    <w:rsid w:val="00F30FF4"/>
    <w:rsid w:val="00F3122E"/>
    <w:rsid w:val="00F331AD"/>
    <w:rsid w:val="00F34CF4"/>
    <w:rsid w:val="00F35287"/>
    <w:rsid w:val="00F35587"/>
    <w:rsid w:val="00F3755E"/>
    <w:rsid w:val="00F41844"/>
    <w:rsid w:val="00F419DC"/>
    <w:rsid w:val="00F43A37"/>
    <w:rsid w:val="00F44357"/>
    <w:rsid w:val="00F4535E"/>
    <w:rsid w:val="00F4641B"/>
    <w:rsid w:val="00F46EB8"/>
    <w:rsid w:val="00F47361"/>
    <w:rsid w:val="00F47434"/>
    <w:rsid w:val="00F4797B"/>
    <w:rsid w:val="00F50CD1"/>
    <w:rsid w:val="00F511E4"/>
    <w:rsid w:val="00F52D09"/>
    <w:rsid w:val="00F52E08"/>
    <w:rsid w:val="00F55B21"/>
    <w:rsid w:val="00F55C6D"/>
    <w:rsid w:val="00F56D58"/>
    <w:rsid w:val="00F56EF6"/>
    <w:rsid w:val="00F61A9F"/>
    <w:rsid w:val="00F6276A"/>
    <w:rsid w:val="00F64696"/>
    <w:rsid w:val="00F650CA"/>
    <w:rsid w:val="00F65AA9"/>
    <w:rsid w:val="00F65C80"/>
    <w:rsid w:val="00F65CE4"/>
    <w:rsid w:val="00F65D6F"/>
    <w:rsid w:val="00F65F9E"/>
    <w:rsid w:val="00F66D06"/>
    <w:rsid w:val="00F6768F"/>
    <w:rsid w:val="00F72C2C"/>
    <w:rsid w:val="00F76CAB"/>
    <w:rsid w:val="00F772C6"/>
    <w:rsid w:val="00F815B5"/>
    <w:rsid w:val="00F85195"/>
    <w:rsid w:val="00F867F1"/>
    <w:rsid w:val="00F86B33"/>
    <w:rsid w:val="00F938BA"/>
    <w:rsid w:val="00F93E24"/>
    <w:rsid w:val="00F94F7B"/>
    <w:rsid w:val="00FA2C46"/>
    <w:rsid w:val="00FA3525"/>
    <w:rsid w:val="00FA5A53"/>
    <w:rsid w:val="00FB1180"/>
    <w:rsid w:val="00FB1369"/>
    <w:rsid w:val="00FB4769"/>
    <w:rsid w:val="00FB4CDA"/>
    <w:rsid w:val="00FB4FF4"/>
    <w:rsid w:val="00FC093E"/>
    <w:rsid w:val="00FC0F81"/>
    <w:rsid w:val="00FC1301"/>
    <w:rsid w:val="00FC2A56"/>
    <w:rsid w:val="00FC395C"/>
    <w:rsid w:val="00FC6445"/>
    <w:rsid w:val="00FC6AC7"/>
    <w:rsid w:val="00FC6B28"/>
    <w:rsid w:val="00FD11AF"/>
    <w:rsid w:val="00FD2168"/>
    <w:rsid w:val="00FD3766"/>
    <w:rsid w:val="00FD47C4"/>
    <w:rsid w:val="00FD6B27"/>
    <w:rsid w:val="00FD6CD7"/>
    <w:rsid w:val="00FE1646"/>
    <w:rsid w:val="00FE2DCF"/>
    <w:rsid w:val="00FE31D8"/>
    <w:rsid w:val="00FE3FA7"/>
    <w:rsid w:val="00FF0980"/>
    <w:rsid w:val="00FF2FCE"/>
    <w:rsid w:val="00FF408A"/>
    <w:rsid w:val="00FF45D0"/>
    <w:rsid w:val="00FF489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55FDD050-71F7-4E69-A6CC-92A166FE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8958EE"/>
    <w:rPr>
      <w:rFonts w:ascii="Cambria" w:hAnsi="Cambria"/>
      <w:lang w:eastAsia="en-US"/>
    </w:rPr>
  </w:style>
  <w:style w:type="paragraph" w:styleId="Heading1">
    <w:name w:val="heading 1"/>
    <w:next w:val="DHHSbody"/>
    <w:link w:val="Heading1Char"/>
    <w:uiPriority w:val="1"/>
    <w:qFormat/>
    <w:rsid w:val="00E50035"/>
    <w:pPr>
      <w:keepNext/>
      <w:keepLines/>
      <w:spacing w:before="320" w:after="200" w:line="440" w:lineRule="atLeast"/>
      <w:outlineLvl w:val="0"/>
    </w:pPr>
    <w:rPr>
      <w:rFonts w:ascii="Arial" w:eastAsia="MS Gothic" w:hAnsi="Arial" w:cs="Arial"/>
      <w:bCs/>
      <w:color w:val="AF272F"/>
      <w:kern w:val="32"/>
      <w:sz w:val="36"/>
      <w:szCs w:val="40"/>
      <w:lang w:eastAsia="en-US"/>
    </w:rPr>
  </w:style>
  <w:style w:type="paragraph" w:styleId="Heading2">
    <w:name w:val="heading 2"/>
    <w:next w:val="DHHSbody"/>
    <w:link w:val="Heading2Char"/>
    <w:uiPriority w:val="1"/>
    <w:qFormat/>
    <w:rsid w:val="00E50035"/>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E50035"/>
    <w:rPr>
      <w:rFonts w:ascii="Arial" w:eastAsia="MS Gothic" w:hAnsi="Arial" w:cs="Arial"/>
      <w:bCs/>
      <w:color w:val="AF272F"/>
      <w:kern w:val="32"/>
      <w:sz w:val="36"/>
      <w:szCs w:val="40"/>
      <w:lang w:eastAsia="en-US"/>
    </w:rPr>
  </w:style>
  <w:style w:type="character" w:customStyle="1" w:styleId="Heading2Char">
    <w:name w:val="Heading 2 Char"/>
    <w:link w:val="Heading2"/>
    <w:uiPriority w:val="1"/>
    <w:rsid w:val="00E50035"/>
    <w:rPr>
      <w:rFonts w:ascii="Arial" w:hAnsi="Arial"/>
      <w:b/>
      <w:color w:val="AF272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pPr>
      <w:tabs>
        <w:tab w:val="right" w:pos="10206"/>
      </w:tabs>
    </w:pPr>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93338F"/>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E50035"/>
    <w:pPr>
      <w:spacing w:before="0" w:after="200"/>
      <w:outlineLvl w:val="9"/>
    </w:pPr>
  </w:style>
  <w:style w:type="character" w:customStyle="1" w:styleId="DHHSTOCheadingfactsheetChar">
    <w:name w:val="DHHS TOC heading fact sheet Char"/>
    <w:link w:val="DHHSTOCheadingfactsheet"/>
    <w:uiPriority w:val="4"/>
    <w:rsid w:val="00E50035"/>
    <w:rPr>
      <w:rFonts w:ascii="Arial" w:hAnsi="Arial"/>
      <w:b/>
      <w:color w:val="AF272F"/>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39"/>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7453F3"/>
    <w:pPr>
      <w:spacing w:line="560" w:lineRule="atLeast"/>
      <w:ind w:right="680"/>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link w:val="DHHSaccessibilityparaChar"/>
    <w:uiPriority w:val="6"/>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93338F"/>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0C0303"/>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0C0303"/>
    <w:pPr>
      <w:numPr>
        <w:numId w:val="9"/>
      </w:numPr>
    </w:pPr>
  </w:style>
  <w:style w:type="numbering" w:customStyle="1" w:styleId="ZZTableBullets">
    <w:name w:val="ZZ Table Bullets"/>
    <w:basedOn w:val="NoList"/>
    <w:rsid w:val="000C0303"/>
    <w:pPr>
      <w:numPr>
        <w:numId w:val="9"/>
      </w:numPr>
    </w:pPr>
  </w:style>
  <w:style w:type="numbering" w:customStyle="1" w:styleId="Style1">
    <w:name w:val="Style1"/>
    <w:basedOn w:val="ZZQuoteBullets"/>
    <w:rsid w:val="005C5D80"/>
    <w:pPr>
      <w:numPr>
        <w:numId w:val="18"/>
      </w:numPr>
    </w:pPr>
  </w:style>
  <w:style w:type="paragraph" w:customStyle="1" w:styleId="DHHStablecolhead">
    <w:name w:val="DHHS table col head"/>
    <w:uiPriority w:val="3"/>
    <w:qFormat/>
    <w:rsid w:val="00FD11AF"/>
    <w:pPr>
      <w:spacing w:before="80" w:after="60"/>
    </w:pPr>
    <w:rPr>
      <w:rFonts w:ascii="Arial" w:hAnsi="Arial"/>
      <w:b/>
      <w:color w:val="AF272F"/>
      <w:lang w:eastAsia="en-US"/>
    </w:rPr>
  </w:style>
  <w:style w:type="paragraph" w:customStyle="1" w:styleId="DHHSbulletafternumbers1">
    <w:name w:val="DHHS bullet after numbers 1"/>
    <w:basedOn w:val="DHHSbody"/>
    <w:uiPriority w:val="4"/>
    <w:rsid w:val="008958EE"/>
    <w:pPr>
      <w:numPr>
        <w:ilvl w:val="2"/>
        <w:numId w:val="8"/>
      </w:numPr>
    </w:pPr>
  </w:style>
  <w:style w:type="character" w:styleId="Hyperlink">
    <w:name w:val="Hyperlink"/>
    <w:uiPriority w:val="99"/>
    <w:rsid w:val="004743DD"/>
    <w:rPr>
      <w:color w:val="3366FF"/>
      <w:u w:val="dotted"/>
    </w:rPr>
  </w:style>
  <w:style w:type="paragraph" w:customStyle="1" w:styleId="DHHSkeymessagesbullet">
    <w:name w:val="DHHS key messages bullet"/>
    <w:uiPriority w:val="11"/>
    <w:rsid w:val="00AF3062"/>
    <w:pPr>
      <w:numPr>
        <w:numId w:val="23"/>
      </w:numPr>
      <w:spacing w:after="80" w:line="288" w:lineRule="auto"/>
    </w:pPr>
    <w:rPr>
      <w:rFonts w:ascii="Arial" w:eastAsia="Times" w:hAnsi="Arial"/>
      <w:color w:val="424650"/>
      <w:sz w:val="24"/>
      <w:lang w:eastAsia="en-US"/>
    </w:rPr>
  </w:style>
  <w:style w:type="numbering" w:customStyle="1" w:styleId="ZZKeyMessagesBullets">
    <w:name w:val="ZZ Key Messages Bullets"/>
    <w:basedOn w:val="NoList"/>
    <w:rsid w:val="00AF3062"/>
    <w:pPr>
      <w:numPr>
        <w:numId w:val="23"/>
      </w:numPr>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DHHS">
    <w:name w:val="DHHS"/>
    <w:basedOn w:val="Normal"/>
    <w:rsid w:val="00BF557D"/>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93338F"/>
    <w:pPr>
      <w:numPr>
        <w:numId w:val="7"/>
      </w:numPr>
    </w:pPr>
  </w:style>
  <w:style w:type="numbering" w:customStyle="1" w:styleId="ZZNumbersDigit">
    <w:name w:val="ZZ Numbers Digit"/>
    <w:rsid w:val="008958EE"/>
    <w:pPr>
      <w:numPr>
        <w:numId w:val="2"/>
      </w:numPr>
    </w:pPr>
  </w:style>
  <w:style w:type="numbering" w:customStyle="1" w:styleId="ZZQuoteBullets">
    <w:name w:val="ZZ Quote Bullets"/>
    <w:basedOn w:val="ZZNumbersDigit"/>
    <w:rsid w:val="00CF6198"/>
    <w:pPr>
      <w:numPr>
        <w:numId w:val="11"/>
      </w:numPr>
    </w:pPr>
  </w:style>
  <w:style w:type="paragraph" w:customStyle="1" w:styleId="DHHSnumberdigit">
    <w:name w:val="DHHS number digit"/>
    <w:basedOn w:val="DHHSbody"/>
    <w:uiPriority w:val="2"/>
    <w:rsid w:val="008958EE"/>
    <w:pPr>
      <w:numPr>
        <w:numId w:val="8"/>
      </w:numPr>
    </w:pPr>
  </w:style>
  <w:style w:type="paragraph" w:customStyle="1" w:styleId="DHHSnumberloweralphaindent">
    <w:name w:val="DHHS number lower alpha indent"/>
    <w:basedOn w:val="DHHSbody"/>
    <w:uiPriority w:val="3"/>
    <w:rsid w:val="00C920EA"/>
    <w:pPr>
      <w:numPr>
        <w:ilvl w:val="1"/>
        <w:numId w:val="21"/>
      </w:numPr>
    </w:pPr>
  </w:style>
  <w:style w:type="paragraph" w:customStyle="1" w:styleId="DHHSnumberdigitindent">
    <w:name w:val="DHHS number digit indent"/>
    <w:basedOn w:val="DHHSnumberloweralphaindent"/>
    <w:uiPriority w:val="3"/>
    <w:rsid w:val="008958EE"/>
    <w:pPr>
      <w:numPr>
        <w:numId w:val="8"/>
      </w:numPr>
    </w:pPr>
  </w:style>
  <w:style w:type="paragraph" w:customStyle="1" w:styleId="DHHSnumberloweralpha">
    <w:name w:val="DHHS number lower alpha"/>
    <w:basedOn w:val="DHHSbody"/>
    <w:uiPriority w:val="3"/>
    <w:rsid w:val="00C920EA"/>
    <w:pPr>
      <w:numPr>
        <w:numId w:val="21"/>
      </w:numPr>
    </w:pPr>
  </w:style>
  <w:style w:type="paragraph" w:customStyle="1" w:styleId="DHHSnumberlowerroman">
    <w:name w:val="DHHS number lower roman"/>
    <w:basedOn w:val="DHHSbody"/>
    <w:uiPriority w:val="3"/>
    <w:rsid w:val="00C149D0"/>
    <w:pPr>
      <w:numPr>
        <w:numId w:val="13"/>
      </w:numPr>
    </w:pPr>
  </w:style>
  <w:style w:type="paragraph" w:customStyle="1" w:styleId="DHHSnumberlowerromanindent">
    <w:name w:val="DHHS number lower roman indent"/>
    <w:basedOn w:val="DHHSbody"/>
    <w:uiPriority w:val="3"/>
    <w:rsid w:val="00C149D0"/>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E055A0"/>
    <w:pPr>
      <w:tabs>
        <w:tab w:val="right" w:pos="8505"/>
      </w:tabs>
    </w:pPr>
    <w:rPr>
      <w:rFonts w:ascii="Arial" w:hAnsi="Arial" w:cs="Arial"/>
      <w:sz w:val="18"/>
      <w:szCs w:val="18"/>
      <w:lang w:eastAsia="en-US"/>
    </w:rPr>
  </w:style>
  <w:style w:type="paragraph" w:customStyle="1" w:styleId="DHHSheader">
    <w:name w:val="DHHS header"/>
    <w:basedOn w:val="DHHSfooter"/>
    <w:uiPriority w:val="11"/>
    <w:rsid w:val="0051568D"/>
    <w:pPr>
      <w:tabs>
        <w:tab w:val="right" w:pos="10206"/>
      </w:tabs>
    </w:pPr>
  </w:style>
  <w:style w:type="paragraph" w:customStyle="1" w:styleId="DHHSbulletafternumbers2">
    <w:name w:val="DHHS bullet after numbers 2"/>
    <w:basedOn w:val="DHHSbody"/>
    <w:rsid w:val="008958EE"/>
    <w:pPr>
      <w:numPr>
        <w:ilvl w:val="3"/>
        <w:numId w:val="8"/>
      </w:numPr>
    </w:pPr>
  </w:style>
  <w:style w:type="numbering" w:customStyle="1" w:styleId="ZZNumbersLowerRoman">
    <w:name w:val="ZZ Numbers Lower Roman"/>
    <w:basedOn w:val="ZZQuoteBullets"/>
    <w:rsid w:val="00C149D0"/>
    <w:pPr>
      <w:numPr>
        <w:numId w:val="13"/>
      </w:numPr>
    </w:pPr>
  </w:style>
  <w:style w:type="numbering" w:customStyle="1" w:styleId="ZZNumbersLowerAlpha">
    <w:name w:val="ZZ Numbers Lower Alpha"/>
    <w:basedOn w:val="NoList"/>
    <w:rsid w:val="00C01AB1"/>
    <w:pPr>
      <w:numPr>
        <w:numId w:val="20"/>
      </w:numPr>
    </w:pPr>
  </w:style>
  <w:style w:type="paragraph" w:customStyle="1" w:styleId="DHHSquotebullet1">
    <w:name w:val="DHHS quote bullet 1"/>
    <w:basedOn w:val="DHHSquote"/>
    <w:rsid w:val="005C5D80"/>
    <w:pPr>
      <w:numPr>
        <w:numId w:val="11"/>
      </w:numPr>
    </w:pPr>
  </w:style>
  <w:style w:type="paragraph" w:customStyle="1" w:styleId="DHHSquotebullet2">
    <w:name w:val="DHHS quote bullet 2"/>
    <w:basedOn w:val="DHHSquote"/>
    <w:rsid w:val="005C5D80"/>
    <w:pPr>
      <w:numPr>
        <w:ilvl w:val="1"/>
        <w:numId w:val="11"/>
      </w:numPr>
    </w:pPr>
  </w:style>
  <w:style w:type="paragraph" w:customStyle="1" w:styleId="DHHStablebullet">
    <w:name w:val="DHHS table bullet"/>
    <w:basedOn w:val="DHHStabletext"/>
    <w:uiPriority w:val="3"/>
    <w:qFormat/>
    <w:rsid w:val="00A243D2"/>
    <w:pPr>
      <w:ind w:left="227" w:hanging="227"/>
    </w:pPr>
  </w:style>
  <w:style w:type="paragraph" w:customStyle="1" w:styleId="DHHSbulletindent">
    <w:name w:val="DHHS bullet indent"/>
    <w:basedOn w:val="DHHSbody"/>
    <w:uiPriority w:val="4"/>
    <w:rsid w:val="00A243D2"/>
    <w:pPr>
      <w:spacing w:after="40"/>
      <w:ind w:left="680" w:hanging="283"/>
    </w:pPr>
  </w:style>
  <w:style w:type="paragraph" w:customStyle="1" w:styleId="DHHSbullet1lastline">
    <w:name w:val="DHHS bullet 1 last line"/>
    <w:basedOn w:val="DHHSbullet1"/>
    <w:qFormat/>
    <w:rsid w:val="00A243D2"/>
    <w:pPr>
      <w:numPr>
        <w:numId w:val="0"/>
      </w:numPr>
      <w:spacing w:after="120"/>
      <w:ind w:left="284" w:hanging="284"/>
    </w:pPr>
  </w:style>
  <w:style w:type="paragraph" w:customStyle="1" w:styleId="DHHSbullet2lastline">
    <w:name w:val="DHHS bullet 2 last line"/>
    <w:basedOn w:val="DHHSbullet2"/>
    <w:uiPriority w:val="2"/>
    <w:qFormat/>
    <w:rsid w:val="00A243D2"/>
    <w:pPr>
      <w:numPr>
        <w:ilvl w:val="0"/>
        <w:numId w:val="0"/>
      </w:numPr>
      <w:spacing w:after="120"/>
      <w:ind w:left="567" w:hanging="283"/>
    </w:pPr>
  </w:style>
  <w:style w:type="paragraph" w:customStyle="1" w:styleId="DHHSbulletindentlastline">
    <w:name w:val="DHHS bullet indent last line"/>
    <w:basedOn w:val="DHHSbody"/>
    <w:uiPriority w:val="4"/>
    <w:rsid w:val="00A243D2"/>
    <w:pPr>
      <w:ind w:left="680" w:hanging="283"/>
    </w:pPr>
  </w:style>
  <w:style w:type="paragraph" w:styleId="ListParagraph">
    <w:name w:val="List Paragraph"/>
    <w:basedOn w:val="Normal"/>
    <w:uiPriority w:val="72"/>
    <w:qFormat/>
    <w:rsid w:val="006549FE"/>
    <w:pPr>
      <w:ind w:left="720"/>
    </w:pPr>
  </w:style>
  <w:style w:type="paragraph" w:customStyle="1" w:styleId="Tabletext">
    <w:name w:val="Table text"/>
    <w:basedOn w:val="Normal"/>
    <w:qFormat/>
    <w:rsid w:val="006549FE"/>
    <w:pPr>
      <w:spacing w:line="200" w:lineRule="atLeast"/>
    </w:pPr>
    <w:rPr>
      <w:rFonts w:ascii="Verdana" w:eastAsia="Verdana" w:hAnsi="Verdana"/>
      <w:sz w:val="17"/>
      <w:szCs w:val="22"/>
      <w:lang w:val="en-US"/>
    </w:rPr>
  </w:style>
  <w:style w:type="paragraph" w:customStyle="1" w:styleId="Tabletitle">
    <w:name w:val="Table title"/>
    <w:basedOn w:val="Tabletext"/>
    <w:qFormat/>
    <w:rsid w:val="006549FE"/>
    <w:rPr>
      <w:b/>
      <w:color w:val="62B5E5"/>
    </w:rPr>
  </w:style>
  <w:style w:type="paragraph" w:customStyle="1" w:styleId="Sectiontitle">
    <w:name w:val="Section title"/>
    <w:basedOn w:val="Normal"/>
    <w:next w:val="Normal"/>
    <w:qFormat/>
    <w:rsid w:val="00FF0980"/>
    <w:pPr>
      <w:spacing w:after="480" w:line="720" w:lineRule="atLeast"/>
    </w:pPr>
    <w:rPr>
      <w:rFonts w:ascii="Verdana" w:hAnsi="Verdana"/>
      <w:sz w:val="60"/>
      <w:szCs w:val="22"/>
      <w:lang w:val="en-US"/>
    </w:rPr>
  </w:style>
  <w:style w:type="paragraph" w:styleId="TOCHeading">
    <w:name w:val="TOC Heading"/>
    <w:basedOn w:val="Heading1"/>
    <w:next w:val="Normal"/>
    <w:uiPriority w:val="39"/>
    <w:semiHidden/>
    <w:unhideWhenUsed/>
    <w:qFormat/>
    <w:rsid w:val="00E74F82"/>
    <w:pPr>
      <w:spacing w:before="480" w:after="0" w:line="276" w:lineRule="auto"/>
      <w:outlineLvl w:val="9"/>
    </w:pPr>
    <w:rPr>
      <w:rFonts w:ascii="Cambria" w:hAnsi="Cambria" w:cs="Times New Roman"/>
      <w:b/>
      <w:color w:val="365F91"/>
      <w:kern w:val="0"/>
      <w:sz w:val="28"/>
      <w:szCs w:val="28"/>
      <w:lang w:val="en-US" w:eastAsia="ja-JP"/>
    </w:rPr>
  </w:style>
  <w:style w:type="paragraph" w:styleId="BalloonText">
    <w:name w:val="Balloon Text"/>
    <w:basedOn w:val="Normal"/>
    <w:link w:val="BalloonTextChar"/>
    <w:uiPriority w:val="99"/>
    <w:semiHidden/>
    <w:unhideWhenUsed/>
    <w:rsid w:val="00E74F82"/>
    <w:rPr>
      <w:rFonts w:ascii="Tahoma" w:hAnsi="Tahoma" w:cs="Tahoma"/>
      <w:sz w:val="16"/>
      <w:szCs w:val="16"/>
    </w:rPr>
  </w:style>
  <w:style w:type="character" w:customStyle="1" w:styleId="BalloonTextChar">
    <w:name w:val="Balloon Text Char"/>
    <w:link w:val="BalloonText"/>
    <w:uiPriority w:val="99"/>
    <w:semiHidden/>
    <w:rsid w:val="00E74F82"/>
    <w:rPr>
      <w:rFonts w:ascii="Tahoma" w:hAnsi="Tahoma" w:cs="Tahoma"/>
      <w:sz w:val="16"/>
      <w:szCs w:val="16"/>
      <w:lang w:eastAsia="en-US"/>
    </w:rPr>
  </w:style>
  <w:style w:type="paragraph" w:customStyle="1" w:styleId="Lettertext">
    <w:name w:val="Letter text"/>
    <w:basedOn w:val="Normal"/>
    <w:rsid w:val="00790777"/>
    <w:pPr>
      <w:spacing w:line="270" w:lineRule="exact"/>
      <w:jc w:val="both"/>
    </w:pPr>
    <w:rPr>
      <w:rFonts w:ascii="Calibri" w:eastAsia="MS PMincho" w:hAnsi="Calibri"/>
      <w:sz w:val="22"/>
      <w:szCs w:val="22"/>
      <w:lang w:val="en-US"/>
    </w:rPr>
  </w:style>
  <w:style w:type="character" w:customStyle="1" w:styleId="DHHSbodyChar">
    <w:name w:val="DHHS body Char"/>
    <w:link w:val="DHHSbody"/>
    <w:locked/>
    <w:rsid w:val="00646ACA"/>
    <w:rPr>
      <w:rFonts w:ascii="Arial" w:eastAsia="Times" w:hAnsi="Arial"/>
      <w:lang w:eastAsia="en-US"/>
    </w:rPr>
  </w:style>
  <w:style w:type="character" w:customStyle="1" w:styleId="DHHSaccessibilityparaChar">
    <w:name w:val="DHHS accessibility para Char"/>
    <w:link w:val="DHHSaccessibilitypara"/>
    <w:uiPriority w:val="6"/>
    <w:locked/>
    <w:rsid w:val="00646ACA"/>
    <w:rPr>
      <w:rFonts w:ascii="Arial" w:eastAsia="Times" w:hAnsi="Arial"/>
      <w:sz w:val="24"/>
      <w:szCs w:val="19"/>
      <w:lang w:eastAsia="en-US"/>
    </w:rPr>
  </w:style>
  <w:style w:type="paragraph" w:customStyle="1" w:styleId="dhhsbody0">
    <w:name w:val="dhhsbody"/>
    <w:basedOn w:val="Normal"/>
    <w:rsid w:val="00EA4BA6"/>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842BEC"/>
    <w:rPr>
      <w:rFonts w:ascii="Cambria" w:hAnsi="Cambria"/>
      <w:lang w:eastAsia="en-US"/>
    </w:rPr>
  </w:style>
  <w:style w:type="character" w:styleId="CommentReference">
    <w:name w:val="annotation reference"/>
    <w:basedOn w:val="DefaultParagraphFont"/>
    <w:uiPriority w:val="99"/>
    <w:semiHidden/>
    <w:unhideWhenUsed/>
    <w:rsid w:val="00E4182D"/>
    <w:rPr>
      <w:sz w:val="16"/>
      <w:szCs w:val="16"/>
    </w:rPr>
  </w:style>
  <w:style w:type="paragraph" w:styleId="CommentText">
    <w:name w:val="annotation text"/>
    <w:basedOn w:val="Normal"/>
    <w:link w:val="CommentTextChar"/>
    <w:uiPriority w:val="99"/>
    <w:semiHidden/>
    <w:unhideWhenUsed/>
    <w:rsid w:val="00E4182D"/>
  </w:style>
  <w:style w:type="character" w:customStyle="1" w:styleId="CommentTextChar">
    <w:name w:val="Comment Text Char"/>
    <w:basedOn w:val="DefaultParagraphFont"/>
    <w:link w:val="CommentText"/>
    <w:uiPriority w:val="99"/>
    <w:semiHidden/>
    <w:rsid w:val="00E4182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E4182D"/>
    <w:rPr>
      <w:b/>
      <w:bCs/>
    </w:rPr>
  </w:style>
  <w:style w:type="character" w:customStyle="1" w:styleId="CommentSubjectChar">
    <w:name w:val="Comment Subject Char"/>
    <w:basedOn w:val="CommentTextChar"/>
    <w:link w:val="CommentSubject"/>
    <w:uiPriority w:val="99"/>
    <w:semiHidden/>
    <w:rsid w:val="00E4182D"/>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4289">
      <w:bodyDiv w:val="1"/>
      <w:marLeft w:val="0"/>
      <w:marRight w:val="0"/>
      <w:marTop w:val="0"/>
      <w:marBottom w:val="0"/>
      <w:divBdr>
        <w:top w:val="none" w:sz="0" w:space="0" w:color="auto"/>
        <w:left w:val="none" w:sz="0" w:space="0" w:color="auto"/>
        <w:bottom w:val="none" w:sz="0" w:space="0" w:color="auto"/>
        <w:right w:val="none" w:sz="0" w:space="0" w:color="auto"/>
      </w:divBdr>
      <w:divsChild>
        <w:div w:id="1209099655">
          <w:marLeft w:val="0"/>
          <w:marRight w:val="0"/>
          <w:marTop w:val="0"/>
          <w:marBottom w:val="0"/>
          <w:divBdr>
            <w:top w:val="none" w:sz="0" w:space="0" w:color="auto"/>
            <w:left w:val="none" w:sz="0" w:space="0" w:color="auto"/>
            <w:bottom w:val="none" w:sz="0" w:space="0" w:color="auto"/>
            <w:right w:val="none" w:sz="0" w:space="0" w:color="auto"/>
          </w:divBdr>
        </w:div>
      </w:divsChild>
    </w:div>
    <w:div w:id="685253998">
      <w:bodyDiv w:val="1"/>
      <w:marLeft w:val="0"/>
      <w:marRight w:val="0"/>
      <w:marTop w:val="0"/>
      <w:marBottom w:val="0"/>
      <w:divBdr>
        <w:top w:val="none" w:sz="0" w:space="0" w:color="auto"/>
        <w:left w:val="none" w:sz="0" w:space="0" w:color="auto"/>
        <w:bottom w:val="none" w:sz="0" w:space="0" w:color="auto"/>
        <w:right w:val="none" w:sz="0" w:space="0" w:color="auto"/>
      </w:divBdr>
    </w:div>
    <w:div w:id="950553153">
      <w:bodyDiv w:val="1"/>
      <w:marLeft w:val="0"/>
      <w:marRight w:val="0"/>
      <w:marTop w:val="0"/>
      <w:marBottom w:val="0"/>
      <w:divBdr>
        <w:top w:val="none" w:sz="0" w:space="0" w:color="auto"/>
        <w:left w:val="none" w:sz="0" w:space="0" w:color="auto"/>
        <w:bottom w:val="none" w:sz="0" w:space="0" w:color="auto"/>
        <w:right w:val="none" w:sz="0" w:space="0" w:color="auto"/>
      </w:divBdr>
      <w:divsChild>
        <w:div w:id="1211334376">
          <w:marLeft w:val="0"/>
          <w:marRight w:val="0"/>
          <w:marTop w:val="0"/>
          <w:marBottom w:val="0"/>
          <w:divBdr>
            <w:top w:val="none" w:sz="0" w:space="0" w:color="auto"/>
            <w:left w:val="none" w:sz="0" w:space="0" w:color="auto"/>
            <w:bottom w:val="none" w:sz="0" w:space="0" w:color="auto"/>
            <w:right w:val="none" w:sz="0" w:space="0" w:color="auto"/>
          </w:divBdr>
        </w:div>
      </w:divsChild>
    </w:div>
    <w:div w:id="1206792521">
      <w:bodyDiv w:val="1"/>
      <w:marLeft w:val="0"/>
      <w:marRight w:val="0"/>
      <w:marTop w:val="0"/>
      <w:marBottom w:val="0"/>
      <w:divBdr>
        <w:top w:val="none" w:sz="0" w:space="0" w:color="auto"/>
        <w:left w:val="none" w:sz="0" w:space="0" w:color="auto"/>
        <w:bottom w:val="none" w:sz="0" w:space="0" w:color="auto"/>
        <w:right w:val="none" w:sz="0" w:space="0" w:color="auto"/>
      </w:divBdr>
      <w:divsChild>
        <w:div w:id="1647660560">
          <w:marLeft w:val="0"/>
          <w:marRight w:val="0"/>
          <w:marTop w:val="0"/>
          <w:marBottom w:val="0"/>
          <w:divBdr>
            <w:top w:val="none" w:sz="0" w:space="0" w:color="auto"/>
            <w:left w:val="none" w:sz="0" w:space="0" w:color="auto"/>
            <w:bottom w:val="none" w:sz="0" w:space="0" w:color="auto"/>
            <w:right w:val="none" w:sz="0" w:space="0" w:color="auto"/>
          </w:divBdr>
          <w:divsChild>
            <w:div w:id="177425603">
              <w:marLeft w:val="0"/>
              <w:marRight w:val="0"/>
              <w:marTop w:val="0"/>
              <w:marBottom w:val="0"/>
              <w:divBdr>
                <w:top w:val="none" w:sz="0" w:space="0" w:color="auto"/>
                <w:left w:val="none" w:sz="0" w:space="0" w:color="auto"/>
                <w:bottom w:val="none" w:sz="0" w:space="0" w:color="auto"/>
                <w:right w:val="none" w:sz="0" w:space="0" w:color="auto"/>
              </w:divBdr>
              <w:divsChild>
                <w:div w:id="1603682676">
                  <w:marLeft w:val="0"/>
                  <w:marRight w:val="0"/>
                  <w:marTop w:val="0"/>
                  <w:marBottom w:val="0"/>
                  <w:divBdr>
                    <w:top w:val="none" w:sz="0" w:space="0" w:color="auto"/>
                    <w:left w:val="none" w:sz="0" w:space="0" w:color="auto"/>
                    <w:bottom w:val="none" w:sz="0" w:space="0" w:color="auto"/>
                    <w:right w:val="none" w:sz="0" w:space="0" w:color="auto"/>
                  </w:divBdr>
                  <w:divsChild>
                    <w:div w:id="1012799485">
                      <w:marLeft w:val="0"/>
                      <w:marRight w:val="0"/>
                      <w:marTop w:val="0"/>
                      <w:marBottom w:val="0"/>
                      <w:divBdr>
                        <w:top w:val="none" w:sz="0" w:space="0" w:color="auto"/>
                        <w:left w:val="none" w:sz="0" w:space="0" w:color="auto"/>
                        <w:bottom w:val="none" w:sz="0" w:space="0" w:color="auto"/>
                        <w:right w:val="none" w:sz="0" w:space="0" w:color="auto"/>
                      </w:divBdr>
                      <w:divsChild>
                        <w:div w:id="421532204">
                          <w:marLeft w:val="0"/>
                          <w:marRight w:val="0"/>
                          <w:marTop w:val="0"/>
                          <w:marBottom w:val="0"/>
                          <w:divBdr>
                            <w:top w:val="none" w:sz="0" w:space="0" w:color="auto"/>
                            <w:left w:val="none" w:sz="0" w:space="0" w:color="auto"/>
                            <w:bottom w:val="none" w:sz="0" w:space="0" w:color="auto"/>
                            <w:right w:val="none" w:sz="0" w:space="0" w:color="auto"/>
                          </w:divBdr>
                          <w:divsChild>
                            <w:div w:id="24647695">
                              <w:marLeft w:val="0"/>
                              <w:marRight w:val="0"/>
                              <w:marTop w:val="0"/>
                              <w:marBottom w:val="0"/>
                              <w:divBdr>
                                <w:top w:val="none" w:sz="0" w:space="0" w:color="auto"/>
                                <w:left w:val="none" w:sz="0" w:space="0" w:color="auto"/>
                                <w:bottom w:val="none" w:sz="0" w:space="0" w:color="auto"/>
                                <w:right w:val="none" w:sz="0" w:space="0" w:color="auto"/>
                              </w:divBdr>
                              <w:divsChild>
                                <w:div w:id="763107576">
                                  <w:marLeft w:val="0"/>
                                  <w:marRight w:val="0"/>
                                  <w:marTop w:val="0"/>
                                  <w:marBottom w:val="0"/>
                                  <w:divBdr>
                                    <w:top w:val="none" w:sz="0" w:space="0" w:color="auto"/>
                                    <w:left w:val="none" w:sz="0" w:space="0" w:color="auto"/>
                                    <w:bottom w:val="none" w:sz="0" w:space="0" w:color="auto"/>
                                    <w:right w:val="none" w:sz="0" w:space="0" w:color="auto"/>
                                  </w:divBdr>
                                  <w:divsChild>
                                    <w:div w:id="1058086198">
                                      <w:marLeft w:val="0"/>
                                      <w:marRight w:val="0"/>
                                      <w:marTop w:val="0"/>
                                      <w:marBottom w:val="0"/>
                                      <w:divBdr>
                                        <w:top w:val="none" w:sz="0" w:space="0" w:color="auto"/>
                                        <w:left w:val="none" w:sz="0" w:space="0" w:color="auto"/>
                                        <w:bottom w:val="none" w:sz="0" w:space="0" w:color="auto"/>
                                        <w:right w:val="none" w:sz="0" w:space="0" w:color="auto"/>
                                      </w:divBdr>
                                      <w:divsChild>
                                        <w:div w:id="17135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095413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571692872">
      <w:bodyDiv w:val="1"/>
      <w:marLeft w:val="0"/>
      <w:marRight w:val="0"/>
      <w:marTop w:val="0"/>
      <w:marBottom w:val="0"/>
      <w:divBdr>
        <w:top w:val="none" w:sz="0" w:space="0" w:color="auto"/>
        <w:left w:val="none" w:sz="0" w:space="0" w:color="auto"/>
        <w:bottom w:val="none" w:sz="0" w:space="0" w:color="auto"/>
        <w:right w:val="none" w:sz="0" w:space="0" w:color="auto"/>
      </w:divBdr>
      <w:divsChild>
        <w:div w:id="909313864">
          <w:marLeft w:val="0"/>
          <w:marRight w:val="0"/>
          <w:marTop w:val="0"/>
          <w:marBottom w:val="0"/>
          <w:divBdr>
            <w:top w:val="none" w:sz="0" w:space="0" w:color="auto"/>
            <w:left w:val="none" w:sz="0" w:space="0" w:color="auto"/>
            <w:bottom w:val="none" w:sz="0" w:space="0" w:color="auto"/>
            <w:right w:val="none" w:sz="0" w:space="0" w:color="auto"/>
          </w:divBdr>
        </w:div>
      </w:divsChild>
    </w:div>
    <w:div w:id="1627850890">
      <w:bodyDiv w:val="1"/>
      <w:marLeft w:val="0"/>
      <w:marRight w:val="0"/>
      <w:marTop w:val="0"/>
      <w:marBottom w:val="0"/>
      <w:divBdr>
        <w:top w:val="none" w:sz="0" w:space="0" w:color="auto"/>
        <w:left w:val="none" w:sz="0" w:space="0" w:color="auto"/>
        <w:bottom w:val="none" w:sz="0" w:space="0" w:color="auto"/>
        <w:right w:val="none" w:sz="0" w:space="0" w:color="auto"/>
      </w:divBdr>
    </w:div>
    <w:div w:id="1671369589">
      <w:bodyDiv w:val="1"/>
      <w:marLeft w:val="0"/>
      <w:marRight w:val="0"/>
      <w:marTop w:val="0"/>
      <w:marBottom w:val="0"/>
      <w:divBdr>
        <w:top w:val="none" w:sz="0" w:space="0" w:color="auto"/>
        <w:left w:val="none" w:sz="0" w:space="0" w:color="auto"/>
        <w:bottom w:val="none" w:sz="0" w:space="0" w:color="auto"/>
        <w:right w:val="none" w:sz="0" w:space="0" w:color="auto"/>
      </w:divBdr>
      <w:divsChild>
        <w:div w:id="1161385779">
          <w:marLeft w:val="0"/>
          <w:marRight w:val="0"/>
          <w:marTop w:val="0"/>
          <w:marBottom w:val="0"/>
          <w:divBdr>
            <w:top w:val="none" w:sz="0" w:space="0" w:color="auto"/>
            <w:left w:val="none" w:sz="0" w:space="0" w:color="auto"/>
            <w:bottom w:val="none" w:sz="0" w:space="0" w:color="auto"/>
            <w:right w:val="none" w:sz="0" w:space="0" w:color="auto"/>
          </w:divBdr>
          <w:divsChild>
            <w:div w:id="1919366580">
              <w:marLeft w:val="0"/>
              <w:marRight w:val="0"/>
              <w:marTop w:val="0"/>
              <w:marBottom w:val="0"/>
              <w:divBdr>
                <w:top w:val="none" w:sz="0" w:space="0" w:color="auto"/>
                <w:left w:val="none" w:sz="0" w:space="0" w:color="auto"/>
                <w:bottom w:val="none" w:sz="0" w:space="0" w:color="auto"/>
                <w:right w:val="none" w:sz="0" w:space="0" w:color="auto"/>
              </w:divBdr>
              <w:divsChild>
                <w:div w:id="1968661457">
                  <w:marLeft w:val="0"/>
                  <w:marRight w:val="0"/>
                  <w:marTop w:val="0"/>
                  <w:marBottom w:val="0"/>
                  <w:divBdr>
                    <w:top w:val="none" w:sz="0" w:space="0" w:color="auto"/>
                    <w:left w:val="none" w:sz="0" w:space="0" w:color="auto"/>
                    <w:bottom w:val="none" w:sz="0" w:space="0" w:color="auto"/>
                    <w:right w:val="none" w:sz="0" w:space="0" w:color="auto"/>
                  </w:divBdr>
                  <w:divsChild>
                    <w:div w:id="856576516">
                      <w:marLeft w:val="0"/>
                      <w:marRight w:val="0"/>
                      <w:marTop w:val="0"/>
                      <w:marBottom w:val="0"/>
                      <w:divBdr>
                        <w:top w:val="none" w:sz="0" w:space="0" w:color="auto"/>
                        <w:left w:val="none" w:sz="0" w:space="0" w:color="auto"/>
                        <w:bottom w:val="none" w:sz="0" w:space="0" w:color="auto"/>
                        <w:right w:val="none" w:sz="0" w:space="0" w:color="auto"/>
                      </w:divBdr>
                      <w:divsChild>
                        <w:div w:id="1595241375">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147484540">
                                  <w:marLeft w:val="0"/>
                                  <w:marRight w:val="0"/>
                                  <w:marTop w:val="0"/>
                                  <w:marBottom w:val="0"/>
                                  <w:divBdr>
                                    <w:top w:val="none" w:sz="0" w:space="0" w:color="auto"/>
                                    <w:left w:val="none" w:sz="0" w:space="0" w:color="auto"/>
                                    <w:bottom w:val="none" w:sz="0" w:space="0" w:color="auto"/>
                                    <w:right w:val="none" w:sz="0" w:space="0" w:color="auto"/>
                                  </w:divBdr>
                                  <w:divsChild>
                                    <w:div w:id="1517961501">
                                      <w:marLeft w:val="0"/>
                                      <w:marRight w:val="0"/>
                                      <w:marTop w:val="0"/>
                                      <w:marBottom w:val="0"/>
                                      <w:divBdr>
                                        <w:top w:val="none" w:sz="0" w:space="0" w:color="auto"/>
                                        <w:left w:val="none" w:sz="0" w:space="0" w:color="auto"/>
                                        <w:bottom w:val="none" w:sz="0" w:space="0" w:color="auto"/>
                                        <w:right w:val="none" w:sz="0" w:space="0" w:color="auto"/>
                                      </w:divBdr>
                                      <w:divsChild>
                                        <w:div w:id="340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3707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bleau.deloitte.com.au/" TargetMode="External"/><Relationship Id="rId18" Type="http://schemas.openxmlformats.org/officeDocument/2006/relationships/hyperlink" Target="https://tableau.deloitte.com.au/" TargetMode="External"/><Relationship Id="rId26" Type="http://schemas.microsoft.com/office/2007/relationships/diagramDrawing" Target="diagrams/drawing1.xml"/><Relationship Id="rId39" Type="http://schemas.openxmlformats.org/officeDocument/2006/relationships/hyperlink" Target="http://www.ndis.gov.au/providers" TargetMode="External"/><Relationship Id="rId3" Type="http://schemas.openxmlformats.org/officeDocument/2006/relationships/styles" Target="styles.xml"/><Relationship Id="rId21" Type="http://schemas.openxmlformats.org/officeDocument/2006/relationships/hyperlink" Target="file:///\\N028\GROUP\COSP\NDIS\2.%20Policy%20Coordination%20Unit\2.2%20Finance%20and%20Information%20Management\Service%20Agreement%20variations\Comms\Distributions\20170725%20updated%20FAQs%20for%20providers\NDIS.data@dhhs.vic.gov.au" TargetMode="External"/><Relationship Id="rId34" Type="http://schemas.openxmlformats.org/officeDocument/2006/relationships/image" Target="media/image8.png"/><Relationship Id="rId42" Type="http://schemas.openxmlformats.org/officeDocument/2006/relationships/hyperlink" Target="https://providertoolkit.ndis.gov.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c.gov.au/ndis/service-providers.html" TargetMode="External"/><Relationship Id="rId17" Type="http://schemas.openxmlformats.org/officeDocument/2006/relationships/hyperlink" Target="https://www.vic.gov.au/ndis/service-providers.html" TargetMode="External"/><Relationship Id="rId25"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hyperlink" Target="http://www.ndis.gov.a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N028\GROUP\COSP\NDIS\2.%20Policy%20Coordination%20Unit\2.2%20Finance%20and%20Information%20Management\Service%20Agreement%20variations\Comms\Distributions\20170725%20updated%20FAQs%20for%20providers\NDIS.data@vic.gov.au%20" TargetMode="External"/><Relationship Id="rId20" Type="http://schemas.openxmlformats.org/officeDocument/2006/relationships/hyperlink" Target="file:///\\N028\GROUP\COSP\NDIS\2.%20Policy%20Coordination%20Unit\2.2%20Finance%20and%20Information%20Management\Service%20Agreement%20variations\Comms\Distributions\20170725%20updated%20FAQs%20for%20providers\NDIS.data@dhhs.vic.gov.au%20" TargetMode="External"/><Relationship Id="rId29" Type="http://schemas.openxmlformats.org/officeDocument/2006/relationships/image" Target="media/image5.png"/><Relationship Id="rId41" Type="http://schemas.openxmlformats.org/officeDocument/2006/relationships/hyperlink" Target="https://www.vic.gov.au/ndis/rollout-in-victo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vidertoolkit.ndis.gov.au/frequently-asked-questions" TargetMode="External"/><Relationship Id="rId24" Type="http://schemas.openxmlformats.org/officeDocument/2006/relationships/diagramQuickStyle" Target="diagrams/quickStyle1.xml"/><Relationship Id="rId32" Type="http://schemas.openxmlformats.org/officeDocument/2006/relationships/footer" Target="footer2.xml"/><Relationship Id="rId37" Type="http://schemas.openxmlformats.org/officeDocument/2006/relationships/image" Target="media/image11.png"/><Relationship Id="rId40" Type="http://schemas.openxmlformats.org/officeDocument/2006/relationships/hyperlink" Target="http://www.vic.gov.au/ndis.html" TargetMode="External"/><Relationship Id="rId45" Type="http://schemas.openxmlformats.org/officeDocument/2006/relationships/hyperlink" Target="https://www.vic.gov.au/ndis/service-providers.html" TargetMode="External"/><Relationship Id="rId5" Type="http://schemas.openxmlformats.org/officeDocument/2006/relationships/webSettings" Target="webSettings.xml"/><Relationship Id="rId15" Type="http://schemas.openxmlformats.org/officeDocument/2006/relationships/hyperlink" Target="https://www.vic.gov.au/ndis/service-providers.html" TargetMode="External"/><Relationship Id="rId23" Type="http://schemas.openxmlformats.org/officeDocument/2006/relationships/diagramLayout" Target="diagrams/layout1.xml"/><Relationship Id="rId28" Type="http://schemas.openxmlformats.org/officeDocument/2006/relationships/image" Target="media/image4.png"/><Relationship Id="rId36" Type="http://schemas.openxmlformats.org/officeDocument/2006/relationships/image" Target="media/image10.png"/><Relationship Id="rId10" Type="http://schemas.openxmlformats.org/officeDocument/2006/relationships/hyperlink" Target="https://providertoolkit.ndis.gov.au/" TargetMode="External"/><Relationship Id="rId19" Type="http://schemas.openxmlformats.org/officeDocument/2006/relationships/hyperlink" Target="https://tableau.deloitte.com.au/" TargetMode="External"/><Relationship Id="rId31" Type="http://schemas.openxmlformats.org/officeDocument/2006/relationships/header" Target="header1.xml"/><Relationship Id="rId44" Type="http://schemas.openxmlformats.org/officeDocument/2006/relationships/hyperlink" Target="mailto:publishing.services@dhhs.vi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vic.gov.au/ndis/service-providers.html" TargetMode="External"/><Relationship Id="rId22" Type="http://schemas.openxmlformats.org/officeDocument/2006/relationships/diagramData" Target="diagrams/data1.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www.ndis.gov.au/about-us/our-sites/VIC.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04ED7-9243-470B-91A2-D1F926F6EC0E}"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en-AU"/>
        </a:p>
      </dgm:t>
    </dgm:pt>
    <dgm:pt modelId="{8295F4DA-8F44-4FFD-8981-47E06A62562E}" type="asst">
      <dgm:prSet phldrT="[Text]" custT="1"/>
      <dgm:spPr>
        <a:xfrm>
          <a:off x="1356305" y="2019341"/>
          <a:ext cx="1116676" cy="357336"/>
        </a:xfrm>
      </dgm:spPr>
      <dgm:t>
        <a:bodyPr/>
        <a:lstStyle/>
        <a:p>
          <a:r>
            <a:rPr lang="en-AU" sz="1000"/>
            <a:t>Is there </a:t>
          </a:r>
          <a:r>
            <a:rPr lang="en-AU" sz="1000">
              <a:solidFill>
                <a:sysClr val="windowText" lastClr="000000"/>
              </a:solidFill>
            </a:rPr>
            <a:t>sufficient funding for the activity within any Disability Services Plan?</a:t>
          </a:r>
        </a:p>
      </dgm:t>
    </dgm:pt>
    <dgm:pt modelId="{8986B21F-61CF-46F4-A5F8-178656EC2902}" type="parTrans" cxnId="{8E838730-8EAE-4D1B-A1B1-6B44C4A3A69D}">
      <dgm:prSet/>
      <dgm:spPr>
        <a:xfrm>
          <a:off x="2126812" y="1684339"/>
          <a:ext cx="1814598" cy="335002"/>
        </a:xfrm>
      </dgm:spPr>
      <dgm:t>
        <a:bodyPr/>
        <a:lstStyle/>
        <a:p>
          <a:endParaRPr lang="en-AU" sz="1000"/>
        </a:p>
      </dgm:t>
    </dgm:pt>
    <dgm:pt modelId="{CA94C997-B150-40CA-9E91-098C469C4353}" type="sibTrans" cxnId="{8E838730-8EAE-4D1B-A1B1-6B44C4A3A69D}">
      <dgm:prSet/>
      <dgm:spPr/>
      <dgm:t>
        <a:bodyPr/>
        <a:lstStyle/>
        <a:p>
          <a:endParaRPr lang="en-AU" sz="1000"/>
        </a:p>
      </dgm:t>
    </dgm:pt>
    <dgm:pt modelId="{C149935B-3FDA-4C3B-A6DD-807B0CC7F301}" type="asst">
      <dgm:prSet phldrT="[Text]" custT="1"/>
      <dgm:spPr>
        <a:xfrm>
          <a:off x="680716" y="2812181"/>
          <a:ext cx="1116676" cy="357336"/>
        </a:xfrm>
      </dgm:spPr>
      <dgm:t>
        <a:bodyPr/>
        <a:lstStyle/>
        <a:p>
          <a:r>
            <a:rPr lang="en-AU" sz="1000"/>
            <a:t>Yes</a:t>
          </a:r>
        </a:p>
      </dgm:t>
    </dgm:pt>
    <dgm:pt modelId="{B1BEAF92-7060-422F-ABB5-FA72CB5241B2}" type="parTrans" cxnId="{4AAD8097-3FFC-43CB-AB27-96578C957EB7}">
      <dgm:prSet/>
      <dgm:spPr>
        <a:xfrm>
          <a:off x="1451223" y="2477179"/>
          <a:ext cx="463420" cy="335002"/>
        </a:xfrm>
      </dgm:spPr>
      <dgm:t>
        <a:bodyPr/>
        <a:lstStyle/>
        <a:p>
          <a:endParaRPr lang="en-AU"/>
        </a:p>
      </dgm:t>
    </dgm:pt>
    <dgm:pt modelId="{647B6BB2-6083-424D-8F9F-D4BB66559582}" type="sibTrans" cxnId="{4AAD8097-3FFC-43CB-AB27-96578C957EB7}">
      <dgm:prSet/>
      <dgm:spPr/>
      <dgm:t>
        <a:bodyPr/>
        <a:lstStyle/>
        <a:p>
          <a:endParaRPr lang="en-AU" sz="1000"/>
        </a:p>
      </dgm:t>
    </dgm:pt>
    <dgm:pt modelId="{6EC3ED81-1ED9-4549-B0B1-72084A0B8680}" type="asst">
      <dgm:prSet phldrT="[Text]" custT="1"/>
      <dgm:spPr>
        <a:xfrm>
          <a:off x="5127" y="3605021"/>
          <a:ext cx="1116676" cy="357336"/>
        </a:xfrm>
      </dgm:spPr>
      <dgm:t>
        <a:bodyPr/>
        <a:lstStyle/>
        <a:p>
          <a:r>
            <a:rPr lang="en-AU" sz="1000"/>
            <a:t>Full variation processed against the activity.</a:t>
          </a:r>
        </a:p>
        <a:p>
          <a:r>
            <a:rPr lang="en-AU" sz="1000"/>
            <a:t> </a:t>
          </a:r>
          <a:r>
            <a:rPr lang="en-AU" sz="1000">
              <a:solidFill>
                <a:sysClr val="windowText" lastClr="000000"/>
              </a:solidFill>
            </a:rPr>
            <a:t>See Table 1 </a:t>
          </a:r>
        </a:p>
      </dgm:t>
    </dgm:pt>
    <dgm:pt modelId="{A7081395-664A-4C55-9110-8C48A0E3FE16}" type="parTrans" cxnId="{C1542D49-3E6B-4E4A-AA8C-FCE72F11DA67}">
      <dgm:prSet/>
      <dgm:spPr>
        <a:xfrm>
          <a:off x="775634" y="3270019"/>
          <a:ext cx="463420" cy="335002"/>
        </a:xfrm>
      </dgm:spPr>
      <dgm:t>
        <a:bodyPr/>
        <a:lstStyle/>
        <a:p>
          <a:endParaRPr lang="en-AU"/>
        </a:p>
      </dgm:t>
    </dgm:pt>
    <dgm:pt modelId="{B2B8184F-17C5-4705-AF5B-367AF08FD2C5}" type="sibTrans" cxnId="{C1542D49-3E6B-4E4A-AA8C-FCE72F11DA67}">
      <dgm:prSet/>
      <dgm:spPr/>
      <dgm:t>
        <a:bodyPr/>
        <a:lstStyle/>
        <a:p>
          <a:endParaRPr lang="en-AU" sz="1000"/>
        </a:p>
      </dgm:t>
    </dgm:pt>
    <dgm:pt modelId="{B73C65F3-F8EC-45B9-A98F-A1043A9A675C}" type="asst">
      <dgm:prSet phldrT="[Text]" custT="1"/>
      <dgm:spPr>
        <a:xfrm>
          <a:off x="2707483" y="2812181"/>
          <a:ext cx="1116676" cy="357336"/>
        </a:xfrm>
      </dgm:spPr>
      <dgm:t>
        <a:bodyPr/>
        <a:lstStyle/>
        <a:p>
          <a:r>
            <a:rPr lang="en-AU" sz="1000"/>
            <a:t>No</a:t>
          </a:r>
        </a:p>
      </dgm:t>
    </dgm:pt>
    <dgm:pt modelId="{A15B6741-B162-499F-9080-CA0D0D6865BB}" type="parTrans" cxnId="{DFF4F1F2-2936-496D-815C-09EE4A9541C5}">
      <dgm:prSet/>
      <dgm:spPr>
        <a:xfrm>
          <a:off x="1914643" y="2477179"/>
          <a:ext cx="1139009" cy="335002"/>
        </a:xfrm>
      </dgm:spPr>
      <dgm:t>
        <a:bodyPr/>
        <a:lstStyle/>
        <a:p>
          <a:endParaRPr lang="en-AU"/>
        </a:p>
      </dgm:t>
    </dgm:pt>
    <dgm:pt modelId="{ACAE46CE-E7A7-4ACE-9855-BED0A1B02F70}" type="sibTrans" cxnId="{DFF4F1F2-2936-496D-815C-09EE4A9541C5}">
      <dgm:prSet/>
      <dgm:spPr/>
      <dgm:t>
        <a:bodyPr/>
        <a:lstStyle/>
        <a:p>
          <a:endParaRPr lang="en-AU" sz="1000"/>
        </a:p>
      </dgm:t>
    </dgm:pt>
    <dgm:pt modelId="{D4C7B0C8-1A2A-40B1-BE34-8FF5BA5F9CC0}" type="asst">
      <dgm:prSet phldrT="[Text]" custT="1"/>
      <dgm:spPr>
        <a:xfrm>
          <a:off x="2031894" y="3605021"/>
          <a:ext cx="1116676" cy="357336"/>
        </a:xfrm>
      </dgm:spPr>
      <dgm:t>
        <a:bodyPr/>
        <a:lstStyle/>
        <a:p>
          <a:r>
            <a:rPr lang="en-AU" sz="1000"/>
            <a:t>Is there sufficient funding against </a:t>
          </a:r>
          <a:r>
            <a:rPr lang="en-AU" sz="1000">
              <a:solidFill>
                <a:sysClr val="windowText" lastClr="000000"/>
              </a:solidFill>
            </a:rPr>
            <a:t>other disability activities? </a:t>
          </a:r>
        </a:p>
      </dgm:t>
    </dgm:pt>
    <dgm:pt modelId="{D98CE7ED-87C5-418C-B8A6-F11F11D2DD40}" type="parTrans" cxnId="{028C246A-4A7A-4E7A-8B1C-2E0847BA3B93}">
      <dgm:prSet/>
      <dgm:spPr/>
      <dgm:t>
        <a:bodyPr/>
        <a:lstStyle/>
        <a:p>
          <a:endParaRPr lang="en-AU" sz="1000"/>
        </a:p>
      </dgm:t>
    </dgm:pt>
    <dgm:pt modelId="{7E88D106-48A2-4969-AA06-9DAC6CD0A040}" type="sibTrans" cxnId="{028C246A-4A7A-4E7A-8B1C-2E0847BA3B93}">
      <dgm:prSet/>
      <dgm:spPr/>
      <dgm:t>
        <a:bodyPr/>
        <a:lstStyle/>
        <a:p>
          <a:endParaRPr lang="en-AU" sz="1000"/>
        </a:p>
      </dgm:t>
    </dgm:pt>
    <dgm:pt modelId="{3B1ECB01-A011-498D-A42E-698A0AFC3506}" type="asst">
      <dgm:prSet phldrT="[Text]" custT="1"/>
      <dgm:spPr>
        <a:xfrm>
          <a:off x="2031894" y="3605021"/>
          <a:ext cx="1116676" cy="357336"/>
        </a:xfrm>
      </dgm:spPr>
      <dgm:t>
        <a:bodyPr/>
        <a:lstStyle/>
        <a:p>
          <a:r>
            <a:rPr lang="en-AU" sz="1000"/>
            <a:t>No</a:t>
          </a:r>
        </a:p>
      </dgm:t>
    </dgm:pt>
    <dgm:pt modelId="{50B99EC7-8A00-41F0-A47F-9B523193D88A}" type="parTrans" cxnId="{B0099306-09F5-40C9-AB9C-C887E66DAC4D}">
      <dgm:prSet/>
      <dgm:spPr/>
      <dgm:t>
        <a:bodyPr/>
        <a:lstStyle/>
        <a:p>
          <a:endParaRPr lang="en-AU" sz="1000"/>
        </a:p>
      </dgm:t>
    </dgm:pt>
    <dgm:pt modelId="{4D93E71E-EE03-44AA-988C-BD6FE666D8D3}" type="sibTrans" cxnId="{B0099306-09F5-40C9-AB9C-C887E66DAC4D}">
      <dgm:prSet/>
      <dgm:spPr/>
      <dgm:t>
        <a:bodyPr/>
        <a:lstStyle/>
        <a:p>
          <a:endParaRPr lang="en-AU" sz="1000"/>
        </a:p>
      </dgm:t>
    </dgm:pt>
    <dgm:pt modelId="{565D44F6-A039-4299-AA8E-A64EEB508CF2}" type="asst">
      <dgm:prSet phldrT="[Text]" custT="1"/>
      <dgm:spPr>
        <a:xfrm>
          <a:off x="2031894" y="3605021"/>
          <a:ext cx="1116676" cy="357336"/>
        </a:xfrm>
      </dgm:spPr>
      <dgm:t>
        <a:bodyPr/>
        <a:lstStyle/>
        <a:p>
          <a:r>
            <a:rPr lang="en-AU" sz="1000"/>
            <a:t>Full </a:t>
          </a:r>
          <a:r>
            <a:rPr lang="en-AU" sz="1000">
              <a:solidFill>
                <a:sysClr val="windowText" lastClr="000000"/>
              </a:solidFill>
            </a:rPr>
            <a:t>variation processed against the funding withdrawal activity resulting in a negative balance. </a:t>
          </a:r>
        </a:p>
        <a:p>
          <a:r>
            <a:rPr lang="en-AU" sz="1000">
              <a:solidFill>
                <a:sysClr val="windowText" lastClr="000000"/>
              </a:solidFill>
            </a:rPr>
            <a:t>See Table 2 </a:t>
          </a:r>
        </a:p>
      </dgm:t>
    </dgm:pt>
    <dgm:pt modelId="{C1F0FD18-33D2-4B07-9F8C-959CB7ECB43B}" type="parTrans" cxnId="{82DB6484-998A-462B-9514-A44D69907604}">
      <dgm:prSet/>
      <dgm:spPr/>
      <dgm:t>
        <a:bodyPr/>
        <a:lstStyle/>
        <a:p>
          <a:endParaRPr lang="en-AU" sz="1000"/>
        </a:p>
      </dgm:t>
    </dgm:pt>
    <dgm:pt modelId="{A4B5B5EF-C7C6-4DA5-B91D-3F6F0320E2AC}" type="sibTrans" cxnId="{82DB6484-998A-462B-9514-A44D69907604}">
      <dgm:prSet/>
      <dgm:spPr/>
      <dgm:t>
        <a:bodyPr/>
        <a:lstStyle/>
        <a:p>
          <a:endParaRPr lang="en-AU" sz="1000"/>
        </a:p>
      </dgm:t>
    </dgm:pt>
    <dgm:pt modelId="{AB54E6AA-9E3C-4234-8E74-4DCDB491EC94}" type="asst">
      <dgm:prSet phldrT="[Text]" custT="1"/>
      <dgm:spPr>
        <a:xfrm>
          <a:off x="2031894" y="3605021"/>
          <a:ext cx="1116676" cy="357336"/>
        </a:xfrm>
      </dgm:spPr>
      <dgm:t>
        <a:bodyPr/>
        <a:lstStyle/>
        <a:p>
          <a:r>
            <a:rPr lang="en-AU" sz="1000"/>
            <a:t>Does the provider have a non-disability service ageement with the department?</a:t>
          </a:r>
        </a:p>
        <a:p>
          <a:r>
            <a:rPr lang="en-AU" sz="1000" u="sng" baseline="0"/>
            <a:t>AND</a:t>
          </a:r>
        </a:p>
        <a:p>
          <a:r>
            <a:rPr lang="en-AU" sz="1000"/>
            <a:t>Is there sufficient funding against this agreement (e.g. within a service plan for child protection, homelessness or health)?</a:t>
          </a:r>
        </a:p>
      </dgm:t>
    </dgm:pt>
    <dgm:pt modelId="{32796ADE-0E95-4ED9-828A-4CAE3A2DB7F4}" type="parTrans" cxnId="{156ADB3E-E4E9-45BF-BFB4-58F07EF2E729}">
      <dgm:prSet/>
      <dgm:spPr/>
      <dgm:t>
        <a:bodyPr/>
        <a:lstStyle/>
        <a:p>
          <a:endParaRPr lang="en-AU" sz="1000"/>
        </a:p>
      </dgm:t>
    </dgm:pt>
    <dgm:pt modelId="{5C18FE01-C89E-4E31-9414-B95520A6B56D}" type="sibTrans" cxnId="{156ADB3E-E4E9-45BF-BFB4-58F07EF2E729}">
      <dgm:prSet/>
      <dgm:spPr/>
      <dgm:t>
        <a:bodyPr/>
        <a:lstStyle/>
        <a:p>
          <a:endParaRPr lang="en-AU" sz="1000"/>
        </a:p>
      </dgm:t>
    </dgm:pt>
    <dgm:pt modelId="{F3357B8A-229B-483A-BC6C-7B4A63A8E43B}" type="asst">
      <dgm:prSet phldrT="[Text]" custT="1"/>
      <dgm:spPr>
        <a:xfrm>
          <a:off x="2031894" y="3605021"/>
          <a:ext cx="1116676" cy="357336"/>
        </a:xfrm>
      </dgm:spPr>
      <dgm:t>
        <a:bodyPr/>
        <a:lstStyle/>
        <a:p>
          <a:r>
            <a:rPr lang="en-AU" sz="1000"/>
            <a:t>Yes</a:t>
          </a:r>
        </a:p>
      </dgm:t>
    </dgm:pt>
    <dgm:pt modelId="{8A590753-D770-4B09-B284-D20C1E00CBFF}" type="parTrans" cxnId="{5D79A55E-2BB9-4004-B849-32285D2CC8BB}">
      <dgm:prSet/>
      <dgm:spPr/>
      <dgm:t>
        <a:bodyPr/>
        <a:lstStyle/>
        <a:p>
          <a:endParaRPr lang="en-AU" sz="1000"/>
        </a:p>
      </dgm:t>
    </dgm:pt>
    <dgm:pt modelId="{85E58E8E-6C12-44AC-A7AD-CB208FF0F20B}" type="sibTrans" cxnId="{5D79A55E-2BB9-4004-B849-32285D2CC8BB}">
      <dgm:prSet/>
      <dgm:spPr/>
      <dgm:t>
        <a:bodyPr/>
        <a:lstStyle/>
        <a:p>
          <a:endParaRPr lang="en-AU" sz="1000"/>
        </a:p>
      </dgm:t>
    </dgm:pt>
    <dgm:pt modelId="{64E22A70-3A65-41CD-B23C-09045A84C6F1}" type="asst">
      <dgm:prSet phldrT="[Text]" custT="1"/>
      <dgm:spPr>
        <a:xfrm>
          <a:off x="2031894" y="3605021"/>
          <a:ext cx="1116676" cy="357336"/>
        </a:xfrm>
      </dgm:spPr>
      <dgm:t>
        <a:bodyPr/>
        <a:lstStyle/>
        <a:p>
          <a:r>
            <a:rPr lang="en-AU" sz="1000"/>
            <a:t>Yes</a:t>
          </a:r>
        </a:p>
      </dgm:t>
    </dgm:pt>
    <dgm:pt modelId="{6AA21FC2-E5ED-4F97-850C-29BAF306A1E8}" type="parTrans" cxnId="{8B6D83D8-8E42-4028-B06D-2501D9032443}">
      <dgm:prSet/>
      <dgm:spPr/>
      <dgm:t>
        <a:bodyPr/>
        <a:lstStyle/>
        <a:p>
          <a:endParaRPr lang="en-AU" sz="1000"/>
        </a:p>
      </dgm:t>
    </dgm:pt>
    <dgm:pt modelId="{9EF6588F-1290-4DD9-BC1E-615ED7B2C81B}" type="sibTrans" cxnId="{8B6D83D8-8E42-4028-B06D-2501D9032443}">
      <dgm:prSet/>
      <dgm:spPr/>
      <dgm:t>
        <a:bodyPr/>
        <a:lstStyle/>
        <a:p>
          <a:endParaRPr lang="en-AU" sz="1000"/>
        </a:p>
      </dgm:t>
    </dgm:pt>
    <dgm:pt modelId="{2BBFA4DC-F552-4B1D-B72E-D960F41F0AE3}" type="asst">
      <dgm:prSet phldrT="[Text]" custT="1"/>
      <dgm:spPr>
        <a:xfrm>
          <a:off x="2031894" y="3605021"/>
          <a:ext cx="1116676" cy="357336"/>
        </a:xfrm>
      </dgm:spPr>
      <dgm:t>
        <a:bodyPr/>
        <a:lstStyle/>
        <a:p>
          <a:r>
            <a:rPr lang="en-AU" sz="1000"/>
            <a:t>No</a:t>
          </a:r>
        </a:p>
      </dgm:t>
    </dgm:pt>
    <dgm:pt modelId="{61ADF8F6-0075-43B5-901A-C0B7E2D840BF}" type="parTrans" cxnId="{07D325D4-D003-40BA-A2EB-F7979B91FEB7}">
      <dgm:prSet/>
      <dgm:spPr/>
      <dgm:t>
        <a:bodyPr/>
        <a:lstStyle/>
        <a:p>
          <a:endParaRPr lang="en-AU" sz="1000"/>
        </a:p>
      </dgm:t>
    </dgm:pt>
    <dgm:pt modelId="{2CAC0B24-3776-4E59-9354-02F46E0D8C8E}" type="sibTrans" cxnId="{07D325D4-D003-40BA-A2EB-F7979B91FEB7}">
      <dgm:prSet/>
      <dgm:spPr/>
      <dgm:t>
        <a:bodyPr/>
        <a:lstStyle/>
        <a:p>
          <a:endParaRPr lang="en-AU" sz="1000"/>
        </a:p>
      </dgm:t>
    </dgm:pt>
    <dgm:pt modelId="{FC0CCB1C-FDB0-44B8-9FF6-9BAE7E8DC170}" type="asst">
      <dgm:prSet phldrT="[Text]" custT="1"/>
      <dgm:spPr>
        <a:xfrm>
          <a:off x="2031894" y="3605021"/>
          <a:ext cx="1116676" cy="357336"/>
        </a:xfrm>
      </dgm:spPr>
      <dgm:t>
        <a:bodyPr/>
        <a:lstStyle/>
        <a:p>
          <a:r>
            <a:rPr lang="en-AU" sz="1000">
              <a:solidFill>
                <a:sysClr val="windowText" lastClr="000000"/>
              </a:solidFill>
            </a:rPr>
            <a:t>Negative variation processed against the other service ageeement which offsets against other service plan funding.</a:t>
          </a:r>
        </a:p>
        <a:p>
          <a:r>
            <a:rPr lang="en-AU" sz="1000" i="1">
              <a:solidFill>
                <a:sysClr val="windowText" lastClr="000000"/>
              </a:solidFill>
            </a:rPr>
            <a:t>Service Plan: NDIS Transition Recoupment</a:t>
          </a:r>
        </a:p>
        <a:p>
          <a:r>
            <a:rPr lang="en-AU" sz="1000" i="1">
              <a:solidFill>
                <a:sysClr val="windowText" lastClr="000000"/>
              </a:solidFill>
            </a:rPr>
            <a:t>Activity: NDIS Disability Services funding recoupment (17159)</a:t>
          </a:r>
        </a:p>
        <a:p>
          <a:r>
            <a:rPr lang="en-AU" sz="1000" i="0">
              <a:solidFill>
                <a:sysClr val="windowText" lastClr="000000"/>
              </a:solidFill>
            </a:rPr>
            <a:t>See Table 3</a:t>
          </a:r>
        </a:p>
        <a:p>
          <a:endParaRPr lang="en-AU" sz="1000" i="0">
            <a:solidFill>
              <a:sysClr val="windowText" lastClr="000000"/>
            </a:solidFill>
          </a:endParaRPr>
        </a:p>
      </dgm:t>
    </dgm:pt>
    <dgm:pt modelId="{6C8DFFCF-E366-44AF-BE9B-E9DD64B8F5EB}" type="parTrans" cxnId="{CDAD5378-D4DD-4E7D-ADE0-38904D0ADE86}">
      <dgm:prSet/>
      <dgm:spPr/>
      <dgm:t>
        <a:bodyPr/>
        <a:lstStyle/>
        <a:p>
          <a:endParaRPr lang="en-AU" sz="1000"/>
        </a:p>
      </dgm:t>
    </dgm:pt>
    <dgm:pt modelId="{240867A5-932D-43E3-BCCC-60774719787D}" type="sibTrans" cxnId="{CDAD5378-D4DD-4E7D-ADE0-38904D0ADE86}">
      <dgm:prSet/>
      <dgm:spPr/>
      <dgm:t>
        <a:bodyPr/>
        <a:lstStyle/>
        <a:p>
          <a:endParaRPr lang="en-AU" sz="1000"/>
        </a:p>
      </dgm:t>
    </dgm:pt>
    <dgm:pt modelId="{C58FF42A-BD1D-413F-B6FF-6F86AA558C89}" type="asst">
      <dgm:prSet phldrT="[Text]" custT="1"/>
      <dgm:spPr>
        <a:xfrm>
          <a:off x="2031894" y="3605021"/>
          <a:ext cx="1116676" cy="357336"/>
        </a:xfrm>
      </dgm:spPr>
      <dgm:t>
        <a:bodyPr/>
        <a:lstStyle/>
        <a:p>
          <a:r>
            <a:rPr lang="en-AU" sz="1000">
              <a:solidFill>
                <a:sysClr val="windowText" lastClr="000000"/>
              </a:solidFill>
            </a:rPr>
            <a:t>Invoice raised against service provider for the balance of the activity funding recoupment.</a:t>
          </a:r>
        </a:p>
        <a:p>
          <a:r>
            <a:rPr lang="en-AU" sz="1000" i="0">
              <a:solidFill>
                <a:sysClr val="windowText" lastClr="000000"/>
              </a:solidFill>
            </a:rPr>
            <a:t>See Table 4</a:t>
          </a:r>
          <a:endParaRPr lang="en-AU" sz="1000">
            <a:solidFill>
              <a:sysClr val="windowText" lastClr="000000"/>
            </a:solidFill>
          </a:endParaRPr>
        </a:p>
      </dgm:t>
    </dgm:pt>
    <dgm:pt modelId="{356B3783-DA07-4238-9AB3-4117C7371B22}" type="sibTrans" cxnId="{991E9BF6-1636-49F5-8BE1-44FA3C5B6B46}">
      <dgm:prSet/>
      <dgm:spPr/>
      <dgm:t>
        <a:bodyPr/>
        <a:lstStyle/>
        <a:p>
          <a:endParaRPr lang="en-AU" sz="1000"/>
        </a:p>
      </dgm:t>
    </dgm:pt>
    <dgm:pt modelId="{BA965263-E197-4B80-956A-E4413064CFF6}" type="parTrans" cxnId="{991E9BF6-1636-49F5-8BE1-44FA3C5B6B46}">
      <dgm:prSet/>
      <dgm:spPr/>
      <dgm:t>
        <a:bodyPr/>
        <a:lstStyle/>
        <a:p>
          <a:endParaRPr lang="en-AU" sz="1000"/>
        </a:p>
      </dgm:t>
    </dgm:pt>
    <dgm:pt modelId="{EB43D09B-5410-4EB5-ADD0-EDE497FF2584}" type="pres">
      <dgm:prSet presAssocID="{BF804ED7-9243-470B-91A2-D1F926F6EC0E}" presName="mainComposite" presStyleCnt="0">
        <dgm:presLayoutVars>
          <dgm:chPref val="1"/>
          <dgm:dir/>
          <dgm:animOne val="branch"/>
          <dgm:animLvl val="lvl"/>
          <dgm:resizeHandles val="exact"/>
        </dgm:presLayoutVars>
      </dgm:prSet>
      <dgm:spPr/>
    </dgm:pt>
    <dgm:pt modelId="{B2C3D720-50DC-4AFA-9E05-F3EA40190625}" type="pres">
      <dgm:prSet presAssocID="{BF804ED7-9243-470B-91A2-D1F926F6EC0E}" presName="hierFlow" presStyleCnt="0"/>
      <dgm:spPr/>
    </dgm:pt>
    <dgm:pt modelId="{4C8768D5-2034-45FC-B30E-FCC48A0E23FC}" type="pres">
      <dgm:prSet presAssocID="{BF804ED7-9243-470B-91A2-D1F926F6EC0E}" presName="hierChild1" presStyleCnt="0">
        <dgm:presLayoutVars>
          <dgm:chPref val="1"/>
          <dgm:animOne val="branch"/>
          <dgm:animLvl val="lvl"/>
        </dgm:presLayoutVars>
      </dgm:prSet>
      <dgm:spPr/>
    </dgm:pt>
    <dgm:pt modelId="{B25BED51-6456-4764-992F-37103A9C71FD}" type="pres">
      <dgm:prSet presAssocID="{8295F4DA-8F44-4FFD-8981-47E06A62562E}" presName="Name14" presStyleCnt="0"/>
      <dgm:spPr/>
    </dgm:pt>
    <dgm:pt modelId="{EF3F03DC-E838-429E-90EE-68F1B6A340EB}" type="pres">
      <dgm:prSet presAssocID="{8295F4DA-8F44-4FFD-8981-47E06A62562E}" presName="level1Shape" presStyleLbl="node0" presStyleIdx="0" presStyleCnt="1" custScaleX="220555" custScaleY="251068" custLinFactX="98187" custLinFactNeighborX="100000" custLinFactNeighborY="-55886">
        <dgm:presLayoutVars>
          <dgm:chPref val="3"/>
        </dgm:presLayoutVars>
      </dgm:prSet>
      <dgm:spPr/>
    </dgm:pt>
    <dgm:pt modelId="{5801AECB-4498-428B-B3BF-B2B51A57F3FD}" type="pres">
      <dgm:prSet presAssocID="{8295F4DA-8F44-4FFD-8981-47E06A62562E}" presName="hierChild2" presStyleCnt="0"/>
      <dgm:spPr/>
    </dgm:pt>
    <dgm:pt modelId="{89749D93-D4F9-4971-99E8-024969FFE63A}" type="pres">
      <dgm:prSet presAssocID="{B1BEAF92-7060-422F-ABB5-FA72CB5241B2}" presName="Name19" presStyleLbl="parChTrans1D2" presStyleIdx="0" presStyleCnt="2"/>
      <dgm:spPr/>
    </dgm:pt>
    <dgm:pt modelId="{50019613-2E5D-457B-AABB-83B26BBF47BC}" type="pres">
      <dgm:prSet presAssocID="{C149935B-3FDA-4C3B-A6DD-807B0CC7F301}" presName="Name21" presStyleCnt="0"/>
      <dgm:spPr/>
    </dgm:pt>
    <dgm:pt modelId="{A92CEFBA-6F36-49EF-AB01-6E5449AEFAB9}" type="pres">
      <dgm:prSet presAssocID="{C149935B-3FDA-4C3B-A6DD-807B0CC7F301}" presName="level2Shape" presStyleLbl="asst0" presStyleIdx="0" presStyleCnt="12" custScaleX="74936" custScaleY="54835" custLinFactNeighborX="65701" custLinFactNeighborY="-11612"/>
      <dgm:spPr/>
    </dgm:pt>
    <dgm:pt modelId="{AF2B6068-8F3A-4ED8-A5B5-E22E85F976B5}" type="pres">
      <dgm:prSet presAssocID="{C149935B-3FDA-4C3B-A6DD-807B0CC7F301}" presName="hierChild3" presStyleCnt="0"/>
      <dgm:spPr/>
    </dgm:pt>
    <dgm:pt modelId="{03BAB1CC-36B3-4A1F-BBC4-34C76F086088}" type="pres">
      <dgm:prSet presAssocID="{A7081395-664A-4C55-9110-8C48A0E3FE16}" presName="Name19" presStyleLbl="parChTrans1D3" presStyleIdx="0" presStyleCnt="2"/>
      <dgm:spPr/>
    </dgm:pt>
    <dgm:pt modelId="{80EA9675-6CE3-4E56-BB1B-6C7ED0A84FBA}" type="pres">
      <dgm:prSet presAssocID="{6EC3ED81-1ED9-4549-B0B1-72084A0B8680}" presName="Name21" presStyleCnt="0"/>
      <dgm:spPr/>
    </dgm:pt>
    <dgm:pt modelId="{59471F1F-6B6F-43AA-A828-A0F9D998E124}" type="pres">
      <dgm:prSet presAssocID="{6EC3ED81-1ED9-4549-B0B1-72084A0B8680}" presName="level2Shape" presStyleLbl="asst0" presStyleIdx="1" presStyleCnt="12" custScaleX="234945" custScaleY="148713" custLinFactNeighborX="65933" custLinFactNeighborY="-15267"/>
      <dgm:spPr/>
    </dgm:pt>
    <dgm:pt modelId="{7A46975A-F677-4BA3-BDF9-224D809542D6}" type="pres">
      <dgm:prSet presAssocID="{6EC3ED81-1ED9-4549-B0B1-72084A0B8680}" presName="hierChild3" presStyleCnt="0"/>
      <dgm:spPr/>
    </dgm:pt>
    <dgm:pt modelId="{3FAA6687-91F1-4F33-A4B1-8DB6C94558EC}" type="pres">
      <dgm:prSet presAssocID="{A15B6741-B162-499F-9080-CA0D0D6865BB}" presName="Name19" presStyleLbl="parChTrans1D2" presStyleIdx="1" presStyleCnt="2"/>
      <dgm:spPr/>
    </dgm:pt>
    <dgm:pt modelId="{E81ED499-C8B2-4AF6-BA30-CD687659E13A}" type="pres">
      <dgm:prSet presAssocID="{B73C65F3-F8EC-45B9-A98F-A1043A9A675C}" presName="Name21" presStyleCnt="0"/>
      <dgm:spPr/>
    </dgm:pt>
    <dgm:pt modelId="{2539C754-7DF1-4F48-ACA6-2EE003D4F3A9}" type="pres">
      <dgm:prSet presAssocID="{B73C65F3-F8EC-45B9-A98F-A1043A9A675C}" presName="level2Shape" presStyleLbl="asst0" presStyleIdx="2" presStyleCnt="12" custScaleX="65324" custScaleY="41793" custLinFactX="101373" custLinFactNeighborX="200000" custLinFactNeighborY="-10108"/>
      <dgm:spPr/>
    </dgm:pt>
    <dgm:pt modelId="{2E7F9783-7169-4494-BA02-97A15A9703AB}" type="pres">
      <dgm:prSet presAssocID="{B73C65F3-F8EC-45B9-A98F-A1043A9A675C}" presName="hierChild3" presStyleCnt="0"/>
      <dgm:spPr/>
    </dgm:pt>
    <dgm:pt modelId="{10964FF2-B3DF-43B0-BB14-81FCFCEF3FF3}" type="pres">
      <dgm:prSet presAssocID="{D98CE7ED-87C5-418C-B8A6-F11F11D2DD40}" presName="Name19" presStyleLbl="parChTrans1D3" presStyleIdx="1" presStyleCnt="2"/>
      <dgm:spPr/>
    </dgm:pt>
    <dgm:pt modelId="{43159499-23AF-4D48-A0EF-D05ACE6F7326}" type="pres">
      <dgm:prSet presAssocID="{D4C7B0C8-1A2A-40B1-BE34-8FF5BA5F9CC0}" presName="Name21" presStyleCnt="0"/>
      <dgm:spPr/>
    </dgm:pt>
    <dgm:pt modelId="{FC1521E7-6FD6-4191-AA4E-D06FBFC04DAA}" type="pres">
      <dgm:prSet presAssocID="{D4C7B0C8-1A2A-40B1-BE34-8FF5BA5F9CC0}" presName="level2Shape" presStyleLbl="asst0" presStyleIdx="3" presStyleCnt="12" custScaleX="262136" custScaleY="146741" custLinFactX="100816" custLinFactNeighborX="200000" custLinFactNeighborY="-6666"/>
      <dgm:spPr/>
    </dgm:pt>
    <dgm:pt modelId="{FAEDDD00-0052-4BFC-BE57-CDB43D947266}" type="pres">
      <dgm:prSet presAssocID="{D4C7B0C8-1A2A-40B1-BE34-8FF5BA5F9CC0}" presName="hierChild3" presStyleCnt="0"/>
      <dgm:spPr/>
    </dgm:pt>
    <dgm:pt modelId="{5D41333E-1165-40ED-97D6-04FA4833F27D}" type="pres">
      <dgm:prSet presAssocID="{8A590753-D770-4B09-B284-D20C1E00CBFF}" presName="Name19" presStyleLbl="parChTrans1D4" presStyleIdx="0" presStyleCnt="8"/>
      <dgm:spPr/>
    </dgm:pt>
    <dgm:pt modelId="{FCA6DE72-6FE6-4BD0-934B-D297BC366071}" type="pres">
      <dgm:prSet presAssocID="{F3357B8A-229B-483A-BC6C-7B4A63A8E43B}" presName="Name21" presStyleCnt="0"/>
      <dgm:spPr/>
    </dgm:pt>
    <dgm:pt modelId="{09141AC2-73F4-4C63-9257-EF0F8C345F8F}" type="pres">
      <dgm:prSet presAssocID="{F3357B8A-229B-483A-BC6C-7B4A63A8E43B}" presName="level2Shape" presStyleLbl="asst0" presStyleIdx="4" presStyleCnt="12" custScaleX="58695" custScaleY="63915" custLinFactNeighborX="18080" custLinFactNeighborY="37295"/>
      <dgm:spPr/>
    </dgm:pt>
    <dgm:pt modelId="{FDF2170D-68F7-4F8C-BE94-6F6C24307A89}" type="pres">
      <dgm:prSet presAssocID="{F3357B8A-229B-483A-BC6C-7B4A63A8E43B}" presName="hierChild3" presStyleCnt="0"/>
      <dgm:spPr/>
    </dgm:pt>
    <dgm:pt modelId="{ABAB60B8-C1D4-46E7-9505-A66395D076F0}" type="pres">
      <dgm:prSet presAssocID="{C1F0FD18-33D2-4B07-9F8C-959CB7ECB43B}" presName="Name19" presStyleLbl="parChTrans1D4" presStyleIdx="1" presStyleCnt="8"/>
      <dgm:spPr/>
    </dgm:pt>
    <dgm:pt modelId="{21BA7F21-FC71-413E-B373-4CE9DDABA5FF}" type="pres">
      <dgm:prSet presAssocID="{565D44F6-A039-4299-AA8E-A64EEB508CF2}" presName="Name21" presStyleCnt="0"/>
      <dgm:spPr/>
    </dgm:pt>
    <dgm:pt modelId="{11894DD7-1B3A-4463-B124-0ABCE45909A1}" type="pres">
      <dgm:prSet presAssocID="{565D44F6-A039-4299-AA8E-A64EEB508CF2}" presName="level2Shape" presStyleLbl="asst0" presStyleIdx="5" presStyleCnt="12" custScaleX="261677" custScaleY="166203" custLinFactNeighborX="18622" custLinFactNeighborY="62918"/>
      <dgm:spPr/>
    </dgm:pt>
    <dgm:pt modelId="{DFEC42D5-F7B6-4742-94C2-DAA9063FCBE1}" type="pres">
      <dgm:prSet presAssocID="{565D44F6-A039-4299-AA8E-A64EEB508CF2}" presName="hierChild3" presStyleCnt="0"/>
      <dgm:spPr/>
    </dgm:pt>
    <dgm:pt modelId="{C2437503-2798-4343-B9E3-1ED01CE44C81}" type="pres">
      <dgm:prSet presAssocID="{50B99EC7-8A00-41F0-A47F-9B523193D88A}" presName="Name19" presStyleLbl="parChTrans1D4" presStyleIdx="2" presStyleCnt="8"/>
      <dgm:spPr/>
    </dgm:pt>
    <dgm:pt modelId="{CDE74F0D-8C9F-448A-9685-5D747CA53138}" type="pres">
      <dgm:prSet presAssocID="{3B1ECB01-A011-498D-A42E-698A0AFC3506}" presName="Name21" presStyleCnt="0"/>
      <dgm:spPr/>
    </dgm:pt>
    <dgm:pt modelId="{4CB56E9B-24AD-40C8-9D29-0B82AC41114D}" type="pres">
      <dgm:prSet presAssocID="{3B1ECB01-A011-498D-A42E-698A0AFC3506}" presName="level2Shape" presStyleLbl="asst0" presStyleIdx="6" presStyleCnt="12" custScaleX="75689" custScaleY="53209" custLinFactNeighborX="12713" custLinFactNeighborY="38563"/>
      <dgm:spPr/>
    </dgm:pt>
    <dgm:pt modelId="{4295EBEF-C878-4F2A-A483-0BA856015318}" type="pres">
      <dgm:prSet presAssocID="{3B1ECB01-A011-498D-A42E-698A0AFC3506}" presName="hierChild3" presStyleCnt="0"/>
      <dgm:spPr/>
    </dgm:pt>
    <dgm:pt modelId="{87F1867C-FDD4-44BF-B04D-A43CA30EF7DD}" type="pres">
      <dgm:prSet presAssocID="{32796ADE-0E95-4ED9-828A-4CAE3A2DB7F4}" presName="Name19" presStyleLbl="parChTrans1D4" presStyleIdx="3" presStyleCnt="8"/>
      <dgm:spPr/>
    </dgm:pt>
    <dgm:pt modelId="{4148E282-14DF-456C-B650-61BCD7290730}" type="pres">
      <dgm:prSet presAssocID="{AB54E6AA-9E3C-4234-8E74-4DCDB491EC94}" presName="Name21" presStyleCnt="0"/>
      <dgm:spPr/>
    </dgm:pt>
    <dgm:pt modelId="{43767253-0EBE-4094-942D-95B0C23604CC}" type="pres">
      <dgm:prSet presAssocID="{AB54E6AA-9E3C-4234-8E74-4DCDB491EC94}" presName="level2Shape" presStyleLbl="asst0" presStyleIdx="7" presStyleCnt="12" custScaleX="487848" custScaleY="258650" custLinFactNeighborX="13011" custLinFactNeighborY="44054"/>
      <dgm:spPr/>
    </dgm:pt>
    <dgm:pt modelId="{A544C191-AEC7-4540-9839-A59215AF92F6}" type="pres">
      <dgm:prSet presAssocID="{AB54E6AA-9E3C-4234-8E74-4DCDB491EC94}" presName="hierChild3" presStyleCnt="0"/>
      <dgm:spPr/>
    </dgm:pt>
    <dgm:pt modelId="{52B28F32-275D-42A2-AF34-7730457C0326}" type="pres">
      <dgm:prSet presAssocID="{6AA21FC2-E5ED-4F97-850C-29BAF306A1E8}" presName="Name19" presStyleLbl="parChTrans1D4" presStyleIdx="4" presStyleCnt="8"/>
      <dgm:spPr/>
    </dgm:pt>
    <dgm:pt modelId="{E133F41D-A52D-4A16-BD52-0B7618B52A3A}" type="pres">
      <dgm:prSet presAssocID="{64E22A70-3A65-41CD-B23C-09045A84C6F1}" presName="Name21" presStyleCnt="0"/>
      <dgm:spPr/>
    </dgm:pt>
    <dgm:pt modelId="{A8F73303-0B97-4AF5-9AF7-09C98E060CD1}" type="pres">
      <dgm:prSet presAssocID="{64E22A70-3A65-41CD-B23C-09045A84C6F1}" presName="level2Shape" presStyleLbl="asst0" presStyleIdx="8" presStyleCnt="12" custScaleX="65046" custScaleY="62510" custLinFactNeighborX="-92238" custLinFactNeighborY="48383"/>
      <dgm:spPr/>
    </dgm:pt>
    <dgm:pt modelId="{03EEF84E-7496-4A00-86F4-30D75D7265C5}" type="pres">
      <dgm:prSet presAssocID="{64E22A70-3A65-41CD-B23C-09045A84C6F1}" presName="hierChild3" presStyleCnt="0"/>
      <dgm:spPr/>
    </dgm:pt>
    <dgm:pt modelId="{8F9FA2F0-455D-4133-A237-C30194BA3439}" type="pres">
      <dgm:prSet presAssocID="{6C8DFFCF-E366-44AF-BE9B-E9DD64B8F5EB}" presName="Name19" presStyleLbl="parChTrans1D4" presStyleIdx="5" presStyleCnt="8"/>
      <dgm:spPr/>
    </dgm:pt>
    <dgm:pt modelId="{5A1E5A6E-D878-428A-A179-58F76C26F1F0}" type="pres">
      <dgm:prSet presAssocID="{FC0CCB1C-FDB0-44B8-9FF6-9BAE7E8DC170}" presName="Name21" presStyleCnt="0"/>
      <dgm:spPr/>
    </dgm:pt>
    <dgm:pt modelId="{00729C54-B0ED-43BD-A5E0-EB72D9B5011E}" type="pres">
      <dgm:prSet presAssocID="{FC0CCB1C-FDB0-44B8-9FF6-9BAE7E8DC170}" presName="level2Shape" presStyleLbl="asst0" presStyleIdx="9" presStyleCnt="12" custScaleX="369063" custScaleY="309335" custLinFactNeighborX="-91401" custLinFactNeighborY="81648"/>
      <dgm:spPr/>
    </dgm:pt>
    <dgm:pt modelId="{F8437D4B-0181-49A4-B9DD-847BA74A2DF3}" type="pres">
      <dgm:prSet presAssocID="{FC0CCB1C-FDB0-44B8-9FF6-9BAE7E8DC170}" presName="hierChild3" presStyleCnt="0"/>
      <dgm:spPr/>
    </dgm:pt>
    <dgm:pt modelId="{66185B39-35A0-47F6-98CC-7AA424D5976D}" type="pres">
      <dgm:prSet presAssocID="{61ADF8F6-0075-43B5-901A-C0B7E2D840BF}" presName="Name19" presStyleLbl="parChTrans1D4" presStyleIdx="6" presStyleCnt="8"/>
      <dgm:spPr/>
    </dgm:pt>
    <dgm:pt modelId="{F1CB323F-D63B-4AC8-84E7-2DDE26CAB963}" type="pres">
      <dgm:prSet presAssocID="{2BBFA4DC-F552-4B1D-B72E-D960F41F0AE3}" presName="Name21" presStyleCnt="0"/>
      <dgm:spPr/>
    </dgm:pt>
    <dgm:pt modelId="{9705768A-00B2-4727-9337-0DAAD72DE018}" type="pres">
      <dgm:prSet presAssocID="{2BBFA4DC-F552-4B1D-B72E-D960F41F0AE3}" presName="level2Shape" presStyleLbl="asst0" presStyleIdx="10" presStyleCnt="12" custAng="10800000" custFlipVert="1" custScaleX="79420" custScaleY="49411" custLinFactNeighborX="-33657" custLinFactNeighborY="53399"/>
      <dgm:spPr/>
    </dgm:pt>
    <dgm:pt modelId="{023822AC-63C0-4DC5-9B1C-BACEC0E786AA}" type="pres">
      <dgm:prSet presAssocID="{2BBFA4DC-F552-4B1D-B72E-D960F41F0AE3}" presName="hierChild3" presStyleCnt="0"/>
      <dgm:spPr/>
    </dgm:pt>
    <dgm:pt modelId="{336D511B-972E-4D89-8929-B6852AAE6D59}" type="pres">
      <dgm:prSet presAssocID="{BA965263-E197-4B80-956A-E4413064CFF6}" presName="Name19" presStyleLbl="parChTrans1D4" presStyleIdx="7" presStyleCnt="8"/>
      <dgm:spPr/>
    </dgm:pt>
    <dgm:pt modelId="{BD0541B9-B176-4A1F-AEE9-C7B6B117CCCB}" type="pres">
      <dgm:prSet presAssocID="{C58FF42A-BD1D-413F-B6FF-6F86AA558C89}" presName="Name21" presStyleCnt="0"/>
      <dgm:spPr/>
    </dgm:pt>
    <dgm:pt modelId="{897ABDDA-5485-4929-81D1-679BA0CFA2BC}" type="pres">
      <dgm:prSet presAssocID="{C58FF42A-BD1D-413F-B6FF-6F86AA558C89}" presName="level2Shape" presStyleLbl="asst0" presStyleIdx="11" presStyleCnt="12" custScaleX="314795" custScaleY="206828" custLinFactNeighborX="-33909" custLinFactNeighborY="83475"/>
      <dgm:spPr/>
    </dgm:pt>
    <dgm:pt modelId="{BC611A17-2514-49C1-B925-35A4629ADB77}" type="pres">
      <dgm:prSet presAssocID="{C58FF42A-BD1D-413F-B6FF-6F86AA558C89}" presName="hierChild3" presStyleCnt="0"/>
      <dgm:spPr/>
    </dgm:pt>
    <dgm:pt modelId="{D47CA8A6-3CDF-46ED-9FF3-AF9668204FF6}" type="pres">
      <dgm:prSet presAssocID="{BF804ED7-9243-470B-91A2-D1F926F6EC0E}" presName="bgShapesFlow" presStyleCnt="0"/>
      <dgm:spPr/>
    </dgm:pt>
  </dgm:ptLst>
  <dgm:cxnLst>
    <dgm:cxn modelId="{A2582000-AC19-4E21-9286-16CF9A72D177}" type="presOf" srcId="{C58FF42A-BD1D-413F-B6FF-6F86AA558C89}" destId="{897ABDDA-5485-4929-81D1-679BA0CFA2BC}" srcOrd="0" destOrd="0" presId="urn:microsoft.com/office/officeart/2005/8/layout/hierarchy6"/>
    <dgm:cxn modelId="{76C03A04-ED65-4F36-8BFC-F8F66D8AF985}" type="presOf" srcId="{A15B6741-B162-499F-9080-CA0D0D6865BB}" destId="{3FAA6687-91F1-4F33-A4B1-8DB6C94558EC}" srcOrd="0" destOrd="0" presId="urn:microsoft.com/office/officeart/2005/8/layout/hierarchy6"/>
    <dgm:cxn modelId="{B0099306-09F5-40C9-AB9C-C887E66DAC4D}" srcId="{D4C7B0C8-1A2A-40B1-BE34-8FF5BA5F9CC0}" destId="{3B1ECB01-A011-498D-A42E-698A0AFC3506}" srcOrd="1" destOrd="0" parTransId="{50B99EC7-8A00-41F0-A47F-9B523193D88A}" sibTransId="{4D93E71E-EE03-44AA-988C-BD6FE666D8D3}"/>
    <dgm:cxn modelId="{EAF0EF09-A50A-480E-8388-E2056D4E03A5}" type="presOf" srcId="{8A590753-D770-4B09-B284-D20C1E00CBFF}" destId="{5D41333E-1165-40ED-97D6-04FA4833F27D}" srcOrd="0" destOrd="0" presId="urn:microsoft.com/office/officeart/2005/8/layout/hierarchy6"/>
    <dgm:cxn modelId="{E6D6BA16-A8E4-4870-A44F-1C6AA2A315C7}" type="presOf" srcId="{64E22A70-3A65-41CD-B23C-09045A84C6F1}" destId="{A8F73303-0B97-4AF5-9AF7-09C98E060CD1}" srcOrd="0" destOrd="0" presId="urn:microsoft.com/office/officeart/2005/8/layout/hierarchy6"/>
    <dgm:cxn modelId="{51E15717-9BC8-41F2-83ED-4E9A53B5CC71}" type="presOf" srcId="{B1BEAF92-7060-422F-ABB5-FA72CB5241B2}" destId="{89749D93-D4F9-4971-99E8-024969FFE63A}" srcOrd="0" destOrd="0" presId="urn:microsoft.com/office/officeart/2005/8/layout/hierarchy6"/>
    <dgm:cxn modelId="{A62CAF17-8315-4A51-BF32-78FC979E3F91}" type="presOf" srcId="{8295F4DA-8F44-4FFD-8981-47E06A62562E}" destId="{EF3F03DC-E838-429E-90EE-68F1B6A340EB}" srcOrd="0" destOrd="0" presId="urn:microsoft.com/office/officeart/2005/8/layout/hierarchy6"/>
    <dgm:cxn modelId="{0BC6C61B-E4D9-4C72-A5DB-7B3C4FDBDA14}" type="presOf" srcId="{BF804ED7-9243-470B-91A2-D1F926F6EC0E}" destId="{EB43D09B-5410-4EB5-ADD0-EDE497FF2584}" srcOrd="0" destOrd="0" presId="urn:microsoft.com/office/officeart/2005/8/layout/hierarchy6"/>
    <dgm:cxn modelId="{8E838730-8EAE-4D1B-A1B1-6B44C4A3A69D}" srcId="{BF804ED7-9243-470B-91A2-D1F926F6EC0E}" destId="{8295F4DA-8F44-4FFD-8981-47E06A62562E}" srcOrd="0" destOrd="0" parTransId="{8986B21F-61CF-46F4-A5F8-178656EC2902}" sibTransId="{CA94C997-B150-40CA-9E91-098C469C4353}"/>
    <dgm:cxn modelId="{B6BC8032-A269-4F96-BFE7-57DB2ECFE440}" type="presOf" srcId="{A7081395-664A-4C55-9110-8C48A0E3FE16}" destId="{03BAB1CC-36B3-4A1F-BBC4-34C76F086088}" srcOrd="0" destOrd="0" presId="urn:microsoft.com/office/officeart/2005/8/layout/hierarchy6"/>
    <dgm:cxn modelId="{156ADB3E-E4E9-45BF-BFB4-58F07EF2E729}" srcId="{3B1ECB01-A011-498D-A42E-698A0AFC3506}" destId="{AB54E6AA-9E3C-4234-8E74-4DCDB491EC94}" srcOrd="0" destOrd="0" parTransId="{32796ADE-0E95-4ED9-828A-4CAE3A2DB7F4}" sibTransId="{5C18FE01-C89E-4E31-9414-B95520A6B56D}"/>
    <dgm:cxn modelId="{5D79A55E-2BB9-4004-B849-32285D2CC8BB}" srcId="{D4C7B0C8-1A2A-40B1-BE34-8FF5BA5F9CC0}" destId="{F3357B8A-229B-483A-BC6C-7B4A63A8E43B}" srcOrd="0" destOrd="0" parTransId="{8A590753-D770-4B09-B284-D20C1E00CBFF}" sibTransId="{85E58E8E-6C12-44AC-A7AD-CB208FF0F20B}"/>
    <dgm:cxn modelId="{C1542D49-3E6B-4E4A-AA8C-FCE72F11DA67}" srcId="{C149935B-3FDA-4C3B-A6DD-807B0CC7F301}" destId="{6EC3ED81-1ED9-4549-B0B1-72084A0B8680}" srcOrd="0" destOrd="0" parTransId="{A7081395-664A-4C55-9110-8C48A0E3FE16}" sibTransId="{B2B8184F-17C5-4705-AF5B-367AF08FD2C5}"/>
    <dgm:cxn modelId="{028C246A-4A7A-4E7A-8B1C-2E0847BA3B93}" srcId="{B73C65F3-F8EC-45B9-A98F-A1043A9A675C}" destId="{D4C7B0C8-1A2A-40B1-BE34-8FF5BA5F9CC0}" srcOrd="0" destOrd="0" parTransId="{D98CE7ED-87C5-418C-B8A6-F11F11D2DD40}" sibTransId="{7E88D106-48A2-4969-AA06-9DAC6CD0A040}"/>
    <dgm:cxn modelId="{9ABB906B-9499-4024-B5EE-72476A39D9E6}" type="presOf" srcId="{2BBFA4DC-F552-4B1D-B72E-D960F41F0AE3}" destId="{9705768A-00B2-4727-9337-0DAAD72DE018}" srcOrd="0" destOrd="0" presId="urn:microsoft.com/office/officeart/2005/8/layout/hierarchy6"/>
    <dgm:cxn modelId="{B0791A53-6E71-41ED-A2FC-2D2C2FCFA181}" type="presOf" srcId="{C1F0FD18-33D2-4B07-9F8C-959CB7ECB43B}" destId="{ABAB60B8-C1D4-46E7-9505-A66395D076F0}" srcOrd="0" destOrd="0" presId="urn:microsoft.com/office/officeart/2005/8/layout/hierarchy6"/>
    <dgm:cxn modelId="{37CA9C55-5644-473E-B5CB-D3D5BFB3F9DD}" type="presOf" srcId="{6AA21FC2-E5ED-4F97-850C-29BAF306A1E8}" destId="{52B28F32-275D-42A2-AF34-7730457C0326}" srcOrd="0" destOrd="0" presId="urn:microsoft.com/office/officeart/2005/8/layout/hierarchy6"/>
    <dgm:cxn modelId="{CDAD5378-D4DD-4E7D-ADE0-38904D0ADE86}" srcId="{64E22A70-3A65-41CD-B23C-09045A84C6F1}" destId="{FC0CCB1C-FDB0-44B8-9FF6-9BAE7E8DC170}" srcOrd="0" destOrd="0" parTransId="{6C8DFFCF-E366-44AF-BE9B-E9DD64B8F5EB}" sibTransId="{240867A5-932D-43E3-BCCC-60774719787D}"/>
    <dgm:cxn modelId="{2231B559-7E6C-4F85-A522-2A5CE1E4B980}" type="presOf" srcId="{D4C7B0C8-1A2A-40B1-BE34-8FF5BA5F9CC0}" destId="{FC1521E7-6FD6-4191-AA4E-D06FBFC04DAA}" srcOrd="0" destOrd="0" presId="urn:microsoft.com/office/officeart/2005/8/layout/hierarchy6"/>
    <dgm:cxn modelId="{82DB6484-998A-462B-9514-A44D69907604}" srcId="{F3357B8A-229B-483A-BC6C-7B4A63A8E43B}" destId="{565D44F6-A039-4299-AA8E-A64EEB508CF2}" srcOrd="0" destOrd="0" parTransId="{C1F0FD18-33D2-4B07-9F8C-959CB7ECB43B}" sibTransId="{A4B5B5EF-C7C6-4DA5-B91D-3F6F0320E2AC}"/>
    <dgm:cxn modelId="{B73BE085-4469-4BB1-94CB-15A53CE23B70}" type="presOf" srcId="{BA965263-E197-4B80-956A-E4413064CFF6}" destId="{336D511B-972E-4D89-8929-B6852AAE6D59}" srcOrd="0" destOrd="0" presId="urn:microsoft.com/office/officeart/2005/8/layout/hierarchy6"/>
    <dgm:cxn modelId="{F3542387-AA4C-45E2-BFA6-E64BA45284DC}" type="presOf" srcId="{6C8DFFCF-E366-44AF-BE9B-E9DD64B8F5EB}" destId="{8F9FA2F0-455D-4133-A237-C30194BA3439}" srcOrd="0" destOrd="0" presId="urn:microsoft.com/office/officeart/2005/8/layout/hierarchy6"/>
    <dgm:cxn modelId="{45A41E8B-02F9-48C8-B060-93BD7E230B7C}" type="presOf" srcId="{6EC3ED81-1ED9-4549-B0B1-72084A0B8680}" destId="{59471F1F-6B6F-43AA-A828-A0F9D998E124}" srcOrd="0" destOrd="0" presId="urn:microsoft.com/office/officeart/2005/8/layout/hierarchy6"/>
    <dgm:cxn modelId="{A25C368C-053A-4CFE-970A-DB58796C5C03}" type="presOf" srcId="{C149935B-3FDA-4C3B-A6DD-807B0CC7F301}" destId="{A92CEFBA-6F36-49EF-AB01-6E5449AEFAB9}" srcOrd="0" destOrd="0" presId="urn:microsoft.com/office/officeart/2005/8/layout/hierarchy6"/>
    <dgm:cxn modelId="{866D6E92-13E0-4A7D-AE4F-0F2E2C3ADD8E}" type="presOf" srcId="{AB54E6AA-9E3C-4234-8E74-4DCDB491EC94}" destId="{43767253-0EBE-4094-942D-95B0C23604CC}" srcOrd="0" destOrd="0" presId="urn:microsoft.com/office/officeart/2005/8/layout/hierarchy6"/>
    <dgm:cxn modelId="{4AAD8097-3FFC-43CB-AB27-96578C957EB7}" srcId="{8295F4DA-8F44-4FFD-8981-47E06A62562E}" destId="{C149935B-3FDA-4C3B-A6DD-807B0CC7F301}" srcOrd="0" destOrd="0" parTransId="{B1BEAF92-7060-422F-ABB5-FA72CB5241B2}" sibTransId="{647B6BB2-6083-424D-8F9F-D4BB66559582}"/>
    <dgm:cxn modelId="{F1D623A5-132C-4A7B-B98F-3866A91BD999}" type="presOf" srcId="{F3357B8A-229B-483A-BC6C-7B4A63A8E43B}" destId="{09141AC2-73F4-4C63-9257-EF0F8C345F8F}" srcOrd="0" destOrd="0" presId="urn:microsoft.com/office/officeart/2005/8/layout/hierarchy6"/>
    <dgm:cxn modelId="{C08BA4B2-357D-465A-8659-DFF645157FB7}" type="presOf" srcId="{FC0CCB1C-FDB0-44B8-9FF6-9BAE7E8DC170}" destId="{00729C54-B0ED-43BD-A5E0-EB72D9B5011E}" srcOrd="0" destOrd="0" presId="urn:microsoft.com/office/officeart/2005/8/layout/hierarchy6"/>
    <dgm:cxn modelId="{6ED4FBB8-5E87-4485-B35F-25846B5C9FEA}" type="presOf" srcId="{B73C65F3-F8EC-45B9-A98F-A1043A9A675C}" destId="{2539C754-7DF1-4F48-ACA6-2EE003D4F3A9}" srcOrd="0" destOrd="0" presId="urn:microsoft.com/office/officeart/2005/8/layout/hierarchy6"/>
    <dgm:cxn modelId="{7B6824B9-29D1-4486-AFDA-AA3133B26168}" type="presOf" srcId="{50B99EC7-8A00-41F0-A47F-9B523193D88A}" destId="{C2437503-2798-4343-B9E3-1ED01CE44C81}" srcOrd="0" destOrd="0" presId="urn:microsoft.com/office/officeart/2005/8/layout/hierarchy6"/>
    <dgm:cxn modelId="{36E1BCCA-2232-4EE9-AC28-9AB79B8BB0E3}" type="presOf" srcId="{D98CE7ED-87C5-418C-B8A6-F11F11D2DD40}" destId="{10964FF2-B3DF-43B0-BB14-81FCFCEF3FF3}" srcOrd="0" destOrd="0" presId="urn:microsoft.com/office/officeart/2005/8/layout/hierarchy6"/>
    <dgm:cxn modelId="{018367CF-75E8-486B-ABBF-0AC30DB6E81D}" type="presOf" srcId="{32796ADE-0E95-4ED9-828A-4CAE3A2DB7F4}" destId="{87F1867C-FDD4-44BF-B04D-A43CA30EF7DD}" srcOrd="0" destOrd="0" presId="urn:microsoft.com/office/officeart/2005/8/layout/hierarchy6"/>
    <dgm:cxn modelId="{07D325D4-D003-40BA-A2EB-F7979B91FEB7}" srcId="{AB54E6AA-9E3C-4234-8E74-4DCDB491EC94}" destId="{2BBFA4DC-F552-4B1D-B72E-D960F41F0AE3}" srcOrd="1" destOrd="0" parTransId="{61ADF8F6-0075-43B5-901A-C0B7E2D840BF}" sibTransId="{2CAC0B24-3776-4E59-9354-02F46E0D8C8E}"/>
    <dgm:cxn modelId="{8B6D83D8-8E42-4028-B06D-2501D9032443}" srcId="{AB54E6AA-9E3C-4234-8E74-4DCDB491EC94}" destId="{64E22A70-3A65-41CD-B23C-09045A84C6F1}" srcOrd="0" destOrd="0" parTransId="{6AA21FC2-E5ED-4F97-850C-29BAF306A1E8}" sibTransId="{9EF6588F-1290-4DD9-BC1E-615ED7B2C81B}"/>
    <dgm:cxn modelId="{37F92FE9-7AB6-4FC9-AC2C-18EEF84E3D28}" type="presOf" srcId="{61ADF8F6-0075-43B5-901A-C0B7E2D840BF}" destId="{66185B39-35A0-47F6-98CC-7AA424D5976D}" srcOrd="0" destOrd="0" presId="urn:microsoft.com/office/officeart/2005/8/layout/hierarchy6"/>
    <dgm:cxn modelId="{DFF4F1F2-2936-496D-815C-09EE4A9541C5}" srcId="{8295F4DA-8F44-4FFD-8981-47E06A62562E}" destId="{B73C65F3-F8EC-45B9-A98F-A1043A9A675C}" srcOrd="1" destOrd="0" parTransId="{A15B6741-B162-499F-9080-CA0D0D6865BB}" sibTransId="{ACAE46CE-E7A7-4ACE-9855-BED0A1B02F70}"/>
    <dgm:cxn modelId="{991E9BF6-1636-49F5-8BE1-44FA3C5B6B46}" srcId="{2BBFA4DC-F552-4B1D-B72E-D960F41F0AE3}" destId="{C58FF42A-BD1D-413F-B6FF-6F86AA558C89}" srcOrd="0" destOrd="0" parTransId="{BA965263-E197-4B80-956A-E4413064CFF6}" sibTransId="{356B3783-DA07-4238-9AB3-4117C7371B22}"/>
    <dgm:cxn modelId="{CBE12AFB-A138-414D-B56A-FB0799522023}" type="presOf" srcId="{565D44F6-A039-4299-AA8E-A64EEB508CF2}" destId="{11894DD7-1B3A-4463-B124-0ABCE45909A1}" srcOrd="0" destOrd="0" presId="urn:microsoft.com/office/officeart/2005/8/layout/hierarchy6"/>
    <dgm:cxn modelId="{1FD215FF-3636-48D2-847E-88FFCA6E4DE7}" type="presOf" srcId="{3B1ECB01-A011-498D-A42E-698A0AFC3506}" destId="{4CB56E9B-24AD-40C8-9D29-0B82AC41114D}" srcOrd="0" destOrd="0" presId="urn:microsoft.com/office/officeart/2005/8/layout/hierarchy6"/>
    <dgm:cxn modelId="{9AEB6557-21D4-4149-A355-F2ECFD04409B}" type="presParOf" srcId="{EB43D09B-5410-4EB5-ADD0-EDE497FF2584}" destId="{B2C3D720-50DC-4AFA-9E05-F3EA40190625}" srcOrd="0" destOrd="0" presId="urn:microsoft.com/office/officeart/2005/8/layout/hierarchy6"/>
    <dgm:cxn modelId="{EDE0B067-B380-480E-ACCA-C28BD47511B6}" type="presParOf" srcId="{B2C3D720-50DC-4AFA-9E05-F3EA40190625}" destId="{4C8768D5-2034-45FC-B30E-FCC48A0E23FC}" srcOrd="0" destOrd="0" presId="urn:microsoft.com/office/officeart/2005/8/layout/hierarchy6"/>
    <dgm:cxn modelId="{A3C72B95-3480-4942-B150-C8A29818F322}" type="presParOf" srcId="{4C8768D5-2034-45FC-B30E-FCC48A0E23FC}" destId="{B25BED51-6456-4764-992F-37103A9C71FD}" srcOrd="0" destOrd="0" presId="urn:microsoft.com/office/officeart/2005/8/layout/hierarchy6"/>
    <dgm:cxn modelId="{40A9C801-D0D5-467F-BE0C-F7CE3E5DA029}" type="presParOf" srcId="{B25BED51-6456-4764-992F-37103A9C71FD}" destId="{EF3F03DC-E838-429E-90EE-68F1B6A340EB}" srcOrd="0" destOrd="0" presId="urn:microsoft.com/office/officeart/2005/8/layout/hierarchy6"/>
    <dgm:cxn modelId="{9F4D95FC-7144-4144-A65B-08A0313EBA8C}" type="presParOf" srcId="{B25BED51-6456-4764-992F-37103A9C71FD}" destId="{5801AECB-4498-428B-B3BF-B2B51A57F3FD}" srcOrd="1" destOrd="0" presId="urn:microsoft.com/office/officeart/2005/8/layout/hierarchy6"/>
    <dgm:cxn modelId="{9463486B-D405-4B04-A7E6-1EFD6A5AA165}" type="presParOf" srcId="{5801AECB-4498-428B-B3BF-B2B51A57F3FD}" destId="{89749D93-D4F9-4971-99E8-024969FFE63A}" srcOrd="0" destOrd="0" presId="urn:microsoft.com/office/officeart/2005/8/layout/hierarchy6"/>
    <dgm:cxn modelId="{D3717C7E-5141-4F4F-ADD4-BB2AD8F9CC22}" type="presParOf" srcId="{5801AECB-4498-428B-B3BF-B2B51A57F3FD}" destId="{50019613-2E5D-457B-AABB-83B26BBF47BC}" srcOrd="1" destOrd="0" presId="urn:microsoft.com/office/officeart/2005/8/layout/hierarchy6"/>
    <dgm:cxn modelId="{FE56040C-570E-422D-87EF-6D5CE2399336}" type="presParOf" srcId="{50019613-2E5D-457B-AABB-83B26BBF47BC}" destId="{A92CEFBA-6F36-49EF-AB01-6E5449AEFAB9}" srcOrd="0" destOrd="0" presId="urn:microsoft.com/office/officeart/2005/8/layout/hierarchy6"/>
    <dgm:cxn modelId="{B6CC1BF6-237C-4E28-BF5F-CEFD03B64B8A}" type="presParOf" srcId="{50019613-2E5D-457B-AABB-83B26BBF47BC}" destId="{AF2B6068-8F3A-4ED8-A5B5-E22E85F976B5}" srcOrd="1" destOrd="0" presId="urn:microsoft.com/office/officeart/2005/8/layout/hierarchy6"/>
    <dgm:cxn modelId="{178E7978-0E69-4036-B850-4CF84DB20654}" type="presParOf" srcId="{AF2B6068-8F3A-4ED8-A5B5-E22E85F976B5}" destId="{03BAB1CC-36B3-4A1F-BBC4-34C76F086088}" srcOrd="0" destOrd="0" presId="urn:microsoft.com/office/officeart/2005/8/layout/hierarchy6"/>
    <dgm:cxn modelId="{0395ADD4-7F97-4E7B-BA63-6185A547CA9A}" type="presParOf" srcId="{AF2B6068-8F3A-4ED8-A5B5-E22E85F976B5}" destId="{80EA9675-6CE3-4E56-BB1B-6C7ED0A84FBA}" srcOrd="1" destOrd="0" presId="urn:microsoft.com/office/officeart/2005/8/layout/hierarchy6"/>
    <dgm:cxn modelId="{5B62DC20-BC32-41EC-BAC6-3CD4F74755E7}" type="presParOf" srcId="{80EA9675-6CE3-4E56-BB1B-6C7ED0A84FBA}" destId="{59471F1F-6B6F-43AA-A828-A0F9D998E124}" srcOrd="0" destOrd="0" presId="urn:microsoft.com/office/officeart/2005/8/layout/hierarchy6"/>
    <dgm:cxn modelId="{D3E14079-BA37-4ADF-A4C1-8790649C967D}" type="presParOf" srcId="{80EA9675-6CE3-4E56-BB1B-6C7ED0A84FBA}" destId="{7A46975A-F677-4BA3-BDF9-224D809542D6}" srcOrd="1" destOrd="0" presId="urn:microsoft.com/office/officeart/2005/8/layout/hierarchy6"/>
    <dgm:cxn modelId="{B7442170-5850-4E31-9BB5-A342D3496D94}" type="presParOf" srcId="{5801AECB-4498-428B-B3BF-B2B51A57F3FD}" destId="{3FAA6687-91F1-4F33-A4B1-8DB6C94558EC}" srcOrd="2" destOrd="0" presId="urn:microsoft.com/office/officeart/2005/8/layout/hierarchy6"/>
    <dgm:cxn modelId="{F9F1CAD4-61F8-4E95-9642-4FCE94F39A1A}" type="presParOf" srcId="{5801AECB-4498-428B-B3BF-B2B51A57F3FD}" destId="{E81ED499-C8B2-4AF6-BA30-CD687659E13A}" srcOrd="3" destOrd="0" presId="urn:microsoft.com/office/officeart/2005/8/layout/hierarchy6"/>
    <dgm:cxn modelId="{7CB9EA4F-3D3A-4E3E-85D3-7A1CEFC29330}" type="presParOf" srcId="{E81ED499-C8B2-4AF6-BA30-CD687659E13A}" destId="{2539C754-7DF1-4F48-ACA6-2EE003D4F3A9}" srcOrd="0" destOrd="0" presId="urn:microsoft.com/office/officeart/2005/8/layout/hierarchy6"/>
    <dgm:cxn modelId="{7777C14A-9389-4DA9-80A0-32CD7B79822F}" type="presParOf" srcId="{E81ED499-C8B2-4AF6-BA30-CD687659E13A}" destId="{2E7F9783-7169-4494-BA02-97A15A9703AB}" srcOrd="1" destOrd="0" presId="urn:microsoft.com/office/officeart/2005/8/layout/hierarchy6"/>
    <dgm:cxn modelId="{5E56FEAB-1CE4-4027-9654-B67414BD83C4}" type="presParOf" srcId="{2E7F9783-7169-4494-BA02-97A15A9703AB}" destId="{10964FF2-B3DF-43B0-BB14-81FCFCEF3FF3}" srcOrd="0" destOrd="0" presId="urn:microsoft.com/office/officeart/2005/8/layout/hierarchy6"/>
    <dgm:cxn modelId="{B7D84A8F-796B-4CF1-BF4E-57D2B752A5A9}" type="presParOf" srcId="{2E7F9783-7169-4494-BA02-97A15A9703AB}" destId="{43159499-23AF-4D48-A0EF-D05ACE6F7326}" srcOrd="1" destOrd="0" presId="urn:microsoft.com/office/officeart/2005/8/layout/hierarchy6"/>
    <dgm:cxn modelId="{A46D2F3F-0AD2-423D-A918-B0105B270E59}" type="presParOf" srcId="{43159499-23AF-4D48-A0EF-D05ACE6F7326}" destId="{FC1521E7-6FD6-4191-AA4E-D06FBFC04DAA}" srcOrd="0" destOrd="0" presId="urn:microsoft.com/office/officeart/2005/8/layout/hierarchy6"/>
    <dgm:cxn modelId="{C373BD97-4D9C-4D9A-A140-185F81830AA5}" type="presParOf" srcId="{43159499-23AF-4D48-A0EF-D05ACE6F7326}" destId="{FAEDDD00-0052-4BFC-BE57-CDB43D947266}" srcOrd="1" destOrd="0" presId="urn:microsoft.com/office/officeart/2005/8/layout/hierarchy6"/>
    <dgm:cxn modelId="{351B50E6-0E5A-49D0-97C9-9C515FCA3E78}" type="presParOf" srcId="{FAEDDD00-0052-4BFC-BE57-CDB43D947266}" destId="{5D41333E-1165-40ED-97D6-04FA4833F27D}" srcOrd="0" destOrd="0" presId="urn:microsoft.com/office/officeart/2005/8/layout/hierarchy6"/>
    <dgm:cxn modelId="{4BD99D3A-7A57-43F9-AD08-6C3A1EF0DC93}" type="presParOf" srcId="{FAEDDD00-0052-4BFC-BE57-CDB43D947266}" destId="{FCA6DE72-6FE6-4BD0-934B-D297BC366071}" srcOrd="1" destOrd="0" presId="urn:microsoft.com/office/officeart/2005/8/layout/hierarchy6"/>
    <dgm:cxn modelId="{51C02A1C-CCEE-4F9A-B834-580A9F6F28C2}" type="presParOf" srcId="{FCA6DE72-6FE6-4BD0-934B-D297BC366071}" destId="{09141AC2-73F4-4C63-9257-EF0F8C345F8F}" srcOrd="0" destOrd="0" presId="urn:microsoft.com/office/officeart/2005/8/layout/hierarchy6"/>
    <dgm:cxn modelId="{CD8A6245-2136-4CB6-A337-D9C7932E67C0}" type="presParOf" srcId="{FCA6DE72-6FE6-4BD0-934B-D297BC366071}" destId="{FDF2170D-68F7-4F8C-BE94-6F6C24307A89}" srcOrd="1" destOrd="0" presId="urn:microsoft.com/office/officeart/2005/8/layout/hierarchy6"/>
    <dgm:cxn modelId="{68791DEF-C196-4128-82E2-0A82EC4768A5}" type="presParOf" srcId="{FDF2170D-68F7-4F8C-BE94-6F6C24307A89}" destId="{ABAB60B8-C1D4-46E7-9505-A66395D076F0}" srcOrd="0" destOrd="0" presId="urn:microsoft.com/office/officeart/2005/8/layout/hierarchy6"/>
    <dgm:cxn modelId="{E2819282-4728-4682-B966-9C3F2D086A0C}" type="presParOf" srcId="{FDF2170D-68F7-4F8C-BE94-6F6C24307A89}" destId="{21BA7F21-FC71-413E-B373-4CE9DDABA5FF}" srcOrd="1" destOrd="0" presId="urn:microsoft.com/office/officeart/2005/8/layout/hierarchy6"/>
    <dgm:cxn modelId="{C74DF0B0-E807-47B4-BD15-5DF3146387F5}" type="presParOf" srcId="{21BA7F21-FC71-413E-B373-4CE9DDABA5FF}" destId="{11894DD7-1B3A-4463-B124-0ABCE45909A1}" srcOrd="0" destOrd="0" presId="urn:microsoft.com/office/officeart/2005/8/layout/hierarchy6"/>
    <dgm:cxn modelId="{9F6A98A7-0937-44F7-9843-533B6CD97298}" type="presParOf" srcId="{21BA7F21-FC71-413E-B373-4CE9DDABA5FF}" destId="{DFEC42D5-F7B6-4742-94C2-DAA9063FCBE1}" srcOrd="1" destOrd="0" presId="urn:microsoft.com/office/officeart/2005/8/layout/hierarchy6"/>
    <dgm:cxn modelId="{C274FADD-40A0-4490-A046-09A11A57A2F4}" type="presParOf" srcId="{FAEDDD00-0052-4BFC-BE57-CDB43D947266}" destId="{C2437503-2798-4343-B9E3-1ED01CE44C81}" srcOrd="2" destOrd="0" presId="urn:microsoft.com/office/officeart/2005/8/layout/hierarchy6"/>
    <dgm:cxn modelId="{AC61015F-FB21-401C-9532-49BDADBCF02C}" type="presParOf" srcId="{FAEDDD00-0052-4BFC-BE57-CDB43D947266}" destId="{CDE74F0D-8C9F-448A-9685-5D747CA53138}" srcOrd="3" destOrd="0" presId="urn:microsoft.com/office/officeart/2005/8/layout/hierarchy6"/>
    <dgm:cxn modelId="{4F7A5320-9C90-4490-9935-DECE7E076782}" type="presParOf" srcId="{CDE74F0D-8C9F-448A-9685-5D747CA53138}" destId="{4CB56E9B-24AD-40C8-9D29-0B82AC41114D}" srcOrd="0" destOrd="0" presId="urn:microsoft.com/office/officeart/2005/8/layout/hierarchy6"/>
    <dgm:cxn modelId="{8A9E512B-6DA7-45D7-96AA-72DB49AA997F}" type="presParOf" srcId="{CDE74F0D-8C9F-448A-9685-5D747CA53138}" destId="{4295EBEF-C878-4F2A-A483-0BA856015318}" srcOrd="1" destOrd="0" presId="urn:microsoft.com/office/officeart/2005/8/layout/hierarchy6"/>
    <dgm:cxn modelId="{09F8A1FD-87BE-46DD-A64E-D9C39C9571F3}" type="presParOf" srcId="{4295EBEF-C878-4F2A-A483-0BA856015318}" destId="{87F1867C-FDD4-44BF-B04D-A43CA30EF7DD}" srcOrd="0" destOrd="0" presId="urn:microsoft.com/office/officeart/2005/8/layout/hierarchy6"/>
    <dgm:cxn modelId="{1E2070EF-D9CF-4E7A-8CAB-BB1D62F3C0FA}" type="presParOf" srcId="{4295EBEF-C878-4F2A-A483-0BA856015318}" destId="{4148E282-14DF-456C-B650-61BCD7290730}" srcOrd="1" destOrd="0" presId="urn:microsoft.com/office/officeart/2005/8/layout/hierarchy6"/>
    <dgm:cxn modelId="{C532E38C-6397-4305-B92E-33F567438835}" type="presParOf" srcId="{4148E282-14DF-456C-B650-61BCD7290730}" destId="{43767253-0EBE-4094-942D-95B0C23604CC}" srcOrd="0" destOrd="0" presId="urn:microsoft.com/office/officeart/2005/8/layout/hierarchy6"/>
    <dgm:cxn modelId="{53C98209-A355-4289-B683-FAB3D59180FB}" type="presParOf" srcId="{4148E282-14DF-456C-B650-61BCD7290730}" destId="{A544C191-AEC7-4540-9839-A59215AF92F6}" srcOrd="1" destOrd="0" presId="urn:microsoft.com/office/officeart/2005/8/layout/hierarchy6"/>
    <dgm:cxn modelId="{1237B60B-88C4-4534-B0A1-2285B4E85658}" type="presParOf" srcId="{A544C191-AEC7-4540-9839-A59215AF92F6}" destId="{52B28F32-275D-42A2-AF34-7730457C0326}" srcOrd="0" destOrd="0" presId="urn:microsoft.com/office/officeart/2005/8/layout/hierarchy6"/>
    <dgm:cxn modelId="{42533304-453B-41A4-97A5-5BAB9351215E}" type="presParOf" srcId="{A544C191-AEC7-4540-9839-A59215AF92F6}" destId="{E133F41D-A52D-4A16-BD52-0B7618B52A3A}" srcOrd="1" destOrd="0" presId="urn:microsoft.com/office/officeart/2005/8/layout/hierarchy6"/>
    <dgm:cxn modelId="{823D6740-9482-41EB-82FA-0804A66F5897}" type="presParOf" srcId="{E133F41D-A52D-4A16-BD52-0B7618B52A3A}" destId="{A8F73303-0B97-4AF5-9AF7-09C98E060CD1}" srcOrd="0" destOrd="0" presId="urn:microsoft.com/office/officeart/2005/8/layout/hierarchy6"/>
    <dgm:cxn modelId="{7C5AF55F-022A-4508-AD7B-6C6F71DC6DA4}" type="presParOf" srcId="{E133F41D-A52D-4A16-BD52-0B7618B52A3A}" destId="{03EEF84E-7496-4A00-86F4-30D75D7265C5}" srcOrd="1" destOrd="0" presId="urn:microsoft.com/office/officeart/2005/8/layout/hierarchy6"/>
    <dgm:cxn modelId="{FB9D8C0A-23A5-4994-B2A5-F61FC332EA1F}" type="presParOf" srcId="{03EEF84E-7496-4A00-86F4-30D75D7265C5}" destId="{8F9FA2F0-455D-4133-A237-C30194BA3439}" srcOrd="0" destOrd="0" presId="urn:microsoft.com/office/officeart/2005/8/layout/hierarchy6"/>
    <dgm:cxn modelId="{B547FF41-1DFA-4F08-92CA-398756C5D30C}" type="presParOf" srcId="{03EEF84E-7496-4A00-86F4-30D75D7265C5}" destId="{5A1E5A6E-D878-428A-A179-58F76C26F1F0}" srcOrd="1" destOrd="0" presId="urn:microsoft.com/office/officeart/2005/8/layout/hierarchy6"/>
    <dgm:cxn modelId="{225C0B0C-C073-4DF8-B867-2BB39F0098C8}" type="presParOf" srcId="{5A1E5A6E-D878-428A-A179-58F76C26F1F0}" destId="{00729C54-B0ED-43BD-A5E0-EB72D9B5011E}" srcOrd="0" destOrd="0" presId="urn:microsoft.com/office/officeart/2005/8/layout/hierarchy6"/>
    <dgm:cxn modelId="{D57BEDC0-752B-4E4D-A8AE-C9F1028B9348}" type="presParOf" srcId="{5A1E5A6E-D878-428A-A179-58F76C26F1F0}" destId="{F8437D4B-0181-49A4-B9DD-847BA74A2DF3}" srcOrd="1" destOrd="0" presId="urn:microsoft.com/office/officeart/2005/8/layout/hierarchy6"/>
    <dgm:cxn modelId="{02C62D7E-95B5-446E-8B74-6045B08D05AB}" type="presParOf" srcId="{A544C191-AEC7-4540-9839-A59215AF92F6}" destId="{66185B39-35A0-47F6-98CC-7AA424D5976D}" srcOrd="2" destOrd="0" presId="urn:microsoft.com/office/officeart/2005/8/layout/hierarchy6"/>
    <dgm:cxn modelId="{766184EA-C8E4-4B01-840C-2E412E2E68FD}" type="presParOf" srcId="{A544C191-AEC7-4540-9839-A59215AF92F6}" destId="{F1CB323F-D63B-4AC8-84E7-2DDE26CAB963}" srcOrd="3" destOrd="0" presId="urn:microsoft.com/office/officeart/2005/8/layout/hierarchy6"/>
    <dgm:cxn modelId="{D136AA0A-4BBB-4A8A-A024-EEAE52E9C2E0}" type="presParOf" srcId="{F1CB323F-D63B-4AC8-84E7-2DDE26CAB963}" destId="{9705768A-00B2-4727-9337-0DAAD72DE018}" srcOrd="0" destOrd="0" presId="urn:microsoft.com/office/officeart/2005/8/layout/hierarchy6"/>
    <dgm:cxn modelId="{EBC08BFD-A012-4925-9070-F036B257AFE8}" type="presParOf" srcId="{F1CB323F-D63B-4AC8-84E7-2DDE26CAB963}" destId="{023822AC-63C0-4DC5-9B1C-BACEC0E786AA}" srcOrd="1" destOrd="0" presId="urn:microsoft.com/office/officeart/2005/8/layout/hierarchy6"/>
    <dgm:cxn modelId="{87A69A5F-E2E6-4B90-8A43-FC01FCEA9A12}" type="presParOf" srcId="{023822AC-63C0-4DC5-9B1C-BACEC0E786AA}" destId="{336D511B-972E-4D89-8929-B6852AAE6D59}" srcOrd="0" destOrd="0" presId="urn:microsoft.com/office/officeart/2005/8/layout/hierarchy6"/>
    <dgm:cxn modelId="{59A5B320-9A26-4396-ABEC-C58B22CCD885}" type="presParOf" srcId="{023822AC-63C0-4DC5-9B1C-BACEC0E786AA}" destId="{BD0541B9-B176-4A1F-AEE9-C7B6B117CCCB}" srcOrd="1" destOrd="0" presId="urn:microsoft.com/office/officeart/2005/8/layout/hierarchy6"/>
    <dgm:cxn modelId="{CFA01104-E02E-4D9D-94C5-12D7101E022E}" type="presParOf" srcId="{BD0541B9-B176-4A1F-AEE9-C7B6B117CCCB}" destId="{897ABDDA-5485-4929-81D1-679BA0CFA2BC}" srcOrd="0" destOrd="0" presId="urn:microsoft.com/office/officeart/2005/8/layout/hierarchy6"/>
    <dgm:cxn modelId="{F6C45C51-2C7C-4A43-A772-5BE8C41F14F2}" type="presParOf" srcId="{BD0541B9-B176-4A1F-AEE9-C7B6B117CCCB}" destId="{BC611A17-2514-49C1-B925-35A4629ADB77}" srcOrd="1" destOrd="0" presId="urn:microsoft.com/office/officeart/2005/8/layout/hierarchy6"/>
    <dgm:cxn modelId="{6CBF421D-39A5-4405-B7C4-C16930A14153}" type="presParOf" srcId="{EB43D09B-5410-4EB5-ADD0-EDE497FF2584}" destId="{D47CA8A6-3CDF-46ED-9FF3-AF9668204FF6}"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F03DC-E838-429E-90EE-68F1B6A340EB}">
      <dsp:nvSpPr>
        <dsp:cNvPr id="0" name=""/>
        <dsp:cNvSpPr/>
      </dsp:nvSpPr>
      <dsp:spPr>
        <a:xfrm>
          <a:off x="2374707" y="651895"/>
          <a:ext cx="1529927" cy="116105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Is there </a:t>
          </a:r>
          <a:r>
            <a:rPr lang="en-AU" sz="1000" kern="1200">
              <a:solidFill>
                <a:sysClr val="windowText" lastClr="000000"/>
              </a:solidFill>
            </a:rPr>
            <a:t>sufficient funding for the activity within any Disability Services Plan?</a:t>
          </a:r>
        </a:p>
      </dsp:txBody>
      <dsp:txXfrm>
        <a:off x="2408713" y="685901"/>
        <a:ext cx="1461915" cy="1093046"/>
      </dsp:txXfrm>
    </dsp:sp>
    <dsp:sp modelId="{89749D93-D4F9-4971-99E8-024969FFE63A}">
      <dsp:nvSpPr>
        <dsp:cNvPr id="0" name=""/>
        <dsp:cNvSpPr/>
      </dsp:nvSpPr>
      <dsp:spPr>
        <a:xfrm>
          <a:off x="1271243" y="1812953"/>
          <a:ext cx="1868426" cy="389723"/>
        </a:xfrm>
        <a:custGeom>
          <a:avLst/>
          <a:gdLst/>
          <a:ahLst/>
          <a:cxnLst/>
          <a:rect l="0" t="0" r="0" b="0"/>
          <a:pathLst>
            <a:path>
              <a:moveTo>
                <a:pt x="1868426" y="0"/>
              </a:moveTo>
              <a:lnTo>
                <a:pt x="1868426" y="194861"/>
              </a:lnTo>
              <a:lnTo>
                <a:pt x="0" y="194861"/>
              </a:lnTo>
              <a:lnTo>
                <a:pt x="0" y="38972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2CEFBA-6F36-49EF-AB01-6E5449AEFAB9}">
      <dsp:nvSpPr>
        <dsp:cNvPr id="0" name=""/>
        <dsp:cNvSpPr/>
      </dsp:nvSpPr>
      <dsp:spPr>
        <a:xfrm>
          <a:off x="1011339" y="2202676"/>
          <a:ext cx="519809" cy="2535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Yes</a:t>
          </a:r>
        </a:p>
      </dsp:txBody>
      <dsp:txXfrm>
        <a:off x="1018766" y="2210103"/>
        <a:ext cx="504955" cy="238729"/>
      </dsp:txXfrm>
    </dsp:sp>
    <dsp:sp modelId="{03BAB1CC-36B3-4A1F-BBC4-34C76F086088}">
      <dsp:nvSpPr>
        <dsp:cNvPr id="0" name=""/>
        <dsp:cNvSpPr/>
      </dsp:nvSpPr>
      <dsp:spPr>
        <a:xfrm>
          <a:off x="1225523" y="2456260"/>
          <a:ext cx="91440" cy="168076"/>
        </a:xfrm>
        <a:custGeom>
          <a:avLst/>
          <a:gdLst/>
          <a:ahLst/>
          <a:cxnLst/>
          <a:rect l="0" t="0" r="0" b="0"/>
          <a:pathLst>
            <a:path>
              <a:moveTo>
                <a:pt x="45720" y="0"/>
              </a:moveTo>
              <a:lnTo>
                <a:pt x="45720" y="84038"/>
              </a:lnTo>
              <a:lnTo>
                <a:pt x="47329" y="84038"/>
              </a:lnTo>
              <a:lnTo>
                <a:pt x="47329" y="16807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471F1F-6B6F-43AA-A828-A0F9D998E124}">
      <dsp:nvSpPr>
        <dsp:cNvPr id="0" name=""/>
        <dsp:cNvSpPr/>
      </dsp:nvSpPr>
      <dsp:spPr>
        <a:xfrm>
          <a:off x="457980" y="2624336"/>
          <a:ext cx="1629746" cy="6877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Full variation processed against the activity.</a:t>
          </a:r>
        </a:p>
        <a:p>
          <a:pPr marL="0" lvl="0" indent="0" algn="ctr" defTabSz="444500">
            <a:lnSpc>
              <a:spcPct val="90000"/>
            </a:lnSpc>
            <a:spcBef>
              <a:spcPct val="0"/>
            </a:spcBef>
            <a:spcAft>
              <a:spcPct val="35000"/>
            </a:spcAft>
            <a:buNone/>
          </a:pPr>
          <a:r>
            <a:rPr lang="en-AU" sz="1000" kern="1200"/>
            <a:t> </a:t>
          </a:r>
          <a:r>
            <a:rPr lang="en-AU" sz="1000" kern="1200">
              <a:solidFill>
                <a:sysClr val="windowText" lastClr="000000"/>
              </a:solidFill>
            </a:rPr>
            <a:t>See Table 1 </a:t>
          </a:r>
        </a:p>
      </dsp:txBody>
      <dsp:txXfrm>
        <a:off x="478123" y="2644479"/>
        <a:ext cx="1589460" cy="647433"/>
      </dsp:txXfrm>
    </dsp:sp>
    <dsp:sp modelId="{3FAA6687-91F1-4F33-A4B1-8DB6C94558EC}">
      <dsp:nvSpPr>
        <dsp:cNvPr id="0" name=""/>
        <dsp:cNvSpPr/>
      </dsp:nvSpPr>
      <dsp:spPr>
        <a:xfrm>
          <a:off x="3139670" y="1812953"/>
          <a:ext cx="1698518" cy="396678"/>
        </a:xfrm>
        <a:custGeom>
          <a:avLst/>
          <a:gdLst/>
          <a:ahLst/>
          <a:cxnLst/>
          <a:rect l="0" t="0" r="0" b="0"/>
          <a:pathLst>
            <a:path>
              <a:moveTo>
                <a:pt x="0" y="0"/>
              </a:moveTo>
              <a:lnTo>
                <a:pt x="0" y="198339"/>
              </a:lnTo>
              <a:lnTo>
                <a:pt x="1698518" y="198339"/>
              </a:lnTo>
              <a:lnTo>
                <a:pt x="1698518" y="39667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9C754-7DF1-4F48-ACA6-2EE003D4F3A9}">
      <dsp:nvSpPr>
        <dsp:cNvPr id="0" name=""/>
        <dsp:cNvSpPr/>
      </dsp:nvSpPr>
      <dsp:spPr>
        <a:xfrm>
          <a:off x="4611622" y="2209632"/>
          <a:ext cx="453133" cy="1932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No</a:t>
          </a:r>
        </a:p>
      </dsp:txBody>
      <dsp:txXfrm>
        <a:off x="4617283" y="2215293"/>
        <a:ext cx="441811" cy="181948"/>
      </dsp:txXfrm>
    </dsp:sp>
    <dsp:sp modelId="{10964FF2-B3DF-43B0-BB14-81FCFCEF3FF3}">
      <dsp:nvSpPr>
        <dsp:cNvPr id="0" name=""/>
        <dsp:cNvSpPr/>
      </dsp:nvSpPr>
      <dsp:spPr>
        <a:xfrm>
          <a:off x="4788605" y="2402902"/>
          <a:ext cx="91440" cy="200896"/>
        </a:xfrm>
        <a:custGeom>
          <a:avLst/>
          <a:gdLst/>
          <a:ahLst/>
          <a:cxnLst/>
          <a:rect l="0" t="0" r="0" b="0"/>
          <a:pathLst>
            <a:path>
              <a:moveTo>
                <a:pt x="49583" y="0"/>
              </a:moveTo>
              <a:lnTo>
                <a:pt x="49583" y="100448"/>
              </a:lnTo>
              <a:lnTo>
                <a:pt x="45720" y="100448"/>
              </a:lnTo>
              <a:lnTo>
                <a:pt x="45720" y="2008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1521E7-6FD6-4191-AA4E-D06FBFC04DAA}">
      <dsp:nvSpPr>
        <dsp:cNvPr id="0" name=""/>
        <dsp:cNvSpPr/>
      </dsp:nvSpPr>
      <dsp:spPr>
        <a:xfrm>
          <a:off x="3925144" y="2603799"/>
          <a:ext cx="1818362" cy="6786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Is there sufficient funding against </a:t>
          </a:r>
          <a:r>
            <a:rPr lang="en-AU" sz="1000" kern="1200">
              <a:solidFill>
                <a:sysClr val="windowText" lastClr="000000"/>
              </a:solidFill>
            </a:rPr>
            <a:t>other disability activities? </a:t>
          </a:r>
        </a:p>
      </dsp:txBody>
      <dsp:txXfrm>
        <a:off x="3945020" y="2623675"/>
        <a:ext cx="1778610" cy="638848"/>
      </dsp:txXfrm>
    </dsp:sp>
    <dsp:sp modelId="{5D41333E-1165-40ED-97D6-04FA4833F27D}">
      <dsp:nvSpPr>
        <dsp:cNvPr id="0" name=""/>
        <dsp:cNvSpPr/>
      </dsp:nvSpPr>
      <dsp:spPr>
        <a:xfrm>
          <a:off x="1439735" y="3282399"/>
          <a:ext cx="3394590" cy="388275"/>
        </a:xfrm>
        <a:custGeom>
          <a:avLst/>
          <a:gdLst/>
          <a:ahLst/>
          <a:cxnLst/>
          <a:rect l="0" t="0" r="0" b="0"/>
          <a:pathLst>
            <a:path>
              <a:moveTo>
                <a:pt x="3394590" y="0"/>
              </a:moveTo>
              <a:lnTo>
                <a:pt x="3394590" y="194137"/>
              </a:lnTo>
              <a:lnTo>
                <a:pt x="0" y="194137"/>
              </a:lnTo>
              <a:lnTo>
                <a:pt x="0" y="3882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141AC2-73F4-4C63-9257-EF0F8C345F8F}">
      <dsp:nvSpPr>
        <dsp:cNvPr id="0" name=""/>
        <dsp:cNvSpPr/>
      </dsp:nvSpPr>
      <dsp:spPr>
        <a:xfrm>
          <a:off x="1236159" y="3670675"/>
          <a:ext cx="407150" cy="29557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Yes</a:t>
          </a:r>
        </a:p>
      </dsp:txBody>
      <dsp:txXfrm>
        <a:off x="1244816" y="3679332"/>
        <a:ext cx="389836" cy="278259"/>
      </dsp:txXfrm>
    </dsp:sp>
    <dsp:sp modelId="{ABAB60B8-C1D4-46E7-9505-A66395D076F0}">
      <dsp:nvSpPr>
        <dsp:cNvPr id="0" name=""/>
        <dsp:cNvSpPr/>
      </dsp:nvSpPr>
      <dsp:spPr>
        <a:xfrm>
          <a:off x="1394015" y="3966248"/>
          <a:ext cx="91440" cy="303472"/>
        </a:xfrm>
        <a:custGeom>
          <a:avLst/>
          <a:gdLst/>
          <a:ahLst/>
          <a:cxnLst/>
          <a:rect l="0" t="0" r="0" b="0"/>
          <a:pathLst>
            <a:path>
              <a:moveTo>
                <a:pt x="45720" y="0"/>
              </a:moveTo>
              <a:lnTo>
                <a:pt x="45720" y="151736"/>
              </a:lnTo>
              <a:lnTo>
                <a:pt x="49479" y="151736"/>
              </a:lnTo>
              <a:lnTo>
                <a:pt x="49479" y="3034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894DD7-1B3A-4463-B124-0ABCE45909A1}">
      <dsp:nvSpPr>
        <dsp:cNvPr id="0" name=""/>
        <dsp:cNvSpPr/>
      </dsp:nvSpPr>
      <dsp:spPr>
        <a:xfrm>
          <a:off x="535905" y="4269720"/>
          <a:ext cx="1815178" cy="76860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Full </a:t>
          </a:r>
          <a:r>
            <a:rPr lang="en-AU" sz="1000" kern="1200">
              <a:solidFill>
                <a:sysClr val="windowText" lastClr="000000"/>
              </a:solidFill>
            </a:rPr>
            <a:t>variation processed against the funding withdrawal activity resulting in a negative balance. </a:t>
          </a:r>
        </a:p>
        <a:p>
          <a:pPr marL="0" lvl="0" indent="0" algn="ctr" defTabSz="444500">
            <a:lnSpc>
              <a:spcPct val="90000"/>
            </a:lnSpc>
            <a:spcBef>
              <a:spcPct val="0"/>
            </a:spcBef>
            <a:spcAft>
              <a:spcPct val="35000"/>
            </a:spcAft>
            <a:buNone/>
          </a:pPr>
          <a:r>
            <a:rPr lang="en-AU" sz="1000" kern="1200">
              <a:solidFill>
                <a:sysClr val="windowText" lastClr="000000"/>
              </a:solidFill>
            </a:rPr>
            <a:t>See Table 2 </a:t>
          </a:r>
        </a:p>
      </dsp:txBody>
      <dsp:txXfrm>
        <a:off x="558417" y="4292232"/>
        <a:ext cx="1770154" cy="723577"/>
      </dsp:txXfrm>
    </dsp:sp>
    <dsp:sp modelId="{C2437503-2798-4343-B9E3-1ED01CE44C81}">
      <dsp:nvSpPr>
        <dsp:cNvPr id="0" name=""/>
        <dsp:cNvSpPr/>
      </dsp:nvSpPr>
      <dsp:spPr>
        <a:xfrm>
          <a:off x="4210227" y="3282399"/>
          <a:ext cx="624097" cy="394139"/>
        </a:xfrm>
        <a:custGeom>
          <a:avLst/>
          <a:gdLst/>
          <a:ahLst/>
          <a:cxnLst/>
          <a:rect l="0" t="0" r="0" b="0"/>
          <a:pathLst>
            <a:path>
              <a:moveTo>
                <a:pt x="624097" y="0"/>
              </a:moveTo>
              <a:lnTo>
                <a:pt x="624097" y="197069"/>
              </a:lnTo>
              <a:lnTo>
                <a:pt x="0" y="197069"/>
              </a:lnTo>
              <a:lnTo>
                <a:pt x="0" y="39413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56E9B-24AD-40C8-9D29-0B82AC41114D}">
      <dsp:nvSpPr>
        <dsp:cNvPr id="0" name=""/>
        <dsp:cNvSpPr/>
      </dsp:nvSpPr>
      <dsp:spPr>
        <a:xfrm>
          <a:off x="3947711" y="3676539"/>
          <a:ext cx="525032" cy="2460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No</a:t>
          </a:r>
        </a:p>
      </dsp:txBody>
      <dsp:txXfrm>
        <a:off x="3954918" y="3683746"/>
        <a:ext cx="510618" cy="231649"/>
      </dsp:txXfrm>
    </dsp:sp>
    <dsp:sp modelId="{87F1867C-FDD4-44BF-B04D-A43CA30EF7DD}">
      <dsp:nvSpPr>
        <dsp:cNvPr id="0" name=""/>
        <dsp:cNvSpPr/>
      </dsp:nvSpPr>
      <dsp:spPr>
        <a:xfrm>
          <a:off x="4164507" y="3922602"/>
          <a:ext cx="91440" cy="210372"/>
        </a:xfrm>
        <a:custGeom>
          <a:avLst/>
          <a:gdLst/>
          <a:ahLst/>
          <a:cxnLst/>
          <a:rect l="0" t="0" r="0" b="0"/>
          <a:pathLst>
            <a:path>
              <a:moveTo>
                <a:pt x="45720" y="0"/>
              </a:moveTo>
              <a:lnTo>
                <a:pt x="45720" y="105186"/>
              </a:lnTo>
              <a:lnTo>
                <a:pt x="47787" y="105186"/>
              </a:lnTo>
              <a:lnTo>
                <a:pt x="47787" y="2103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67253-0EBE-4094-942D-95B0C23604CC}">
      <dsp:nvSpPr>
        <dsp:cNvPr id="0" name=""/>
        <dsp:cNvSpPr/>
      </dsp:nvSpPr>
      <dsp:spPr>
        <a:xfrm>
          <a:off x="2520263" y="4132975"/>
          <a:ext cx="3384062" cy="119612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Does the provider have a non-disability service ageement with the department?</a:t>
          </a:r>
        </a:p>
        <a:p>
          <a:pPr marL="0" lvl="0" indent="0" algn="ctr" defTabSz="444500">
            <a:lnSpc>
              <a:spcPct val="90000"/>
            </a:lnSpc>
            <a:spcBef>
              <a:spcPct val="0"/>
            </a:spcBef>
            <a:spcAft>
              <a:spcPct val="35000"/>
            </a:spcAft>
            <a:buNone/>
          </a:pPr>
          <a:r>
            <a:rPr lang="en-AU" sz="1000" u="sng" kern="1200" baseline="0"/>
            <a:t>AND</a:t>
          </a:r>
        </a:p>
        <a:p>
          <a:pPr marL="0" lvl="0" indent="0" algn="ctr" defTabSz="444500">
            <a:lnSpc>
              <a:spcPct val="90000"/>
            </a:lnSpc>
            <a:spcBef>
              <a:spcPct val="0"/>
            </a:spcBef>
            <a:spcAft>
              <a:spcPct val="35000"/>
            </a:spcAft>
            <a:buNone/>
          </a:pPr>
          <a:r>
            <a:rPr lang="en-AU" sz="1000" kern="1200"/>
            <a:t>Is there sufficient funding against this agreement (e.g. within a service plan for child protection, homelessness or health)?</a:t>
          </a:r>
        </a:p>
      </dsp:txBody>
      <dsp:txXfrm>
        <a:off x="2555296" y="4168008"/>
        <a:ext cx="3313996" cy="1126054"/>
      </dsp:txXfrm>
    </dsp:sp>
    <dsp:sp modelId="{52B28F32-275D-42A2-AF34-7730457C0326}">
      <dsp:nvSpPr>
        <dsp:cNvPr id="0" name=""/>
        <dsp:cNvSpPr/>
      </dsp:nvSpPr>
      <dsp:spPr>
        <a:xfrm>
          <a:off x="2167302" y="5329095"/>
          <a:ext cx="2044992" cy="204998"/>
        </a:xfrm>
        <a:custGeom>
          <a:avLst/>
          <a:gdLst/>
          <a:ahLst/>
          <a:cxnLst/>
          <a:rect l="0" t="0" r="0" b="0"/>
          <a:pathLst>
            <a:path>
              <a:moveTo>
                <a:pt x="2044992" y="0"/>
              </a:moveTo>
              <a:lnTo>
                <a:pt x="2044992" y="102499"/>
              </a:lnTo>
              <a:lnTo>
                <a:pt x="0" y="102499"/>
              </a:lnTo>
              <a:lnTo>
                <a:pt x="0" y="20499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73303-0B97-4AF5-9AF7-09C98E060CD1}">
      <dsp:nvSpPr>
        <dsp:cNvPr id="0" name=""/>
        <dsp:cNvSpPr/>
      </dsp:nvSpPr>
      <dsp:spPr>
        <a:xfrm>
          <a:off x="1941700" y="5534094"/>
          <a:ext cx="451205" cy="28907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Yes</a:t>
          </a:r>
        </a:p>
      </dsp:txBody>
      <dsp:txXfrm>
        <a:off x="1950167" y="5542561"/>
        <a:ext cx="434271" cy="272142"/>
      </dsp:txXfrm>
    </dsp:sp>
    <dsp:sp modelId="{8F9FA2F0-455D-4133-A237-C30194BA3439}">
      <dsp:nvSpPr>
        <dsp:cNvPr id="0" name=""/>
        <dsp:cNvSpPr/>
      </dsp:nvSpPr>
      <dsp:spPr>
        <a:xfrm>
          <a:off x="2121582" y="5823170"/>
          <a:ext cx="91440" cy="338812"/>
        </a:xfrm>
        <a:custGeom>
          <a:avLst/>
          <a:gdLst/>
          <a:ahLst/>
          <a:cxnLst/>
          <a:rect l="0" t="0" r="0" b="0"/>
          <a:pathLst>
            <a:path>
              <a:moveTo>
                <a:pt x="45720" y="0"/>
              </a:moveTo>
              <a:lnTo>
                <a:pt x="45720" y="169406"/>
              </a:lnTo>
              <a:lnTo>
                <a:pt x="51526" y="169406"/>
              </a:lnTo>
              <a:lnTo>
                <a:pt x="51526" y="3388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29C54-B0ED-43BD-A5E0-EB72D9B5011E}">
      <dsp:nvSpPr>
        <dsp:cNvPr id="0" name=""/>
        <dsp:cNvSpPr/>
      </dsp:nvSpPr>
      <dsp:spPr>
        <a:xfrm>
          <a:off x="893066" y="6161982"/>
          <a:ext cx="2560084" cy="143051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rPr>
            <a:t>Negative variation processed against the other service ageeement which offsets against other service plan funding.</a:t>
          </a:r>
        </a:p>
        <a:p>
          <a:pPr marL="0" lvl="0" indent="0" algn="ctr" defTabSz="444500">
            <a:lnSpc>
              <a:spcPct val="90000"/>
            </a:lnSpc>
            <a:spcBef>
              <a:spcPct val="0"/>
            </a:spcBef>
            <a:spcAft>
              <a:spcPct val="35000"/>
            </a:spcAft>
            <a:buNone/>
          </a:pPr>
          <a:r>
            <a:rPr lang="en-AU" sz="1000" i="1" kern="1200">
              <a:solidFill>
                <a:sysClr val="windowText" lastClr="000000"/>
              </a:solidFill>
            </a:rPr>
            <a:t>Service Plan: NDIS Transition Recoupment</a:t>
          </a:r>
        </a:p>
        <a:p>
          <a:pPr marL="0" lvl="0" indent="0" algn="ctr" defTabSz="444500">
            <a:lnSpc>
              <a:spcPct val="90000"/>
            </a:lnSpc>
            <a:spcBef>
              <a:spcPct val="0"/>
            </a:spcBef>
            <a:spcAft>
              <a:spcPct val="35000"/>
            </a:spcAft>
            <a:buNone/>
          </a:pPr>
          <a:r>
            <a:rPr lang="en-AU" sz="1000" i="1" kern="1200">
              <a:solidFill>
                <a:sysClr val="windowText" lastClr="000000"/>
              </a:solidFill>
            </a:rPr>
            <a:t>Activity: NDIS Disability Services funding recoupment (17159)</a:t>
          </a:r>
        </a:p>
        <a:p>
          <a:pPr marL="0" lvl="0" indent="0" algn="ctr" defTabSz="444500">
            <a:lnSpc>
              <a:spcPct val="90000"/>
            </a:lnSpc>
            <a:spcBef>
              <a:spcPct val="0"/>
            </a:spcBef>
            <a:spcAft>
              <a:spcPct val="35000"/>
            </a:spcAft>
            <a:buNone/>
          </a:pPr>
          <a:r>
            <a:rPr lang="en-AU" sz="1000" i="0" kern="1200">
              <a:solidFill>
                <a:sysClr val="windowText" lastClr="000000"/>
              </a:solidFill>
            </a:rPr>
            <a:t>See Table 3</a:t>
          </a:r>
        </a:p>
        <a:p>
          <a:pPr marL="0" lvl="0" indent="0" algn="ctr" defTabSz="444500">
            <a:lnSpc>
              <a:spcPct val="90000"/>
            </a:lnSpc>
            <a:spcBef>
              <a:spcPct val="0"/>
            </a:spcBef>
            <a:spcAft>
              <a:spcPct val="35000"/>
            </a:spcAft>
            <a:buNone/>
          </a:pPr>
          <a:endParaRPr lang="en-AU" sz="1000" i="0" kern="1200">
            <a:solidFill>
              <a:sysClr val="windowText" lastClr="000000"/>
            </a:solidFill>
          </a:endParaRPr>
        </a:p>
      </dsp:txBody>
      <dsp:txXfrm>
        <a:off x="934964" y="6203880"/>
        <a:ext cx="2476288" cy="1346716"/>
      </dsp:txXfrm>
    </dsp:sp>
    <dsp:sp modelId="{66185B39-35A0-47F6-98CC-7AA424D5976D}">
      <dsp:nvSpPr>
        <dsp:cNvPr id="0" name=""/>
        <dsp:cNvSpPr/>
      </dsp:nvSpPr>
      <dsp:spPr>
        <a:xfrm>
          <a:off x="4212294" y="5329095"/>
          <a:ext cx="941332" cy="228194"/>
        </a:xfrm>
        <a:custGeom>
          <a:avLst/>
          <a:gdLst/>
          <a:ahLst/>
          <a:cxnLst/>
          <a:rect l="0" t="0" r="0" b="0"/>
          <a:pathLst>
            <a:path>
              <a:moveTo>
                <a:pt x="0" y="0"/>
              </a:moveTo>
              <a:lnTo>
                <a:pt x="0" y="114097"/>
              </a:lnTo>
              <a:lnTo>
                <a:pt x="941332" y="114097"/>
              </a:lnTo>
              <a:lnTo>
                <a:pt x="941332" y="2281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5768A-00B2-4727-9337-0DAAD72DE018}">
      <dsp:nvSpPr>
        <dsp:cNvPr id="0" name=""/>
        <dsp:cNvSpPr/>
      </dsp:nvSpPr>
      <dsp:spPr>
        <a:xfrm rot="10800000" flipV="1">
          <a:off x="4878170" y="5557290"/>
          <a:ext cx="550913" cy="2285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No</a:t>
          </a:r>
        </a:p>
      </dsp:txBody>
      <dsp:txXfrm rot="-10800000">
        <a:off x="4884863" y="5563983"/>
        <a:ext cx="537527" cy="215114"/>
      </dsp:txXfrm>
    </dsp:sp>
    <dsp:sp modelId="{336D511B-972E-4D89-8929-B6852AAE6D59}">
      <dsp:nvSpPr>
        <dsp:cNvPr id="0" name=""/>
        <dsp:cNvSpPr/>
      </dsp:nvSpPr>
      <dsp:spPr>
        <a:xfrm>
          <a:off x="5106159" y="5785790"/>
          <a:ext cx="91440" cy="324064"/>
        </a:xfrm>
        <a:custGeom>
          <a:avLst/>
          <a:gdLst/>
          <a:ahLst/>
          <a:cxnLst/>
          <a:rect l="0" t="0" r="0" b="0"/>
          <a:pathLst>
            <a:path>
              <a:moveTo>
                <a:pt x="47468" y="0"/>
              </a:moveTo>
              <a:lnTo>
                <a:pt x="47468" y="162032"/>
              </a:lnTo>
              <a:lnTo>
                <a:pt x="45720" y="162032"/>
              </a:lnTo>
              <a:lnTo>
                <a:pt x="45720" y="3240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ABDDA-5485-4929-81D1-679BA0CFA2BC}">
      <dsp:nvSpPr>
        <dsp:cNvPr id="0" name=""/>
        <dsp:cNvSpPr/>
      </dsp:nvSpPr>
      <dsp:spPr>
        <a:xfrm>
          <a:off x="4060058" y="6109855"/>
          <a:ext cx="2183643" cy="95647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rPr>
            <a:t>Invoice raised against service provider for the balance of the activity funding recoupment.</a:t>
          </a:r>
        </a:p>
        <a:p>
          <a:pPr marL="0" lvl="0" indent="0" algn="ctr" defTabSz="444500">
            <a:lnSpc>
              <a:spcPct val="90000"/>
            </a:lnSpc>
            <a:spcBef>
              <a:spcPct val="0"/>
            </a:spcBef>
            <a:spcAft>
              <a:spcPct val="35000"/>
            </a:spcAft>
            <a:buNone/>
          </a:pPr>
          <a:r>
            <a:rPr lang="en-AU" sz="1000" i="0" kern="1200">
              <a:solidFill>
                <a:sysClr val="windowText" lastClr="000000"/>
              </a:solidFill>
            </a:rPr>
            <a:t>See Table 4</a:t>
          </a:r>
          <a:endParaRPr lang="en-AU" sz="1000" kern="1200">
            <a:solidFill>
              <a:sysClr val="windowText" lastClr="000000"/>
            </a:solidFill>
          </a:endParaRPr>
        </a:p>
      </dsp:txBody>
      <dsp:txXfrm>
        <a:off x="4088072" y="6137869"/>
        <a:ext cx="2127615" cy="9004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20695-11F3-4FA7-9EC6-5CB99E27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7397</Words>
  <Characters>42164</Characters>
  <Application>Microsoft Office Word</Application>
  <DocSecurity>4</DocSecurity>
  <Lines>351</Lines>
  <Paragraphs>98</Paragraphs>
  <ScaleCrop>false</ScaleCrop>
  <HeadingPairs>
    <vt:vector size="2" baseType="variant">
      <vt:variant>
        <vt:lpstr>Title</vt:lpstr>
      </vt:variant>
      <vt:variant>
        <vt:i4>1</vt:i4>
      </vt:variant>
    </vt:vector>
  </HeadingPairs>
  <TitlesOfParts>
    <vt:vector size="1" baseType="lpstr">
      <vt:lpstr>NDIS Service Agreement Variation Process FAQs for SP August 2017</vt:lpstr>
    </vt:vector>
  </TitlesOfParts>
  <Company>Department of Health and Human Services</Company>
  <LinksUpToDate>false</LinksUpToDate>
  <CharactersWithSpaces>49463</CharactersWithSpaces>
  <SharedDoc>false</SharedDoc>
  <HyperlinkBase/>
  <HLinks>
    <vt:vector size="558" baseType="variant">
      <vt:variant>
        <vt:i4>6488093</vt:i4>
      </vt:variant>
      <vt:variant>
        <vt:i4>534</vt:i4>
      </vt:variant>
      <vt:variant>
        <vt:i4>0</vt:i4>
      </vt:variant>
      <vt:variant>
        <vt:i4>5</vt:i4>
      </vt:variant>
      <vt:variant>
        <vt:lpwstr>mailto:publishing.services@dhhs.vic.gov.au</vt:lpwstr>
      </vt:variant>
      <vt:variant>
        <vt:lpwstr/>
      </vt:variant>
      <vt:variant>
        <vt:i4>983071</vt:i4>
      </vt:variant>
      <vt:variant>
        <vt:i4>531</vt:i4>
      </vt:variant>
      <vt:variant>
        <vt:i4>0</vt:i4>
      </vt:variant>
      <vt:variant>
        <vt:i4>5</vt:i4>
      </vt:variant>
      <vt:variant>
        <vt:lpwstr>http://www.dhs.vic.gov.au/about-the-department/plans,-programs-and-projects/projects-and-initiatives/disability-services/national-disability-insurance-scheme</vt:lpwstr>
      </vt:variant>
      <vt:variant>
        <vt:lpwstr/>
      </vt:variant>
      <vt:variant>
        <vt:i4>65624</vt:i4>
      </vt:variant>
      <vt:variant>
        <vt:i4>528</vt:i4>
      </vt:variant>
      <vt:variant>
        <vt:i4>0</vt:i4>
      </vt:variant>
      <vt:variant>
        <vt:i4>5</vt:i4>
      </vt:variant>
      <vt:variant>
        <vt:lpwstr>http://www.vic.gov.au/ndis/getting-ready</vt:lpwstr>
      </vt:variant>
      <vt:variant>
        <vt:lpwstr/>
      </vt:variant>
      <vt:variant>
        <vt:i4>7536766</vt:i4>
      </vt:variant>
      <vt:variant>
        <vt:i4>525</vt:i4>
      </vt:variant>
      <vt:variant>
        <vt:i4>0</vt:i4>
      </vt:variant>
      <vt:variant>
        <vt:i4>5</vt:i4>
      </vt:variant>
      <vt:variant>
        <vt:lpwstr>http://www.vic.gov.au/ndis.html</vt:lpwstr>
      </vt:variant>
      <vt:variant>
        <vt:lpwstr/>
      </vt:variant>
      <vt:variant>
        <vt:i4>6881337</vt:i4>
      </vt:variant>
      <vt:variant>
        <vt:i4>522</vt:i4>
      </vt:variant>
      <vt:variant>
        <vt:i4>0</vt:i4>
      </vt:variant>
      <vt:variant>
        <vt:i4>5</vt:i4>
      </vt:variant>
      <vt:variant>
        <vt:lpwstr>https://myplace.ndis.gov.au/ndisstorefront/about-us/our-sites/vic.html</vt:lpwstr>
      </vt:variant>
      <vt:variant>
        <vt:lpwstr/>
      </vt:variant>
      <vt:variant>
        <vt:i4>4259862</vt:i4>
      </vt:variant>
      <vt:variant>
        <vt:i4>519</vt:i4>
      </vt:variant>
      <vt:variant>
        <vt:i4>0</vt:i4>
      </vt:variant>
      <vt:variant>
        <vt:i4>5</vt:i4>
      </vt:variant>
      <vt:variant>
        <vt:lpwstr>https://myplace.ndis.gov.au/ndisstorefront/providers/provider-toolkit.1.html</vt:lpwstr>
      </vt:variant>
      <vt:variant>
        <vt:lpwstr/>
      </vt:variant>
      <vt:variant>
        <vt:i4>5636106</vt:i4>
      </vt:variant>
      <vt:variant>
        <vt:i4>516</vt:i4>
      </vt:variant>
      <vt:variant>
        <vt:i4>0</vt:i4>
      </vt:variant>
      <vt:variant>
        <vt:i4>5</vt:i4>
      </vt:variant>
      <vt:variant>
        <vt:lpwstr>http://www.ndis.gov.au/providers</vt:lpwstr>
      </vt:variant>
      <vt:variant>
        <vt:lpwstr/>
      </vt:variant>
      <vt:variant>
        <vt:i4>3538999</vt:i4>
      </vt:variant>
      <vt:variant>
        <vt:i4>513</vt:i4>
      </vt:variant>
      <vt:variant>
        <vt:i4>0</vt:i4>
      </vt:variant>
      <vt:variant>
        <vt:i4>5</vt:i4>
      </vt:variant>
      <vt:variant>
        <vt:lpwstr>http://www.ndis.gov.au/</vt:lpwstr>
      </vt:variant>
      <vt:variant>
        <vt:lpwstr/>
      </vt:variant>
      <vt:variant>
        <vt:i4>3735565</vt:i4>
      </vt:variant>
      <vt:variant>
        <vt:i4>504</vt:i4>
      </vt:variant>
      <vt:variant>
        <vt:i4>0</vt:i4>
      </vt:variant>
      <vt:variant>
        <vt:i4>5</vt:i4>
      </vt:variant>
      <vt:variant>
        <vt:lpwstr>NDIS.data@dhhs.vic.gov.au</vt:lpwstr>
      </vt:variant>
      <vt:variant>
        <vt:lpwstr/>
      </vt:variant>
      <vt:variant>
        <vt:i4>1638520</vt:i4>
      </vt:variant>
      <vt:variant>
        <vt:i4>501</vt:i4>
      </vt:variant>
      <vt:variant>
        <vt:i4>0</vt:i4>
      </vt:variant>
      <vt:variant>
        <vt:i4>5</vt:i4>
      </vt:variant>
      <vt:variant>
        <vt:lpwstr>NDIS.data@dhhs.vic.gov.au </vt:lpwstr>
      </vt:variant>
      <vt:variant>
        <vt:lpwstr/>
      </vt:variant>
      <vt:variant>
        <vt:i4>3407948</vt:i4>
      </vt:variant>
      <vt:variant>
        <vt:i4>498</vt:i4>
      </vt:variant>
      <vt:variant>
        <vt:i4>0</vt:i4>
      </vt:variant>
      <vt:variant>
        <vt:i4>5</vt:i4>
      </vt:variant>
      <vt:variant>
        <vt:lpwstr>NDIS.data@vic.gov.au </vt:lpwstr>
      </vt:variant>
      <vt:variant>
        <vt:lpwstr/>
      </vt:variant>
      <vt:variant>
        <vt:i4>1966137</vt:i4>
      </vt:variant>
      <vt:variant>
        <vt:i4>491</vt:i4>
      </vt:variant>
      <vt:variant>
        <vt:i4>0</vt:i4>
      </vt:variant>
      <vt:variant>
        <vt:i4>5</vt:i4>
      </vt:variant>
      <vt:variant>
        <vt:lpwstr/>
      </vt:variant>
      <vt:variant>
        <vt:lpwstr>_Toc489274379</vt:lpwstr>
      </vt:variant>
      <vt:variant>
        <vt:i4>1966137</vt:i4>
      </vt:variant>
      <vt:variant>
        <vt:i4>485</vt:i4>
      </vt:variant>
      <vt:variant>
        <vt:i4>0</vt:i4>
      </vt:variant>
      <vt:variant>
        <vt:i4>5</vt:i4>
      </vt:variant>
      <vt:variant>
        <vt:lpwstr/>
      </vt:variant>
      <vt:variant>
        <vt:lpwstr>_Toc489274378</vt:lpwstr>
      </vt:variant>
      <vt:variant>
        <vt:i4>1966137</vt:i4>
      </vt:variant>
      <vt:variant>
        <vt:i4>479</vt:i4>
      </vt:variant>
      <vt:variant>
        <vt:i4>0</vt:i4>
      </vt:variant>
      <vt:variant>
        <vt:i4>5</vt:i4>
      </vt:variant>
      <vt:variant>
        <vt:lpwstr/>
      </vt:variant>
      <vt:variant>
        <vt:lpwstr>_Toc489274377</vt:lpwstr>
      </vt:variant>
      <vt:variant>
        <vt:i4>1966137</vt:i4>
      </vt:variant>
      <vt:variant>
        <vt:i4>473</vt:i4>
      </vt:variant>
      <vt:variant>
        <vt:i4>0</vt:i4>
      </vt:variant>
      <vt:variant>
        <vt:i4>5</vt:i4>
      </vt:variant>
      <vt:variant>
        <vt:lpwstr/>
      </vt:variant>
      <vt:variant>
        <vt:lpwstr>_Toc489274376</vt:lpwstr>
      </vt:variant>
      <vt:variant>
        <vt:i4>1966137</vt:i4>
      </vt:variant>
      <vt:variant>
        <vt:i4>467</vt:i4>
      </vt:variant>
      <vt:variant>
        <vt:i4>0</vt:i4>
      </vt:variant>
      <vt:variant>
        <vt:i4>5</vt:i4>
      </vt:variant>
      <vt:variant>
        <vt:lpwstr/>
      </vt:variant>
      <vt:variant>
        <vt:lpwstr>_Toc489274375</vt:lpwstr>
      </vt:variant>
      <vt:variant>
        <vt:i4>1966137</vt:i4>
      </vt:variant>
      <vt:variant>
        <vt:i4>461</vt:i4>
      </vt:variant>
      <vt:variant>
        <vt:i4>0</vt:i4>
      </vt:variant>
      <vt:variant>
        <vt:i4>5</vt:i4>
      </vt:variant>
      <vt:variant>
        <vt:lpwstr/>
      </vt:variant>
      <vt:variant>
        <vt:lpwstr>_Toc489274374</vt:lpwstr>
      </vt:variant>
      <vt:variant>
        <vt:i4>1966137</vt:i4>
      </vt:variant>
      <vt:variant>
        <vt:i4>455</vt:i4>
      </vt:variant>
      <vt:variant>
        <vt:i4>0</vt:i4>
      </vt:variant>
      <vt:variant>
        <vt:i4>5</vt:i4>
      </vt:variant>
      <vt:variant>
        <vt:lpwstr/>
      </vt:variant>
      <vt:variant>
        <vt:lpwstr>_Toc489274373</vt:lpwstr>
      </vt:variant>
      <vt:variant>
        <vt:i4>1966137</vt:i4>
      </vt:variant>
      <vt:variant>
        <vt:i4>449</vt:i4>
      </vt:variant>
      <vt:variant>
        <vt:i4>0</vt:i4>
      </vt:variant>
      <vt:variant>
        <vt:i4>5</vt:i4>
      </vt:variant>
      <vt:variant>
        <vt:lpwstr/>
      </vt:variant>
      <vt:variant>
        <vt:lpwstr>_Toc489274372</vt:lpwstr>
      </vt:variant>
      <vt:variant>
        <vt:i4>1966137</vt:i4>
      </vt:variant>
      <vt:variant>
        <vt:i4>443</vt:i4>
      </vt:variant>
      <vt:variant>
        <vt:i4>0</vt:i4>
      </vt:variant>
      <vt:variant>
        <vt:i4>5</vt:i4>
      </vt:variant>
      <vt:variant>
        <vt:lpwstr/>
      </vt:variant>
      <vt:variant>
        <vt:lpwstr>_Toc489274371</vt:lpwstr>
      </vt:variant>
      <vt:variant>
        <vt:i4>1966137</vt:i4>
      </vt:variant>
      <vt:variant>
        <vt:i4>437</vt:i4>
      </vt:variant>
      <vt:variant>
        <vt:i4>0</vt:i4>
      </vt:variant>
      <vt:variant>
        <vt:i4>5</vt:i4>
      </vt:variant>
      <vt:variant>
        <vt:lpwstr/>
      </vt:variant>
      <vt:variant>
        <vt:lpwstr>_Toc489274370</vt:lpwstr>
      </vt:variant>
      <vt:variant>
        <vt:i4>2031673</vt:i4>
      </vt:variant>
      <vt:variant>
        <vt:i4>431</vt:i4>
      </vt:variant>
      <vt:variant>
        <vt:i4>0</vt:i4>
      </vt:variant>
      <vt:variant>
        <vt:i4>5</vt:i4>
      </vt:variant>
      <vt:variant>
        <vt:lpwstr/>
      </vt:variant>
      <vt:variant>
        <vt:lpwstr>_Toc489274369</vt:lpwstr>
      </vt:variant>
      <vt:variant>
        <vt:i4>2031673</vt:i4>
      </vt:variant>
      <vt:variant>
        <vt:i4>425</vt:i4>
      </vt:variant>
      <vt:variant>
        <vt:i4>0</vt:i4>
      </vt:variant>
      <vt:variant>
        <vt:i4>5</vt:i4>
      </vt:variant>
      <vt:variant>
        <vt:lpwstr/>
      </vt:variant>
      <vt:variant>
        <vt:lpwstr>_Toc489274368</vt:lpwstr>
      </vt:variant>
      <vt:variant>
        <vt:i4>2031673</vt:i4>
      </vt:variant>
      <vt:variant>
        <vt:i4>419</vt:i4>
      </vt:variant>
      <vt:variant>
        <vt:i4>0</vt:i4>
      </vt:variant>
      <vt:variant>
        <vt:i4>5</vt:i4>
      </vt:variant>
      <vt:variant>
        <vt:lpwstr/>
      </vt:variant>
      <vt:variant>
        <vt:lpwstr>_Toc489274367</vt:lpwstr>
      </vt:variant>
      <vt:variant>
        <vt:i4>2031673</vt:i4>
      </vt:variant>
      <vt:variant>
        <vt:i4>413</vt:i4>
      </vt:variant>
      <vt:variant>
        <vt:i4>0</vt:i4>
      </vt:variant>
      <vt:variant>
        <vt:i4>5</vt:i4>
      </vt:variant>
      <vt:variant>
        <vt:lpwstr/>
      </vt:variant>
      <vt:variant>
        <vt:lpwstr>_Toc489274366</vt:lpwstr>
      </vt:variant>
      <vt:variant>
        <vt:i4>2031673</vt:i4>
      </vt:variant>
      <vt:variant>
        <vt:i4>407</vt:i4>
      </vt:variant>
      <vt:variant>
        <vt:i4>0</vt:i4>
      </vt:variant>
      <vt:variant>
        <vt:i4>5</vt:i4>
      </vt:variant>
      <vt:variant>
        <vt:lpwstr/>
      </vt:variant>
      <vt:variant>
        <vt:lpwstr>_Toc489274365</vt:lpwstr>
      </vt:variant>
      <vt:variant>
        <vt:i4>2031673</vt:i4>
      </vt:variant>
      <vt:variant>
        <vt:i4>401</vt:i4>
      </vt:variant>
      <vt:variant>
        <vt:i4>0</vt:i4>
      </vt:variant>
      <vt:variant>
        <vt:i4>5</vt:i4>
      </vt:variant>
      <vt:variant>
        <vt:lpwstr/>
      </vt:variant>
      <vt:variant>
        <vt:lpwstr>_Toc489274364</vt:lpwstr>
      </vt:variant>
      <vt:variant>
        <vt:i4>2031673</vt:i4>
      </vt:variant>
      <vt:variant>
        <vt:i4>395</vt:i4>
      </vt:variant>
      <vt:variant>
        <vt:i4>0</vt:i4>
      </vt:variant>
      <vt:variant>
        <vt:i4>5</vt:i4>
      </vt:variant>
      <vt:variant>
        <vt:lpwstr/>
      </vt:variant>
      <vt:variant>
        <vt:lpwstr>_Toc489274363</vt:lpwstr>
      </vt:variant>
      <vt:variant>
        <vt:i4>2031673</vt:i4>
      </vt:variant>
      <vt:variant>
        <vt:i4>389</vt:i4>
      </vt:variant>
      <vt:variant>
        <vt:i4>0</vt:i4>
      </vt:variant>
      <vt:variant>
        <vt:i4>5</vt:i4>
      </vt:variant>
      <vt:variant>
        <vt:lpwstr/>
      </vt:variant>
      <vt:variant>
        <vt:lpwstr>_Toc489274362</vt:lpwstr>
      </vt:variant>
      <vt:variant>
        <vt:i4>2031673</vt:i4>
      </vt:variant>
      <vt:variant>
        <vt:i4>383</vt:i4>
      </vt:variant>
      <vt:variant>
        <vt:i4>0</vt:i4>
      </vt:variant>
      <vt:variant>
        <vt:i4>5</vt:i4>
      </vt:variant>
      <vt:variant>
        <vt:lpwstr/>
      </vt:variant>
      <vt:variant>
        <vt:lpwstr>_Toc489274361</vt:lpwstr>
      </vt:variant>
      <vt:variant>
        <vt:i4>2031673</vt:i4>
      </vt:variant>
      <vt:variant>
        <vt:i4>377</vt:i4>
      </vt:variant>
      <vt:variant>
        <vt:i4>0</vt:i4>
      </vt:variant>
      <vt:variant>
        <vt:i4>5</vt:i4>
      </vt:variant>
      <vt:variant>
        <vt:lpwstr/>
      </vt:variant>
      <vt:variant>
        <vt:lpwstr>_Toc489274360</vt:lpwstr>
      </vt:variant>
      <vt:variant>
        <vt:i4>1835065</vt:i4>
      </vt:variant>
      <vt:variant>
        <vt:i4>371</vt:i4>
      </vt:variant>
      <vt:variant>
        <vt:i4>0</vt:i4>
      </vt:variant>
      <vt:variant>
        <vt:i4>5</vt:i4>
      </vt:variant>
      <vt:variant>
        <vt:lpwstr/>
      </vt:variant>
      <vt:variant>
        <vt:lpwstr>_Toc489274359</vt:lpwstr>
      </vt:variant>
      <vt:variant>
        <vt:i4>1835065</vt:i4>
      </vt:variant>
      <vt:variant>
        <vt:i4>365</vt:i4>
      </vt:variant>
      <vt:variant>
        <vt:i4>0</vt:i4>
      </vt:variant>
      <vt:variant>
        <vt:i4>5</vt:i4>
      </vt:variant>
      <vt:variant>
        <vt:lpwstr/>
      </vt:variant>
      <vt:variant>
        <vt:lpwstr>_Toc489274358</vt:lpwstr>
      </vt:variant>
      <vt:variant>
        <vt:i4>1835065</vt:i4>
      </vt:variant>
      <vt:variant>
        <vt:i4>359</vt:i4>
      </vt:variant>
      <vt:variant>
        <vt:i4>0</vt:i4>
      </vt:variant>
      <vt:variant>
        <vt:i4>5</vt:i4>
      </vt:variant>
      <vt:variant>
        <vt:lpwstr/>
      </vt:variant>
      <vt:variant>
        <vt:lpwstr>_Toc489274357</vt:lpwstr>
      </vt:variant>
      <vt:variant>
        <vt:i4>1835065</vt:i4>
      </vt:variant>
      <vt:variant>
        <vt:i4>353</vt:i4>
      </vt:variant>
      <vt:variant>
        <vt:i4>0</vt:i4>
      </vt:variant>
      <vt:variant>
        <vt:i4>5</vt:i4>
      </vt:variant>
      <vt:variant>
        <vt:lpwstr/>
      </vt:variant>
      <vt:variant>
        <vt:lpwstr>_Toc489274356</vt:lpwstr>
      </vt:variant>
      <vt:variant>
        <vt:i4>1835065</vt:i4>
      </vt:variant>
      <vt:variant>
        <vt:i4>347</vt:i4>
      </vt:variant>
      <vt:variant>
        <vt:i4>0</vt:i4>
      </vt:variant>
      <vt:variant>
        <vt:i4>5</vt:i4>
      </vt:variant>
      <vt:variant>
        <vt:lpwstr/>
      </vt:variant>
      <vt:variant>
        <vt:lpwstr>_Toc489274354</vt:lpwstr>
      </vt:variant>
      <vt:variant>
        <vt:i4>1835065</vt:i4>
      </vt:variant>
      <vt:variant>
        <vt:i4>341</vt:i4>
      </vt:variant>
      <vt:variant>
        <vt:i4>0</vt:i4>
      </vt:variant>
      <vt:variant>
        <vt:i4>5</vt:i4>
      </vt:variant>
      <vt:variant>
        <vt:lpwstr/>
      </vt:variant>
      <vt:variant>
        <vt:lpwstr>_Toc489274353</vt:lpwstr>
      </vt:variant>
      <vt:variant>
        <vt:i4>1835065</vt:i4>
      </vt:variant>
      <vt:variant>
        <vt:i4>335</vt:i4>
      </vt:variant>
      <vt:variant>
        <vt:i4>0</vt:i4>
      </vt:variant>
      <vt:variant>
        <vt:i4>5</vt:i4>
      </vt:variant>
      <vt:variant>
        <vt:lpwstr/>
      </vt:variant>
      <vt:variant>
        <vt:lpwstr>_Toc489274352</vt:lpwstr>
      </vt:variant>
      <vt:variant>
        <vt:i4>1835065</vt:i4>
      </vt:variant>
      <vt:variant>
        <vt:i4>329</vt:i4>
      </vt:variant>
      <vt:variant>
        <vt:i4>0</vt:i4>
      </vt:variant>
      <vt:variant>
        <vt:i4>5</vt:i4>
      </vt:variant>
      <vt:variant>
        <vt:lpwstr/>
      </vt:variant>
      <vt:variant>
        <vt:lpwstr>_Toc489274351</vt:lpwstr>
      </vt:variant>
      <vt:variant>
        <vt:i4>1835065</vt:i4>
      </vt:variant>
      <vt:variant>
        <vt:i4>323</vt:i4>
      </vt:variant>
      <vt:variant>
        <vt:i4>0</vt:i4>
      </vt:variant>
      <vt:variant>
        <vt:i4>5</vt:i4>
      </vt:variant>
      <vt:variant>
        <vt:lpwstr/>
      </vt:variant>
      <vt:variant>
        <vt:lpwstr>_Toc489274350</vt:lpwstr>
      </vt:variant>
      <vt:variant>
        <vt:i4>1900601</vt:i4>
      </vt:variant>
      <vt:variant>
        <vt:i4>317</vt:i4>
      </vt:variant>
      <vt:variant>
        <vt:i4>0</vt:i4>
      </vt:variant>
      <vt:variant>
        <vt:i4>5</vt:i4>
      </vt:variant>
      <vt:variant>
        <vt:lpwstr/>
      </vt:variant>
      <vt:variant>
        <vt:lpwstr>_Toc489274349</vt:lpwstr>
      </vt:variant>
      <vt:variant>
        <vt:i4>1900601</vt:i4>
      </vt:variant>
      <vt:variant>
        <vt:i4>311</vt:i4>
      </vt:variant>
      <vt:variant>
        <vt:i4>0</vt:i4>
      </vt:variant>
      <vt:variant>
        <vt:i4>5</vt:i4>
      </vt:variant>
      <vt:variant>
        <vt:lpwstr/>
      </vt:variant>
      <vt:variant>
        <vt:lpwstr>_Toc489274348</vt:lpwstr>
      </vt:variant>
      <vt:variant>
        <vt:i4>1900601</vt:i4>
      </vt:variant>
      <vt:variant>
        <vt:i4>305</vt:i4>
      </vt:variant>
      <vt:variant>
        <vt:i4>0</vt:i4>
      </vt:variant>
      <vt:variant>
        <vt:i4>5</vt:i4>
      </vt:variant>
      <vt:variant>
        <vt:lpwstr/>
      </vt:variant>
      <vt:variant>
        <vt:lpwstr>_Toc489274347</vt:lpwstr>
      </vt:variant>
      <vt:variant>
        <vt:i4>1900601</vt:i4>
      </vt:variant>
      <vt:variant>
        <vt:i4>299</vt:i4>
      </vt:variant>
      <vt:variant>
        <vt:i4>0</vt:i4>
      </vt:variant>
      <vt:variant>
        <vt:i4>5</vt:i4>
      </vt:variant>
      <vt:variant>
        <vt:lpwstr/>
      </vt:variant>
      <vt:variant>
        <vt:lpwstr>_Toc489274345</vt:lpwstr>
      </vt:variant>
      <vt:variant>
        <vt:i4>1900601</vt:i4>
      </vt:variant>
      <vt:variant>
        <vt:i4>293</vt:i4>
      </vt:variant>
      <vt:variant>
        <vt:i4>0</vt:i4>
      </vt:variant>
      <vt:variant>
        <vt:i4>5</vt:i4>
      </vt:variant>
      <vt:variant>
        <vt:lpwstr/>
      </vt:variant>
      <vt:variant>
        <vt:lpwstr>_Toc489274344</vt:lpwstr>
      </vt:variant>
      <vt:variant>
        <vt:i4>1900601</vt:i4>
      </vt:variant>
      <vt:variant>
        <vt:i4>287</vt:i4>
      </vt:variant>
      <vt:variant>
        <vt:i4>0</vt:i4>
      </vt:variant>
      <vt:variant>
        <vt:i4>5</vt:i4>
      </vt:variant>
      <vt:variant>
        <vt:lpwstr/>
      </vt:variant>
      <vt:variant>
        <vt:lpwstr>_Toc489274343</vt:lpwstr>
      </vt:variant>
      <vt:variant>
        <vt:i4>1900601</vt:i4>
      </vt:variant>
      <vt:variant>
        <vt:i4>281</vt:i4>
      </vt:variant>
      <vt:variant>
        <vt:i4>0</vt:i4>
      </vt:variant>
      <vt:variant>
        <vt:i4>5</vt:i4>
      </vt:variant>
      <vt:variant>
        <vt:lpwstr/>
      </vt:variant>
      <vt:variant>
        <vt:lpwstr>_Toc489274342</vt:lpwstr>
      </vt:variant>
      <vt:variant>
        <vt:i4>1900601</vt:i4>
      </vt:variant>
      <vt:variant>
        <vt:i4>275</vt:i4>
      </vt:variant>
      <vt:variant>
        <vt:i4>0</vt:i4>
      </vt:variant>
      <vt:variant>
        <vt:i4>5</vt:i4>
      </vt:variant>
      <vt:variant>
        <vt:lpwstr/>
      </vt:variant>
      <vt:variant>
        <vt:lpwstr>_Toc489274341</vt:lpwstr>
      </vt:variant>
      <vt:variant>
        <vt:i4>1900601</vt:i4>
      </vt:variant>
      <vt:variant>
        <vt:i4>269</vt:i4>
      </vt:variant>
      <vt:variant>
        <vt:i4>0</vt:i4>
      </vt:variant>
      <vt:variant>
        <vt:i4>5</vt:i4>
      </vt:variant>
      <vt:variant>
        <vt:lpwstr/>
      </vt:variant>
      <vt:variant>
        <vt:lpwstr>_Toc489274340</vt:lpwstr>
      </vt:variant>
      <vt:variant>
        <vt:i4>1703993</vt:i4>
      </vt:variant>
      <vt:variant>
        <vt:i4>263</vt:i4>
      </vt:variant>
      <vt:variant>
        <vt:i4>0</vt:i4>
      </vt:variant>
      <vt:variant>
        <vt:i4>5</vt:i4>
      </vt:variant>
      <vt:variant>
        <vt:lpwstr/>
      </vt:variant>
      <vt:variant>
        <vt:lpwstr>_Toc489274339</vt:lpwstr>
      </vt:variant>
      <vt:variant>
        <vt:i4>1703993</vt:i4>
      </vt:variant>
      <vt:variant>
        <vt:i4>257</vt:i4>
      </vt:variant>
      <vt:variant>
        <vt:i4>0</vt:i4>
      </vt:variant>
      <vt:variant>
        <vt:i4>5</vt:i4>
      </vt:variant>
      <vt:variant>
        <vt:lpwstr/>
      </vt:variant>
      <vt:variant>
        <vt:lpwstr>_Toc489274338</vt:lpwstr>
      </vt:variant>
      <vt:variant>
        <vt:i4>1703993</vt:i4>
      </vt:variant>
      <vt:variant>
        <vt:i4>251</vt:i4>
      </vt:variant>
      <vt:variant>
        <vt:i4>0</vt:i4>
      </vt:variant>
      <vt:variant>
        <vt:i4>5</vt:i4>
      </vt:variant>
      <vt:variant>
        <vt:lpwstr/>
      </vt:variant>
      <vt:variant>
        <vt:lpwstr>_Toc489274337</vt:lpwstr>
      </vt:variant>
      <vt:variant>
        <vt:i4>1572923</vt:i4>
      </vt:variant>
      <vt:variant>
        <vt:i4>242</vt:i4>
      </vt:variant>
      <vt:variant>
        <vt:i4>0</vt:i4>
      </vt:variant>
      <vt:variant>
        <vt:i4>5</vt:i4>
      </vt:variant>
      <vt:variant>
        <vt:lpwstr/>
      </vt:variant>
      <vt:variant>
        <vt:lpwstr>_Toc489274117</vt:lpwstr>
      </vt:variant>
      <vt:variant>
        <vt:i4>1572923</vt:i4>
      </vt:variant>
      <vt:variant>
        <vt:i4>236</vt:i4>
      </vt:variant>
      <vt:variant>
        <vt:i4>0</vt:i4>
      </vt:variant>
      <vt:variant>
        <vt:i4>5</vt:i4>
      </vt:variant>
      <vt:variant>
        <vt:lpwstr/>
      </vt:variant>
      <vt:variant>
        <vt:lpwstr>_Toc489274116</vt:lpwstr>
      </vt:variant>
      <vt:variant>
        <vt:i4>1572923</vt:i4>
      </vt:variant>
      <vt:variant>
        <vt:i4>230</vt:i4>
      </vt:variant>
      <vt:variant>
        <vt:i4>0</vt:i4>
      </vt:variant>
      <vt:variant>
        <vt:i4>5</vt:i4>
      </vt:variant>
      <vt:variant>
        <vt:lpwstr/>
      </vt:variant>
      <vt:variant>
        <vt:lpwstr>_Toc489274115</vt:lpwstr>
      </vt:variant>
      <vt:variant>
        <vt:i4>1572923</vt:i4>
      </vt:variant>
      <vt:variant>
        <vt:i4>224</vt:i4>
      </vt:variant>
      <vt:variant>
        <vt:i4>0</vt:i4>
      </vt:variant>
      <vt:variant>
        <vt:i4>5</vt:i4>
      </vt:variant>
      <vt:variant>
        <vt:lpwstr/>
      </vt:variant>
      <vt:variant>
        <vt:lpwstr>_Toc489274114</vt:lpwstr>
      </vt:variant>
      <vt:variant>
        <vt:i4>1572923</vt:i4>
      </vt:variant>
      <vt:variant>
        <vt:i4>218</vt:i4>
      </vt:variant>
      <vt:variant>
        <vt:i4>0</vt:i4>
      </vt:variant>
      <vt:variant>
        <vt:i4>5</vt:i4>
      </vt:variant>
      <vt:variant>
        <vt:lpwstr/>
      </vt:variant>
      <vt:variant>
        <vt:lpwstr>_Toc489274113</vt:lpwstr>
      </vt:variant>
      <vt:variant>
        <vt:i4>1572923</vt:i4>
      </vt:variant>
      <vt:variant>
        <vt:i4>212</vt:i4>
      </vt:variant>
      <vt:variant>
        <vt:i4>0</vt:i4>
      </vt:variant>
      <vt:variant>
        <vt:i4>5</vt:i4>
      </vt:variant>
      <vt:variant>
        <vt:lpwstr/>
      </vt:variant>
      <vt:variant>
        <vt:lpwstr>_Toc489274112</vt:lpwstr>
      </vt:variant>
      <vt:variant>
        <vt:i4>1572923</vt:i4>
      </vt:variant>
      <vt:variant>
        <vt:i4>206</vt:i4>
      </vt:variant>
      <vt:variant>
        <vt:i4>0</vt:i4>
      </vt:variant>
      <vt:variant>
        <vt:i4>5</vt:i4>
      </vt:variant>
      <vt:variant>
        <vt:lpwstr/>
      </vt:variant>
      <vt:variant>
        <vt:lpwstr>_Toc489274111</vt:lpwstr>
      </vt:variant>
      <vt:variant>
        <vt:i4>1572923</vt:i4>
      </vt:variant>
      <vt:variant>
        <vt:i4>200</vt:i4>
      </vt:variant>
      <vt:variant>
        <vt:i4>0</vt:i4>
      </vt:variant>
      <vt:variant>
        <vt:i4>5</vt:i4>
      </vt:variant>
      <vt:variant>
        <vt:lpwstr/>
      </vt:variant>
      <vt:variant>
        <vt:lpwstr>_Toc489274110</vt:lpwstr>
      </vt:variant>
      <vt:variant>
        <vt:i4>1638459</vt:i4>
      </vt:variant>
      <vt:variant>
        <vt:i4>194</vt:i4>
      </vt:variant>
      <vt:variant>
        <vt:i4>0</vt:i4>
      </vt:variant>
      <vt:variant>
        <vt:i4>5</vt:i4>
      </vt:variant>
      <vt:variant>
        <vt:lpwstr/>
      </vt:variant>
      <vt:variant>
        <vt:lpwstr>_Toc489274109</vt:lpwstr>
      </vt:variant>
      <vt:variant>
        <vt:i4>1638459</vt:i4>
      </vt:variant>
      <vt:variant>
        <vt:i4>188</vt:i4>
      </vt:variant>
      <vt:variant>
        <vt:i4>0</vt:i4>
      </vt:variant>
      <vt:variant>
        <vt:i4>5</vt:i4>
      </vt:variant>
      <vt:variant>
        <vt:lpwstr/>
      </vt:variant>
      <vt:variant>
        <vt:lpwstr>_Toc489274108</vt:lpwstr>
      </vt:variant>
      <vt:variant>
        <vt:i4>1638459</vt:i4>
      </vt:variant>
      <vt:variant>
        <vt:i4>182</vt:i4>
      </vt:variant>
      <vt:variant>
        <vt:i4>0</vt:i4>
      </vt:variant>
      <vt:variant>
        <vt:i4>5</vt:i4>
      </vt:variant>
      <vt:variant>
        <vt:lpwstr/>
      </vt:variant>
      <vt:variant>
        <vt:lpwstr>_Toc489274107</vt:lpwstr>
      </vt:variant>
      <vt:variant>
        <vt:i4>1638459</vt:i4>
      </vt:variant>
      <vt:variant>
        <vt:i4>176</vt:i4>
      </vt:variant>
      <vt:variant>
        <vt:i4>0</vt:i4>
      </vt:variant>
      <vt:variant>
        <vt:i4>5</vt:i4>
      </vt:variant>
      <vt:variant>
        <vt:lpwstr/>
      </vt:variant>
      <vt:variant>
        <vt:lpwstr>_Toc489274106</vt:lpwstr>
      </vt:variant>
      <vt:variant>
        <vt:i4>1638459</vt:i4>
      </vt:variant>
      <vt:variant>
        <vt:i4>170</vt:i4>
      </vt:variant>
      <vt:variant>
        <vt:i4>0</vt:i4>
      </vt:variant>
      <vt:variant>
        <vt:i4>5</vt:i4>
      </vt:variant>
      <vt:variant>
        <vt:lpwstr/>
      </vt:variant>
      <vt:variant>
        <vt:lpwstr>_Toc489274105</vt:lpwstr>
      </vt:variant>
      <vt:variant>
        <vt:i4>1638459</vt:i4>
      </vt:variant>
      <vt:variant>
        <vt:i4>164</vt:i4>
      </vt:variant>
      <vt:variant>
        <vt:i4>0</vt:i4>
      </vt:variant>
      <vt:variant>
        <vt:i4>5</vt:i4>
      </vt:variant>
      <vt:variant>
        <vt:lpwstr/>
      </vt:variant>
      <vt:variant>
        <vt:lpwstr>_Toc489274104</vt:lpwstr>
      </vt:variant>
      <vt:variant>
        <vt:i4>1638459</vt:i4>
      </vt:variant>
      <vt:variant>
        <vt:i4>158</vt:i4>
      </vt:variant>
      <vt:variant>
        <vt:i4>0</vt:i4>
      </vt:variant>
      <vt:variant>
        <vt:i4>5</vt:i4>
      </vt:variant>
      <vt:variant>
        <vt:lpwstr/>
      </vt:variant>
      <vt:variant>
        <vt:lpwstr>_Toc489274103</vt:lpwstr>
      </vt:variant>
      <vt:variant>
        <vt:i4>1638459</vt:i4>
      </vt:variant>
      <vt:variant>
        <vt:i4>152</vt:i4>
      </vt:variant>
      <vt:variant>
        <vt:i4>0</vt:i4>
      </vt:variant>
      <vt:variant>
        <vt:i4>5</vt:i4>
      </vt:variant>
      <vt:variant>
        <vt:lpwstr/>
      </vt:variant>
      <vt:variant>
        <vt:lpwstr>_Toc489274102</vt:lpwstr>
      </vt:variant>
      <vt:variant>
        <vt:i4>1638459</vt:i4>
      </vt:variant>
      <vt:variant>
        <vt:i4>146</vt:i4>
      </vt:variant>
      <vt:variant>
        <vt:i4>0</vt:i4>
      </vt:variant>
      <vt:variant>
        <vt:i4>5</vt:i4>
      </vt:variant>
      <vt:variant>
        <vt:lpwstr/>
      </vt:variant>
      <vt:variant>
        <vt:lpwstr>_Toc489274101</vt:lpwstr>
      </vt:variant>
      <vt:variant>
        <vt:i4>1638459</vt:i4>
      </vt:variant>
      <vt:variant>
        <vt:i4>140</vt:i4>
      </vt:variant>
      <vt:variant>
        <vt:i4>0</vt:i4>
      </vt:variant>
      <vt:variant>
        <vt:i4>5</vt:i4>
      </vt:variant>
      <vt:variant>
        <vt:lpwstr/>
      </vt:variant>
      <vt:variant>
        <vt:lpwstr>_Toc489274100</vt:lpwstr>
      </vt:variant>
      <vt:variant>
        <vt:i4>1048634</vt:i4>
      </vt:variant>
      <vt:variant>
        <vt:i4>134</vt:i4>
      </vt:variant>
      <vt:variant>
        <vt:i4>0</vt:i4>
      </vt:variant>
      <vt:variant>
        <vt:i4>5</vt:i4>
      </vt:variant>
      <vt:variant>
        <vt:lpwstr/>
      </vt:variant>
      <vt:variant>
        <vt:lpwstr>_Toc489274099</vt:lpwstr>
      </vt:variant>
      <vt:variant>
        <vt:i4>1048634</vt:i4>
      </vt:variant>
      <vt:variant>
        <vt:i4>128</vt:i4>
      </vt:variant>
      <vt:variant>
        <vt:i4>0</vt:i4>
      </vt:variant>
      <vt:variant>
        <vt:i4>5</vt:i4>
      </vt:variant>
      <vt:variant>
        <vt:lpwstr/>
      </vt:variant>
      <vt:variant>
        <vt:lpwstr>_Toc489274098</vt:lpwstr>
      </vt:variant>
      <vt:variant>
        <vt:i4>1048634</vt:i4>
      </vt:variant>
      <vt:variant>
        <vt:i4>122</vt:i4>
      </vt:variant>
      <vt:variant>
        <vt:i4>0</vt:i4>
      </vt:variant>
      <vt:variant>
        <vt:i4>5</vt:i4>
      </vt:variant>
      <vt:variant>
        <vt:lpwstr/>
      </vt:variant>
      <vt:variant>
        <vt:lpwstr>_Toc489274097</vt:lpwstr>
      </vt:variant>
      <vt:variant>
        <vt:i4>1048634</vt:i4>
      </vt:variant>
      <vt:variant>
        <vt:i4>116</vt:i4>
      </vt:variant>
      <vt:variant>
        <vt:i4>0</vt:i4>
      </vt:variant>
      <vt:variant>
        <vt:i4>5</vt:i4>
      </vt:variant>
      <vt:variant>
        <vt:lpwstr/>
      </vt:variant>
      <vt:variant>
        <vt:lpwstr>_Toc489274096</vt:lpwstr>
      </vt:variant>
      <vt:variant>
        <vt:i4>1048634</vt:i4>
      </vt:variant>
      <vt:variant>
        <vt:i4>110</vt:i4>
      </vt:variant>
      <vt:variant>
        <vt:i4>0</vt:i4>
      </vt:variant>
      <vt:variant>
        <vt:i4>5</vt:i4>
      </vt:variant>
      <vt:variant>
        <vt:lpwstr/>
      </vt:variant>
      <vt:variant>
        <vt:lpwstr>_Toc489274095</vt:lpwstr>
      </vt:variant>
      <vt:variant>
        <vt:i4>1048634</vt:i4>
      </vt:variant>
      <vt:variant>
        <vt:i4>104</vt:i4>
      </vt:variant>
      <vt:variant>
        <vt:i4>0</vt:i4>
      </vt:variant>
      <vt:variant>
        <vt:i4>5</vt:i4>
      </vt:variant>
      <vt:variant>
        <vt:lpwstr/>
      </vt:variant>
      <vt:variant>
        <vt:lpwstr>_Toc489274094</vt:lpwstr>
      </vt:variant>
      <vt:variant>
        <vt:i4>1048634</vt:i4>
      </vt:variant>
      <vt:variant>
        <vt:i4>98</vt:i4>
      </vt:variant>
      <vt:variant>
        <vt:i4>0</vt:i4>
      </vt:variant>
      <vt:variant>
        <vt:i4>5</vt:i4>
      </vt:variant>
      <vt:variant>
        <vt:lpwstr/>
      </vt:variant>
      <vt:variant>
        <vt:lpwstr>_Toc489274092</vt:lpwstr>
      </vt:variant>
      <vt:variant>
        <vt:i4>1048634</vt:i4>
      </vt:variant>
      <vt:variant>
        <vt:i4>92</vt:i4>
      </vt:variant>
      <vt:variant>
        <vt:i4>0</vt:i4>
      </vt:variant>
      <vt:variant>
        <vt:i4>5</vt:i4>
      </vt:variant>
      <vt:variant>
        <vt:lpwstr/>
      </vt:variant>
      <vt:variant>
        <vt:lpwstr>_Toc489274091</vt:lpwstr>
      </vt:variant>
      <vt:variant>
        <vt:i4>1048634</vt:i4>
      </vt:variant>
      <vt:variant>
        <vt:i4>86</vt:i4>
      </vt:variant>
      <vt:variant>
        <vt:i4>0</vt:i4>
      </vt:variant>
      <vt:variant>
        <vt:i4>5</vt:i4>
      </vt:variant>
      <vt:variant>
        <vt:lpwstr/>
      </vt:variant>
      <vt:variant>
        <vt:lpwstr>_Toc489274090</vt:lpwstr>
      </vt:variant>
      <vt:variant>
        <vt:i4>1114170</vt:i4>
      </vt:variant>
      <vt:variant>
        <vt:i4>80</vt:i4>
      </vt:variant>
      <vt:variant>
        <vt:i4>0</vt:i4>
      </vt:variant>
      <vt:variant>
        <vt:i4>5</vt:i4>
      </vt:variant>
      <vt:variant>
        <vt:lpwstr/>
      </vt:variant>
      <vt:variant>
        <vt:lpwstr>_Toc489274089</vt:lpwstr>
      </vt:variant>
      <vt:variant>
        <vt:i4>1114170</vt:i4>
      </vt:variant>
      <vt:variant>
        <vt:i4>74</vt:i4>
      </vt:variant>
      <vt:variant>
        <vt:i4>0</vt:i4>
      </vt:variant>
      <vt:variant>
        <vt:i4>5</vt:i4>
      </vt:variant>
      <vt:variant>
        <vt:lpwstr/>
      </vt:variant>
      <vt:variant>
        <vt:lpwstr>_Toc489274088</vt:lpwstr>
      </vt:variant>
      <vt:variant>
        <vt:i4>1114170</vt:i4>
      </vt:variant>
      <vt:variant>
        <vt:i4>68</vt:i4>
      </vt:variant>
      <vt:variant>
        <vt:i4>0</vt:i4>
      </vt:variant>
      <vt:variant>
        <vt:i4>5</vt:i4>
      </vt:variant>
      <vt:variant>
        <vt:lpwstr/>
      </vt:variant>
      <vt:variant>
        <vt:lpwstr>_Toc489274087</vt:lpwstr>
      </vt:variant>
      <vt:variant>
        <vt:i4>1114170</vt:i4>
      </vt:variant>
      <vt:variant>
        <vt:i4>62</vt:i4>
      </vt:variant>
      <vt:variant>
        <vt:i4>0</vt:i4>
      </vt:variant>
      <vt:variant>
        <vt:i4>5</vt:i4>
      </vt:variant>
      <vt:variant>
        <vt:lpwstr/>
      </vt:variant>
      <vt:variant>
        <vt:lpwstr>_Toc489274086</vt:lpwstr>
      </vt:variant>
      <vt:variant>
        <vt:i4>1114170</vt:i4>
      </vt:variant>
      <vt:variant>
        <vt:i4>56</vt:i4>
      </vt:variant>
      <vt:variant>
        <vt:i4>0</vt:i4>
      </vt:variant>
      <vt:variant>
        <vt:i4>5</vt:i4>
      </vt:variant>
      <vt:variant>
        <vt:lpwstr/>
      </vt:variant>
      <vt:variant>
        <vt:lpwstr>_Toc489274085</vt:lpwstr>
      </vt:variant>
      <vt:variant>
        <vt:i4>1114170</vt:i4>
      </vt:variant>
      <vt:variant>
        <vt:i4>50</vt:i4>
      </vt:variant>
      <vt:variant>
        <vt:i4>0</vt:i4>
      </vt:variant>
      <vt:variant>
        <vt:i4>5</vt:i4>
      </vt:variant>
      <vt:variant>
        <vt:lpwstr/>
      </vt:variant>
      <vt:variant>
        <vt:lpwstr>_Toc489274083</vt:lpwstr>
      </vt:variant>
      <vt:variant>
        <vt:i4>1114170</vt:i4>
      </vt:variant>
      <vt:variant>
        <vt:i4>44</vt:i4>
      </vt:variant>
      <vt:variant>
        <vt:i4>0</vt:i4>
      </vt:variant>
      <vt:variant>
        <vt:i4>5</vt:i4>
      </vt:variant>
      <vt:variant>
        <vt:lpwstr/>
      </vt:variant>
      <vt:variant>
        <vt:lpwstr>_Toc489274082</vt:lpwstr>
      </vt:variant>
      <vt:variant>
        <vt:i4>1114170</vt:i4>
      </vt:variant>
      <vt:variant>
        <vt:i4>38</vt:i4>
      </vt:variant>
      <vt:variant>
        <vt:i4>0</vt:i4>
      </vt:variant>
      <vt:variant>
        <vt:i4>5</vt:i4>
      </vt:variant>
      <vt:variant>
        <vt:lpwstr/>
      </vt:variant>
      <vt:variant>
        <vt:lpwstr>_Toc489274081</vt:lpwstr>
      </vt:variant>
      <vt:variant>
        <vt:i4>1114170</vt:i4>
      </vt:variant>
      <vt:variant>
        <vt:i4>32</vt:i4>
      </vt:variant>
      <vt:variant>
        <vt:i4>0</vt:i4>
      </vt:variant>
      <vt:variant>
        <vt:i4>5</vt:i4>
      </vt:variant>
      <vt:variant>
        <vt:lpwstr/>
      </vt:variant>
      <vt:variant>
        <vt:lpwstr>_Toc489274080</vt:lpwstr>
      </vt:variant>
      <vt:variant>
        <vt:i4>1966138</vt:i4>
      </vt:variant>
      <vt:variant>
        <vt:i4>26</vt:i4>
      </vt:variant>
      <vt:variant>
        <vt:i4>0</vt:i4>
      </vt:variant>
      <vt:variant>
        <vt:i4>5</vt:i4>
      </vt:variant>
      <vt:variant>
        <vt:lpwstr/>
      </vt:variant>
      <vt:variant>
        <vt:lpwstr>_Toc489274079</vt:lpwstr>
      </vt:variant>
      <vt:variant>
        <vt:i4>1966138</vt:i4>
      </vt:variant>
      <vt:variant>
        <vt:i4>20</vt:i4>
      </vt:variant>
      <vt:variant>
        <vt:i4>0</vt:i4>
      </vt:variant>
      <vt:variant>
        <vt:i4>5</vt:i4>
      </vt:variant>
      <vt:variant>
        <vt:lpwstr/>
      </vt:variant>
      <vt:variant>
        <vt:lpwstr>_Toc489274078</vt:lpwstr>
      </vt:variant>
      <vt:variant>
        <vt:i4>1966138</vt:i4>
      </vt:variant>
      <vt:variant>
        <vt:i4>14</vt:i4>
      </vt:variant>
      <vt:variant>
        <vt:i4>0</vt:i4>
      </vt:variant>
      <vt:variant>
        <vt:i4>5</vt:i4>
      </vt:variant>
      <vt:variant>
        <vt:lpwstr/>
      </vt:variant>
      <vt:variant>
        <vt:lpwstr>_Toc489274077</vt:lpwstr>
      </vt:variant>
      <vt:variant>
        <vt:i4>1966138</vt:i4>
      </vt:variant>
      <vt:variant>
        <vt:i4>8</vt:i4>
      </vt:variant>
      <vt:variant>
        <vt:i4>0</vt:i4>
      </vt:variant>
      <vt:variant>
        <vt:i4>5</vt:i4>
      </vt:variant>
      <vt:variant>
        <vt:lpwstr/>
      </vt:variant>
      <vt:variant>
        <vt:lpwstr>_Toc489274076</vt:lpwstr>
      </vt:variant>
      <vt:variant>
        <vt:i4>1966138</vt:i4>
      </vt:variant>
      <vt:variant>
        <vt:i4>2</vt:i4>
      </vt:variant>
      <vt:variant>
        <vt:i4>0</vt:i4>
      </vt:variant>
      <vt:variant>
        <vt:i4>5</vt:i4>
      </vt:variant>
      <vt:variant>
        <vt:lpwstr/>
      </vt:variant>
      <vt:variant>
        <vt:lpwstr>_Toc489274075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Service Agreement Variation Process FAQs for SP August 2017</dc:title>
  <dc:subject>NDIS Service Agreement Variation Process FAQs for SP August 2017</dc:subject>
  <dc:creator>NDIS BRANCH</dc:creator>
  <cp:keywords>NDIS,ServiceAgreement,Variation,Process,FAQs,SP,August 2017</cp:keywords>
  <cp:lastModifiedBy>Eileen Khaw (DHHS)</cp:lastModifiedBy>
  <cp:revision>2</cp:revision>
  <cp:lastPrinted>2018-08-31T04:39:00Z</cp:lastPrinted>
  <dcterms:created xsi:type="dcterms:W3CDTF">2019-07-05T03:00:00Z</dcterms:created>
  <dcterms:modified xsi:type="dcterms:W3CDTF">2019-07-05T03:00:00Z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