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1DF9C" w14:textId="0951F1C4" w:rsidR="00C9298C" w:rsidRPr="007B6AE4" w:rsidRDefault="0046001B" w:rsidP="00D178D4">
      <w:pPr>
        <w:pStyle w:val="Date"/>
      </w:pPr>
      <w:bookmarkStart w:id="0" w:name="_Toc442780672"/>
      <w:r>
        <w:t>2019</w:t>
      </w:r>
    </w:p>
    <w:p w14:paraId="04AC2B75" w14:textId="3FF88494" w:rsidR="00D178D4" w:rsidRPr="00D178D4" w:rsidRDefault="00D178D4" w:rsidP="00D178D4">
      <w:pPr>
        <w:pStyle w:val="Subtitle"/>
        <w:rPr>
          <w:lang w:eastAsia="en-AU"/>
        </w:rPr>
      </w:pPr>
      <w:r w:rsidRPr="00D178D4">
        <w:t>Guidance note</w:t>
      </w:r>
    </w:p>
    <w:p w14:paraId="5C0BDB6E" w14:textId="20BAC51E" w:rsidR="00822DEC" w:rsidRDefault="00742547" w:rsidP="00D178D4">
      <w:pPr>
        <w:pStyle w:val="Title"/>
        <w:spacing w:before="0"/>
      </w:pPr>
      <w:r>
        <w:t xml:space="preserve">Reportable Events </w:t>
      </w:r>
      <w:r w:rsidR="00EF4A4C">
        <w:t>guidance</w:t>
      </w:r>
    </w:p>
    <w:p w14:paraId="4DEDE014" w14:textId="77777777" w:rsidR="00537119" w:rsidRPr="00537119" w:rsidRDefault="00537119" w:rsidP="00D178D4">
      <w:pPr>
        <w:pStyle w:val="Subtitle"/>
        <w:sectPr w:rsidR="00537119" w:rsidRPr="00537119" w:rsidSect="0055454A">
          <w:headerReference w:type="even" r:id="rId9"/>
          <w:headerReference w:type="default" r:id="rId10"/>
          <w:footerReference w:type="even" r:id="rId11"/>
          <w:footerReference w:type="default" r:id="rId12"/>
          <w:headerReference w:type="first" r:id="rId13"/>
          <w:footerReference w:type="first" r:id="rId14"/>
          <w:pgSz w:w="11906" w:h="16838" w:code="9"/>
          <w:pgMar w:top="811" w:right="936" w:bottom="1729" w:left="1134" w:header="448" w:footer="459" w:gutter="0"/>
          <w:cols w:space="708"/>
          <w:titlePg/>
          <w:docGrid w:linePitch="360"/>
        </w:sectPr>
      </w:pPr>
    </w:p>
    <w:p w14:paraId="39BA464B" w14:textId="223EF94F" w:rsidR="000F1B06" w:rsidRPr="00EA2E56" w:rsidRDefault="00742547" w:rsidP="008C54DE">
      <w:pPr>
        <w:pStyle w:val="Introductiontext"/>
      </w:pPr>
      <w:r w:rsidRPr="00742547">
        <w:t>These guidelines explain the requirement that registered agencies notify the Registrar of certain events, and how and when to do this.</w:t>
      </w:r>
    </w:p>
    <w:p w14:paraId="3ACFF546" w14:textId="28B365E4" w:rsidR="00742547" w:rsidRDefault="00742547" w:rsidP="008C54DE">
      <w:pPr>
        <w:pStyle w:val="Heading2"/>
        <w:rPr>
          <w:b w:val="0"/>
          <w:bCs w:val="0"/>
          <w:color w:val="1EB6EC" w:themeColor="accent1"/>
          <w:sz w:val="28"/>
          <w:szCs w:val="28"/>
        </w:rPr>
      </w:pPr>
      <w:bookmarkStart w:id="1" w:name="_Toc442780673"/>
      <w:r w:rsidRPr="00742547">
        <w:rPr>
          <w:b w:val="0"/>
          <w:bCs w:val="0"/>
          <w:color w:val="1EB6EC" w:themeColor="accent1"/>
          <w:sz w:val="28"/>
          <w:szCs w:val="28"/>
        </w:rPr>
        <w:t>What is a reportable event?</w:t>
      </w:r>
    </w:p>
    <w:p w14:paraId="6B05B0D4" w14:textId="4112CF5E" w:rsidR="00742547" w:rsidRPr="00742547" w:rsidRDefault="00742547" w:rsidP="00742547">
      <w:r w:rsidRPr="00742547">
        <w:t xml:space="preserve">A reportable event is any event that has or may have an adverse impact on a registered agency’s compliance with Performance Standards and/or other regulatory obligations under the </w:t>
      </w:r>
      <w:r w:rsidRPr="00EF4A4C">
        <w:rPr>
          <w:i/>
          <w:iCs/>
        </w:rPr>
        <w:t>Housing Act 1983</w:t>
      </w:r>
      <w:r w:rsidRPr="00742547">
        <w:t>.</w:t>
      </w:r>
    </w:p>
    <w:p w14:paraId="4112FA64" w14:textId="67DB0916" w:rsidR="00742547" w:rsidRDefault="00742547" w:rsidP="00576032">
      <w:pPr>
        <w:pStyle w:val="Heading1"/>
      </w:pPr>
      <w:bookmarkStart w:id="2" w:name="_Toc442780674"/>
      <w:bookmarkEnd w:id="1"/>
      <w:r w:rsidRPr="00742547">
        <w:t>Why report events and what will the Housing Registrar do with the information provided?</w:t>
      </w:r>
    </w:p>
    <w:p w14:paraId="106C9A66" w14:textId="37ED538A" w:rsidR="00742547" w:rsidRDefault="00742547" w:rsidP="00742547">
      <w:r>
        <w:t xml:space="preserve">Registered agencies must comply with the requirements of the </w:t>
      </w:r>
      <w:r w:rsidRPr="00EF4A4C">
        <w:rPr>
          <w:i/>
          <w:iCs/>
        </w:rPr>
        <w:t>Housing Act 1983</w:t>
      </w:r>
      <w:r>
        <w:t xml:space="preserve"> (</w:t>
      </w:r>
      <w:r w:rsidR="008730B3">
        <w:t xml:space="preserve">the </w:t>
      </w:r>
      <w:r>
        <w:t>Act), including gazetted Performance Standards under Section 95 of the Act.</w:t>
      </w:r>
    </w:p>
    <w:p w14:paraId="15544173" w14:textId="77777777" w:rsidR="00742547" w:rsidRDefault="00742547" w:rsidP="00742547">
      <w:r>
        <w:t xml:space="preserve">Registered agencies across Victoria vary greatly in the size, </w:t>
      </w:r>
      <w:proofErr w:type="gramStart"/>
      <w:r>
        <w:t>scope</w:t>
      </w:r>
      <w:proofErr w:type="gramEnd"/>
      <w:r>
        <w:t xml:space="preserve"> and complexity of their operations. It is therefore the responsibility of each agency to decide whether a change in its affairs may have an adverse impact on its compliance, and therefore whether it should notify the Registrar. Changes in affairs also include significant and ongoing or repeated instances of incidents that damage or may damage the reputation of the community housing sector (consistent with the requirements of the Probity Performance Standard 5d in the Housing Registrar’s guidance – Performance Standards for Registered Housing Agencies).</w:t>
      </w:r>
    </w:p>
    <w:p w14:paraId="5C51A038" w14:textId="77777777" w:rsidR="00742547" w:rsidRDefault="00742547" w:rsidP="00742547">
      <w:r>
        <w:t xml:space="preserve">Registered agencies are responsible for notifying the Housing Registrar </w:t>
      </w:r>
      <w:r w:rsidRPr="00EF4A4C">
        <w:rPr>
          <w:b/>
          <w:bCs/>
        </w:rPr>
        <w:t>as soon as practicable</w:t>
      </w:r>
      <w:r>
        <w:t xml:space="preserve"> of any reportable event that may impact an agency’s capacity to comply with the Act and Performance. Serious issues which are reportable events should be reported to the Housing Registrar within 72 hours. Failure to notify the Housing Registrar within 72 hours of becoming aware of the issue or of the event occurring where these subsequently come to the attention of the Registrar, will be considered in compliance assessments of the registered agency.</w:t>
      </w:r>
    </w:p>
    <w:p w14:paraId="39751464" w14:textId="77777777" w:rsidR="00742547" w:rsidRDefault="00742547" w:rsidP="00742547">
      <w:r>
        <w:t xml:space="preserve">The Housing Registrar will assess the reportable event to determine the impact and will contact the agency as necessary for further information or take further action if appropriate.  Further action may include requiring the registered agency to supply updates on action it is taking in relation to the event. In some situations, the Registrar may plan a targeted assessment to check ongoing compliance under a Performance Standard. </w:t>
      </w:r>
    </w:p>
    <w:p w14:paraId="0F039107" w14:textId="77777777" w:rsidR="00742547" w:rsidRDefault="00742547" w:rsidP="00742547">
      <w:r>
        <w:t>If a registered agency is uncertain about whether an event is reportable, it should contact its lead regulator to discuss the matter.</w:t>
      </w:r>
    </w:p>
    <w:p w14:paraId="58F88D5F" w14:textId="61227C0E" w:rsidR="00742547" w:rsidRDefault="00742547" w:rsidP="00742547">
      <w:r>
        <w:t>All reportable events are considered in subsequent annual compliance assessments.</w:t>
      </w:r>
    </w:p>
    <w:p w14:paraId="26E65CFB" w14:textId="78D647D5" w:rsidR="00D703F4" w:rsidRDefault="00D703F4" w:rsidP="00D703F4">
      <w:pPr>
        <w:pStyle w:val="Heading1"/>
      </w:pPr>
      <w:r>
        <w:lastRenderedPageBreak/>
        <w:t>How to report an event</w:t>
      </w:r>
    </w:p>
    <w:p w14:paraId="7215C64D" w14:textId="77777777" w:rsidR="00D703F4" w:rsidRPr="00EF4A4C" w:rsidRDefault="00D703F4" w:rsidP="00D703F4">
      <w:pPr>
        <w:rPr>
          <w:rFonts w:cstheme="minorHAnsi"/>
          <w:szCs w:val="18"/>
        </w:rPr>
      </w:pPr>
      <w:r w:rsidRPr="00EF4A4C">
        <w:rPr>
          <w:rFonts w:cstheme="minorHAnsi"/>
          <w:szCs w:val="18"/>
        </w:rPr>
        <w:t xml:space="preserve">Registered agencies are required to submit reportable events online via the Housing Registrar’s Community Housing Information Management and Engagement System (CHiMES).  </w:t>
      </w:r>
    </w:p>
    <w:p w14:paraId="78024531" w14:textId="77777777" w:rsidR="00D703F4" w:rsidRPr="00EF4A4C" w:rsidRDefault="00D703F4" w:rsidP="00D703F4">
      <w:pPr>
        <w:rPr>
          <w:rFonts w:asciiTheme="majorHAnsi" w:hAnsiTheme="majorHAnsi" w:cstheme="majorHAnsi"/>
          <w:szCs w:val="18"/>
        </w:rPr>
      </w:pPr>
      <w:r w:rsidRPr="00EF4A4C">
        <w:rPr>
          <w:rFonts w:cstheme="minorHAnsi"/>
          <w:szCs w:val="18"/>
        </w:rPr>
        <w:t xml:space="preserve">Creating or updating reportable events in CHiMES is accessible from the reportable events link on a registered agency’s homepage. More details on how to submit a reportable event are explained in the </w:t>
      </w:r>
      <w:r w:rsidRPr="00EF4A4C">
        <w:rPr>
          <w:rFonts w:cstheme="minorHAnsi"/>
          <w:i/>
          <w:szCs w:val="18"/>
        </w:rPr>
        <w:t>CHiMES user guide</w:t>
      </w:r>
      <w:r w:rsidRPr="00EF4A4C">
        <w:rPr>
          <w:rFonts w:cstheme="minorHAnsi"/>
          <w:szCs w:val="18"/>
        </w:rPr>
        <w:t xml:space="preserve"> (located in the top right corner of an agency’s CHiMES homepage).</w:t>
      </w:r>
      <w:r w:rsidRPr="00EF4A4C">
        <w:rPr>
          <w:rFonts w:asciiTheme="majorHAnsi" w:hAnsiTheme="majorHAnsi" w:cstheme="majorHAnsi"/>
          <w:szCs w:val="18"/>
        </w:rPr>
        <w:t xml:space="preserve"> </w:t>
      </w:r>
    </w:p>
    <w:tbl>
      <w:tblPr>
        <w:tblStyle w:val="Texttable"/>
        <w:tblW w:w="0" w:type="auto"/>
        <w:tblLook w:val="04A0" w:firstRow="1" w:lastRow="0" w:firstColumn="1" w:lastColumn="0" w:noHBand="0" w:noVBand="1"/>
      </w:tblPr>
      <w:tblGrid>
        <w:gridCol w:w="9072"/>
      </w:tblGrid>
      <w:tr w:rsidR="00EF4A4C" w14:paraId="01E10C9E" w14:textId="77777777" w:rsidTr="00EF4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72" w:type="dxa"/>
          </w:tcPr>
          <w:p w14:paraId="7E75A252" w14:textId="232EE429" w:rsidR="00EF4A4C" w:rsidRDefault="00EF4A4C" w:rsidP="00EF4A4C">
            <w:pPr>
              <w:pStyle w:val="Tableheader"/>
              <w:ind w:right="144"/>
            </w:pPr>
            <w:r>
              <w:t>Examples of reportable events</w:t>
            </w:r>
          </w:p>
        </w:tc>
      </w:tr>
      <w:tr w:rsidR="00742547" w14:paraId="4FCD84B1" w14:textId="77777777" w:rsidTr="00EF4A4C">
        <w:trPr>
          <w:cantSplit w:val="0"/>
        </w:trPr>
        <w:tc>
          <w:tcPr>
            <w:cnfStyle w:val="001000000000" w:firstRow="0" w:lastRow="0" w:firstColumn="1" w:lastColumn="0" w:oddVBand="0" w:evenVBand="0" w:oddHBand="0" w:evenHBand="0" w:firstRowFirstColumn="0" w:firstRowLastColumn="0" w:lastRowFirstColumn="0" w:lastRowLastColumn="0"/>
            <w:tcW w:w="9072" w:type="dxa"/>
          </w:tcPr>
          <w:p w14:paraId="545133EC" w14:textId="1DFB820C" w:rsidR="00742547" w:rsidRPr="00EF4A4C" w:rsidRDefault="00742547" w:rsidP="00EF4A4C">
            <w:pPr>
              <w:ind w:right="144"/>
            </w:pPr>
            <w:r w:rsidRPr="00742547">
              <w:t xml:space="preserve">These examples of reportable events are provided as a guide only and are not </w:t>
            </w:r>
            <w:r w:rsidRPr="00EF4A4C">
              <w:t>exhaustive.</w:t>
            </w:r>
          </w:p>
          <w:p w14:paraId="34C689C4" w14:textId="77777777" w:rsidR="00742547" w:rsidRPr="00EF4A4C" w:rsidRDefault="00742547" w:rsidP="00EF4A4C">
            <w:pPr>
              <w:ind w:right="144"/>
              <w:rPr>
                <w:b/>
                <w:bCs/>
              </w:rPr>
            </w:pPr>
            <w:r w:rsidRPr="00EF4A4C">
              <w:rPr>
                <w:b/>
                <w:bCs/>
              </w:rPr>
              <w:t>Tenant and housing services</w:t>
            </w:r>
          </w:p>
          <w:p w14:paraId="3F9FF7E6" w14:textId="77777777" w:rsidR="00742547" w:rsidRDefault="00742547" w:rsidP="00EF4A4C">
            <w:pPr>
              <w:pStyle w:val="Bullet1"/>
              <w:ind w:right="144"/>
            </w:pPr>
            <w:r>
              <w:t>Significant incident that impacts on service delivery</w:t>
            </w:r>
          </w:p>
          <w:p w14:paraId="76F60845" w14:textId="77777777" w:rsidR="00742547" w:rsidRDefault="00742547" w:rsidP="00EF4A4C">
            <w:pPr>
              <w:pStyle w:val="Bullet1"/>
              <w:ind w:right="144"/>
            </w:pPr>
            <w:r>
              <w:t>Death or serious injury to a tenant in a community housing property managed by the provider, in circumstances where the standard of community housing services may potentially be a contributing factor</w:t>
            </w:r>
          </w:p>
          <w:p w14:paraId="6B651943" w14:textId="77777777" w:rsidR="00742547" w:rsidRPr="00742547" w:rsidRDefault="00742547" w:rsidP="00EF4A4C">
            <w:pPr>
              <w:spacing w:line="276" w:lineRule="auto"/>
              <w:ind w:right="144"/>
              <w:rPr>
                <w:b/>
                <w:bCs/>
              </w:rPr>
            </w:pPr>
            <w:r w:rsidRPr="00742547">
              <w:rPr>
                <w:b/>
                <w:bCs/>
              </w:rPr>
              <w:t>Housing assets</w:t>
            </w:r>
          </w:p>
          <w:p w14:paraId="2087064B" w14:textId="77777777" w:rsidR="00742547" w:rsidRDefault="00742547" w:rsidP="00EF4A4C">
            <w:pPr>
              <w:pStyle w:val="Bullet1"/>
              <w:ind w:right="144"/>
            </w:pPr>
            <w:r>
              <w:t>Significant property damage that may affect a significant number of tenants</w:t>
            </w:r>
          </w:p>
          <w:p w14:paraId="770934E6" w14:textId="77777777" w:rsidR="00742547" w:rsidRDefault="00742547" w:rsidP="00EF4A4C">
            <w:pPr>
              <w:pStyle w:val="Bullet1"/>
              <w:ind w:right="144"/>
            </w:pPr>
            <w:r>
              <w:t>New development project initiated</w:t>
            </w:r>
          </w:p>
          <w:p w14:paraId="373F4A99" w14:textId="77777777" w:rsidR="00742547" w:rsidRDefault="00742547" w:rsidP="00EF4A4C">
            <w:pPr>
              <w:pStyle w:val="Bullet1"/>
              <w:ind w:right="144"/>
            </w:pPr>
            <w:r>
              <w:t>Major delays or financial issues with housing projects</w:t>
            </w:r>
          </w:p>
          <w:p w14:paraId="1818D8FA" w14:textId="77777777" w:rsidR="00742547" w:rsidRPr="00742547" w:rsidRDefault="00742547" w:rsidP="00EF4A4C">
            <w:pPr>
              <w:spacing w:line="276" w:lineRule="auto"/>
              <w:ind w:right="144"/>
              <w:rPr>
                <w:b/>
                <w:bCs/>
              </w:rPr>
            </w:pPr>
            <w:r w:rsidRPr="00742547">
              <w:rPr>
                <w:b/>
                <w:bCs/>
              </w:rPr>
              <w:t xml:space="preserve">Governance </w:t>
            </w:r>
          </w:p>
          <w:p w14:paraId="0C48ABBE" w14:textId="77777777" w:rsidR="00742547" w:rsidRDefault="00742547" w:rsidP="00EF4A4C">
            <w:pPr>
              <w:pStyle w:val="Bullet1"/>
              <w:ind w:right="144"/>
            </w:pPr>
            <w:r>
              <w:t>Significant unplanned turnover and/or loss of senior staff or board members</w:t>
            </w:r>
          </w:p>
          <w:p w14:paraId="5AF13EFC" w14:textId="77777777" w:rsidR="00742547" w:rsidRDefault="00742547" w:rsidP="00EF4A4C">
            <w:pPr>
              <w:pStyle w:val="Bullet1"/>
              <w:ind w:right="144"/>
            </w:pPr>
            <w:r>
              <w:t>Major new business ventures or segments</w:t>
            </w:r>
          </w:p>
          <w:p w14:paraId="740A34C4" w14:textId="77777777" w:rsidR="00742547" w:rsidRDefault="00742547" w:rsidP="00EF4A4C">
            <w:pPr>
              <w:pStyle w:val="Bullet1"/>
              <w:ind w:right="144"/>
            </w:pPr>
            <w:r>
              <w:t>Corporate alliances, joint ventures, mergers, de-</w:t>
            </w:r>
            <w:proofErr w:type="gramStart"/>
            <w:r>
              <w:t>mergers</w:t>
            </w:r>
            <w:proofErr w:type="gramEnd"/>
            <w:r>
              <w:t xml:space="preserve"> or restructures</w:t>
            </w:r>
          </w:p>
          <w:p w14:paraId="469740A2" w14:textId="77777777" w:rsidR="00742547" w:rsidRDefault="00742547" w:rsidP="00EF4A4C">
            <w:pPr>
              <w:pStyle w:val="Bullet1"/>
              <w:ind w:right="144"/>
            </w:pPr>
            <w:r>
              <w:t>Execution of new leases, funding deeds or agreements</w:t>
            </w:r>
          </w:p>
          <w:p w14:paraId="33976364" w14:textId="77777777" w:rsidR="00742547" w:rsidRDefault="00742547" w:rsidP="00EF4A4C">
            <w:pPr>
              <w:pStyle w:val="Bullet1"/>
              <w:ind w:right="144"/>
            </w:pPr>
            <w:r>
              <w:t>Adverse findings from reviews of governance or operations</w:t>
            </w:r>
          </w:p>
          <w:p w14:paraId="51CCB351" w14:textId="77777777" w:rsidR="00742547" w:rsidRDefault="00742547" w:rsidP="00EF4A4C">
            <w:pPr>
              <w:pStyle w:val="Bullet1"/>
              <w:ind w:right="144"/>
            </w:pPr>
            <w:r>
              <w:t xml:space="preserve">Government authority-initiated breach, formal </w:t>
            </w:r>
            <w:proofErr w:type="gramStart"/>
            <w:r>
              <w:t>warning</w:t>
            </w:r>
            <w:proofErr w:type="gramEnd"/>
            <w:r>
              <w:t xml:space="preserve"> or Investigation </w:t>
            </w:r>
          </w:p>
          <w:p w14:paraId="350808E9" w14:textId="77777777" w:rsidR="00742547" w:rsidRDefault="00742547" w:rsidP="00EF4A4C">
            <w:pPr>
              <w:pStyle w:val="Bullet1"/>
              <w:ind w:right="144"/>
            </w:pPr>
            <w:r>
              <w:t xml:space="preserve">Failed accreditation that may impact the delivery of housing services or financial viability of the business </w:t>
            </w:r>
          </w:p>
          <w:p w14:paraId="1C0FBF7D" w14:textId="77777777" w:rsidR="00742547" w:rsidRDefault="00742547" w:rsidP="00EF4A4C">
            <w:pPr>
              <w:spacing w:line="276" w:lineRule="auto"/>
              <w:ind w:right="144"/>
              <w:rPr>
                <w:b/>
                <w:bCs/>
              </w:rPr>
            </w:pPr>
            <w:r w:rsidRPr="00742547">
              <w:rPr>
                <w:b/>
                <w:bCs/>
              </w:rPr>
              <w:t>Probity</w:t>
            </w:r>
          </w:p>
          <w:p w14:paraId="2331DD80" w14:textId="77777777" w:rsidR="00742547" w:rsidRPr="00742547" w:rsidRDefault="00742547" w:rsidP="00EF4A4C">
            <w:pPr>
              <w:pStyle w:val="Bullet1"/>
              <w:ind w:right="144"/>
              <w:rPr>
                <w:b/>
                <w:bCs/>
              </w:rPr>
            </w:pPr>
            <w:r>
              <w:t>Undeclared conflict of interest identified</w:t>
            </w:r>
          </w:p>
          <w:p w14:paraId="4B0B4F17" w14:textId="77777777" w:rsidR="00742547" w:rsidRPr="00742547" w:rsidRDefault="00742547" w:rsidP="00EF4A4C">
            <w:pPr>
              <w:pStyle w:val="Bullet1"/>
              <w:ind w:right="144"/>
              <w:rPr>
                <w:b/>
                <w:bCs/>
              </w:rPr>
            </w:pPr>
            <w:r>
              <w:t xml:space="preserve">Related party transactions that affect or are likely to affect the financial statements of the registered entity </w:t>
            </w:r>
          </w:p>
          <w:p w14:paraId="0BE60C29" w14:textId="77777777" w:rsidR="00742547" w:rsidRPr="00742547" w:rsidRDefault="00742547" w:rsidP="00EF4A4C">
            <w:pPr>
              <w:pStyle w:val="Bullet1"/>
              <w:ind w:right="144"/>
              <w:rPr>
                <w:b/>
                <w:bCs/>
              </w:rPr>
            </w:pPr>
            <w:r>
              <w:t>Alleged fraud, corruption, criminal behaviour or misconduct by board members or employees</w:t>
            </w:r>
          </w:p>
          <w:p w14:paraId="136D3C77" w14:textId="77777777" w:rsidR="00742547" w:rsidRPr="00742547" w:rsidRDefault="00742547" w:rsidP="00EF4A4C">
            <w:pPr>
              <w:pStyle w:val="Bullet1"/>
              <w:ind w:right="144"/>
              <w:rPr>
                <w:b/>
                <w:bCs/>
              </w:rPr>
            </w:pPr>
            <w:r>
              <w:t xml:space="preserve">Probable or actual adverse media coverage </w:t>
            </w:r>
          </w:p>
          <w:p w14:paraId="29D27AA8" w14:textId="77777777" w:rsidR="00742547" w:rsidRPr="00742547" w:rsidRDefault="00742547" w:rsidP="00EF4A4C">
            <w:pPr>
              <w:spacing w:line="276" w:lineRule="auto"/>
              <w:ind w:right="144"/>
              <w:rPr>
                <w:b/>
                <w:bCs/>
              </w:rPr>
            </w:pPr>
            <w:r w:rsidRPr="00742547">
              <w:rPr>
                <w:b/>
                <w:bCs/>
              </w:rPr>
              <w:t xml:space="preserve">Management </w:t>
            </w:r>
          </w:p>
          <w:p w14:paraId="0AB84F5C" w14:textId="77777777" w:rsidR="00742547" w:rsidRDefault="00742547" w:rsidP="00EF4A4C">
            <w:pPr>
              <w:pStyle w:val="Bullet1"/>
              <w:ind w:right="144"/>
            </w:pPr>
            <w:r>
              <w:t>Plans to change corporate entity type</w:t>
            </w:r>
          </w:p>
          <w:p w14:paraId="5BC9251B" w14:textId="77777777" w:rsidR="00742547" w:rsidRDefault="00742547" w:rsidP="00EF4A4C">
            <w:pPr>
              <w:pStyle w:val="Bullet1"/>
              <w:ind w:right="144"/>
            </w:pPr>
            <w:r>
              <w:t>Legal action against the provider associated with potential financial and/or reputational costs</w:t>
            </w:r>
          </w:p>
          <w:p w14:paraId="4EA16ED9" w14:textId="77777777" w:rsidR="00742547" w:rsidRDefault="00742547" w:rsidP="00EF4A4C">
            <w:pPr>
              <w:pStyle w:val="Bullet1"/>
              <w:ind w:right="144"/>
            </w:pPr>
            <w:r>
              <w:t xml:space="preserve">Significant organisational restructure </w:t>
            </w:r>
          </w:p>
          <w:p w14:paraId="22266635" w14:textId="77777777" w:rsidR="00742547" w:rsidRDefault="00742547" w:rsidP="00EF4A4C">
            <w:pPr>
              <w:pStyle w:val="Bullet1"/>
              <w:ind w:right="144"/>
            </w:pPr>
            <w:r>
              <w:t>Significant system failures, e.g. unrecoverable data loss</w:t>
            </w:r>
          </w:p>
          <w:p w14:paraId="362BBDE5" w14:textId="77777777" w:rsidR="00742547" w:rsidRDefault="00742547" w:rsidP="00EF4A4C">
            <w:pPr>
              <w:pStyle w:val="Bullet1"/>
              <w:ind w:right="144"/>
            </w:pPr>
            <w:r>
              <w:t>Events impacting agency risk profile</w:t>
            </w:r>
          </w:p>
          <w:p w14:paraId="4720CE56" w14:textId="77777777" w:rsidR="00742547" w:rsidRDefault="00742547" w:rsidP="00EF4A4C">
            <w:pPr>
              <w:pStyle w:val="Bullet1"/>
              <w:ind w:right="144"/>
            </w:pPr>
            <w:r>
              <w:t>Investigation by a government authority</w:t>
            </w:r>
          </w:p>
          <w:p w14:paraId="08357F78" w14:textId="77777777" w:rsidR="00742547" w:rsidRPr="00742547" w:rsidRDefault="00742547" w:rsidP="00EF4A4C">
            <w:pPr>
              <w:keepNext/>
              <w:spacing w:line="276" w:lineRule="auto"/>
              <w:ind w:right="144"/>
              <w:rPr>
                <w:b/>
                <w:bCs/>
              </w:rPr>
            </w:pPr>
            <w:r w:rsidRPr="00742547">
              <w:rPr>
                <w:b/>
                <w:bCs/>
              </w:rPr>
              <w:lastRenderedPageBreak/>
              <w:t>Financial viability</w:t>
            </w:r>
          </w:p>
          <w:p w14:paraId="0767D05A" w14:textId="77777777" w:rsidR="00742547" w:rsidRDefault="00742547" w:rsidP="00EF4A4C">
            <w:pPr>
              <w:pStyle w:val="Bullet1"/>
              <w:keepNext/>
              <w:ind w:right="144"/>
            </w:pPr>
            <w:r>
              <w:t>Significant new funding from government or other sources</w:t>
            </w:r>
          </w:p>
          <w:p w14:paraId="34B0B130" w14:textId="77777777" w:rsidR="00742547" w:rsidRDefault="00742547" w:rsidP="00EF4A4C">
            <w:pPr>
              <w:pStyle w:val="Bullet1"/>
              <w:ind w:right="144"/>
            </w:pPr>
            <w:r>
              <w:t>Liquidity issues in the current financial year</w:t>
            </w:r>
          </w:p>
          <w:p w14:paraId="798A4385" w14:textId="77777777" w:rsidR="00742547" w:rsidRDefault="00742547" w:rsidP="00EF4A4C">
            <w:pPr>
              <w:pStyle w:val="Bullet1"/>
              <w:ind w:right="144"/>
            </w:pPr>
            <w:r>
              <w:t>Breach of loan covenants</w:t>
            </w:r>
          </w:p>
          <w:p w14:paraId="484D314A" w14:textId="77777777" w:rsidR="00742547" w:rsidRDefault="00742547" w:rsidP="00EF4A4C">
            <w:pPr>
              <w:pStyle w:val="Bullet1"/>
              <w:ind w:right="144"/>
            </w:pPr>
            <w:r>
              <w:t xml:space="preserve">Changes in borrowings and new loans taken </w:t>
            </w:r>
          </w:p>
          <w:p w14:paraId="5468B3FB" w14:textId="77777777" w:rsidR="00742547" w:rsidRPr="00A16EC3" w:rsidRDefault="00742547" w:rsidP="00EF4A4C">
            <w:pPr>
              <w:pStyle w:val="Bullet1"/>
              <w:ind w:right="144"/>
            </w:pPr>
            <w:r>
              <w:t>Major investment strategy changes.</w:t>
            </w:r>
          </w:p>
        </w:tc>
      </w:tr>
    </w:tbl>
    <w:p w14:paraId="10796F29" w14:textId="3CAD4356" w:rsidR="00C80729" w:rsidRPr="00C80729" w:rsidRDefault="00C80729" w:rsidP="00EF4A4C">
      <w:pPr>
        <w:pStyle w:val="NoteNormal"/>
      </w:pPr>
      <w:r w:rsidRPr="00EF4A4C">
        <w:rPr>
          <w:b/>
          <w:bCs/>
        </w:rPr>
        <w:lastRenderedPageBreak/>
        <w:t>Note</w:t>
      </w:r>
      <w:r>
        <w:t>: Complaints are not reportable events for this guidance. Other guidance on complaints is available on the Housing Registrar website.</w:t>
      </w:r>
    </w:p>
    <w:bookmarkEnd w:id="2"/>
    <w:p w14:paraId="0D2594D1" w14:textId="1E553611" w:rsidR="00045296" w:rsidRDefault="00C80729" w:rsidP="00576032">
      <w:pPr>
        <w:pStyle w:val="Heading1"/>
      </w:pPr>
      <w:r>
        <w:t xml:space="preserve">For more information </w:t>
      </w:r>
    </w:p>
    <w:bookmarkEnd w:id="0"/>
    <w:p w14:paraId="5A03D1DA" w14:textId="21ABA754" w:rsidR="00C80729" w:rsidRDefault="00C80729" w:rsidP="00C80729">
      <w:r>
        <w:t>For further information please see th</w:t>
      </w:r>
      <w:r w:rsidR="00EF4A4C">
        <w:t>e</w:t>
      </w:r>
      <w:r>
        <w:t>:</w:t>
      </w:r>
    </w:p>
    <w:p w14:paraId="13D76F64" w14:textId="1B65B7D6" w:rsidR="00C80729" w:rsidRDefault="00C80729" w:rsidP="00EF4A4C">
      <w:pPr>
        <w:pStyle w:val="Bullet1"/>
      </w:pPr>
      <w:r w:rsidRPr="00EF4A4C">
        <w:rPr>
          <w:i/>
          <w:iCs/>
        </w:rPr>
        <w:t>Housing Act 1983</w:t>
      </w:r>
      <w:r>
        <w:t>; and</w:t>
      </w:r>
    </w:p>
    <w:p w14:paraId="267CC690" w14:textId="58C75259" w:rsidR="00C80729" w:rsidRDefault="00C80729" w:rsidP="00EF4A4C">
      <w:pPr>
        <w:pStyle w:val="Bullet1"/>
      </w:pPr>
      <w:r>
        <w:t xml:space="preserve">Housing Registrar website at </w:t>
      </w:r>
      <w:hyperlink r:id="rId15" w:history="1">
        <w:r w:rsidR="00D703F4">
          <w:rPr>
            <w:rStyle w:val="Hyperlink"/>
          </w:rPr>
          <w:t>www.housingregistrar.vic.gov.au</w:t>
        </w:r>
      </w:hyperlink>
      <w:r w:rsidR="00D703F4">
        <w:t xml:space="preserve"> </w:t>
      </w:r>
      <w:r>
        <w:t>to access the:</w:t>
      </w:r>
    </w:p>
    <w:p w14:paraId="11AB11DA" w14:textId="77777777" w:rsidR="00C80729" w:rsidRDefault="00C80729" w:rsidP="00EF4A4C">
      <w:pPr>
        <w:pStyle w:val="Bullet2"/>
      </w:pPr>
      <w:r>
        <w:t xml:space="preserve">Regulatory </w:t>
      </w:r>
      <w:proofErr w:type="gramStart"/>
      <w:r>
        <w:t>Framework;</w:t>
      </w:r>
      <w:proofErr w:type="gramEnd"/>
      <w:r>
        <w:t xml:space="preserve"> </w:t>
      </w:r>
    </w:p>
    <w:p w14:paraId="25924F1A" w14:textId="77777777" w:rsidR="00C80729" w:rsidRDefault="00C80729" w:rsidP="00EF4A4C">
      <w:pPr>
        <w:pStyle w:val="Bullet2"/>
      </w:pPr>
      <w:r>
        <w:t xml:space="preserve">Performance Standards for Registered Housing </w:t>
      </w:r>
      <w:proofErr w:type="gramStart"/>
      <w:r>
        <w:t>Agencies;</w:t>
      </w:r>
      <w:proofErr w:type="gramEnd"/>
      <w:r>
        <w:t xml:space="preserve"> </w:t>
      </w:r>
    </w:p>
    <w:p w14:paraId="54FBF35D" w14:textId="77777777" w:rsidR="00C80729" w:rsidRDefault="00C80729" w:rsidP="00EF4A4C">
      <w:pPr>
        <w:pStyle w:val="Bullet2"/>
      </w:pPr>
      <w:r>
        <w:t>Evidence Guidelines; and</w:t>
      </w:r>
    </w:p>
    <w:p w14:paraId="758B1AE4" w14:textId="6188D2A7" w:rsidR="00822DEC" w:rsidRDefault="00C80729" w:rsidP="00EF4A4C">
      <w:pPr>
        <w:pStyle w:val="Bullet2"/>
      </w:pPr>
      <w:r>
        <w:t>Intervention Guidelines for Registrar of Housing Agencies.</w:t>
      </w:r>
    </w:p>
    <w:p w14:paraId="590633CC" w14:textId="77777777" w:rsidR="00EF4A4C" w:rsidRDefault="00EF4A4C" w:rsidP="00EF4A4C"/>
    <w:sectPr w:rsidR="00EF4A4C" w:rsidSect="00812A3C">
      <w:type w:val="continuous"/>
      <w:pgSz w:w="11906" w:h="16838" w:code="9"/>
      <w:pgMar w:top="2269" w:right="936" w:bottom="1729" w:left="1134" w:header="706"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57A7" w14:textId="77777777" w:rsidR="00AE52E7" w:rsidRDefault="00AE52E7" w:rsidP="008C54DE">
      <w:r>
        <w:separator/>
      </w:r>
    </w:p>
  </w:endnote>
  <w:endnote w:type="continuationSeparator" w:id="0">
    <w:p w14:paraId="6226222D" w14:textId="77777777" w:rsidR="00AE52E7" w:rsidRDefault="00AE52E7" w:rsidP="008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4C24" w14:textId="77777777" w:rsidR="0075226C" w:rsidRDefault="0075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6C03" w14:textId="0FFF2900" w:rsidR="00522F8A" w:rsidRPr="00EB6557" w:rsidRDefault="00491C72" w:rsidP="00AE7D95">
    <w:pPr>
      <w:pStyle w:val="Footer"/>
      <w:rPr>
        <w:rStyle w:val="PageNumber"/>
        <w:b/>
        <w:bCs/>
        <w:color w:val="auto"/>
      </w:rPr>
    </w:pPr>
    <w:r w:rsidRPr="00AE7D95">
      <mc:AlternateContent>
        <mc:Choice Requires="wps">
          <w:drawing>
            <wp:anchor distT="0" distB="0" distL="114300" distR="114300" simplePos="0" relativeHeight="251667452" behindDoc="1" locked="0" layoutInCell="0" allowOverlap="1" wp14:anchorId="26A6A62D" wp14:editId="6241C1CF">
              <wp:simplePos x="0" y="0"/>
              <wp:positionH relativeFrom="page">
                <wp:posOffset>0</wp:posOffset>
              </wp:positionH>
              <wp:positionV relativeFrom="page">
                <wp:posOffset>10236835</wp:posOffset>
              </wp:positionV>
              <wp:extent cx="7562088" cy="265176"/>
              <wp:effectExtent l="0" t="0" r="0" b="1905"/>
              <wp:wrapNone/>
              <wp:docPr id="2" name="MSIPCMe85848a0ab60c8dfe39d64e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7C7C4" w14:textId="60C8471B" w:rsidR="00AC4C1D" w:rsidRPr="008C54DE" w:rsidRDefault="00AC4C1D" w:rsidP="008C54DE">
                          <w:pPr>
                            <w:spacing w:before="0" w:after="0"/>
                            <w:rPr>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6A62D" id="_x0000_t202" coordsize="21600,21600" o:spt="202" path="m,l,21600r21600,l21600,xe">
              <v:stroke joinstyle="miter"/>
              <v:path gradientshapeok="t" o:connecttype="rect"/>
            </v:shapetype>
            <v:shape id="MSIPCMe85848a0ab60c8dfe39d64e7" o:spid="_x0000_s1026" type="#_x0000_t202" alt="{&quot;HashCode&quot;:-1267603503,&quot;Height&quot;:841.0,&quot;Width&quot;:595.0,&quot;Placement&quot;:&quot;Footer&quot;,&quot;Index&quot;:&quot;Primary&quot;,&quot;Section&quot;:1,&quot;Top&quot;:0.0,&quot;Left&quot;:0.0}" style="position:absolute;margin-left:0;margin-top:806.05pt;width:595.45pt;height:20.9pt;z-index:-2516490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" o:allowincell="f" filled="f" stroked="f" strokeweight=".5pt">
              <v:textbox inset="20pt,0,,0">
                <w:txbxContent>
                  <w:p w14:paraId="2537C7C4" w14:textId="60C8471B" w:rsidR="00AC4C1D" w:rsidRPr="008C54DE" w:rsidRDefault="00AC4C1D" w:rsidP="008C54DE">
                    <w:pPr>
                      <w:spacing w:before="0" w:after="0"/>
                      <w:rPr>
                        <w:color w:val="000000"/>
                        <w:sz w:val="22"/>
                      </w:rPr>
                    </w:pPr>
                  </w:p>
                </w:txbxContent>
              </v:textbox>
              <w10:wrap anchorx="page" anchory="page"/>
            </v:shape>
          </w:pict>
        </mc:Fallback>
      </mc:AlternateContent>
    </w:r>
    <w:r w:rsidR="00522F8A" w:rsidRPr="00AE7D95">
      <w:fldChar w:fldCharType="begin"/>
    </w:r>
    <w:r w:rsidR="00522F8A" w:rsidRPr="00AE7D95">
      <w:instrText xml:space="preserve"> StyleRef “Title” </w:instrText>
    </w:r>
    <w:r w:rsidR="00522F8A" w:rsidRPr="00AE7D95">
      <w:fldChar w:fldCharType="separate"/>
    </w:r>
    <w:r w:rsidR="00AD6CEE">
      <w:t>Reportable Events guidance</w:t>
    </w:r>
    <w:r w:rsidR="00522F8A" w:rsidRPr="00AE7D95">
      <w:fldChar w:fldCharType="end"/>
    </w:r>
    <w:r w:rsidRPr="00AE7D95">
      <w:tab/>
    </w:r>
    <w:r w:rsidRPr="00CE68B9">
      <w:rPr>
        <w:b/>
        <w:bCs/>
        <w:color w:val="FFFFFF" w:themeColor="background1"/>
      </w:rPr>
      <w:fldChar w:fldCharType="begin"/>
    </w:r>
    <w:r w:rsidRPr="00CE68B9">
      <w:rPr>
        <w:b/>
        <w:bCs/>
        <w:color w:val="FFFFFF" w:themeColor="background1"/>
      </w:rPr>
      <w:instrText xml:space="preserve"> page </w:instrText>
    </w:r>
    <w:r w:rsidRPr="00CE68B9">
      <w:rPr>
        <w:b/>
        <w:bCs/>
        <w:color w:val="FFFFFF" w:themeColor="background1"/>
      </w:rPr>
      <w:fldChar w:fldCharType="separate"/>
    </w:r>
    <w:r w:rsidRPr="00CE68B9">
      <w:rPr>
        <w:b/>
        <w:bCs/>
        <w:color w:val="FFFFFF" w:themeColor="background1"/>
      </w:rPr>
      <w:t>2</w:t>
    </w:r>
    <w:r w:rsidRPr="00CE68B9">
      <w:rPr>
        <w:b/>
        <w:bCs/>
        <w:color w:val="FFFFFF" w:themeColor="background1"/>
      </w:rPr>
      <w:fldChar w:fldCharType="end"/>
    </w:r>
  </w:p>
  <w:p w14:paraId="27519D9D" w14:textId="77777777" w:rsidR="00522F8A" w:rsidRPr="00C022F9" w:rsidRDefault="00522F8A" w:rsidP="00AE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469A" w14:textId="77777777" w:rsidR="00973844" w:rsidRDefault="00AE7D95" w:rsidP="00AE7D95">
    <w:pPr>
      <w:pStyle w:val="Footer"/>
    </w:pPr>
    <w:r>
      <w:drawing>
        <wp:anchor distT="0" distB="0" distL="114300" distR="114300" simplePos="0" relativeHeight="251676672" behindDoc="1" locked="0" layoutInCell="1" allowOverlap="1" wp14:anchorId="51BF9477" wp14:editId="3DAF83A1">
          <wp:simplePos x="0" y="0"/>
          <wp:positionH relativeFrom="margin">
            <wp:align>right</wp:align>
          </wp:positionH>
          <wp:positionV relativeFrom="paragraph">
            <wp:posOffset>-325120</wp:posOffset>
          </wp:positionV>
          <wp:extent cx="1536065" cy="457200"/>
          <wp:effectExtent l="0" t="0" r="6985" b="0"/>
          <wp:wrapNone/>
          <wp:docPr id="7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065" cy="457200"/>
                  </a:xfrm>
                  <a:prstGeom prst="rect">
                    <a:avLst/>
                  </a:prstGeom>
                </pic:spPr>
              </pic:pic>
            </a:graphicData>
          </a:graphic>
          <wp14:sizeRelH relativeFrom="page">
            <wp14:pctWidth>0</wp14:pctWidth>
          </wp14:sizeRelH>
          <wp14:sizeRelV relativeFrom="page">
            <wp14:pctHeight>0</wp14:pctHeight>
          </wp14:sizeRelV>
        </wp:anchor>
      </w:drawing>
    </w:r>
    <w:r w:rsidR="00AC4C1D">
      <mc:AlternateContent>
        <mc:Choice Requires="wps">
          <w:drawing>
            <wp:anchor distT="0" distB="0" distL="114300" distR="114300" simplePos="0" relativeHeight="251666427" behindDoc="1" locked="0" layoutInCell="0" allowOverlap="1" wp14:anchorId="11598EA2" wp14:editId="33C199D8">
              <wp:simplePos x="0" y="0"/>
              <wp:positionH relativeFrom="page">
                <wp:posOffset>0</wp:posOffset>
              </wp:positionH>
              <wp:positionV relativeFrom="page">
                <wp:posOffset>10236835</wp:posOffset>
              </wp:positionV>
              <wp:extent cx="7562088" cy="265176"/>
              <wp:effectExtent l="0" t="0" r="0" b="1905"/>
              <wp:wrapNone/>
              <wp:docPr id="3" name="MSIPCM8a4040288728c2a5ed202675"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E76FF" w14:textId="47D492F4" w:rsidR="00AC4C1D" w:rsidRPr="008C54DE" w:rsidRDefault="00AC4C1D" w:rsidP="008C54DE">
                          <w:pPr>
                            <w:spacing w:before="0" w:after="0"/>
                            <w:rPr>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98EA2" id="_x0000_t202" coordsize="21600,21600" o:spt="202" path="m,l,21600r21600,l21600,xe">
              <v:stroke joinstyle="miter"/>
              <v:path gradientshapeok="t" o:connecttype="rect"/>
            </v:shapetype>
            <v:shape id="MSIPCM8a4040288728c2a5ed202675" o:spid="_x0000_s1027" type="#_x0000_t202" alt="{&quot;HashCode&quot;:-1267603503,&quot;Height&quot;:841.0,&quot;Width&quot;:595.0,&quot;Placement&quot;:&quot;Footer&quot;,&quot;Index&quot;:&quot;FirstPage&quot;,&quot;Section&quot;:1,&quot;Top&quot;:0.0,&quot;Left&quot;:0.0}" style="position:absolute;margin-left:0;margin-top:806.05pt;width:595.45pt;height:20.9pt;z-index:-2516500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" o:allowincell="f" filled="f" stroked="f" strokeweight=".5pt">
              <v:textbox inset="20pt,0,,0">
                <w:txbxContent>
                  <w:p w14:paraId="19CE76FF" w14:textId="47D492F4" w:rsidR="00AC4C1D" w:rsidRPr="008C54DE" w:rsidRDefault="00AC4C1D" w:rsidP="008C54DE">
                    <w:pPr>
                      <w:spacing w:before="0" w:after="0"/>
                      <w:rPr>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B29A" w14:textId="77777777" w:rsidR="00AE52E7" w:rsidRDefault="00AE52E7" w:rsidP="008C54DE">
      <w:r>
        <w:separator/>
      </w:r>
    </w:p>
  </w:footnote>
  <w:footnote w:type="continuationSeparator" w:id="0">
    <w:p w14:paraId="3C2A61F0" w14:textId="77777777" w:rsidR="00AE52E7" w:rsidRDefault="00AE52E7" w:rsidP="008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9C3AD" w14:textId="77777777" w:rsidR="0075226C" w:rsidRDefault="0075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68EA" w14:textId="77777777" w:rsidR="00F417C3" w:rsidRPr="0041689E" w:rsidRDefault="00961DB3" w:rsidP="008C54DE">
    <w:pPr>
      <w:pStyle w:val="Header"/>
    </w:pPr>
    <w:r>
      <w:rPr>
        <w:noProof/>
      </w:rPr>
      <w:drawing>
        <wp:anchor distT="0" distB="0" distL="114300" distR="114300" simplePos="0" relativeHeight="251677696" behindDoc="1" locked="0" layoutInCell="1" allowOverlap="1" wp14:anchorId="12ECD040" wp14:editId="21FDF4D7">
          <wp:simplePos x="0" y="0"/>
          <wp:positionH relativeFrom="page">
            <wp:align>right</wp:align>
          </wp:positionH>
          <wp:positionV relativeFrom="paragraph">
            <wp:posOffset>-449349</wp:posOffset>
          </wp:positionV>
          <wp:extent cx="7557201" cy="10687792"/>
          <wp:effectExtent l="0" t="0" r="5715" b="0"/>
          <wp:wrapNone/>
          <wp:docPr id="68" name="Picture 6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infosheet 2.png"/>
                  <pic:cNvPicPr/>
                </pic:nvPicPr>
                <pic:blipFill>
                  <a:blip r:embed="rId1">
                    <a:extLst>
                      <a:ext uri="{28A0092B-C50C-407E-A947-70E740481C1C}">
                        <a14:useLocalDpi xmlns:a14="http://schemas.microsoft.com/office/drawing/2010/main" val="0"/>
                      </a:ext>
                    </a:extLst>
                  </a:blip>
                  <a:stretch>
                    <a:fillRect/>
                  </a:stretch>
                </pic:blipFill>
                <pic:spPr>
                  <a:xfrm>
                    <a:off x="0" y="0"/>
                    <a:ext cx="7557201" cy="1068779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67DD" w14:textId="77777777" w:rsidR="006B77DA" w:rsidRDefault="009C6B1F" w:rsidP="008C54DE">
    <w:pPr>
      <w:pStyle w:val="Header"/>
    </w:pPr>
    <w:r>
      <w:rPr>
        <w:noProof/>
      </w:rPr>
      <w:drawing>
        <wp:anchor distT="0" distB="0" distL="114300" distR="114300" simplePos="0" relativeHeight="251669502" behindDoc="1" locked="0" layoutInCell="1" allowOverlap="1" wp14:anchorId="0FB4FFE6" wp14:editId="2DC9E6AF">
          <wp:simplePos x="0" y="0"/>
          <wp:positionH relativeFrom="page">
            <wp:align>right</wp:align>
          </wp:positionH>
          <wp:positionV relativeFrom="paragraph">
            <wp:posOffset>-280334</wp:posOffset>
          </wp:positionV>
          <wp:extent cx="7567944" cy="10704786"/>
          <wp:effectExtent l="0" t="0" r="0" b="1905"/>
          <wp:wrapNone/>
          <wp:docPr id="69" name="Picture 6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df.png"/>
                  <pic:cNvPicPr/>
                </pic:nvPicPr>
                <pic:blipFill>
                  <a:blip r:embed="rId1">
                    <a:extLst>
                      <a:ext uri="{28A0092B-C50C-407E-A947-70E740481C1C}">
                        <a14:useLocalDpi xmlns:a14="http://schemas.microsoft.com/office/drawing/2010/main" val="0"/>
                      </a:ext>
                    </a:extLst>
                  </a:blip>
                  <a:stretch>
                    <a:fillRect/>
                  </a:stretch>
                </pic:blipFill>
                <pic:spPr>
                  <a:xfrm>
                    <a:off x="0" y="0"/>
                    <a:ext cx="7567944" cy="10704786"/>
                  </a:xfrm>
                  <a:prstGeom prst="rect">
                    <a:avLst/>
                  </a:prstGeom>
                </pic:spPr>
              </pic:pic>
            </a:graphicData>
          </a:graphic>
          <wp14:sizeRelH relativeFrom="margin">
            <wp14:pctWidth>0</wp14:pctWidth>
          </wp14:sizeRelH>
          <wp14:sizeRelV relativeFrom="margin">
            <wp14:pctHeight>0</wp14:pctHeight>
          </wp14:sizeRelV>
        </wp:anchor>
      </w:drawing>
    </w:r>
    <w:r w:rsidR="00C9298C">
      <w:rPr>
        <w:noProof/>
      </w:rPr>
      <w:drawing>
        <wp:anchor distT="0" distB="0" distL="114300" distR="114300" simplePos="0" relativeHeight="251675648" behindDoc="1" locked="0" layoutInCell="1" allowOverlap="1" wp14:anchorId="35A39008" wp14:editId="5ED94F2F">
          <wp:simplePos x="0" y="0"/>
          <wp:positionH relativeFrom="column">
            <wp:posOffset>-28575</wp:posOffset>
          </wp:positionH>
          <wp:positionV relativeFrom="paragraph">
            <wp:posOffset>228600</wp:posOffset>
          </wp:positionV>
          <wp:extent cx="2112537" cy="1084868"/>
          <wp:effectExtent l="0" t="0" r="0" b="0"/>
          <wp:wrapNone/>
          <wp:docPr id="70" name="Picture 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using Registrar logo RGB_full.png"/>
                  <pic:cNvPicPr/>
                </pic:nvPicPr>
                <pic:blipFill>
                  <a:blip r:embed="rId2">
                    <a:extLst>
                      <a:ext uri="{28A0092B-C50C-407E-A947-70E740481C1C}">
                        <a14:useLocalDpi xmlns:a14="http://schemas.microsoft.com/office/drawing/2010/main" val="0"/>
                      </a:ext>
                    </a:extLst>
                  </a:blip>
                  <a:stretch>
                    <a:fillRect/>
                  </a:stretch>
                </pic:blipFill>
                <pic:spPr>
                  <a:xfrm>
                    <a:off x="0" y="0"/>
                    <a:ext cx="2112537" cy="10848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E07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625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64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DE83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FA5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4BC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A9D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00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D80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8E5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114B71"/>
    <w:multiLevelType w:val="hybridMultilevel"/>
    <w:tmpl w:val="A664EC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6D3A6A"/>
    <w:multiLevelType w:val="multilevel"/>
    <w:tmpl w:val="E9749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BCB0295"/>
    <w:multiLevelType w:val="hybridMultilevel"/>
    <w:tmpl w:val="63367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12A798A"/>
    <w:multiLevelType w:val="hybridMultilevel"/>
    <w:tmpl w:val="0AD00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81900"/>
    <w:multiLevelType w:val="hybridMultilevel"/>
    <w:tmpl w:val="75EE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C475E2"/>
    <w:multiLevelType w:val="hybridMultilevel"/>
    <w:tmpl w:val="502C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DA3129"/>
    <w:multiLevelType w:val="hybridMultilevel"/>
    <w:tmpl w:val="5BE60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7141A"/>
    <w:multiLevelType w:val="hybridMultilevel"/>
    <w:tmpl w:val="A1F2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2163DF"/>
    <w:multiLevelType w:val="hybridMultilevel"/>
    <w:tmpl w:val="59A69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2"/>
  </w:num>
  <w:num w:numId="2">
    <w:abstractNumId w:val="19"/>
  </w:num>
  <w:num w:numId="3">
    <w:abstractNumId w:val="2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8"/>
  </w:num>
  <w:num w:numId="17">
    <w:abstractNumId w:val="20"/>
  </w:num>
  <w:num w:numId="18">
    <w:abstractNumId w:val="17"/>
  </w:num>
  <w:num w:numId="19">
    <w:abstractNumId w:val="15"/>
  </w:num>
  <w:num w:numId="20">
    <w:abstractNumId w:val="16"/>
  </w:num>
  <w:num w:numId="21">
    <w:abstractNumId w:val="11"/>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47"/>
    <w:rsid w:val="0000358F"/>
    <w:rsid w:val="00012F6F"/>
    <w:rsid w:val="00014213"/>
    <w:rsid w:val="00014B55"/>
    <w:rsid w:val="00020E3E"/>
    <w:rsid w:val="000224AE"/>
    <w:rsid w:val="00023BF3"/>
    <w:rsid w:val="00026811"/>
    <w:rsid w:val="00030708"/>
    <w:rsid w:val="00035603"/>
    <w:rsid w:val="00043296"/>
    <w:rsid w:val="0004356D"/>
    <w:rsid w:val="00045296"/>
    <w:rsid w:val="0004533D"/>
    <w:rsid w:val="00072A2A"/>
    <w:rsid w:val="00075E6C"/>
    <w:rsid w:val="00090171"/>
    <w:rsid w:val="000901A0"/>
    <w:rsid w:val="000B29AD"/>
    <w:rsid w:val="000B5CFD"/>
    <w:rsid w:val="000C6142"/>
    <w:rsid w:val="000C6372"/>
    <w:rsid w:val="000D03A8"/>
    <w:rsid w:val="000D593F"/>
    <w:rsid w:val="000E392D"/>
    <w:rsid w:val="000F1B06"/>
    <w:rsid w:val="000F4288"/>
    <w:rsid w:val="000F7165"/>
    <w:rsid w:val="00102379"/>
    <w:rsid w:val="001065D6"/>
    <w:rsid w:val="0010784D"/>
    <w:rsid w:val="00121252"/>
    <w:rsid w:val="00124609"/>
    <w:rsid w:val="001254CE"/>
    <w:rsid w:val="00125514"/>
    <w:rsid w:val="00126AF9"/>
    <w:rsid w:val="00126CC7"/>
    <w:rsid w:val="00134CEA"/>
    <w:rsid w:val="00141B2C"/>
    <w:rsid w:val="001422CC"/>
    <w:rsid w:val="001528E7"/>
    <w:rsid w:val="0015430D"/>
    <w:rsid w:val="001617B6"/>
    <w:rsid w:val="00165E66"/>
    <w:rsid w:val="00171451"/>
    <w:rsid w:val="001832A9"/>
    <w:rsid w:val="001A3DD1"/>
    <w:rsid w:val="001C69C4"/>
    <w:rsid w:val="001C7BAE"/>
    <w:rsid w:val="001D717E"/>
    <w:rsid w:val="001E03C3"/>
    <w:rsid w:val="001E31FA"/>
    <w:rsid w:val="001E64F6"/>
    <w:rsid w:val="00200BB3"/>
    <w:rsid w:val="00222BEB"/>
    <w:rsid w:val="00225E60"/>
    <w:rsid w:val="00227C39"/>
    <w:rsid w:val="0023202C"/>
    <w:rsid w:val="00236203"/>
    <w:rsid w:val="00245043"/>
    <w:rsid w:val="002576CA"/>
    <w:rsid w:val="00257760"/>
    <w:rsid w:val="0028090A"/>
    <w:rsid w:val="00281B7E"/>
    <w:rsid w:val="0029089C"/>
    <w:rsid w:val="00290F38"/>
    <w:rsid w:val="00292339"/>
    <w:rsid w:val="00292D36"/>
    <w:rsid w:val="00297281"/>
    <w:rsid w:val="002A79F7"/>
    <w:rsid w:val="002B61F4"/>
    <w:rsid w:val="002C54E0"/>
    <w:rsid w:val="002D711A"/>
    <w:rsid w:val="002D7336"/>
    <w:rsid w:val="002E3396"/>
    <w:rsid w:val="00306D0D"/>
    <w:rsid w:val="0031149C"/>
    <w:rsid w:val="00313BAD"/>
    <w:rsid w:val="00330A9A"/>
    <w:rsid w:val="00362848"/>
    <w:rsid w:val="0037405F"/>
    <w:rsid w:val="0038771C"/>
    <w:rsid w:val="00390CF3"/>
    <w:rsid w:val="00392A8F"/>
    <w:rsid w:val="0039405B"/>
    <w:rsid w:val="003A0153"/>
    <w:rsid w:val="003A1C92"/>
    <w:rsid w:val="003A541A"/>
    <w:rsid w:val="003A6923"/>
    <w:rsid w:val="003C1A49"/>
    <w:rsid w:val="003C2C67"/>
    <w:rsid w:val="003C2EA2"/>
    <w:rsid w:val="003C4E7C"/>
    <w:rsid w:val="003C5BA4"/>
    <w:rsid w:val="003D0075"/>
    <w:rsid w:val="003E3E26"/>
    <w:rsid w:val="003F1295"/>
    <w:rsid w:val="003F76FC"/>
    <w:rsid w:val="004002EB"/>
    <w:rsid w:val="00405C57"/>
    <w:rsid w:val="0041689E"/>
    <w:rsid w:val="004236C8"/>
    <w:rsid w:val="00427681"/>
    <w:rsid w:val="00433DB7"/>
    <w:rsid w:val="004513E8"/>
    <w:rsid w:val="00453750"/>
    <w:rsid w:val="00456941"/>
    <w:rsid w:val="0046001B"/>
    <w:rsid w:val="004669E3"/>
    <w:rsid w:val="004702EA"/>
    <w:rsid w:val="00482D02"/>
    <w:rsid w:val="00491C72"/>
    <w:rsid w:val="004A094A"/>
    <w:rsid w:val="004A7519"/>
    <w:rsid w:val="004B41CA"/>
    <w:rsid w:val="004B781F"/>
    <w:rsid w:val="004C7125"/>
    <w:rsid w:val="004D3518"/>
    <w:rsid w:val="004D62D6"/>
    <w:rsid w:val="004E5776"/>
    <w:rsid w:val="004F300B"/>
    <w:rsid w:val="004F662C"/>
    <w:rsid w:val="00503EBE"/>
    <w:rsid w:val="0051058B"/>
    <w:rsid w:val="005116A5"/>
    <w:rsid w:val="005129A3"/>
    <w:rsid w:val="005214BD"/>
    <w:rsid w:val="00522F8A"/>
    <w:rsid w:val="0053416C"/>
    <w:rsid w:val="00537119"/>
    <w:rsid w:val="00541C2F"/>
    <w:rsid w:val="00550F93"/>
    <w:rsid w:val="00553B92"/>
    <w:rsid w:val="0055454A"/>
    <w:rsid w:val="00563527"/>
    <w:rsid w:val="00576032"/>
    <w:rsid w:val="0058124E"/>
    <w:rsid w:val="00584301"/>
    <w:rsid w:val="005875A3"/>
    <w:rsid w:val="005950D9"/>
    <w:rsid w:val="005A3416"/>
    <w:rsid w:val="005B27FE"/>
    <w:rsid w:val="005C3E6D"/>
    <w:rsid w:val="005D2C94"/>
    <w:rsid w:val="005F331D"/>
    <w:rsid w:val="005F4AFF"/>
    <w:rsid w:val="005F61DF"/>
    <w:rsid w:val="006023F9"/>
    <w:rsid w:val="006053D1"/>
    <w:rsid w:val="00610559"/>
    <w:rsid w:val="00614FFA"/>
    <w:rsid w:val="00632680"/>
    <w:rsid w:val="006332F6"/>
    <w:rsid w:val="00634550"/>
    <w:rsid w:val="006361E7"/>
    <w:rsid w:val="00641096"/>
    <w:rsid w:val="00650D4B"/>
    <w:rsid w:val="00652625"/>
    <w:rsid w:val="006534B2"/>
    <w:rsid w:val="0065615D"/>
    <w:rsid w:val="00657011"/>
    <w:rsid w:val="006650B5"/>
    <w:rsid w:val="006651B1"/>
    <w:rsid w:val="00665778"/>
    <w:rsid w:val="006738C4"/>
    <w:rsid w:val="006805B9"/>
    <w:rsid w:val="00691C09"/>
    <w:rsid w:val="00694B4C"/>
    <w:rsid w:val="006A5B34"/>
    <w:rsid w:val="006A5F5B"/>
    <w:rsid w:val="006B77DA"/>
    <w:rsid w:val="006C77A9"/>
    <w:rsid w:val="006F6693"/>
    <w:rsid w:val="00705F18"/>
    <w:rsid w:val="00707FE8"/>
    <w:rsid w:val="00711DDD"/>
    <w:rsid w:val="00724962"/>
    <w:rsid w:val="00724A0F"/>
    <w:rsid w:val="0073072C"/>
    <w:rsid w:val="007320B4"/>
    <w:rsid w:val="00732162"/>
    <w:rsid w:val="00732DD8"/>
    <w:rsid w:val="00736732"/>
    <w:rsid w:val="00742547"/>
    <w:rsid w:val="00744024"/>
    <w:rsid w:val="00750CBE"/>
    <w:rsid w:val="0075226C"/>
    <w:rsid w:val="007562CB"/>
    <w:rsid w:val="007609FA"/>
    <w:rsid w:val="00766B5A"/>
    <w:rsid w:val="007834F2"/>
    <w:rsid w:val="00791020"/>
    <w:rsid w:val="007A207D"/>
    <w:rsid w:val="007A5F82"/>
    <w:rsid w:val="007B141C"/>
    <w:rsid w:val="007B6AE4"/>
    <w:rsid w:val="007B75A4"/>
    <w:rsid w:val="007F1A4C"/>
    <w:rsid w:val="008022C3"/>
    <w:rsid w:val="008041E6"/>
    <w:rsid w:val="00804AA7"/>
    <w:rsid w:val="008065D2"/>
    <w:rsid w:val="00812A3C"/>
    <w:rsid w:val="0082180A"/>
    <w:rsid w:val="0082194C"/>
    <w:rsid w:val="008220C4"/>
    <w:rsid w:val="008222FF"/>
    <w:rsid w:val="00822DEC"/>
    <w:rsid w:val="008241FF"/>
    <w:rsid w:val="00841100"/>
    <w:rsid w:val="008411E9"/>
    <w:rsid w:val="0084200F"/>
    <w:rsid w:val="00843B2C"/>
    <w:rsid w:val="008471C4"/>
    <w:rsid w:val="008730B3"/>
    <w:rsid w:val="008A4900"/>
    <w:rsid w:val="008C54DE"/>
    <w:rsid w:val="008D0281"/>
    <w:rsid w:val="008E3C4E"/>
    <w:rsid w:val="008E49B3"/>
    <w:rsid w:val="008F6D45"/>
    <w:rsid w:val="00961DB3"/>
    <w:rsid w:val="00963C04"/>
    <w:rsid w:val="0096774E"/>
    <w:rsid w:val="00973844"/>
    <w:rsid w:val="009834C0"/>
    <w:rsid w:val="00984C95"/>
    <w:rsid w:val="00986AAC"/>
    <w:rsid w:val="00990CDE"/>
    <w:rsid w:val="009A1DA2"/>
    <w:rsid w:val="009A3704"/>
    <w:rsid w:val="009A4739"/>
    <w:rsid w:val="009A674F"/>
    <w:rsid w:val="009B199C"/>
    <w:rsid w:val="009B54C8"/>
    <w:rsid w:val="009B61F1"/>
    <w:rsid w:val="009B62E0"/>
    <w:rsid w:val="009C3D88"/>
    <w:rsid w:val="009C6B1F"/>
    <w:rsid w:val="009D581D"/>
    <w:rsid w:val="009E3858"/>
    <w:rsid w:val="009E70DD"/>
    <w:rsid w:val="009E7F3E"/>
    <w:rsid w:val="009F2ED9"/>
    <w:rsid w:val="009F3231"/>
    <w:rsid w:val="009F4A68"/>
    <w:rsid w:val="009F5C58"/>
    <w:rsid w:val="00A00D71"/>
    <w:rsid w:val="00A023A0"/>
    <w:rsid w:val="00A1562B"/>
    <w:rsid w:val="00A16EC3"/>
    <w:rsid w:val="00A170F4"/>
    <w:rsid w:val="00A23001"/>
    <w:rsid w:val="00A2559E"/>
    <w:rsid w:val="00A25FD9"/>
    <w:rsid w:val="00A46BA8"/>
    <w:rsid w:val="00A47634"/>
    <w:rsid w:val="00A612FE"/>
    <w:rsid w:val="00A64CCE"/>
    <w:rsid w:val="00A966CF"/>
    <w:rsid w:val="00AA26B8"/>
    <w:rsid w:val="00AA6FB5"/>
    <w:rsid w:val="00AB3FE2"/>
    <w:rsid w:val="00AC466E"/>
    <w:rsid w:val="00AC4C1D"/>
    <w:rsid w:val="00AD3322"/>
    <w:rsid w:val="00AD6CEE"/>
    <w:rsid w:val="00AD7E4E"/>
    <w:rsid w:val="00AE0BEF"/>
    <w:rsid w:val="00AE1DC1"/>
    <w:rsid w:val="00AE52E7"/>
    <w:rsid w:val="00AE6BCC"/>
    <w:rsid w:val="00AE7D95"/>
    <w:rsid w:val="00AF12B3"/>
    <w:rsid w:val="00AF34DE"/>
    <w:rsid w:val="00AF4D58"/>
    <w:rsid w:val="00AF6666"/>
    <w:rsid w:val="00B10154"/>
    <w:rsid w:val="00B15901"/>
    <w:rsid w:val="00B24246"/>
    <w:rsid w:val="00B24FCC"/>
    <w:rsid w:val="00B81B44"/>
    <w:rsid w:val="00B9053B"/>
    <w:rsid w:val="00B97A50"/>
    <w:rsid w:val="00BB660E"/>
    <w:rsid w:val="00BC3422"/>
    <w:rsid w:val="00BF3B71"/>
    <w:rsid w:val="00BF48DC"/>
    <w:rsid w:val="00C015B9"/>
    <w:rsid w:val="00C022F9"/>
    <w:rsid w:val="00C02CEC"/>
    <w:rsid w:val="00C032EA"/>
    <w:rsid w:val="00C06EB5"/>
    <w:rsid w:val="00C1145F"/>
    <w:rsid w:val="00C34ECB"/>
    <w:rsid w:val="00C35343"/>
    <w:rsid w:val="00C4597C"/>
    <w:rsid w:val="00C637E1"/>
    <w:rsid w:val="00C70D50"/>
    <w:rsid w:val="00C76536"/>
    <w:rsid w:val="00C80729"/>
    <w:rsid w:val="00C8243E"/>
    <w:rsid w:val="00C907D7"/>
    <w:rsid w:val="00C92338"/>
    <w:rsid w:val="00C9298C"/>
    <w:rsid w:val="00CA24D2"/>
    <w:rsid w:val="00CA7C3A"/>
    <w:rsid w:val="00CB2673"/>
    <w:rsid w:val="00CC2DB2"/>
    <w:rsid w:val="00CC4426"/>
    <w:rsid w:val="00CD0307"/>
    <w:rsid w:val="00CD3D1B"/>
    <w:rsid w:val="00CE62B3"/>
    <w:rsid w:val="00CE68B9"/>
    <w:rsid w:val="00CF01A6"/>
    <w:rsid w:val="00CF0E3E"/>
    <w:rsid w:val="00CF7DCA"/>
    <w:rsid w:val="00D178D4"/>
    <w:rsid w:val="00D211E9"/>
    <w:rsid w:val="00D2312F"/>
    <w:rsid w:val="00D269C1"/>
    <w:rsid w:val="00D44953"/>
    <w:rsid w:val="00D542F3"/>
    <w:rsid w:val="00D543E5"/>
    <w:rsid w:val="00D5644B"/>
    <w:rsid w:val="00D56E25"/>
    <w:rsid w:val="00D703F4"/>
    <w:rsid w:val="00D71896"/>
    <w:rsid w:val="00D718D7"/>
    <w:rsid w:val="00D73212"/>
    <w:rsid w:val="00D814B7"/>
    <w:rsid w:val="00D82C5B"/>
    <w:rsid w:val="00D86E10"/>
    <w:rsid w:val="00D87022"/>
    <w:rsid w:val="00D90688"/>
    <w:rsid w:val="00DA3AAD"/>
    <w:rsid w:val="00DB312B"/>
    <w:rsid w:val="00DB3BAD"/>
    <w:rsid w:val="00DC5654"/>
    <w:rsid w:val="00DC658F"/>
    <w:rsid w:val="00DD1EE6"/>
    <w:rsid w:val="00DD3FE7"/>
    <w:rsid w:val="00DE60CC"/>
    <w:rsid w:val="00DF3DB8"/>
    <w:rsid w:val="00E26B32"/>
    <w:rsid w:val="00E26CEF"/>
    <w:rsid w:val="00E31444"/>
    <w:rsid w:val="00E407B6"/>
    <w:rsid w:val="00E41EF1"/>
    <w:rsid w:val="00E42942"/>
    <w:rsid w:val="00E468A6"/>
    <w:rsid w:val="00E56BBE"/>
    <w:rsid w:val="00E71BDF"/>
    <w:rsid w:val="00E83538"/>
    <w:rsid w:val="00E83CA7"/>
    <w:rsid w:val="00EA2E56"/>
    <w:rsid w:val="00EB3D18"/>
    <w:rsid w:val="00EB6557"/>
    <w:rsid w:val="00EC171D"/>
    <w:rsid w:val="00EC17C0"/>
    <w:rsid w:val="00EC4B2A"/>
    <w:rsid w:val="00ED1A08"/>
    <w:rsid w:val="00ED3611"/>
    <w:rsid w:val="00ED487E"/>
    <w:rsid w:val="00EE22C3"/>
    <w:rsid w:val="00EE7706"/>
    <w:rsid w:val="00EE7A0D"/>
    <w:rsid w:val="00EF0D21"/>
    <w:rsid w:val="00EF4A4C"/>
    <w:rsid w:val="00F012B4"/>
    <w:rsid w:val="00F03071"/>
    <w:rsid w:val="00F14075"/>
    <w:rsid w:val="00F17CE1"/>
    <w:rsid w:val="00F2115C"/>
    <w:rsid w:val="00F22ABA"/>
    <w:rsid w:val="00F36B12"/>
    <w:rsid w:val="00F417C3"/>
    <w:rsid w:val="00F43326"/>
    <w:rsid w:val="00F5152F"/>
    <w:rsid w:val="00F60F9F"/>
    <w:rsid w:val="00F64F08"/>
    <w:rsid w:val="00F734F5"/>
    <w:rsid w:val="00F95B31"/>
    <w:rsid w:val="00F966B1"/>
    <w:rsid w:val="00F97D48"/>
    <w:rsid w:val="00FA0311"/>
    <w:rsid w:val="00FB717B"/>
    <w:rsid w:val="00FC42E5"/>
    <w:rsid w:val="00FD1561"/>
    <w:rsid w:val="00FD1665"/>
    <w:rsid w:val="00FD640F"/>
    <w:rsid w:val="00FD6B4C"/>
    <w:rsid w:val="00FD6BE9"/>
    <w:rsid w:val="00FE24E9"/>
    <w:rsid w:val="00FF0B3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1B988"/>
  <w15:docId w15:val="{C20DD057-DAFA-4F92-9C3E-131DCD88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537119"/>
    <w:pPr>
      <w:keepLines/>
      <w:spacing w:before="120" w:after="120"/>
      <w:ind w:right="764"/>
    </w:pPr>
    <w:rPr>
      <w:color w:val="000000" w:themeColor="text1"/>
      <w:sz w:val="18"/>
    </w:rPr>
  </w:style>
  <w:style w:type="paragraph" w:styleId="Heading1">
    <w:name w:val="heading 1"/>
    <w:next w:val="Normal"/>
    <w:link w:val="Heading1Char"/>
    <w:qFormat/>
    <w:rsid w:val="00292339"/>
    <w:pPr>
      <w:keepNext/>
      <w:keepLines/>
      <w:spacing w:before="240" w:after="240"/>
      <w:ind w:right="1699"/>
      <w:outlineLvl w:val="0"/>
    </w:pPr>
    <w:rPr>
      <w:rFonts w:asciiTheme="majorHAnsi" w:eastAsiaTheme="majorEastAsia" w:hAnsiTheme="majorHAnsi" w:cstheme="majorBidi"/>
      <w:color w:val="1EB6EC" w:themeColor="accent1"/>
      <w:sz w:val="28"/>
      <w:szCs w:val="28"/>
    </w:rPr>
  </w:style>
  <w:style w:type="paragraph" w:styleId="Heading2">
    <w:name w:val="heading 2"/>
    <w:basedOn w:val="Normal"/>
    <w:next w:val="Normal"/>
    <w:link w:val="Heading2Char"/>
    <w:qFormat/>
    <w:rsid w:val="00804AA7"/>
    <w:pPr>
      <w:keepNext/>
      <w:spacing w:before="200" w:after="40"/>
      <w:outlineLvl w:val="1"/>
    </w:pPr>
    <w:rPr>
      <w:rFonts w:asciiTheme="majorHAnsi" w:eastAsiaTheme="majorEastAsia" w:hAnsiTheme="majorHAnsi" w:cstheme="majorBidi"/>
      <w:b/>
      <w:bCs/>
      <w:color w:val="53565A" w:themeColor="text2"/>
      <w:sz w:val="24"/>
      <w:szCs w:val="24"/>
    </w:rPr>
  </w:style>
  <w:style w:type="paragraph" w:styleId="Heading3">
    <w:name w:val="heading 3"/>
    <w:basedOn w:val="Normal"/>
    <w:next w:val="Normal"/>
    <w:link w:val="Heading3Char"/>
    <w:qFormat/>
    <w:rsid w:val="00804AA7"/>
    <w:pPr>
      <w:keepNext/>
      <w:spacing w:before="240" w:after="0"/>
      <w:outlineLvl w:val="2"/>
    </w:pPr>
    <w:rPr>
      <w:rFonts w:asciiTheme="majorHAnsi" w:eastAsiaTheme="majorEastAsia" w:hAnsiTheme="majorHAnsi" w:cstheme="majorBidi"/>
      <w:color w:val="53565A" w:themeColor="text2"/>
      <w:sz w:val="22"/>
      <w:szCs w:val="22"/>
    </w:rPr>
  </w:style>
  <w:style w:type="paragraph" w:styleId="Heading4">
    <w:name w:val="heading 4"/>
    <w:basedOn w:val="Normal"/>
    <w:next w:val="Normal"/>
    <w:link w:val="Heading4Char"/>
    <w:semiHidden/>
    <w:qFormat/>
    <w:rsid w:val="000224AE"/>
    <w:pPr>
      <w:keepNext/>
      <w:outlineLvl w:val="3"/>
    </w:pPr>
    <w:rPr>
      <w:rFonts w:asciiTheme="majorHAnsi" w:eastAsiaTheme="majorEastAsia" w:hAnsiTheme="majorHAnsi" w:cstheme="majorBidi"/>
      <w:b/>
      <w:bCs/>
      <w:iCs/>
      <w:color w:val="53565A" w:themeColor="text2"/>
      <w:sz w:val="21"/>
      <w:szCs w:val="21"/>
    </w:rPr>
  </w:style>
  <w:style w:type="paragraph" w:styleId="Heading5">
    <w:name w:val="heading 5"/>
    <w:basedOn w:val="Normal"/>
    <w:next w:val="Normal"/>
    <w:link w:val="Heading5Char"/>
    <w:semiHidden/>
    <w:rsid w:val="00553B92"/>
    <w:pPr>
      <w:keepNext/>
      <w:spacing w:before="60" w:after="60"/>
      <w:outlineLvl w:val="4"/>
    </w:pPr>
    <w:rPr>
      <w:rFonts w:asciiTheme="majorHAnsi" w:eastAsiaTheme="majorEastAsia" w:hAnsiTheme="majorHAnsi" w:cstheme="majorBidi"/>
      <w:b/>
      <w:bCs/>
      <w:color w:val="53565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95E1E3" w:themeColor="accent4"/>
        <w:left w:val="single" w:sz="8" w:space="0" w:color="95E1E3" w:themeColor="accent4"/>
        <w:bottom w:val="single" w:sz="8" w:space="0" w:color="95E1E3" w:themeColor="accent4"/>
        <w:right w:val="single" w:sz="8" w:space="0" w:color="95E1E3" w:themeColor="accent4"/>
      </w:tblBorders>
    </w:tblPr>
    <w:tblStylePr w:type="firstRow">
      <w:pPr>
        <w:spacing w:before="0" w:after="0" w:line="240" w:lineRule="auto"/>
      </w:pPr>
      <w:rPr>
        <w:b/>
        <w:bCs/>
        <w:color w:val="FFFFFF" w:themeColor="background1"/>
      </w:rPr>
      <w:tblPr/>
      <w:tcPr>
        <w:shd w:val="clear" w:color="auto" w:fill="95E1E3" w:themeFill="accent4"/>
      </w:tcPr>
    </w:tblStylePr>
    <w:tblStylePr w:type="lastRow">
      <w:pPr>
        <w:spacing w:before="0" w:after="0" w:line="240" w:lineRule="auto"/>
      </w:pPr>
      <w:rPr>
        <w:b/>
        <w:bCs/>
      </w:rPr>
      <w:tblPr/>
      <w:tcPr>
        <w:tcBorders>
          <w:top w:val="double" w:sz="6" w:space="0" w:color="95E1E3" w:themeColor="accent4"/>
          <w:left w:val="single" w:sz="8" w:space="0" w:color="95E1E3" w:themeColor="accent4"/>
          <w:bottom w:val="single" w:sz="8" w:space="0" w:color="95E1E3" w:themeColor="accent4"/>
          <w:right w:val="single" w:sz="8" w:space="0" w:color="95E1E3" w:themeColor="accent4"/>
        </w:tcBorders>
      </w:tcPr>
    </w:tblStylePr>
    <w:tblStylePr w:type="firstCol">
      <w:rPr>
        <w:b/>
        <w:bCs/>
      </w:rPr>
    </w:tblStylePr>
    <w:tblStylePr w:type="lastCol">
      <w:rPr>
        <w:b/>
        <w:bCs/>
      </w:rPr>
    </w:tblStylePr>
    <w:tblStylePr w:type="band1Vert">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tblStylePr w:type="band1Horz">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1EB6EC" w:themeColor="accent1"/>
        <w:left w:val="single" w:sz="8" w:space="0" w:color="1EB6EC" w:themeColor="accent1"/>
        <w:bottom w:val="single" w:sz="8" w:space="0" w:color="1EB6EC" w:themeColor="accent1"/>
        <w:right w:val="single" w:sz="8" w:space="0" w:color="1EB6EC" w:themeColor="accent1"/>
      </w:tblBorders>
    </w:tblPr>
    <w:tblStylePr w:type="firstRow">
      <w:pPr>
        <w:spacing w:before="0" w:after="0" w:line="240" w:lineRule="auto"/>
      </w:pPr>
      <w:rPr>
        <w:b/>
        <w:bCs/>
        <w:color w:val="FFFFFF" w:themeColor="background1"/>
      </w:rPr>
      <w:tblPr/>
      <w:tcPr>
        <w:shd w:val="clear" w:color="auto" w:fill="1EB6EC" w:themeFill="accent1"/>
      </w:tcPr>
    </w:tblStylePr>
    <w:tblStylePr w:type="lastRow">
      <w:pPr>
        <w:spacing w:before="0" w:after="0" w:line="240" w:lineRule="auto"/>
      </w:pPr>
      <w:rPr>
        <w:b/>
        <w:bCs/>
      </w:rPr>
      <w:tblPr/>
      <w:tcPr>
        <w:tcBorders>
          <w:top w:val="double" w:sz="6" w:space="0" w:color="1EB6EC" w:themeColor="accent1"/>
          <w:left w:val="single" w:sz="8" w:space="0" w:color="1EB6EC" w:themeColor="accent1"/>
          <w:bottom w:val="single" w:sz="8" w:space="0" w:color="1EB6EC" w:themeColor="accent1"/>
          <w:right w:val="single" w:sz="8" w:space="0" w:color="1EB6EC" w:themeColor="accent1"/>
        </w:tcBorders>
      </w:tcPr>
    </w:tblStylePr>
    <w:tblStylePr w:type="firstCol">
      <w:rPr>
        <w:b/>
        <w:bCs/>
      </w:rPr>
    </w:tblStylePr>
    <w:tblStylePr w:type="lastCol">
      <w:rPr>
        <w:b/>
        <w:bCs/>
      </w:rPr>
    </w:tblStylePr>
    <w:tblStylePr w:type="band1Vert">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tblStylePr w:type="band1Horz">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292339"/>
    <w:rPr>
      <w:rFonts w:asciiTheme="majorHAnsi" w:eastAsiaTheme="majorEastAsia" w:hAnsiTheme="majorHAnsi" w:cstheme="majorBidi"/>
      <w:color w:val="1EB6EC" w:themeColor="accent1"/>
      <w:sz w:val="28"/>
      <w:szCs w:val="28"/>
    </w:rPr>
  </w:style>
  <w:style w:type="character" w:customStyle="1" w:styleId="Heading2Char">
    <w:name w:val="Heading 2 Char"/>
    <w:basedOn w:val="DefaultParagraphFont"/>
    <w:link w:val="Heading2"/>
    <w:rsid w:val="00804AA7"/>
    <w:rPr>
      <w:rFonts w:asciiTheme="majorHAnsi" w:eastAsiaTheme="majorEastAsia" w:hAnsiTheme="majorHAnsi" w:cstheme="majorBidi"/>
      <w:b/>
      <w:bCs/>
      <w:color w:val="53565A" w:themeColor="text2"/>
      <w:sz w:val="24"/>
      <w:szCs w:val="24"/>
    </w:rPr>
  </w:style>
  <w:style w:type="paragraph" w:customStyle="1" w:styleId="Bullet1">
    <w:name w:val="Bullet 1"/>
    <w:uiPriority w:val="1"/>
    <w:qFormat/>
    <w:rsid w:val="008C54DE"/>
    <w:pPr>
      <w:keepLines/>
      <w:numPr>
        <w:numId w:val="1"/>
      </w:numPr>
      <w:spacing w:before="40" w:after="40" w:line="252" w:lineRule="auto"/>
      <w:ind w:left="357" w:right="764" w:hanging="357"/>
      <w:contextualSpacing/>
    </w:pPr>
    <w:rPr>
      <w:rFonts w:eastAsia="Times New Roman" w:cs="Calibri"/>
      <w:color w:val="000000" w:themeColor="text1"/>
      <w:sz w:val="18"/>
    </w:rPr>
  </w:style>
  <w:style w:type="paragraph" w:customStyle="1" w:styleId="Bullet2">
    <w:name w:val="Bullet 2"/>
    <w:basedOn w:val="Bullet1"/>
    <w:uiPriority w:val="1"/>
    <w:qFormat/>
    <w:rsid w:val="00F43326"/>
    <w:pPr>
      <w:numPr>
        <w:ilvl w:val="1"/>
      </w:numPr>
      <w:ind w:left="714" w:right="125" w:hanging="357"/>
    </w:pPr>
  </w:style>
  <w:style w:type="paragraph" w:customStyle="1" w:styleId="Bulletindent">
    <w:name w:val="Bullet indent"/>
    <w:basedOn w:val="Bullet2"/>
    <w:uiPriority w:val="9"/>
    <w:semiHidden/>
    <w:qFormat/>
    <w:rsid w:val="00BB660E"/>
    <w:pPr>
      <w:numPr>
        <w:ilvl w:val="2"/>
      </w:numPr>
      <w:spacing w:line="264" w:lineRule="auto"/>
    </w:pPr>
  </w:style>
  <w:style w:type="paragraph" w:customStyle="1" w:styleId="Heading1numbered">
    <w:name w:val="Heading 1 numbered"/>
    <w:basedOn w:val="Heading1"/>
    <w:next w:val="NormalIndent"/>
    <w:uiPriority w:val="8"/>
    <w:semiHidden/>
    <w:qFormat/>
    <w:rsid w:val="00522F8A"/>
    <w:pPr>
      <w:numPr>
        <w:ilvl w:val="2"/>
        <w:numId w:val="3"/>
      </w:numPr>
    </w:pPr>
  </w:style>
  <w:style w:type="paragraph" w:customStyle="1" w:styleId="Heading2numbered">
    <w:name w:val="Heading 2 numbered"/>
    <w:basedOn w:val="Heading2"/>
    <w:next w:val="NormalIndent"/>
    <w:uiPriority w:val="8"/>
    <w:semiHidden/>
    <w:qFormat/>
    <w:rsid w:val="00522F8A"/>
    <w:pPr>
      <w:numPr>
        <w:ilvl w:val="3"/>
        <w:numId w:val="3"/>
      </w:numPr>
    </w:pPr>
  </w:style>
  <w:style w:type="paragraph" w:customStyle="1" w:styleId="Heading3numbered">
    <w:name w:val="Heading 3 numbered"/>
    <w:basedOn w:val="Heading3"/>
    <w:next w:val="NormalIndent"/>
    <w:uiPriority w:val="8"/>
    <w:semiHidden/>
    <w:qFormat/>
    <w:rsid w:val="00522F8A"/>
    <w:pPr>
      <w:numPr>
        <w:ilvl w:val="4"/>
        <w:numId w:val="3"/>
      </w:numPr>
    </w:pPr>
  </w:style>
  <w:style w:type="character" w:customStyle="1" w:styleId="Heading3Char">
    <w:name w:val="Heading 3 Char"/>
    <w:basedOn w:val="DefaultParagraphFont"/>
    <w:link w:val="Heading3"/>
    <w:rsid w:val="00804AA7"/>
    <w:rPr>
      <w:rFonts w:asciiTheme="majorHAnsi" w:eastAsiaTheme="majorEastAsia" w:hAnsiTheme="majorHAnsi" w:cstheme="majorBidi"/>
      <w:color w:val="53565A" w:themeColor="text2"/>
      <w:sz w:val="22"/>
      <w:szCs w:val="22"/>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semiHidden/>
    <w:rsid w:val="000224AE"/>
    <w:rPr>
      <w:rFonts w:asciiTheme="majorHAnsi" w:eastAsiaTheme="majorEastAsia" w:hAnsiTheme="majorHAnsi" w:cstheme="majorBidi"/>
      <w:b/>
      <w:bCs/>
      <w:iCs/>
      <w:color w:val="53565A"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D178D4"/>
    <w:pPr>
      <w:spacing w:before="2000" w:after="100" w:line="240" w:lineRule="auto"/>
      <w:ind w:right="-418"/>
    </w:pPr>
    <w:rPr>
      <w:rFonts w:eastAsia="Times New Roman" w:cstheme="majorBidi"/>
      <w:caps/>
      <w:color w:val="95999E" w:themeColor="text2" w:themeTint="99"/>
      <w:sz w:val="24"/>
      <w:szCs w:val="24"/>
      <w:lang w:eastAsia="en-US"/>
    </w:rPr>
  </w:style>
  <w:style w:type="character" w:customStyle="1" w:styleId="SubtitleChar">
    <w:name w:val="Subtitle Char"/>
    <w:basedOn w:val="DefaultParagraphFont"/>
    <w:link w:val="Subtitle"/>
    <w:uiPriority w:val="45"/>
    <w:rsid w:val="00D178D4"/>
    <w:rPr>
      <w:rFonts w:eastAsia="Times New Roman" w:cstheme="majorBidi"/>
      <w:caps/>
      <w:color w:val="95999E" w:themeColor="text2" w:themeTint="99"/>
      <w:sz w:val="24"/>
      <w:szCs w:val="24"/>
      <w:lang w:eastAsia="en-US"/>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7B6AE4"/>
    <w:pPr>
      <w:spacing w:before="1600" w:after="600" w:line="240" w:lineRule="auto"/>
      <w:ind w:right="3600"/>
    </w:pPr>
    <w:rPr>
      <w:rFonts w:eastAsia="Times New Roman" w:cstheme="majorHAnsi"/>
      <w:bCs/>
      <w:color w:val="33C8CC" w:themeColor="accent2"/>
      <w:sz w:val="40"/>
      <w:szCs w:val="40"/>
    </w:rPr>
  </w:style>
  <w:style w:type="character" w:customStyle="1" w:styleId="TitleChar">
    <w:name w:val="Title Char"/>
    <w:basedOn w:val="DefaultParagraphFont"/>
    <w:link w:val="Title"/>
    <w:uiPriority w:val="44"/>
    <w:rsid w:val="007B6AE4"/>
    <w:rPr>
      <w:rFonts w:eastAsia="Times New Roman" w:cstheme="majorHAnsi"/>
      <w:bCs/>
      <w:color w:val="33C8CC" w:themeColor="accent2"/>
      <w:sz w:val="40"/>
      <w:szCs w:val="40"/>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000000" w:themeColor="text1"/>
    </w:rPr>
  </w:style>
  <w:style w:type="paragraph" w:styleId="Footer">
    <w:name w:val="footer"/>
    <w:basedOn w:val="Normal"/>
    <w:link w:val="FooterChar"/>
    <w:uiPriority w:val="99"/>
    <w:semiHidden/>
    <w:rsid w:val="00AE7D95"/>
    <w:pPr>
      <w:tabs>
        <w:tab w:val="left" w:pos="9639"/>
      </w:tabs>
      <w:spacing w:before="0" w:after="0" w:line="240" w:lineRule="auto"/>
      <w:ind w:right="197"/>
    </w:pPr>
    <w:rPr>
      <w:noProof/>
      <w:szCs w:val="18"/>
    </w:rPr>
  </w:style>
  <w:style w:type="character" w:customStyle="1" w:styleId="FooterChar">
    <w:name w:val="Footer Char"/>
    <w:basedOn w:val="DefaultParagraphFont"/>
    <w:link w:val="Footer"/>
    <w:uiPriority w:val="99"/>
    <w:semiHidden/>
    <w:rsid w:val="00AE7D95"/>
    <w:rPr>
      <w:noProof/>
      <w:color w:val="000000" w:themeColor="text1"/>
      <w:sz w:val="18"/>
      <w:szCs w:val="18"/>
    </w:rPr>
  </w:style>
  <w:style w:type="character" w:styleId="PageNumber">
    <w:name w:val="page number"/>
    <w:uiPriority w:val="49"/>
    <w:semiHidden/>
    <w:rsid w:val="00522F8A"/>
    <w:rPr>
      <w:rFonts w:asciiTheme="minorHAnsi" w:hAnsiTheme="minorHAnsi"/>
      <w:b w:val="0"/>
      <w:color w:val="000000"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000000"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Texttable">
    <w:name w:val="Text table"/>
    <w:basedOn w:val="TableNormal"/>
    <w:uiPriority w:val="99"/>
    <w:rsid w:val="009F4A68"/>
    <w:pPr>
      <w:spacing w:before="30" w:after="30" w:line="264" w:lineRule="auto"/>
    </w:pPr>
    <w:rPr>
      <w:rFonts w:eastAsiaTheme="minorHAnsi"/>
      <w:spacing w:val="2"/>
      <w:sz w:val="17"/>
      <w:szCs w:val="21"/>
      <w:lang w:eastAsia="en-US"/>
    </w:rPr>
    <w:tblPr>
      <w:tblStyleRowBandSize w:val="1"/>
      <w:tblStyleColBandSize w:val="1"/>
      <w:tblBorders>
        <w:bottom w:val="single" w:sz="12" w:space="0" w:color="1EB6EC" w:themeColor="accent1"/>
        <w:insideH w:val="single" w:sz="6" w:space="0" w:color="A6A6A6" w:themeColor="background1" w:themeShade="A6"/>
      </w:tblBorders>
      <w:tblCellMar>
        <w:left w:w="57" w:type="dxa"/>
        <w:right w:w="57" w:type="dxa"/>
      </w:tblCellMar>
    </w:tblPr>
    <w:trPr>
      <w:cantSplit/>
    </w:trPr>
    <w:tcPr>
      <w:shd w:val="clear" w:color="auto" w:fill="auto"/>
    </w:tc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shd w:val="clear" w:color="auto" w:fill="1EB6EC" w:themeFill="accent1"/>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Financialtable">
    <w:name w:val="Financial table"/>
    <w:basedOn w:val="TableNormal"/>
    <w:uiPriority w:val="99"/>
    <w:rsid w:val="00FF0B3C"/>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1EB6EC"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semiHidden/>
    <w:qFormat/>
    <w:rsid w:val="00522F8A"/>
    <w:pPr>
      <w:numPr>
        <w:ilvl w:val="7"/>
        <w:numId w:val="3"/>
      </w:numPr>
      <w:spacing w:before="100"/>
      <w:contextualSpacing/>
    </w:pPr>
  </w:style>
  <w:style w:type="paragraph" w:customStyle="1" w:styleId="Listnumindent">
    <w:name w:val="List num indent"/>
    <w:basedOn w:val="Normal"/>
    <w:uiPriority w:val="9"/>
    <w:semiHidden/>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9F4A68"/>
    <w:pPr>
      <w:keepNext/>
      <w:spacing w:before="120"/>
    </w:pPr>
    <w:rPr>
      <w:rFonts w:eastAsiaTheme="minorHAnsi"/>
      <w:color w:val="FFFFFF" w:themeColor="background1"/>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000000"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10784D"/>
    <w:pPr>
      <w:spacing w:before="200" w:after="60" w:line="240" w:lineRule="auto"/>
    </w:pPr>
    <w:rPr>
      <w:b/>
      <w:bCs/>
      <w:color w:val="53565A"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553B92"/>
    <w:rPr>
      <w:rFonts w:asciiTheme="majorHAnsi" w:eastAsiaTheme="majorEastAsia" w:hAnsiTheme="majorHAnsi" w:cstheme="majorBidi"/>
      <w:b/>
      <w:bCs/>
      <w:color w:val="53565A"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QuoteAuthorText"/>
    <w:link w:val="QuoteChar"/>
    <w:uiPriority w:val="14"/>
    <w:qFormat/>
    <w:rsid w:val="005D2C94"/>
    <w:pPr>
      <w:keepNext/>
      <w:keepLines w:val="0"/>
      <w:spacing w:before="400" w:line="360" w:lineRule="exact"/>
      <w:ind w:left="720" w:right="720"/>
    </w:pPr>
    <w:rPr>
      <w:rFonts w:cstheme="minorHAnsi"/>
      <w:i/>
      <w:color w:val="33C8CC" w:themeColor="accent2"/>
      <w:sz w:val="32"/>
      <w:lang w:eastAsia="en-US"/>
    </w:rPr>
  </w:style>
  <w:style w:type="character" w:customStyle="1" w:styleId="QuoteChar">
    <w:name w:val="Quote Char"/>
    <w:basedOn w:val="DefaultParagraphFont"/>
    <w:link w:val="Quote"/>
    <w:uiPriority w:val="14"/>
    <w:rsid w:val="005D2C94"/>
    <w:rPr>
      <w:rFonts w:cstheme="minorHAnsi"/>
      <w:i/>
      <w:color w:val="33C8CC" w:themeColor="accent2"/>
      <w:sz w:val="32"/>
      <w:lang w:eastAsia="en-US"/>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Boxheading">
    <w:name w:val="Box heading"/>
    <w:basedOn w:val="Heading4"/>
    <w:qFormat/>
    <w:rsid w:val="00A16EC3"/>
    <w:pPr>
      <w:spacing w:line="240" w:lineRule="auto"/>
      <w:outlineLvl w:val="9"/>
    </w:pPr>
    <w:rPr>
      <w:color w:val="00AFAA" w:themeColor="accent6"/>
    </w:rPr>
  </w:style>
  <w:style w:type="paragraph" w:customStyle="1" w:styleId="Introductiontext">
    <w:name w:val="Introduction text"/>
    <w:qFormat/>
    <w:rsid w:val="008C54DE"/>
    <w:pPr>
      <w:spacing w:after="360" w:line="240" w:lineRule="auto"/>
      <w:ind w:right="1047"/>
    </w:pPr>
    <w:rPr>
      <w:rFonts w:eastAsiaTheme="majorEastAsia" w:cstheme="majorBidi"/>
      <w:color w:val="95999E" w:themeColor="text2" w:themeTint="99"/>
      <w:sz w:val="28"/>
      <w:szCs w:val="28"/>
    </w:rPr>
  </w:style>
  <w:style w:type="paragraph" w:customStyle="1" w:styleId="QuoteAuthorText">
    <w:name w:val="Quote Author Text"/>
    <w:basedOn w:val="Normal"/>
    <w:next w:val="BodyText"/>
    <w:uiPriority w:val="10"/>
    <w:qFormat/>
    <w:rsid w:val="005D2C94"/>
    <w:pPr>
      <w:keepLines w:val="0"/>
      <w:spacing w:before="0" w:after="400" w:line="240" w:lineRule="auto"/>
      <w:ind w:left="720" w:right="619"/>
    </w:pPr>
    <w:rPr>
      <w:rFonts w:ascii="Arial" w:hAnsi="Arial" w:cs="Times New Roman"/>
      <w:bCs/>
      <w:color w:val="33C8CC" w:themeColor="accent2"/>
      <w:sz w:val="20"/>
      <w:szCs w:val="22"/>
      <w:lang w:eastAsia="en-US"/>
    </w:rPr>
  </w:style>
  <w:style w:type="paragraph" w:styleId="Date">
    <w:name w:val="Date"/>
    <w:basedOn w:val="Normal"/>
    <w:next w:val="Normal"/>
    <w:link w:val="DateChar"/>
    <w:uiPriority w:val="99"/>
    <w:unhideWhenUsed/>
    <w:rsid w:val="00D178D4"/>
    <w:pPr>
      <w:spacing w:before="700"/>
      <w:ind w:right="-418"/>
      <w:jc w:val="right"/>
    </w:pPr>
    <w:rPr>
      <w:color w:val="FFFFFF" w:themeColor="background1"/>
      <w:sz w:val="20"/>
    </w:rPr>
  </w:style>
  <w:style w:type="character" w:customStyle="1" w:styleId="DateChar">
    <w:name w:val="Date Char"/>
    <w:basedOn w:val="DefaultParagraphFont"/>
    <w:link w:val="Date"/>
    <w:uiPriority w:val="99"/>
    <w:rsid w:val="00D178D4"/>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ousingregistrar.vic.gov.au/"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_Housing%20Registrar\Housing%20Registrar%20guidance%20note.dotx" TargetMode="External"/></Relationships>
</file>

<file path=word/theme/theme1.xml><?xml version="1.0" encoding="utf-8"?>
<a:theme xmlns:a="http://schemas.openxmlformats.org/drawingml/2006/main" name="Office Theme">
  <a:themeElements>
    <a:clrScheme name="Housing Registrar">
      <a:dk1>
        <a:sysClr val="windowText" lastClr="000000"/>
      </a:dk1>
      <a:lt1>
        <a:sysClr val="window" lastClr="FFFFFF"/>
      </a:lt1>
      <a:dk2>
        <a:srgbClr val="53565A"/>
      </a:dk2>
      <a:lt2>
        <a:srgbClr val="D9D9D6"/>
      </a:lt2>
      <a:accent1>
        <a:srgbClr val="1EB6EC"/>
      </a:accent1>
      <a:accent2>
        <a:srgbClr val="33C8CC"/>
      </a:accent2>
      <a:accent3>
        <a:srgbClr val="FFCB06"/>
      </a:accent3>
      <a:accent4>
        <a:srgbClr val="95E1E3"/>
      </a:accent4>
      <a:accent5>
        <a:srgbClr val="0D7DA5"/>
      </a:accent5>
      <a:accent6>
        <a:srgbClr val="00AFAA"/>
      </a:accent6>
      <a:hlink>
        <a:srgbClr val="7F7F7F"/>
      </a:hlink>
      <a:folHlink>
        <a:srgbClr val="EA720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3443B76-203A-47FF-B835-3FAF71C11410}">
  <ds:schemaRefs>
    <ds:schemaRef ds:uri="http://schemas.openxmlformats.org/officeDocument/2006/bibliography"/>
  </ds:schemaRefs>
</ds:datastoreItem>
</file>

<file path=customXml/itemProps2.xml><?xml version="1.0" encoding="utf-8"?>
<ds:datastoreItem xmlns:ds="http://schemas.openxmlformats.org/officeDocument/2006/customXml" ds:itemID="{D31A4E34-452F-4CC5-9144-81F050FAC9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Housing Registrar guidance note.dotx</Template>
  <TotalTime>103</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Nikolovski (DTF)</dc:creator>
  <cp:lastModifiedBy>Paul Bowerman (DTF)</cp:lastModifiedBy>
  <cp:revision>10</cp:revision>
  <cp:lastPrinted>2021-02-25T22:14:00Z</cp:lastPrinted>
  <dcterms:created xsi:type="dcterms:W3CDTF">2021-01-28T22:25:00Z</dcterms:created>
  <dcterms:modified xsi:type="dcterms:W3CDTF">2021-02-25T22:14:00Z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2021-02-25T22:13:59Z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f1166ca6-8e57-4bd4-941a-1a66df46e327</vt:lpwstr>
  </property>
  <property fmtid="{D5CDD505-2E9C-101B-9397-08002B2CF9AE}" pid="10" name="MSIP_Label_bb4ee517-5ca4-4fff-98d2-ed4f906edd6d_ContentBits">
    <vt:lpwstr>0</vt:lpwstr>
  </property>
</Properties>
</file>