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1A7E" w14:textId="6F6FCA29" w:rsidR="00CC1AA2" w:rsidRDefault="00CC1AA2" w:rsidP="00C054CC">
      <w:pPr>
        <w:pStyle w:val="Title"/>
      </w:pPr>
      <w:r>
        <w:t>Cladding Safety Victoria</w:t>
      </w:r>
    </w:p>
    <w:p w14:paraId="0619615E" w14:textId="237C34A3" w:rsidR="009F71AD" w:rsidRPr="009A07DE" w:rsidRDefault="009F71AD" w:rsidP="00C054CC">
      <w:pPr>
        <w:pStyle w:val="Title"/>
      </w:pPr>
      <w:r w:rsidRPr="009A07DE">
        <w:t>Annual Work Program</w:t>
      </w:r>
    </w:p>
    <w:p w14:paraId="3D7AE340" w14:textId="77777777" w:rsidR="009F71AD" w:rsidRPr="009A07DE" w:rsidRDefault="009F71AD" w:rsidP="00C054CC">
      <w:pPr>
        <w:pStyle w:val="Title"/>
      </w:pPr>
      <w:r w:rsidRPr="009A07DE">
        <w:t>2021-22</w:t>
      </w:r>
    </w:p>
    <w:p w14:paraId="180996B0" w14:textId="77777777" w:rsidR="00CC1AA2" w:rsidRDefault="00CC1AA2" w:rsidP="00C054CC">
      <w:pPr>
        <w:rPr>
          <w:color w:val="000000"/>
          <w:sz w:val="26"/>
          <w:szCs w:val="26"/>
          <w:lang w:val="en-US"/>
        </w:rPr>
      </w:pPr>
      <w:r>
        <w:br w:type="page"/>
      </w:r>
    </w:p>
    <w:p w14:paraId="2944ECA6" w14:textId="1A7F1306" w:rsidR="009F71AD" w:rsidRPr="009A07DE" w:rsidRDefault="009F71AD" w:rsidP="00C054CC">
      <w:pPr>
        <w:pStyle w:val="Heading3"/>
      </w:pPr>
      <w:bookmarkStart w:id="0" w:name="_Toc88132870"/>
      <w:r w:rsidRPr="009A07DE">
        <w:lastRenderedPageBreak/>
        <w:t>Aboriginal acknowledgement</w:t>
      </w:r>
      <w:bookmarkEnd w:id="0"/>
    </w:p>
    <w:p w14:paraId="54376B47" w14:textId="77777777" w:rsidR="009F71AD" w:rsidRPr="009A07DE" w:rsidRDefault="009F71AD" w:rsidP="00C054CC">
      <w:r w:rsidRPr="009A07DE">
        <w:t>Cladding Safety Victoria respectfully acknowledges the Traditional Owners and custodians of the land and water upon which we rely. We pay our respects to their Elders past, present and emerging. We recognise and value the ongoing contribution of Aboriginal people and communities to Victorian life. We embrace the spirit of reconciliation, working towards equality of outcomes and an equal voice.</w:t>
      </w:r>
    </w:p>
    <w:p w14:paraId="6D1B6DDD" w14:textId="77777777" w:rsidR="009F71AD" w:rsidRPr="009A07DE" w:rsidRDefault="009F71AD" w:rsidP="00C054CC">
      <w:r w:rsidRPr="009A07DE">
        <w:t>ISSN 2653-2816</w:t>
      </w:r>
    </w:p>
    <w:p w14:paraId="0DD504ED" w14:textId="38B2B7A2" w:rsidR="009F71AD" w:rsidRPr="009A07DE" w:rsidRDefault="009F71AD" w:rsidP="00C054CC">
      <w:r w:rsidRPr="009A07DE">
        <w:t>© State of Victoria</w:t>
      </w:r>
    </w:p>
    <w:p w14:paraId="402AA967" w14:textId="77777777" w:rsidR="009F71AD" w:rsidRPr="001703CF" w:rsidRDefault="009F71AD" w:rsidP="00C054CC">
      <w:r w:rsidRPr="001703CF">
        <w:t>The Cladding Safety Victoria Annual Work Program 2021-22</w:t>
      </w:r>
      <w:r w:rsidRPr="001703CF">
        <w:rPr>
          <w:rStyle w:val="Italic"/>
          <w:i w:val="0"/>
          <w:iCs w:val="0"/>
        </w:rPr>
        <w:t xml:space="preserve"> </w:t>
      </w:r>
      <w:r w:rsidRPr="001703CF">
        <w:t>is licensed under a Creative Commons Attribution 4.0 licence. You are free to re-use the work under that licence on the condition that you credit the State of Victoria as author. The licence does not apply to any images, photographs or branding, including the Victorian Coat of Arms, the Victorian Government logo and the Cladding Safety Victoria logo.</w:t>
      </w:r>
    </w:p>
    <w:p w14:paraId="3FB19BD3" w14:textId="77777777" w:rsidR="009F71AD" w:rsidRPr="001703CF" w:rsidRDefault="009F71AD" w:rsidP="00C054CC">
      <w:r w:rsidRPr="001703CF">
        <w:t xml:space="preserve">Copyright queries may be directed to </w:t>
      </w:r>
      <w:r w:rsidRPr="009A07DE">
        <w:rPr>
          <w:rStyle w:val="Hyperlink"/>
        </w:rPr>
        <w:t>IPpolicy@dtf.vic.gov.au</w:t>
      </w:r>
      <w:r w:rsidRPr="001703CF">
        <w:t>.</w:t>
      </w:r>
    </w:p>
    <w:p w14:paraId="4728A88A" w14:textId="4C64A990" w:rsidR="00054E17" w:rsidRPr="001703CF" w:rsidRDefault="009F71AD" w:rsidP="00C054CC">
      <w:r w:rsidRPr="001703CF">
        <w:t xml:space="preserve">Available online at </w:t>
      </w:r>
      <w:hyperlink r:id="rId7" w:history="1">
        <w:r w:rsidRPr="009A07DE">
          <w:rPr>
            <w:rStyle w:val="Hyperlink"/>
          </w:rPr>
          <w:t>www.vic.gov.au/cladding-safety</w:t>
        </w:r>
      </w:hyperlink>
      <w:r w:rsidRPr="001703CF">
        <w:t>.</w:t>
      </w:r>
    </w:p>
    <w:p w14:paraId="71DA2102" w14:textId="4CC9D027" w:rsidR="009F71AD" w:rsidRPr="001703CF" w:rsidRDefault="009F71AD" w:rsidP="00C054CC">
      <w:r w:rsidRPr="001703CF">
        <w:br w:type="page"/>
      </w:r>
    </w:p>
    <w:p w14:paraId="3669A114" w14:textId="77777777" w:rsidR="009F71AD" w:rsidRPr="009A07DE" w:rsidRDefault="009F71AD" w:rsidP="00071FD0">
      <w:pPr>
        <w:pStyle w:val="Heading1"/>
      </w:pPr>
      <w:bookmarkStart w:id="1" w:name="_Toc88132871"/>
      <w:r w:rsidRPr="009A07DE">
        <w:lastRenderedPageBreak/>
        <w:t>List of contents</w:t>
      </w:r>
      <w:bookmarkEnd w:id="1"/>
    </w:p>
    <w:p w14:paraId="490D3AD8" w14:textId="2B75D902" w:rsidR="00071FD0" w:rsidRDefault="00C054CC">
      <w:pPr>
        <w:pStyle w:val="TOC3"/>
        <w:tabs>
          <w:tab w:val="right" w:leader="dot" w:pos="10790"/>
        </w:tabs>
        <w:rPr>
          <w:rFonts w:asciiTheme="minorHAnsi" w:eastAsiaTheme="minorEastAsia" w:hAnsiTheme="minorHAnsi" w:cstheme="minorBidi"/>
          <w:noProof/>
          <w:sz w:val="24"/>
          <w:szCs w:val="24"/>
          <w:lang w:val="en-AU" w:eastAsia="en-GB"/>
        </w:rPr>
      </w:pPr>
      <w:r>
        <w:fldChar w:fldCharType="begin"/>
      </w:r>
      <w:r>
        <w:instrText xml:space="preserve"> TOC \o "1-3" \h \z \u </w:instrText>
      </w:r>
      <w:r>
        <w:fldChar w:fldCharType="separate"/>
      </w:r>
      <w:hyperlink w:anchor="_Toc88132870" w:history="1">
        <w:r w:rsidR="00071FD0" w:rsidRPr="005A0498">
          <w:rPr>
            <w:rStyle w:val="Hyperlink"/>
            <w:noProof/>
          </w:rPr>
          <w:t>Aboriginal acknowledgement</w:t>
        </w:r>
        <w:r w:rsidR="00071FD0">
          <w:rPr>
            <w:noProof/>
            <w:webHidden/>
          </w:rPr>
          <w:tab/>
        </w:r>
        <w:r w:rsidR="00071FD0">
          <w:rPr>
            <w:noProof/>
            <w:webHidden/>
          </w:rPr>
          <w:fldChar w:fldCharType="begin"/>
        </w:r>
        <w:r w:rsidR="00071FD0">
          <w:rPr>
            <w:noProof/>
            <w:webHidden/>
          </w:rPr>
          <w:instrText xml:space="preserve"> PAGEREF _Toc88132870 \h </w:instrText>
        </w:r>
        <w:r w:rsidR="00071FD0">
          <w:rPr>
            <w:noProof/>
            <w:webHidden/>
          </w:rPr>
        </w:r>
        <w:r w:rsidR="00071FD0">
          <w:rPr>
            <w:noProof/>
            <w:webHidden/>
          </w:rPr>
          <w:fldChar w:fldCharType="separate"/>
        </w:r>
        <w:r w:rsidR="009B3E73">
          <w:rPr>
            <w:noProof/>
            <w:webHidden/>
          </w:rPr>
          <w:t>2</w:t>
        </w:r>
        <w:r w:rsidR="00071FD0">
          <w:rPr>
            <w:noProof/>
            <w:webHidden/>
          </w:rPr>
          <w:fldChar w:fldCharType="end"/>
        </w:r>
      </w:hyperlink>
    </w:p>
    <w:p w14:paraId="1B975327" w14:textId="6D2B98AF"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871" w:history="1">
        <w:r w:rsidR="00071FD0" w:rsidRPr="005A0498">
          <w:rPr>
            <w:rStyle w:val="Hyperlink"/>
            <w:noProof/>
          </w:rPr>
          <w:t>List of contents</w:t>
        </w:r>
        <w:r w:rsidR="00071FD0">
          <w:rPr>
            <w:noProof/>
            <w:webHidden/>
          </w:rPr>
          <w:tab/>
        </w:r>
        <w:r w:rsidR="00071FD0">
          <w:rPr>
            <w:noProof/>
            <w:webHidden/>
          </w:rPr>
          <w:fldChar w:fldCharType="begin"/>
        </w:r>
        <w:r w:rsidR="00071FD0">
          <w:rPr>
            <w:noProof/>
            <w:webHidden/>
          </w:rPr>
          <w:instrText xml:space="preserve"> PAGEREF _Toc88132871 \h </w:instrText>
        </w:r>
        <w:r w:rsidR="00071FD0">
          <w:rPr>
            <w:noProof/>
            <w:webHidden/>
          </w:rPr>
        </w:r>
        <w:r w:rsidR="00071FD0">
          <w:rPr>
            <w:noProof/>
            <w:webHidden/>
          </w:rPr>
          <w:fldChar w:fldCharType="separate"/>
        </w:r>
        <w:r w:rsidR="009B3E73">
          <w:rPr>
            <w:noProof/>
            <w:webHidden/>
          </w:rPr>
          <w:t>3</w:t>
        </w:r>
        <w:r w:rsidR="00071FD0">
          <w:rPr>
            <w:noProof/>
            <w:webHidden/>
          </w:rPr>
          <w:fldChar w:fldCharType="end"/>
        </w:r>
      </w:hyperlink>
    </w:p>
    <w:p w14:paraId="175DBB1D" w14:textId="78C54B3D"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872" w:history="1">
        <w:r w:rsidR="00071FD0" w:rsidRPr="005A0498">
          <w:rPr>
            <w:rStyle w:val="Hyperlink"/>
            <w:noProof/>
          </w:rPr>
          <w:t>Message from the Chief Executive Officer</w:t>
        </w:r>
        <w:r w:rsidR="00071FD0">
          <w:rPr>
            <w:noProof/>
            <w:webHidden/>
          </w:rPr>
          <w:tab/>
        </w:r>
        <w:r w:rsidR="00071FD0">
          <w:rPr>
            <w:noProof/>
            <w:webHidden/>
          </w:rPr>
          <w:fldChar w:fldCharType="begin"/>
        </w:r>
        <w:r w:rsidR="00071FD0">
          <w:rPr>
            <w:noProof/>
            <w:webHidden/>
          </w:rPr>
          <w:instrText xml:space="preserve"> PAGEREF _Toc88132872 \h </w:instrText>
        </w:r>
        <w:r w:rsidR="00071FD0">
          <w:rPr>
            <w:noProof/>
            <w:webHidden/>
          </w:rPr>
        </w:r>
        <w:r w:rsidR="00071FD0">
          <w:rPr>
            <w:noProof/>
            <w:webHidden/>
          </w:rPr>
          <w:fldChar w:fldCharType="separate"/>
        </w:r>
        <w:r w:rsidR="009B3E73">
          <w:rPr>
            <w:noProof/>
            <w:webHidden/>
          </w:rPr>
          <w:t>5</w:t>
        </w:r>
        <w:r w:rsidR="00071FD0">
          <w:rPr>
            <w:noProof/>
            <w:webHidden/>
          </w:rPr>
          <w:fldChar w:fldCharType="end"/>
        </w:r>
      </w:hyperlink>
    </w:p>
    <w:p w14:paraId="01E00701" w14:textId="352653FB"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873" w:history="1">
        <w:r w:rsidR="00071FD0" w:rsidRPr="005A0498">
          <w:rPr>
            <w:rStyle w:val="Hyperlink"/>
            <w:noProof/>
          </w:rPr>
          <w:t>Introduction</w:t>
        </w:r>
        <w:r w:rsidR="00071FD0">
          <w:rPr>
            <w:noProof/>
            <w:webHidden/>
          </w:rPr>
          <w:tab/>
        </w:r>
        <w:r w:rsidR="00071FD0">
          <w:rPr>
            <w:noProof/>
            <w:webHidden/>
          </w:rPr>
          <w:fldChar w:fldCharType="begin"/>
        </w:r>
        <w:r w:rsidR="00071FD0">
          <w:rPr>
            <w:noProof/>
            <w:webHidden/>
          </w:rPr>
          <w:instrText xml:space="preserve"> PAGEREF _Toc88132873 \h </w:instrText>
        </w:r>
        <w:r w:rsidR="00071FD0">
          <w:rPr>
            <w:noProof/>
            <w:webHidden/>
          </w:rPr>
        </w:r>
        <w:r w:rsidR="00071FD0">
          <w:rPr>
            <w:noProof/>
            <w:webHidden/>
          </w:rPr>
          <w:fldChar w:fldCharType="separate"/>
        </w:r>
        <w:r w:rsidR="009B3E73">
          <w:rPr>
            <w:noProof/>
            <w:webHidden/>
          </w:rPr>
          <w:t>5</w:t>
        </w:r>
        <w:r w:rsidR="00071FD0">
          <w:rPr>
            <w:noProof/>
            <w:webHidden/>
          </w:rPr>
          <w:fldChar w:fldCharType="end"/>
        </w:r>
      </w:hyperlink>
    </w:p>
    <w:p w14:paraId="0A795F13" w14:textId="59AD1BA2"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874" w:history="1">
        <w:r w:rsidR="00071FD0" w:rsidRPr="005A0498">
          <w:rPr>
            <w:rStyle w:val="Hyperlink"/>
            <w:noProof/>
          </w:rPr>
          <w:t>Strategic Context</w:t>
        </w:r>
        <w:r w:rsidR="00071FD0">
          <w:rPr>
            <w:noProof/>
            <w:webHidden/>
          </w:rPr>
          <w:tab/>
        </w:r>
        <w:r w:rsidR="00071FD0">
          <w:rPr>
            <w:noProof/>
            <w:webHidden/>
          </w:rPr>
          <w:fldChar w:fldCharType="begin"/>
        </w:r>
        <w:r w:rsidR="00071FD0">
          <w:rPr>
            <w:noProof/>
            <w:webHidden/>
          </w:rPr>
          <w:instrText xml:space="preserve"> PAGEREF _Toc88132874 \h </w:instrText>
        </w:r>
        <w:r w:rsidR="00071FD0">
          <w:rPr>
            <w:noProof/>
            <w:webHidden/>
          </w:rPr>
        </w:r>
        <w:r w:rsidR="00071FD0">
          <w:rPr>
            <w:noProof/>
            <w:webHidden/>
          </w:rPr>
          <w:fldChar w:fldCharType="separate"/>
        </w:r>
        <w:r w:rsidR="009B3E73">
          <w:rPr>
            <w:noProof/>
            <w:webHidden/>
          </w:rPr>
          <w:t>6</w:t>
        </w:r>
        <w:r w:rsidR="00071FD0">
          <w:rPr>
            <w:noProof/>
            <w:webHidden/>
          </w:rPr>
          <w:fldChar w:fldCharType="end"/>
        </w:r>
      </w:hyperlink>
    </w:p>
    <w:p w14:paraId="6D4107BC" w14:textId="0EBBB51F"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75" w:history="1">
        <w:r w:rsidR="00071FD0" w:rsidRPr="005A0498">
          <w:rPr>
            <w:rStyle w:val="Hyperlink"/>
            <w:noProof/>
          </w:rPr>
          <w:t>Strategic Plan</w:t>
        </w:r>
        <w:r w:rsidR="00071FD0">
          <w:rPr>
            <w:noProof/>
            <w:webHidden/>
          </w:rPr>
          <w:tab/>
        </w:r>
        <w:r w:rsidR="00071FD0">
          <w:rPr>
            <w:noProof/>
            <w:webHidden/>
          </w:rPr>
          <w:fldChar w:fldCharType="begin"/>
        </w:r>
        <w:r w:rsidR="00071FD0">
          <w:rPr>
            <w:noProof/>
            <w:webHidden/>
          </w:rPr>
          <w:instrText xml:space="preserve"> PAGEREF _Toc88132875 \h </w:instrText>
        </w:r>
        <w:r w:rsidR="00071FD0">
          <w:rPr>
            <w:noProof/>
            <w:webHidden/>
          </w:rPr>
        </w:r>
        <w:r w:rsidR="00071FD0">
          <w:rPr>
            <w:noProof/>
            <w:webHidden/>
          </w:rPr>
          <w:fldChar w:fldCharType="separate"/>
        </w:r>
        <w:r w:rsidR="009B3E73">
          <w:rPr>
            <w:noProof/>
            <w:webHidden/>
          </w:rPr>
          <w:t>6</w:t>
        </w:r>
        <w:r w:rsidR="00071FD0">
          <w:rPr>
            <w:noProof/>
            <w:webHidden/>
          </w:rPr>
          <w:fldChar w:fldCharType="end"/>
        </w:r>
      </w:hyperlink>
    </w:p>
    <w:p w14:paraId="72D2B218" w14:textId="2000D48E"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876" w:history="1">
        <w:r w:rsidR="00071FD0" w:rsidRPr="005A0498">
          <w:rPr>
            <w:rStyle w:val="Hyperlink"/>
            <w:noProof/>
          </w:rPr>
          <w:t>Outcome 1: CSV actions improve the safety of buildings within the scope of the program</w:t>
        </w:r>
        <w:r w:rsidR="00071FD0">
          <w:rPr>
            <w:noProof/>
            <w:webHidden/>
          </w:rPr>
          <w:tab/>
        </w:r>
        <w:r w:rsidR="00071FD0">
          <w:rPr>
            <w:noProof/>
            <w:webHidden/>
          </w:rPr>
          <w:fldChar w:fldCharType="begin"/>
        </w:r>
        <w:r w:rsidR="00071FD0">
          <w:rPr>
            <w:noProof/>
            <w:webHidden/>
          </w:rPr>
          <w:instrText xml:space="preserve"> PAGEREF _Toc88132876 \h </w:instrText>
        </w:r>
        <w:r w:rsidR="00071FD0">
          <w:rPr>
            <w:noProof/>
            <w:webHidden/>
          </w:rPr>
        </w:r>
        <w:r w:rsidR="00071FD0">
          <w:rPr>
            <w:noProof/>
            <w:webHidden/>
          </w:rPr>
          <w:fldChar w:fldCharType="separate"/>
        </w:r>
        <w:r w:rsidR="009B3E73">
          <w:rPr>
            <w:noProof/>
            <w:webHidden/>
          </w:rPr>
          <w:t>7</w:t>
        </w:r>
        <w:r w:rsidR="00071FD0">
          <w:rPr>
            <w:noProof/>
            <w:webHidden/>
          </w:rPr>
          <w:fldChar w:fldCharType="end"/>
        </w:r>
      </w:hyperlink>
    </w:p>
    <w:p w14:paraId="1807288D" w14:textId="2A9631CF"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77" w:history="1">
        <w:r w:rsidR="00071FD0" w:rsidRPr="005A0498">
          <w:rPr>
            <w:rStyle w:val="Hyperlink"/>
            <w:noProof/>
          </w:rPr>
          <w:t>Outcome Indicator and Measure</w:t>
        </w:r>
        <w:r w:rsidR="00071FD0">
          <w:rPr>
            <w:noProof/>
            <w:webHidden/>
          </w:rPr>
          <w:tab/>
        </w:r>
        <w:r w:rsidR="00071FD0">
          <w:rPr>
            <w:noProof/>
            <w:webHidden/>
          </w:rPr>
          <w:fldChar w:fldCharType="begin"/>
        </w:r>
        <w:r w:rsidR="00071FD0">
          <w:rPr>
            <w:noProof/>
            <w:webHidden/>
          </w:rPr>
          <w:instrText xml:space="preserve"> PAGEREF _Toc88132877 \h </w:instrText>
        </w:r>
        <w:r w:rsidR="00071FD0">
          <w:rPr>
            <w:noProof/>
            <w:webHidden/>
          </w:rPr>
        </w:r>
        <w:r w:rsidR="00071FD0">
          <w:rPr>
            <w:noProof/>
            <w:webHidden/>
          </w:rPr>
          <w:fldChar w:fldCharType="separate"/>
        </w:r>
        <w:r w:rsidR="009B3E73">
          <w:rPr>
            <w:noProof/>
            <w:webHidden/>
          </w:rPr>
          <w:t>7</w:t>
        </w:r>
        <w:r w:rsidR="00071FD0">
          <w:rPr>
            <w:noProof/>
            <w:webHidden/>
          </w:rPr>
          <w:fldChar w:fldCharType="end"/>
        </w:r>
      </w:hyperlink>
    </w:p>
    <w:p w14:paraId="65AB5700" w14:textId="53376479"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78" w:history="1">
        <w:r w:rsidR="00071FD0" w:rsidRPr="005A0498">
          <w:rPr>
            <w:rStyle w:val="Hyperlink"/>
            <w:noProof/>
          </w:rPr>
          <w:t>Outputs</w:t>
        </w:r>
        <w:r w:rsidR="00071FD0">
          <w:rPr>
            <w:noProof/>
            <w:webHidden/>
          </w:rPr>
          <w:tab/>
        </w:r>
        <w:r w:rsidR="00071FD0">
          <w:rPr>
            <w:noProof/>
            <w:webHidden/>
          </w:rPr>
          <w:fldChar w:fldCharType="begin"/>
        </w:r>
        <w:r w:rsidR="00071FD0">
          <w:rPr>
            <w:noProof/>
            <w:webHidden/>
          </w:rPr>
          <w:instrText xml:space="preserve"> PAGEREF _Toc88132878 \h </w:instrText>
        </w:r>
        <w:r w:rsidR="00071FD0">
          <w:rPr>
            <w:noProof/>
            <w:webHidden/>
          </w:rPr>
        </w:r>
        <w:r w:rsidR="00071FD0">
          <w:rPr>
            <w:noProof/>
            <w:webHidden/>
          </w:rPr>
          <w:fldChar w:fldCharType="separate"/>
        </w:r>
        <w:r w:rsidR="009B3E73">
          <w:rPr>
            <w:noProof/>
            <w:webHidden/>
          </w:rPr>
          <w:t>8</w:t>
        </w:r>
        <w:r w:rsidR="00071FD0">
          <w:rPr>
            <w:noProof/>
            <w:webHidden/>
          </w:rPr>
          <w:fldChar w:fldCharType="end"/>
        </w:r>
      </w:hyperlink>
    </w:p>
    <w:p w14:paraId="79359A86" w14:textId="7EA763C2"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79" w:history="1">
        <w:r w:rsidR="00071FD0" w:rsidRPr="005A0498">
          <w:rPr>
            <w:rStyle w:val="Hyperlink"/>
            <w:noProof/>
          </w:rPr>
          <w:t>Residential rectification program</w:t>
        </w:r>
        <w:r w:rsidR="00071FD0">
          <w:rPr>
            <w:noProof/>
            <w:webHidden/>
          </w:rPr>
          <w:tab/>
        </w:r>
        <w:r w:rsidR="00071FD0">
          <w:rPr>
            <w:noProof/>
            <w:webHidden/>
          </w:rPr>
          <w:fldChar w:fldCharType="begin"/>
        </w:r>
        <w:r w:rsidR="00071FD0">
          <w:rPr>
            <w:noProof/>
            <w:webHidden/>
          </w:rPr>
          <w:instrText xml:space="preserve"> PAGEREF _Toc88132879 \h </w:instrText>
        </w:r>
        <w:r w:rsidR="00071FD0">
          <w:rPr>
            <w:noProof/>
            <w:webHidden/>
          </w:rPr>
        </w:r>
        <w:r w:rsidR="00071FD0">
          <w:rPr>
            <w:noProof/>
            <w:webHidden/>
          </w:rPr>
          <w:fldChar w:fldCharType="separate"/>
        </w:r>
        <w:r w:rsidR="009B3E73">
          <w:rPr>
            <w:noProof/>
            <w:webHidden/>
          </w:rPr>
          <w:t>8</w:t>
        </w:r>
        <w:r w:rsidR="00071FD0">
          <w:rPr>
            <w:noProof/>
            <w:webHidden/>
          </w:rPr>
          <w:fldChar w:fldCharType="end"/>
        </w:r>
      </w:hyperlink>
    </w:p>
    <w:p w14:paraId="18760CBB" w14:textId="16EEE9E6"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80" w:history="1">
        <w:r w:rsidR="00071FD0" w:rsidRPr="005A0498">
          <w:rPr>
            <w:rStyle w:val="Hyperlink"/>
            <w:noProof/>
          </w:rPr>
          <w:t>Government rectification program</w:t>
        </w:r>
        <w:r w:rsidR="00071FD0">
          <w:rPr>
            <w:noProof/>
            <w:webHidden/>
          </w:rPr>
          <w:tab/>
        </w:r>
        <w:r w:rsidR="00071FD0">
          <w:rPr>
            <w:noProof/>
            <w:webHidden/>
          </w:rPr>
          <w:fldChar w:fldCharType="begin"/>
        </w:r>
        <w:r w:rsidR="00071FD0">
          <w:rPr>
            <w:noProof/>
            <w:webHidden/>
          </w:rPr>
          <w:instrText xml:space="preserve"> PAGEREF _Toc88132880 \h </w:instrText>
        </w:r>
        <w:r w:rsidR="00071FD0">
          <w:rPr>
            <w:noProof/>
            <w:webHidden/>
          </w:rPr>
        </w:r>
        <w:r w:rsidR="00071FD0">
          <w:rPr>
            <w:noProof/>
            <w:webHidden/>
          </w:rPr>
          <w:fldChar w:fldCharType="separate"/>
        </w:r>
        <w:r w:rsidR="009B3E73">
          <w:rPr>
            <w:noProof/>
            <w:webHidden/>
          </w:rPr>
          <w:t>8</w:t>
        </w:r>
        <w:r w:rsidR="00071FD0">
          <w:rPr>
            <w:noProof/>
            <w:webHidden/>
          </w:rPr>
          <w:fldChar w:fldCharType="end"/>
        </w:r>
      </w:hyperlink>
    </w:p>
    <w:p w14:paraId="03D313C4" w14:textId="16C4E14B"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81" w:history="1">
        <w:r w:rsidR="00071FD0" w:rsidRPr="005A0498">
          <w:rPr>
            <w:rStyle w:val="Hyperlink"/>
            <w:noProof/>
          </w:rPr>
          <w:t>Output Measures</w:t>
        </w:r>
        <w:r w:rsidR="00071FD0">
          <w:rPr>
            <w:noProof/>
            <w:webHidden/>
          </w:rPr>
          <w:tab/>
        </w:r>
        <w:r w:rsidR="00071FD0">
          <w:rPr>
            <w:noProof/>
            <w:webHidden/>
          </w:rPr>
          <w:fldChar w:fldCharType="begin"/>
        </w:r>
        <w:r w:rsidR="00071FD0">
          <w:rPr>
            <w:noProof/>
            <w:webHidden/>
          </w:rPr>
          <w:instrText xml:space="preserve"> PAGEREF _Toc88132881 \h </w:instrText>
        </w:r>
        <w:r w:rsidR="00071FD0">
          <w:rPr>
            <w:noProof/>
            <w:webHidden/>
          </w:rPr>
        </w:r>
        <w:r w:rsidR="00071FD0">
          <w:rPr>
            <w:noProof/>
            <w:webHidden/>
          </w:rPr>
          <w:fldChar w:fldCharType="separate"/>
        </w:r>
        <w:r w:rsidR="009B3E73">
          <w:rPr>
            <w:noProof/>
            <w:webHidden/>
          </w:rPr>
          <w:t>9</w:t>
        </w:r>
        <w:r w:rsidR="00071FD0">
          <w:rPr>
            <w:noProof/>
            <w:webHidden/>
          </w:rPr>
          <w:fldChar w:fldCharType="end"/>
        </w:r>
      </w:hyperlink>
    </w:p>
    <w:p w14:paraId="53A9F1A9" w14:textId="765E69CB"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82" w:history="1">
        <w:r w:rsidR="00071FD0" w:rsidRPr="005A0498">
          <w:rPr>
            <w:rStyle w:val="Hyperlink"/>
            <w:noProof/>
          </w:rPr>
          <w:t>Strategic Initiatives</w:t>
        </w:r>
        <w:r w:rsidR="00071FD0">
          <w:rPr>
            <w:noProof/>
            <w:webHidden/>
          </w:rPr>
          <w:tab/>
        </w:r>
        <w:r w:rsidR="00071FD0">
          <w:rPr>
            <w:noProof/>
            <w:webHidden/>
          </w:rPr>
          <w:fldChar w:fldCharType="begin"/>
        </w:r>
        <w:r w:rsidR="00071FD0">
          <w:rPr>
            <w:noProof/>
            <w:webHidden/>
          </w:rPr>
          <w:instrText xml:space="preserve"> PAGEREF _Toc88132882 \h </w:instrText>
        </w:r>
        <w:r w:rsidR="00071FD0">
          <w:rPr>
            <w:noProof/>
            <w:webHidden/>
          </w:rPr>
        </w:r>
        <w:r w:rsidR="00071FD0">
          <w:rPr>
            <w:noProof/>
            <w:webHidden/>
          </w:rPr>
          <w:fldChar w:fldCharType="separate"/>
        </w:r>
        <w:r w:rsidR="009B3E73">
          <w:rPr>
            <w:noProof/>
            <w:webHidden/>
          </w:rPr>
          <w:t>10</w:t>
        </w:r>
        <w:r w:rsidR="00071FD0">
          <w:rPr>
            <w:noProof/>
            <w:webHidden/>
          </w:rPr>
          <w:fldChar w:fldCharType="end"/>
        </w:r>
      </w:hyperlink>
    </w:p>
    <w:p w14:paraId="39A8C7B9" w14:textId="008975A4"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83" w:history="1">
        <w:r w:rsidR="00071FD0" w:rsidRPr="005A0498">
          <w:rPr>
            <w:rStyle w:val="Hyperlink"/>
            <w:noProof/>
          </w:rPr>
          <w:t>Development of an evidence base to demonstrate the reduction in risk to the built environment as a result of addressing cladding issues</w:t>
        </w:r>
        <w:r w:rsidR="00071FD0">
          <w:rPr>
            <w:noProof/>
            <w:webHidden/>
          </w:rPr>
          <w:tab/>
        </w:r>
        <w:r w:rsidR="00071FD0">
          <w:rPr>
            <w:noProof/>
            <w:webHidden/>
          </w:rPr>
          <w:fldChar w:fldCharType="begin"/>
        </w:r>
        <w:r w:rsidR="00071FD0">
          <w:rPr>
            <w:noProof/>
            <w:webHidden/>
          </w:rPr>
          <w:instrText xml:space="preserve"> PAGEREF _Toc88132883 \h </w:instrText>
        </w:r>
        <w:r w:rsidR="00071FD0">
          <w:rPr>
            <w:noProof/>
            <w:webHidden/>
          </w:rPr>
        </w:r>
        <w:r w:rsidR="00071FD0">
          <w:rPr>
            <w:noProof/>
            <w:webHidden/>
          </w:rPr>
          <w:fldChar w:fldCharType="separate"/>
        </w:r>
        <w:r w:rsidR="009B3E73">
          <w:rPr>
            <w:noProof/>
            <w:webHidden/>
          </w:rPr>
          <w:t>10</w:t>
        </w:r>
        <w:r w:rsidR="00071FD0">
          <w:rPr>
            <w:noProof/>
            <w:webHidden/>
          </w:rPr>
          <w:fldChar w:fldCharType="end"/>
        </w:r>
      </w:hyperlink>
    </w:p>
    <w:p w14:paraId="1B02CA31" w14:textId="2073B488"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84" w:history="1">
        <w:r w:rsidR="00071FD0" w:rsidRPr="005A0498">
          <w:rPr>
            <w:rStyle w:val="Hyperlink"/>
            <w:noProof/>
          </w:rPr>
          <w:t>Contribution to the development of new legislation, regulations and standards relating to cladding</w:t>
        </w:r>
        <w:r w:rsidR="00071FD0">
          <w:rPr>
            <w:noProof/>
            <w:webHidden/>
          </w:rPr>
          <w:tab/>
        </w:r>
        <w:r w:rsidR="00071FD0">
          <w:rPr>
            <w:noProof/>
            <w:webHidden/>
          </w:rPr>
          <w:fldChar w:fldCharType="begin"/>
        </w:r>
        <w:r w:rsidR="00071FD0">
          <w:rPr>
            <w:noProof/>
            <w:webHidden/>
          </w:rPr>
          <w:instrText xml:space="preserve"> PAGEREF _Toc88132884 \h </w:instrText>
        </w:r>
        <w:r w:rsidR="00071FD0">
          <w:rPr>
            <w:noProof/>
            <w:webHidden/>
          </w:rPr>
        </w:r>
        <w:r w:rsidR="00071FD0">
          <w:rPr>
            <w:noProof/>
            <w:webHidden/>
          </w:rPr>
          <w:fldChar w:fldCharType="separate"/>
        </w:r>
        <w:r w:rsidR="009B3E73">
          <w:rPr>
            <w:noProof/>
            <w:webHidden/>
          </w:rPr>
          <w:t>10</w:t>
        </w:r>
        <w:r w:rsidR="00071FD0">
          <w:rPr>
            <w:noProof/>
            <w:webHidden/>
          </w:rPr>
          <w:fldChar w:fldCharType="end"/>
        </w:r>
      </w:hyperlink>
    </w:p>
    <w:p w14:paraId="5513864D" w14:textId="05D3C8B0"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885" w:history="1">
        <w:r w:rsidR="00071FD0" w:rsidRPr="005A0498">
          <w:rPr>
            <w:rStyle w:val="Hyperlink"/>
            <w:noProof/>
          </w:rPr>
          <w:t xml:space="preserve">Outcome 2: Owners corporations </w:t>
        </w:r>
        <w:r w:rsidR="00071FD0" w:rsidRPr="005A0498">
          <w:rPr>
            <w:rStyle w:val="Hyperlink"/>
            <w:noProof/>
            <w:spacing w:val="-10"/>
          </w:rPr>
          <w:t>participating in the rectification program,</w:t>
        </w:r>
        <w:r w:rsidR="00071FD0" w:rsidRPr="005A0498">
          <w:rPr>
            <w:rStyle w:val="Hyperlink"/>
            <w:noProof/>
          </w:rPr>
          <w:t xml:space="preserve"> as well as the wider Victorian community, are well-informed about cladding risk</w:t>
        </w:r>
        <w:r w:rsidR="00071FD0">
          <w:rPr>
            <w:noProof/>
            <w:webHidden/>
          </w:rPr>
          <w:tab/>
        </w:r>
        <w:r w:rsidR="00071FD0">
          <w:rPr>
            <w:noProof/>
            <w:webHidden/>
          </w:rPr>
          <w:fldChar w:fldCharType="begin"/>
        </w:r>
        <w:r w:rsidR="00071FD0">
          <w:rPr>
            <w:noProof/>
            <w:webHidden/>
          </w:rPr>
          <w:instrText xml:space="preserve"> PAGEREF _Toc88132885 \h </w:instrText>
        </w:r>
        <w:r w:rsidR="00071FD0">
          <w:rPr>
            <w:noProof/>
            <w:webHidden/>
          </w:rPr>
        </w:r>
        <w:r w:rsidR="00071FD0">
          <w:rPr>
            <w:noProof/>
            <w:webHidden/>
          </w:rPr>
          <w:fldChar w:fldCharType="separate"/>
        </w:r>
        <w:r w:rsidR="009B3E73">
          <w:rPr>
            <w:noProof/>
            <w:webHidden/>
          </w:rPr>
          <w:t>11</w:t>
        </w:r>
        <w:r w:rsidR="00071FD0">
          <w:rPr>
            <w:noProof/>
            <w:webHidden/>
          </w:rPr>
          <w:fldChar w:fldCharType="end"/>
        </w:r>
      </w:hyperlink>
    </w:p>
    <w:p w14:paraId="69142345" w14:textId="76B7D9CD"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86" w:history="1">
        <w:r w:rsidR="00071FD0" w:rsidRPr="005A0498">
          <w:rPr>
            <w:rStyle w:val="Hyperlink"/>
            <w:noProof/>
          </w:rPr>
          <w:t>Outcome Indicator and Measure</w:t>
        </w:r>
        <w:r w:rsidR="00071FD0">
          <w:rPr>
            <w:noProof/>
            <w:webHidden/>
          </w:rPr>
          <w:tab/>
        </w:r>
        <w:r w:rsidR="00071FD0">
          <w:rPr>
            <w:noProof/>
            <w:webHidden/>
          </w:rPr>
          <w:fldChar w:fldCharType="begin"/>
        </w:r>
        <w:r w:rsidR="00071FD0">
          <w:rPr>
            <w:noProof/>
            <w:webHidden/>
          </w:rPr>
          <w:instrText xml:space="preserve"> PAGEREF _Toc88132886 \h </w:instrText>
        </w:r>
        <w:r w:rsidR="00071FD0">
          <w:rPr>
            <w:noProof/>
            <w:webHidden/>
          </w:rPr>
        </w:r>
        <w:r w:rsidR="00071FD0">
          <w:rPr>
            <w:noProof/>
            <w:webHidden/>
          </w:rPr>
          <w:fldChar w:fldCharType="separate"/>
        </w:r>
        <w:r w:rsidR="009B3E73">
          <w:rPr>
            <w:noProof/>
            <w:webHidden/>
          </w:rPr>
          <w:t>11</w:t>
        </w:r>
        <w:r w:rsidR="00071FD0">
          <w:rPr>
            <w:noProof/>
            <w:webHidden/>
          </w:rPr>
          <w:fldChar w:fldCharType="end"/>
        </w:r>
      </w:hyperlink>
    </w:p>
    <w:p w14:paraId="4499EC1A" w14:textId="6EDDA227"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87" w:history="1">
        <w:r w:rsidR="00071FD0" w:rsidRPr="005A0498">
          <w:rPr>
            <w:rStyle w:val="Hyperlink"/>
            <w:noProof/>
          </w:rPr>
          <w:t>Outputs</w:t>
        </w:r>
        <w:r w:rsidR="00071FD0">
          <w:rPr>
            <w:noProof/>
            <w:webHidden/>
          </w:rPr>
          <w:tab/>
        </w:r>
        <w:r w:rsidR="00071FD0">
          <w:rPr>
            <w:noProof/>
            <w:webHidden/>
          </w:rPr>
          <w:fldChar w:fldCharType="begin"/>
        </w:r>
        <w:r w:rsidR="00071FD0">
          <w:rPr>
            <w:noProof/>
            <w:webHidden/>
          </w:rPr>
          <w:instrText xml:space="preserve"> PAGEREF _Toc88132887 \h </w:instrText>
        </w:r>
        <w:r w:rsidR="00071FD0">
          <w:rPr>
            <w:noProof/>
            <w:webHidden/>
          </w:rPr>
        </w:r>
        <w:r w:rsidR="00071FD0">
          <w:rPr>
            <w:noProof/>
            <w:webHidden/>
          </w:rPr>
          <w:fldChar w:fldCharType="separate"/>
        </w:r>
        <w:r w:rsidR="009B3E73">
          <w:rPr>
            <w:noProof/>
            <w:webHidden/>
          </w:rPr>
          <w:t>12</w:t>
        </w:r>
        <w:r w:rsidR="00071FD0">
          <w:rPr>
            <w:noProof/>
            <w:webHidden/>
          </w:rPr>
          <w:fldChar w:fldCharType="end"/>
        </w:r>
      </w:hyperlink>
    </w:p>
    <w:p w14:paraId="600379B6" w14:textId="7F2FE48A"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88" w:history="1">
        <w:r w:rsidR="00071FD0" w:rsidRPr="005A0498">
          <w:rPr>
            <w:rStyle w:val="Hyperlink"/>
            <w:noProof/>
          </w:rPr>
          <w:t>Residential program engagement</w:t>
        </w:r>
        <w:r w:rsidR="00071FD0" w:rsidRPr="005A0498">
          <w:rPr>
            <w:rStyle w:val="Hyperlink"/>
            <w:rFonts w:ascii="Cambria" w:hAnsi="Cambria" w:cs="Cambria"/>
            <w:noProof/>
          </w:rPr>
          <w:t> </w:t>
        </w:r>
        <w:r w:rsidR="00071FD0" w:rsidRPr="005A0498">
          <w:rPr>
            <w:rStyle w:val="Hyperlink"/>
            <w:noProof/>
          </w:rPr>
          <w:t>model</w:t>
        </w:r>
        <w:r w:rsidR="00071FD0">
          <w:rPr>
            <w:noProof/>
            <w:webHidden/>
          </w:rPr>
          <w:tab/>
        </w:r>
        <w:r w:rsidR="00071FD0">
          <w:rPr>
            <w:noProof/>
            <w:webHidden/>
          </w:rPr>
          <w:fldChar w:fldCharType="begin"/>
        </w:r>
        <w:r w:rsidR="00071FD0">
          <w:rPr>
            <w:noProof/>
            <w:webHidden/>
          </w:rPr>
          <w:instrText xml:space="preserve"> PAGEREF _Toc88132888 \h </w:instrText>
        </w:r>
        <w:r w:rsidR="00071FD0">
          <w:rPr>
            <w:noProof/>
            <w:webHidden/>
          </w:rPr>
        </w:r>
        <w:r w:rsidR="00071FD0">
          <w:rPr>
            <w:noProof/>
            <w:webHidden/>
          </w:rPr>
          <w:fldChar w:fldCharType="separate"/>
        </w:r>
        <w:r w:rsidR="009B3E73">
          <w:rPr>
            <w:noProof/>
            <w:webHidden/>
          </w:rPr>
          <w:t>12</w:t>
        </w:r>
        <w:r w:rsidR="00071FD0">
          <w:rPr>
            <w:noProof/>
            <w:webHidden/>
          </w:rPr>
          <w:fldChar w:fldCharType="end"/>
        </w:r>
      </w:hyperlink>
    </w:p>
    <w:p w14:paraId="006113E9" w14:textId="151F2469"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89" w:history="1">
        <w:r w:rsidR="00071FD0" w:rsidRPr="005A0498">
          <w:rPr>
            <w:rStyle w:val="Hyperlink"/>
            <w:noProof/>
          </w:rPr>
          <w:t>Communication programs and campaigns</w:t>
        </w:r>
        <w:r w:rsidR="00071FD0">
          <w:rPr>
            <w:noProof/>
            <w:webHidden/>
          </w:rPr>
          <w:tab/>
        </w:r>
        <w:r w:rsidR="00071FD0">
          <w:rPr>
            <w:noProof/>
            <w:webHidden/>
          </w:rPr>
          <w:fldChar w:fldCharType="begin"/>
        </w:r>
        <w:r w:rsidR="00071FD0">
          <w:rPr>
            <w:noProof/>
            <w:webHidden/>
          </w:rPr>
          <w:instrText xml:space="preserve"> PAGEREF _Toc88132889 \h </w:instrText>
        </w:r>
        <w:r w:rsidR="00071FD0">
          <w:rPr>
            <w:noProof/>
            <w:webHidden/>
          </w:rPr>
        </w:r>
        <w:r w:rsidR="00071FD0">
          <w:rPr>
            <w:noProof/>
            <w:webHidden/>
          </w:rPr>
          <w:fldChar w:fldCharType="separate"/>
        </w:r>
        <w:r w:rsidR="009B3E73">
          <w:rPr>
            <w:noProof/>
            <w:webHidden/>
          </w:rPr>
          <w:t>12</w:t>
        </w:r>
        <w:r w:rsidR="00071FD0">
          <w:rPr>
            <w:noProof/>
            <w:webHidden/>
          </w:rPr>
          <w:fldChar w:fldCharType="end"/>
        </w:r>
      </w:hyperlink>
    </w:p>
    <w:p w14:paraId="27458E7D" w14:textId="0D4156D4"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90" w:history="1">
        <w:r w:rsidR="00071FD0" w:rsidRPr="005A0498">
          <w:rPr>
            <w:rStyle w:val="Hyperlink"/>
            <w:noProof/>
          </w:rPr>
          <w:t>Output Measures</w:t>
        </w:r>
        <w:r w:rsidR="00071FD0">
          <w:rPr>
            <w:noProof/>
            <w:webHidden/>
          </w:rPr>
          <w:tab/>
        </w:r>
        <w:r w:rsidR="00071FD0">
          <w:rPr>
            <w:noProof/>
            <w:webHidden/>
          </w:rPr>
          <w:fldChar w:fldCharType="begin"/>
        </w:r>
        <w:r w:rsidR="00071FD0">
          <w:rPr>
            <w:noProof/>
            <w:webHidden/>
          </w:rPr>
          <w:instrText xml:space="preserve"> PAGEREF _Toc88132890 \h </w:instrText>
        </w:r>
        <w:r w:rsidR="00071FD0">
          <w:rPr>
            <w:noProof/>
            <w:webHidden/>
          </w:rPr>
        </w:r>
        <w:r w:rsidR="00071FD0">
          <w:rPr>
            <w:noProof/>
            <w:webHidden/>
          </w:rPr>
          <w:fldChar w:fldCharType="separate"/>
        </w:r>
        <w:r w:rsidR="009B3E73">
          <w:rPr>
            <w:noProof/>
            <w:webHidden/>
          </w:rPr>
          <w:t>13</w:t>
        </w:r>
        <w:r w:rsidR="00071FD0">
          <w:rPr>
            <w:noProof/>
            <w:webHidden/>
          </w:rPr>
          <w:fldChar w:fldCharType="end"/>
        </w:r>
      </w:hyperlink>
    </w:p>
    <w:p w14:paraId="327817C5" w14:textId="782F0A4E"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91" w:history="1">
        <w:r w:rsidR="00071FD0" w:rsidRPr="005A0498">
          <w:rPr>
            <w:rStyle w:val="Hyperlink"/>
            <w:noProof/>
          </w:rPr>
          <w:t>Strategic Initiatives</w:t>
        </w:r>
        <w:r w:rsidR="00071FD0">
          <w:rPr>
            <w:noProof/>
            <w:webHidden/>
          </w:rPr>
          <w:tab/>
        </w:r>
        <w:r w:rsidR="00071FD0">
          <w:rPr>
            <w:noProof/>
            <w:webHidden/>
          </w:rPr>
          <w:fldChar w:fldCharType="begin"/>
        </w:r>
        <w:r w:rsidR="00071FD0">
          <w:rPr>
            <w:noProof/>
            <w:webHidden/>
          </w:rPr>
          <w:instrText xml:space="preserve"> PAGEREF _Toc88132891 \h </w:instrText>
        </w:r>
        <w:r w:rsidR="00071FD0">
          <w:rPr>
            <w:noProof/>
            <w:webHidden/>
          </w:rPr>
        </w:r>
        <w:r w:rsidR="00071FD0">
          <w:rPr>
            <w:noProof/>
            <w:webHidden/>
          </w:rPr>
          <w:fldChar w:fldCharType="separate"/>
        </w:r>
        <w:r w:rsidR="009B3E73">
          <w:rPr>
            <w:noProof/>
            <w:webHidden/>
          </w:rPr>
          <w:t>13</w:t>
        </w:r>
        <w:r w:rsidR="00071FD0">
          <w:rPr>
            <w:noProof/>
            <w:webHidden/>
          </w:rPr>
          <w:fldChar w:fldCharType="end"/>
        </w:r>
      </w:hyperlink>
    </w:p>
    <w:p w14:paraId="4434B7EF" w14:textId="60D340AF"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92" w:history="1">
        <w:r w:rsidR="00071FD0" w:rsidRPr="005A0498">
          <w:rPr>
            <w:rStyle w:val="Hyperlink"/>
            <w:noProof/>
          </w:rPr>
          <w:t>Expansion of our approaches to engagement, such as exploring new forms of visual communications</w:t>
        </w:r>
        <w:r w:rsidR="00071FD0">
          <w:rPr>
            <w:noProof/>
            <w:webHidden/>
          </w:rPr>
          <w:tab/>
        </w:r>
        <w:r w:rsidR="00071FD0">
          <w:rPr>
            <w:noProof/>
            <w:webHidden/>
          </w:rPr>
          <w:fldChar w:fldCharType="begin"/>
        </w:r>
        <w:r w:rsidR="00071FD0">
          <w:rPr>
            <w:noProof/>
            <w:webHidden/>
          </w:rPr>
          <w:instrText xml:space="preserve"> PAGEREF _Toc88132892 \h </w:instrText>
        </w:r>
        <w:r w:rsidR="00071FD0">
          <w:rPr>
            <w:noProof/>
            <w:webHidden/>
          </w:rPr>
        </w:r>
        <w:r w:rsidR="00071FD0">
          <w:rPr>
            <w:noProof/>
            <w:webHidden/>
          </w:rPr>
          <w:fldChar w:fldCharType="separate"/>
        </w:r>
        <w:r w:rsidR="009B3E73">
          <w:rPr>
            <w:noProof/>
            <w:webHidden/>
          </w:rPr>
          <w:t>13</w:t>
        </w:r>
        <w:r w:rsidR="00071FD0">
          <w:rPr>
            <w:noProof/>
            <w:webHidden/>
          </w:rPr>
          <w:fldChar w:fldCharType="end"/>
        </w:r>
      </w:hyperlink>
    </w:p>
    <w:p w14:paraId="35811DB9" w14:textId="60817951"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93" w:history="1">
        <w:r w:rsidR="00071FD0" w:rsidRPr="005A0498">
          <w:rPr>
            <w:rStyle w:val="Hyperlink"/>
            <w:noProof/>
          </w:rPr>
          <w:t>Continuous improvement of our engagement approach with owners corporations</w:t>
        </w:r>
        <w:r w:rsidR="00071FD0">
          <w:rPr>
            <w:noProof/>
            <w:webHidden/>
          </w:rPr>
          <w:tab/>
        </w:r>
        <w:r w:rsidR="00071FD0">
          <w:rPr>
            <w:noProof/>
            <w:webHidden/>
          </w:rPr>
          <w:fldChar w:fldCharType="begin"/>
        </w:r>
        <w:r w:rsidR="00071FD0">
          <w:rPr>
            <w:noProof/>
            <w:webHidden/>
          </w:rPr>
          <w:instrText xml:space="preserve"> PAGEREF _Toc88132893 \h </w:instrText>
        </w:r>
        <w:r w:rsidR="00071FD0">
          <w:rPr>
            <w:noProof/>
            <w:webHidden/>
          </w:rPr>
        </w:r>
        <w:r w:rsidR="00071FD0">
          <w:rPr>
            <w:noProof/>
            <w:webHidden/>
          </w:rPr>
          <w:fldChar w:fldCharType="separate"/>
        </w:r>
        <w:r w:rsidR="009B3E73">
          <w:rPr>
            <w:noProof/>
            <w:webHidden/>
          </w:rPr>
          <w:t>14</w:t>
        </w:r>
        <w:r w:rsidR="00071FD0">
          <w:rPr>
            <w:noProof/>
            <w:webHidden/>
          </w:rPr>
          <w:fldChar w:fldCharType="end"/>
        </w:r>
      </w:hyperlink>
    </w:p>
    <w:p w14:paraId="355E0A24" w14:textId="18634C8A"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894" w:history="1">
        <w:r w:rsidR="00071FD0" w:rsidRPr="005A0498">
          <w:rPr>
            <w:rStyle w:val="Hyperlink"/>
            <w:noProof/>
          </w:rPr>
          <w:t>Outcome 3: Robust financial and resource management optimises the value of CSV’s delivery outcomes</w:t>
        </w:r>
        <w:r w:rsidR="00071FD0">
          <w:rPr>
            <w:noProof/>
            <w:webHidden/>
          </w:rPr>
          <w:tab/>
        </w:r>
        <w:r w:rsidR="00071FD0">
          <w:rPr>
            <w:noProof/>
            <w:webHidden/>
          </w:rPr>
          <w:fldChar w:fldCharType="begin"/>
        </w:r>
        <w:r w:rsidR="00071FD0">
          <w:rPr>
            <w:noProof/>
            <w:webHidden/>
          </w:rPr>
          <w:instrText xml:space="preserve"> PAGEREF _Toc88132894 \h </w:instrText>
        </w:r>
        <w:r w:rsidR="00071FD0">
          <w:rPr>
            <w:noProof/>
            <w:webHidden/>
          </w:rPr>
        </w:r>
        <w:r w:rsidR="00071FD0">
          <w:rPr>
            <w:noProof/>
            <w:webHidden/>
          </w:rPr>
          <w:fldChar w:fldCharType="separate"/>
        </w:r>
        <w:r w:rsidR="009B3E73">
          <w:rPr>
            <w:noProof/>
            <w:webHidden/>
          </w:rPr>
          <w:t>14</w:t>
        </w:r>
        <w:r w:rsidR="00071FD0">
          <w:rPr>
            <w:noProof/>
            <w:webHidden/>
          </w:rPr>
          <w:fldChar w:fldCharType="end"/>
        </w:r>
      </w:hyperlink>
    </w:p>
    <w:p w14:paraId="73B7C8F0" w14:textId="4A6695F3"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95" w:history="1">
        <w:r w:rsidR="00071FD0" w:rsidRPr="005A0498">
          <w:rPr>
            <w:rStyle w:val="Hyperlink"/>
            <w:noProof/>
          </w:rPr>
          <w:t>Outcome Indicators and Measures</w:t>
        </w:r>
        <w:r w:rsidR="00071FD0">
          <w:rPr>
            <w:noProof/>
            <w:webHidden/>
          </w:rPr>
          <w:tab/>
        </w:r>
        <w:r w:rsidR="00071FD0">
          <w:rPr>
            <w:noProof/>
            <w:webHidden/>
          </w:rPr>
          <w:fldChar w:fldCharType="begin"/>
        </w:r>
        <w:r w:rsidR="00071FD0">
          <w:rPr>
            <w:noProof/>
            <w:webHidden/>
          </w:rPr>
          <w:instrText xml:space="preserve"> PAGEREF _Toc88132895 \h </w:instrText>
        </w:r>
        <w:r w:rsidR="00071FD0">
          <w:rPr>
            <w:noProof/>
            <w:webHidden/>
          </w:rPr>
        </w:r>
        <w:r w:rsidR="00071FD0">
          <w:rPr>
            <w:noProof/>
            <w:webHidden/>
          </w:rPr>
          <w:fldChar w:fldCharType="separate"/>
        </w:r>
        <w:r w:rsidR="009B3E73">
          <w:rPr>
            <w:noProof/>
            <w:webHidden/>
          </w:rPr>
          <w:t>14</w:t>
        </w:r>
        <w:r w:rsidR="00071FD0">
          <w:rPr>
            <w:noProof/>
            <w:webHidden/>
          </w:rPr>
          <w:fldChar w:fldCharType="end"/>
        </w:r>
      </w:hyperlink>
    </w:p>
    <w:p w14:paraId="6CA4926D" w14:textId="2B715646"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896" w:history="1">
        <w:r w:rsidR="00071FD0" w:rsidRPr="005A0498">
          <w:rPr>
            <w:rStyle w:val="Hyperlink"/>
            <w:noProof/>
          </w:rPr>
          <w:t>Outputs</w:t>
        </w:r>
        <w:r w:rsidR="00071FD0">
          <w:rPr>
            <w:noProof/>
            <w:webHidden/>
          </w:rPr>
          <w:tab/>
        </w:r>
        <w:r w:rsidR="00071FD0">
          <w:rPr>
            <w:noProof/>
            <w:webHidden/>
          </w:rPr>
          <w:fldChar w:fldCharType="begin"/>
        </w:r>
        <w:r w:rsidR="00071FD0">
          <w:rPr>
            <w:noProof/>
            <w:webHidden/>
          </w:rPr>
          <w:instrText xml:space="preserve"> PAGEREF _Toc88132896 \h </w:instrText>
        </w:r>
        <w:r w:rsidR="00071FD0">
          <w:rPr>
            <w:noProof/>
            <w:webHidden/>
          </w:rPr>
        </w:r>
        <w:r w:rsidR="00071FD0">
          <w:rPr>
            <w:noProof/>
            <w:webHidden/>
          </w:rPr>
          <w:fldChar w:fldCharType="separate"/>
        </w:r>
        <w:r w:rsidR="009B3E73">
          <w:rPr>
            <w:noProof/>
            <w:webHidden/>
          </w:rPr>
          <w:t>15</w:t>
        </w:r>
        <w:r w:rsidR="00071FD0">
          <w:rPr>
            <w:noProof/>
            <w:webHidden/>
          </w:rPr>
          <w:fldChar w:fldCharType="end"/>
        </w:r>
      </w:hyperlink>
    </w:p>
    <w:p w14:paraId="00924787" w14:textId="4E13CE36"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97" w:history="1">
        <w:r w:rsidR="00071FD0" w:rsidRPr="005A0498">
          <w:rPr>
            <w:rStyle w:val="Hyperlink"/>
            <w:noProof/>
          </w:rPr>
          <w:t>Financial control systems</w:t>
        </w:r>
        <w:r w:rsidR="00071FD0">
          <w:rPr>
            <w:noProof/>
            <w:webHidden/>
          </w:rPr>
          <w:tab/>
        </w:r>
        <w:r w:rsidR="00071FD0">
          <w:rPr>
            <w:noProof/>
            <w:webHidden/>
          </w:rPr>
          <w:fldChar w:fldCharType="begin"/>
        </w:r>
        <w:r w:rsidR="00071FD0">
          <w:rPr>
            <w:noProof/>
            <w:webHidden/>
          </w:rPr>
          <w:instrText xml:space="preserve"> PAGEREF _Toc88132897 \h </w:instrText>
        </w:r>
        <w:r w:rsidR="00071FD0">
          <w:rPr>
            <w:noProof/>
            <w:webHidden/>
          </w:rPr>
        </w:r>
        <w:r w:rsidR="00071FD0">
          <w:rPr>
            <w:noProof/>
            <w:webHidden/>
          </w:rPr>
          <w:fldChar w:fldCharType="separate"/>
        </w:r>
        <w:r w:rsidR="009B3E73">
          <w:rPr>
            <w:noProof/>
            <w:webHidden/>
          </w:rPr>
          <w:t>15</w:t>
        </w:r>
        <w:r w:rsidR="00071FD0">
          <w:rPr>
            <w:noProof/>
            <w:webHidden/>
          </w:rPr>
          <w:fldChar w:fldCharType="end"/>
        </w:r>
      </w:hyperlink>
    </w:p>
    <w:p w14:paraId="06CEB720" w14:textId="540D558C"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98" w:history="1">
        <w:r w:rsidR="00071FD0" w:rsidRPr="005A0498">
          <w:rPr>
            <w:rStyle w:val="Hyperlink"/>
            <w:noProof/>
          </w:rPr>
          <w:t>Annual program forecasting plan</w:t>
        </w:r>
        <w:r w:rsidR="00071FD0">
          <w:rPr>
            <w:noProof/>
            <w:webHidden/>
          </w:rPr>
          <w:tab/>
        </w:r>
        <w:r w:rsidR="00071FD0">
          <w:rPr>
            <w:noProof/>
            <w:webHidden/>
          </w:rPr>
          <w:fldChar w:fldCharType="begin"/>
        </w:r>
        <w:r w:rsidR="00071FD0">
          <w:rPr>
            <w:noProof/>
            <w:webHidden/>
          </w:rPr>
          <w:instrText xml:space="preserve"> PAGEREF _Toc88132898 \h </w:instrText>
        </w:r>
        <w:r w:rsidR="00071FD0">
          <w:rPr>
            <w:noProof/>
            <w:webHidden/>
          </w:rPr>
        </w:r>
        <w:r w:rsidR="00071FD0">
          <w:rPr>
            <w:noProof/>
            <w:webHidden/>
          </w:rPr>
          <w:fldChar w:fldCharType="separate"/>
        </w:r>
        <w:r w:rsidR="009B3E73">
          <w:rPr>
            <w:noProof/>
            <w:webHidden/>
          </w:rPr>
          <w:t>15</w:t>
        </w:r>
        <w:r w:rsidR="00071FD0">
          <w:rPr>
            <w:noProof/>
            <w:webHidden/>
          </w:rPr>
          <w:fldChar w:fldCharType="end"/>
        </w:r>
      </w:hyperlink>
    </w:p>
    <w:p w14:paraId="4353F921" w14:textId="6F53086F"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899" w:history="1">
        <w:r w:rsidR="00071FD0" w:rsidRPr="005A0498">
          <w:rPr>
            <w:rStyle w:val="Hyperlink"/>
            <w:noProof/>
          </w:rPr>
          <w:t>People and culture plan</w:t>
        </w:r>
        <w:r w:rsidR="00071FD0">
          <w:rPr>
            <w:noProof/>
            <w:webHidden/>
          </w:rPr>
          <w:tab/>
        </w:r>
        <w:r w:rsidR="00071FD0">
          <w:rPr>
            <w:noProof/>
            <w:webHidden/>
          </w:rPr>
          <w:fldChar w:fldCharType="begin"/>
        </w:r>
        <w:r w:rsidR="00071FD0">
          <w:rPr>
            <w:noProof/>
            <w:webHidden/>
          </w:rPr>
          <w:instrText xml:space="preserve"> PAGEREF _Toc88132899 \h </w:instrText>
        </w:r>
        <w:r w:rsidR="00071FD0">
          <w:rPr>
            <w:noProof/>
            <w:webHidden/>
          </w:rPr>
        </w:r>
        <w:r w:rsidR="00071FD0">
          <w:rPr>
            <w:noProof/>
            <w:webHidden/>
          </w:rPr>
          <w:fldChar w:fldCharType="separate"/>
        </w:r>
        <w:r w:rsidR="009B3E73">
          <w:rPr>
            <w:noProof/>
            <w:webHidden/>
          </w:rPr>
          <w:t>16</w:t>
        </w:r>
        <w:r w:rsidR="00071FD0">
          <w:rPr>
            <w:noProof/>
            <w:webHidden/>
          </w:rPr>
          <w:fldChar w:fldCharType="end"/>
        </w:r>
      </w:hyperlink>
    </w:p>
    <w:p w14:paraId="0789364E" w14:textId="4AA54DC6"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900" w:history="1">
        <w:r w:rsidR="00071FD0" w:rsidRPr="005A0498">
          <w:rPr>
            <w:rStyle w:val="Hyperlink"/>
            <w:noProof/>
          </w:rPr>
          <w:t>Risk management framework</w:t>
        </w:r>
        <w:r w:rsidR="00071FD0">
          <w:rPr>
            <w:noProof/>
            <w:webHidden/>
          </w:rPr>
          <w:tab/>
        </w:r>
        <w:r w:rsidR="00071FD0">
          <w:rPr>
            <w:noProof/>
            <w:webHidden/>
          </w:rPr>
          <w:fldChar w:fldCharType="begin"/>
        </w:r>
        <w:r w:rsidR="00071FD0">
          <w:rPr>
            <w:noProof/>
            <w:webHidden/>
          </w:rPr>
          <w:instrText xml:space="preserve"> PAGEREF _Toc88132900 \h </w:instrText>
        </w:r>
        <w:r w:rsidR="00071FD0">
          <w:rPr>
            <w:noProof/>
            <w:webHidden/>
          </w:rPr>
        </w:r>
        <w:r w:rsidR="00071FD0">
          <w:rPr>
            <w:noProof/>
            <w:webHidden/>
          </w:rPr>
          <w:fldChar w:fldCharType="separate"/>
        </w:r>
        <w:r w:rsidR="009B3E73">
          <w:rPr>
            <w:noProof/>
            <w:webHidden/>
          </w:rPr>
          <w:t>16</w:t>
        </w:r>
        <w:r w:rsidR="00071FD0">
          <w:rPr>
            <w:noProof/>
            <w:webHidden/>
          </w:rPr>
          <w:fldChar w:fldCharType="end"/>
        </w:r>
      </w:hyperlink>
    </w:p>
    <w:p w14:paraId="35F4F8E5" w14:textId="1555E3AC"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901" w:history="1">
        <w:r w:rsidR="00071FD0" w:rsidRPr="005A0498">
          <w:rPr>
            <w:rStyle w:val="Hyperlink"/>
            <w:noProof/>
          </w:rPr>
          <w:t>Future planning and collaboration</w:t>
        </w:r>
        <w:r w:rsidR="00071FD0">
          <w:rPr>
            <w:noProof/>
            <w:webHidden/>
          </w:rPr>
          <w:tab/>
        </w:r>
        <w:r w:rsidR="00071FD0">
          <w:rPr>
            <w:noProof/>
            <w:webHidden/>
          </w:rPr>
          <w:fldChar w:fldCharType="begin"/>
        </w:r>
        <w:r w:rsidR="00071FD0">
          <w:rPr>
            <w:noProof/>
            <w:webHidden/>
          </w:rPr>
          <w:instrText xml:space="preserve"> PAGEREF _Toc88132901 \h </w:instrText>
        </w:r>
        <w:r w:rsidR="00071FD0">
          <w:rPr>
            <w:noProof/>
            <w:webHidden/>
          </w:rPr>
        </w:r>
        <w:r w:rsidR="00071FD0">
          <w:rPr>
            <w:noProof/>
            <w:webHidden/>
          </w:rPr>
          <w:fldChar w:fldCharType="separate"/>
        </w:r>
        <w:r w:rsidR="009B3E73">
          <w:rPr>
            <w:noProof/>
            <w:webHidden/>
          </w:rPr>
          <w:t>16</w:t>
        </w:r>
        <w:r w:rsidR="00071FD0">
          <w:rPr>
            <w:noProof/>
            <w:webHidden/>
          </w:rPr>
          <w:fldChar w:fldCharType="end"/>
        </w:r>
      </w:hyperlink>
    </w:p>
    <w:p w14:paraId="11FD49A1" w14:textId="58A1A09C"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902" w:history="1">
        <w:r w:rsidR="00071FD0" w:rsidRPr="005A0498">
          <w:rPr>
            <w:rStyle w:val="Hyperlink"/>
            <w:noProof/>
          </w:rPr>
          <w:t>Output Measures</w:t>
        </w:r>
        <w:r w:rsidR="00071FD0">
          <w:rPr>
            <w:noProof/>
            <w:webHidden/>
          </w:rPr>
          <w:tab/>
        </w:r>
        <w:r w:rsidR="00071FD0">
          <w:rPr>
            <w:noProof/>
            <w:webHidden/>
          </w:rPr>
          <w:fldChar w:fldCharType="begin"/>
        </w:r>
        <w:r w:rsidR="00071FD0">
          <w:rPr>
            <w:noProof/>
            <w:webHidden/>
          </w:rPr>
          <w:instrText xml:space="preserve"> PAGEREF _Toc88132902 \h </w:instrText>
        </w:r>
        <w:r w:rsidR="00071FD0">
          <w:rPr>
            <w:noProof/>
            <w:webHidden/>
          </w:rPr>
        </w:r>
        <w:r w:rsidR="00071FD0">
          <w:rPr>
            <w:noProof/>
            <w:webHidden/>
          </w:rPr>
          <w:fldChar w:fldCharType="separate"/>
        </w:r>
        <w:r w:rsidR="009B3E73">
          <w:rPr>
            <w:noProof/>
            <w:webHidden/>
          </w:rPr>
          <w:t>16</w:t>
        </w:r>
        <w:r w:rsidR="00071FD0">
          <w:rPr>
            <w:noProof/>
            <w:webHidden/>
          </w:rPr>
          <w:fldChar w:fldCharType="end"/>
        </w:r>
      </w:hyperlink>
    </w:p>
    <w:p w14:paraId="3CFE5033" w14:textId="7D06FE93" w:rsidR="00071FD0" w:rsidRDefault="00EE65E7">
      <w:pPr>
        <w:pStyle w:val="TOC2"/>
        <w:tabs>
          <w:tab w:val="right" w:leader="dot" w:pos="10790"/>
        </w:tabs>
        <w:rPr>
          <w:rFonts w:asciiTheme="minorHAnsi" w:eastAsiaTheme="minorEastAsia" w:hAnsiTheme="minorHAnsi" w:cstheme="minorBidi"/>
          <w:noProof/>
          <w:sz w:val="24"/>
          <w:szCs w:val="24"/>
          <w:lang w:val="en-AU" w:eastAsia="en-GB"/>
        </w:rPr>
      </w:pPr>
      <w:hyperlink w:anchor="_Toc88132903" w:history="1">
        <w:r w:rsidR="00071FD0" w:rsidRPr="005A0498">
          <w:rPr>
            <w:rStyle w:val="Hyperlink"/>
            <w:noProof/>
          </w:rPr>
          <w:t>Strategic Initiatives</w:t>
        </w:r>
        <w:r w:rsidR="00071FD0">
          <w:rPr>
            <w:noProof/>
            <w:webHidden/>
          </w:rPr>
          <w:tab/>
        </w:r>
        <w:r w:rsidR="00071FD0">
          <w:rPr>
            <w:noProof/>
            <w:webHidden/>
          </w:rPr>
          <w:fldChar w:fldCharType="begin"/>
        </w:r>
        <w:r w:rsidR="00071FD0">
          <w:rPr>
            <w:noProof/>
            <w:webHidden/>
          </w:rPr>
          <w:instrText xml:space="preserve"> PAGEREF _Toc88132903 \h </w:instrText>
        </w:r>
        <w:r w:rsidR="00071FD0">
          <w:rPr>
            <w:noProof/>
            <w:webHidden/>
          </w:rPr>
        </w:r>
        <w:r w:rsidR="00071FD0">
          <w:rPr>
            <w:noProof/>
            <w:webHidden/>
          </w:rPr>
          <w:fldChar w:fldCharType="separate"/>
        </w:r>
        <w:r w:rsidR="009B3E73">
          <w:rPr>
            <w:noProof/>
            <w:webHidden/>
          </w:rPr>
          <w:t>17</w:t>
        </w:r>
        <w:r w:rsidR="00071FD0">
          <w:rPr>
            <w:noProof/>
            <w:webHidden/>
          </w:rPr>
          <w:fldChar w:fldCharType="end"/>
        </w:r>
      </w:hyperlink>
    </w:p>
    <w:p w14:paraId="03577C8A" w14:textId="2D06167E"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904" w:history="1">
        <w:r w:rsidR="00071FD0" w:rsidRPr="005A0498">
          <w:rPr>
            <w:rStyle w:val="Hyperlink"/>
            <w:noProof/>
          </w:rPr>
          <w:t>Continuous improvement to program governance and quality assurance processes</w:t>
        </w:r>
        <w:r w:rsidR="00071FD0">
          <w:rPr>
            <w:noProof/>
            <w:webHidden/>
          </w:rPr>
          <w:tab/>
        </w:r>
        <w:r w:rsidR="00071FD0">
          <w:rPr>
            <w:noProof/>
            <w:webHidden/>
          </w:rPr>
          <w:fldChar w:fldCharType="begin"/>
        </w:r>
        <w:r w:rsidR="00071FD0">
          <w:rPr>
            <w:noProof/>
            <w:webHidden/>
          </w:rPr>
          <w:instrText xml:space="preserve"> PAGEREF _Toc88132904 \h </w:instrText>
        </w:r>
        <w:r w:rsidR="00071FD0">
          <w:rPr>
            <w:noProof/>
            <w:webHidden/>
          </w:rPr>
        </w:r>
        <w:r w:rsidR="00071FD0">
          <w:rPr>
            <w:noProof/>
            <w:webHidden/>
          </w:rPr>
          <w:fldChar w:fldCharType="separate"/>
        </w:r>
        <w:r w:rsidR="009B3E73">
          <w:rPr>
            <w:noProof/>
            <w:webHidden/>
          </w:rPr>
          <w:t>17</w:t>
        </w:r>
        <w:r w:rsidR="00071FD0">
          <w:rPr>
            <w:noProof/>
            <w:webHidden/>
          </w:rPr>
          <w:fldChar w:fldCharType="end"/>
        </w:r>
      </w:hyperlink>
    </w:p>
    <w:p w14:paraId="4E515C99" w14:textId="40996249" w:rsidR="00071FD0" w:rsidRDefault="00EE65E7">
      <w:pPr>
        <w:pStyle w:val="TOC3"/>
        <w:tabs>
          <w:tab w:val="right" w:leader="dot" w:pos="10790"/>
        </w:tabs>
        <w:rPr>
          <w:rFonts w:asciiTheme="minorHAnsi" w:eastAsiaTheme="minorEastAsia" w:hAnsiTheme="minorHAnsi" w:cstheme="minorBidi"/>
          <w:noProof/>
          <w:sz w:val="24"/>
          <w:szCs w:val="24"/>
          <w:lang w:val="en-AU" w:eastAsia="en-GB"/>
        </w:rPr>
      </w:pPr>
      <w:hyperlink w:anchor="_Toc88132905" w:history="1">
        <w:r w:rsidR="00071FD0" w:rsidRPr="005A0498">
          <w:rPr>
            <w:rStyle w:val="Hyperlink"/>
            <w:noProof/>
          </w:rPr>
          <w:t>Improvement of commercial capabilities to enhance the effectiveness of contract management processes</w:t>
        </w:r>
        <w:r w:rsidR="00071FD0">
          <w:rPr>
            <w:noProof/>
            <w:webHidden/>
          </w:rPr>
          <w:tab/>
        </w:r>
        <w:r w:rsidR="00071FD0">
          <w:rPr>
            <w:noProof/>
            <w:webHidden/>
          </w:rPr>
          <w:fldChar w:fldCharType="begin"/>
        </w:r>
        <w:r w:rsidR="00071FD0">
          <w:rPr>
            <w:noProof/>
            <w:webHidden/>
          </w:rPr>
          <w:instrText xml:space="preserve"> PAGEREF _Toc88132905 \h </w:instrText>
        </w:r>
        <w:r w:rsidR="00071FD0">
          <w:rPr>
            <w:noProof/>
            <w:webHidden/>
          </w:rPr>
        </w:r>
        <w:r w:rsidR="00071FD0">
          <w:rPr>
            <w:noProof/>
            <w:webHidden/>
          </w:rPr>
          <w:fldChar w:fldCharType="separate"/>
        </w:r>
        <w:r w:rsidR="009B3E73">
          <w:rPr>
            <w:noProof/>
            <w:webHidden/>
          </w:rPr>
          <w:t>18</w:t>
        </w:r>
        <w:r w:rsidR="00071FD0">
          <w:rPr>
            <w:noProof/>
            <w:webHidden/>
          </w:rPr>
          <w:fldChar w:fldCharType="end"/>
        </w:r>
      </w:hyperlink>
    </w:p>
    <w:p w14:paraId="225A48B4" w14:textId="7D4F1FDB" w:rsidR="00071FD0" w:rsidRDefault="00EE65E7">
      <w:pPr>
        <w:pStyle w:val="TOC1"/>
        <w:tabs>
          <w:tab w:val="right" w:leader="dot" w:pos="10790"/>
        </w:tabs>
        <w:rPr>
          <w:rFonts w:asciiTheme="minorHAnsi" w:eastAsiaTheme="minorEastAsia" w:hAnsiTheme="minorHAnsi" w:cstheme="minorBidi"/>
          <w:noProof/>
          <w:sz w:val="24"/>
          <w:szCs w:val="24"/>
          <w:lang w:val="en-AU" w:eastAsia="en-GB"/>
        </w:rPr>
      </w:pPr>
      <w:hyperlink w:anchor="_Toc88132906" w:history="1">
        <w:r w:rsidR="00071FD0" w:rsidRPr="005A0498">
          <w:rPr>
            <w:rStyle w:val="Hyperlink"/>
            <w:noProof/>
          </w:rPr>
          <w:t>Reporting</w:t>
        </w:r>
        <w:r w:rsidR="00071FD0">
          <w:rPr>
            <w:noProof/>
            <w:webHidden/>
          </w:rPr>
          <w:tab/>
        </w:r>
        <w:r w:rsidR="00071FD0">
          <w:rPr>
            <w:noProof/>
            <w:webHidden/>
          </w:rPr>
          <w:fldChar w:fldCharType="begin"/>
        </w:r>
        <w:r w:rsidR="00071FD0">
          <w:rPr>
            <w:noProof/>
            <w:webHidden/>
          </w:rPr>
          <w:instrText xml:space="preserve"> PAGEREF _Toc88132906 \h </w:instrText>
        </w:r>
        <w:r w:rsidR="00071FD0">
          <w:rPr>
            <w:noProof/>
            <w:webHidden/>
          </w:rPr>
        </w:r>
        <w:r w:rsidR="00071FD0">
          <w:rPr>
            <w:noProof/>
            <w:webHidden/>
          </w:rPr>
          <w:fldChar w:fldCharType="separate"/>
        </w:r>
        <w:r w:rsidR="009B3E73">
          <w:rPr>
            <w:noProof/>
            <w:webHidden/>
          </w:rPr>
          <w:t>18</w:t>
        </w:r>
        <w:r w:rsidR="00071FD0">
          <w:rPr>
            <w:noProof/>
            <w:webHidden/>
          </w:rPr>
          <w:fldChar w:fldCharType="end"/>
        </w:r>
      </w:hyperlink>
    </w:p>
    <w:p w14:paraId="75435603" w14:textId="7CA3E32D" w:rsidR="009F71AD" w:rsidRPr="001703CF" w:rsidRDefault="00C054CC" w:rsidP="00C054CC">
      <w:r>
        <w:fldChar w:fldCharType="end"/>
      </w:r>
    </w:p>
    <w:p w14:paraId="5C4D4B53" w14:textId="0D555B0E" w:rsidR="009F71AD" w:rsidRPr="001703CF" w:rsidRDefault="009F71AD" w:rsidP="00C054CC">
      <w:r w:rsidRPr="001703CF">
        <w:br w:type="page"/>
      </w:r>
    </w:p>
    <w:p w14:paraId="41FE82F4" w14:textId="77777777" w:rsidR="009F71AD" w:rsidRPr="001703CF" w:rsidRDefault="009F71AD" w:rsidP="00071FD0">
      <w:pPr>
        <w:pStyle w:val="Heading1"/>
      </w:pPr>
      <w:bookmarkStart w:id="2" w:name="_Toc88132872"/>
      <w:r w:rsidRPr="001703CF">
        <w:lastRenderedPageBreak/>
        <w:t>Message from the Chief Executive Officer</w:t>
      </w:r>
      <w:bookmarkEnd w:id="2"/>
    </w:p>
    <w:p w14:paraId="5BF29977" w14:textId="77777777" w:rsidR="009F71AD" w:rsidRPr="009A07DE" w:rsidRDefault="009F71AD" w:rsidP="00C054CC">
      <w:r w:rsidRPr="009A07DE">
        <w:t xml:space="preserve">Cladding Safety Victoria (CSV) enters 2021 having met our ambitious rectification targets despite the challenges of working through the global COVID-19 pandemic in 2020. Within the context of the testing environment created by the pandemic, CSV has continued to provide an economic benefit to Victoria by creating job and apprenticeship opportunities through the ongoing implementation of its cladding rectification program. </w:t>
      </w:r>
    </w:p>
    <w:p w14:paraId="771CB284" w14:textId="77777777" w:rsidR="009F71AD" w:rsidRPr="001703CF" w:rsidRDefault="009F71AD" w:rsidP="00C054CC">
      <w:r w:rsidRPr="001703CF">
        <w:t xml:space="preserve">We </w:t>
      </w:r>
      <w:r w:rsidRPr="009A07DE">
        <w:t>start</w:t>
      </w:r>
      <w:r w:rsidRPr="001703CF">
        <w:t xml:space="preserve"> this year with work underway on more than 70 buildings and are well on track to having rectification underway on 400 high-risk residential buildings by 30 June 2022. </w:t>
      </w:r>
    </w:p>
    <w:p w14:paraId="22F97C33" w14:textId="77777777" w:rsidR="009F71AD" w:rsidRPr="001703CF" w:rsidRDefault="009F71AD" w:rsidP="00C054CC">
      <w:r w:rsidRPr="001703CF">
        <w:t xml:space="preserve">Work is also gearing up across the government program, with rectification beginning in the first quarter on some of the higher-profile public buildings. It is expected that CSV will largely retire the cladding risk on government buildings by the end of 2021–22, </w:t>
      </w:r>
      <w:proofErr w:type="gramStart"/>
      <w:r w:rsidRPr="001703CF">
        <w:t>with the exception of</w:t>
      </w:r>
      <w:proofErr w:type="gramEnd"/>
      <w:r w:rsidRPr="001703CF">
        <w:t xml:space="preserve"> a few larger hospitals.</w:t>
      </w:r>
    </w:p>
    <w:p w14:paraId="581E68F2" w14:textId="77777777" w:rsidR="009F71AD" w:rsidRPr="001703CF" w:rsidRDefault="009F71AD" w:rsidP="00C054CC">
      <w:r w:rsidRPr="001703CF">
        <w:t xml:space="preserve">We move into 2021 having refined </w:t>
      </w:r>
      <w:r w:rsidRPr="009A07DE">
        <w:t>our</w:t>
      </w:r>
      <w:r w:rsidRPr="001703CF">
        <w:t xml:space="preserve"> procedures and processes, addressing major issues such as professional indemnity insurance for practitioners. </w:t>
      </w:r>
    </w:p>
    <w:p w14:paraId="21AD0380" w14:textId="77777777" w:rsidR="009F71AD" w:rsidRPr="001703CF" w:rsidRDefault="009F71AD" w:rsidP="00C054CC">
      <w:r w:rsidRPr="001703CF">
        <w:t xml:space="preserve">Our insurance solution </w:t>
      </w:r>
      <w:r w:rsidRPr="009A07DE">
        <w:t>demonstrates</w:t>
      </w:r>
      <w:r w:rsidRPr="001703CF">
        <w:t xml:space="preserve"> our capacity to work in partnership with the Department of Environment, Land, Water and Planning (DELWP) to overcome challenges and give certainty to industry. </w:t>
      </w:r>
    </w:p>
    <w:p w14:paraId="056C1B72" w14:textId="77777777" w:rsidR="009F71AD" w:rsidRPr="001703CF" w:rsidRDefault="009F71AD" w:rsidP="00C054CC">
      <w:r w:rsidRPr="001703CF">
        <w:t xml:space="preserve">We were the first organisation in the world set up to tackle cladding rectification on both private and public buildings and we have been the first to tackle the issue of limited professional indemnity insurance coverage for cladding works. </w:t>
      </w:r>
    </w:p>
    <w:p w14:paraId="1F65A501" w14:textId="77777777" w:rsidR="009F71AD" w:rsidRPr="001703CF" w:rsidRDefault="009F71AD" w:rsidP="00C054CC">
      <w:r w:rsidRPr="001703CF">
        <w:t xml:space="preserve">We will continue to refine our construction </w:t>
      </w:r>
      <w:r w:rsidRPr="009A07DE">
        <w:t>procurement</w:t>
      </w:r>
      <w:r w:rsidRPr="001703CF">
        <w:t xml:space="preserve"> approach to deliver rectification in the most efficient and safest way possible, while still delivering high-quality outcomes.</w:t>
      </w:r>
    </w:p>
    <w:p w14:paraId="1977E0DF" w14:textId="77777777" w:rsidR="009F71AD" w:rsidRPr="001703CF" w:rsidRDefault="009F71AD" w:rsidP="00C054CC">
      <w:r w:rsidRPr="001703CF">
        <w:t xml:space="preserve">Our dedication to solving complex problems and moving at pace stands us in good stead as we continue our work to support </w:t>
      </w:r>
      <w:proofErr w:type="gramStart"/>
      <w:r w:rsidRPr="001703CF">
        <w:t>owners</w:t>
      </w:r>
      <w:proofErr w:type="gramEnd"/>
      <w:r w:rsidRPr="001703CF">
        <w:t xml:space="preserve"> corporations and government </w:t>
      </w:r>
      <w:r w:rsidRPr="009A07DE">
        <w:t>departments</w:t>
      </w:r>
      <w:r w:rsidRPr="001703CF">
        <w:t xml:space="preserve"> through rectification in 2021. </w:t>
      </w:r>
    </w:p>
    <w:p w14:paraId="28D4BFDD" w14:textId="77777777" w:rsidR="009F71AD" w:rsidRPr="001703CF" w:rsidRDefault="009F71AD" w:rsidP="00C054CC">
      <w:r w:rsidRPr="001703CF">
        <w:rPr>
          <w:rStyle w:val="Semibold"/>
        </w:rPr>
        <w:t>Dan O’Brien</w:t>
      </w:r>
      <w:r w:rsidRPr="001703CF">
        <w:rPr>
          <w:rStyle w:val="Semibold"/>
        </w:rPr>
        <w:br/>
      </w:r>
      <w:r w:rsidRPr="001703CF">
        <w:t>Chief Executive Officer</w:t>
      </w:r>
      <w:r w:rsidRPr="001703CF">
        <w:br/>
        <w:t>Cladding Safety Victoria</w:t>
      </w:r>
    </w:p>
    <w:p w14:paraId="04D1385D" w14:textId="77777777" w:rsidR="009F71AD" w:rsidRPr="001703CF" w:rsidRDefault="009F71AD" w:rsidP="00071FD0">
      <w:pPr>
        <w:pStyle w:val="Heading1"/>
      </w:pPr>
      <w:bookmarkStart w:id="3" w:name="_Toc88132873"/>
      <w:r w:rsidRPr="001703CF">
        <w:t>Introduction</w:t>
      </w:r>
      <w:bookmarkEnd w:id="3"/>
    </w:p>
    <w:p w14:paraId="696BE84D" w14:textId="77777777" w:rsidR="009F71AD" w:rsidRPr="00CC1AA2" w:rsidRDefault="009F71AD" w:rsidP="00C054CC">
      <w:r w:rsidRPr="00CC1AA2">
        <w:t xml:space="preserve">The object of our organisation, as stated in the Cladding Safety Victoria Act 2020 (the Act), is to support Victorians to rectify non-compliant or non-conforming external wall cladding products on buildings to improve the safety of those buildings.  </w:t>
      </w:r>
    </w:p>
    <w:p w14:paraId="1E83A525" w14:textId="77777777" w:rsidR="009F71AD" w:rsidRPr="001703CF" w:rsidRDefault="009F71AD" w:rsidP="00C054CC">
      <w:r w:rsidRPr="001703CF">
        <w:t xml:space="preserve">Under CSV’s legislation, the organisation has a clear remit to administer the rectification program through prioritising buildings, determining eligibility for assistance, and supporting </w:t>
      </w:r>
      <w:proofErr w:type="gramStart"/>
      <w:r w:rsidRPr="001703CF">
        <w:t>owners</w:t>
      </w:r>
      <w:proofErr w:type="gramEnd"/>
      <w:r w:rsidRPr="001703CF">
        <w:t xml:space="preserve"> corporations and government departments throughout the process and monitoring works.</w:t>
      </w:r>
    </w:p>
    <w:p w14:paraId="3B63389C" w14:textId="77777777" w:rsidR="009F71AD" w:rsidRPr="001703CF" w:rsidRDefault="009F71AD" w:rsidP="00C054CC">
      <w:r w:rsidRPr="001703CF">
        <w:t>The annual work program outlines the projects, initiatives and performance targets which are in place to deliver the organisation’s strategic</w:t>
      </w:r>
      <w:r w:rsidRPr="001703CF">
        <w:rPr>
          <w:rFonts w:ascii="Cambria" w:hAnsi="Cambria" w:cs="Cambria"/>
        </w:rPr>
        <w:t> </w:t>
      </w:r>
      <w:r w:rsidRPr="001703CF">
        <w:t xml:space="preserve">plan. </w:t>
      </w:r>
    </w:p>
    <w:p w14:paraId="687F8D0A" w14:textId="77777777" w:rsidR="009F71AD" w:rsidRPr="001703CF" w:rsidRDefault="009F71AD" w:rsidP="00C054CC">
      <w:r w:rsidRPr="001703CF">
        <w:t>The strategic plan, which is endorsed by the Cladding Safety Victoria Board and approved by the Minister for Planning, specifies how the organisation will deliver the objective of the organisation as specified by the Act and the Ministerial Statement of Expectations.</w:t>
      </w:r>
    </w:p>
    <w:p w14:paraId="0052A6B5" w14:textId="77777777" w:rsidR="009F71AD" w:rsidRPr="00CC1AA2" w:rsidRDefault="009F71AD" w:rsidP="00071FD0">
      <w:pPr>
        <w:pStyle w:val="Heading1"/>
      </w:pPr>
      <w:bookmarkStart w:id="4" w:name="_Toc88132874"/>
      <w:r w:rsidRPr="00CC1AA2">
        <w:lastRenderedPageBreak/>
        <w:t>Strategic Context</w:t>
      </w:r>
      <w:bookmarkEnd w:id="4"/>
    </w:p>
    <w:p w14:paraId="7DD21AB5" w14:textId="77777777" w:rsidR="009F71AD" w:rsidRPr="00CC1AA2" w:rsidRDefault="009F71AD" w:rsidP="00C054CC">
      <w:r w:rsidRPr="00CC1AA2">
        <w:t xml:space="preserve">This is the first annual work program to the delivered under the 2021–25 CSV Strategic Plan. The annual work program provides a one-year view of the projects, initiatives and performance targets to be delivered under the strategic </w:t>
      </w:r>
      <w:proofErr w:type="gramStart"/>
      <w:r w:rsidRPr="00CC1AA2">
        <w:t>plan, and</w:t>
      </w:r>
      <w:proofErr w:type="gramEnd"/>
      <w:r w:rsidRPr="00CC1AA2">
        <w:t xml:space="preserve"> forms the basis for formal reporting to the CSV Board and to the public through CSV’s annual report. </w:t>
      </w:r>
    </w:p>
    <w:p w14:paraId="0057915D" w14:textId="77777777" w:rsidR="009F71AD" w:rsidRPr="00CC1AA2" w:rsidRDefault="009F71AD" w:rsidP="00C054CC">
      <w:pPr>
        <w:pStyle w:val="Heading2"/>
      </w:pPr>
      <w:bookmarkStart w:id="5" w:name="_Toc88132875"/>
      <w:r w:rsidRPr="00CC1AA2">
        <w:t>Strategic Plan</w:t>
      </w:r>
      <w:bookmarkEnd w:id="5"/>
    </w:p>
    <w:p w14:paraId="3A70452C" w14:textId="77777777" w:rsidR="009F71AD" w:rsidRPr="001703CF" w:rsidRDefault="009F71AD" w:rsidP="00C054CC">
      <w:r w:rsidRPr="001703CF">
        <w:t>The structure of the strategic plan reflects the Victorian Government Outcomes Framework. The diagram below outlines the elements of the strategic plan and their purpose.</w:t>
      </w:r>
    </w:p>
    <w:p w14:paraId="1637A6F1" w14:textId="77777777" w:rsidR="00CC1AA2" w:rsidRDefault="00CC1AA2" w:rsidP="00C054CC">
      <w:r>
        <w:rPr>
          <w:noProof/>
        </w:rPr>
        <w:drawing>
          <wp:inline distT="0" distB="0" distL="0" distR="0" wp14:anchorId="208230FD" wp14:editId="26737344">
            <wp:extent cx="6858000" cy="5216525"/>
            <wp:effectExtent l="0" t="0" r="0" b="3175"/>
            <wp:docPr id="1" name="Picture 1" descr="Diagram illustrating the elements of the strategic plan and their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llustrating the elements of the strategic plan and their purpose."/>
                    <pic:cNvPicPr/>
                  </pic:nvPicPr>
                  <pic:blipFill>
                    <a:blip r:embed="rId8">
                      <a:extLst>
                        <a:ext uri="{28A0092B-C50C-407E-A947-70E740481C1C}">
                          <a14:useLocalDpi xmlns:a14="http://schemas.microsoft.com/office/drawing/2010/main" val="0"/>
                        </a:ext>
                      </a:extLst>
                    </a:blip>
                    <a:stretch>
                      <a:fillRect/>
                    </a:stretch>
                  </pic:blipFill>
                  <pic:spPr>
                    <a:xfrm>
                      <a:off x="0" y="0"/>
                      <a:ext cx="6858000" cy="5216525"/>
                    </a:xfrm>
                    <a:prstGeom prst="rect">
                      <a:avLst/>
                    </a:prstGeom>
                  </pic:spPr>
                </pic:pic>
              </a:graphicData>
            </a:graphic>
          </wp:inline>
        </w:drawing>
      </w:r>
    </w:p>
    <w:p w14:paraId="1E55AE13" w14:textId="729D439C" w:rsidR="009F71AD" w:rsidRPr="001703CF" w:rsidRDefault="009F71AD" w:rsidP="00C054CC">
      <w:r w:rsidRPr="001703CF">
        <w:t>A high-level overview of the strategic plan is provided below. Details of the indicators, measures, outputs and strategic initiatives that sit beneath each outcome are presented in the following sections.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High-level overview of the strategic plan"/>
        <w:tblDescription w:val="Table illustrating a high-level overview of the strategic plan. "/>
      </w:tblPr>
      <w:tblGrid>
        <w:gridCol w:w="2337"/>
        <w:gridCol w:w="2818"/>
        <w:gridCol w:w="2818"/>
        <w:gridCol w:w="2817"/>
      </w:tblGrid>
      <w:tr w:rsidR="009F71AD" w:rsidRPr="009F71AD" w14:paraId="3C629CFD" w14:textId="77777777" w:rsidTr="00C054CC">
        <w:trPr>
          <w:trHeight w:val="1287"/>
        </w:trPr>
        <w:tc>
          <w:tcPr>
            <w:tcW w:w="1967" w:type="dxa"/>
            <w:tcMar>
              <w:top w:w="170" w:type="dxa"/>
              <w:left w:w="170" w:type="dxa"/>
              <w:bottom w:w="170" w:type="dxa"/>
              <w:right w:w="170" w:type="dxa"/>
            </w:tcMar>
          </w:tcPr>
          <w:p w14:paraId="7000C4FB" w14:textId="77777777" w:rsidR="009F71AD" w:rsidRPr="009F71AD" w:rsidRDefault="009F71AD" w:rsidP="00C054CC">
            <w:pPr>
              <w:rPr>
                <w:color w:val="000000"/>
                <w:sz w:val="20"/>
                <w:szCs w:val="20"/>
                <w:lang w:val="en-US"/>
              </w:rPr>
            </w:pPr>
            <w:r w:rsidRPr="009F71AD">
              <w:rPr>
                <w:lang w:val="en-US"/>
              </w:rPr>
              <w:lastRenderedPageBreak/>
              <w:t>Vision</w:t>
            </w:r>
          </w:p>
        </w:tc>
        <w:tc>
          <w:tcPr>
            <w:tcW w:w="7115" w:type="dxa"/>
            <w:gridSpan w:val="3"/>
            <w:tcMar>
              <w:top w:w="227" w:type="dxa"/>
              <w:left w:w="283" w:type="dxa"/>
              <w:bottom w:w="227" w:type="dxa"/>
              <w:right w:w="170" w:type="dxa"/>
            </w:tcMar>
          </w:tcPr>
          <w:p w14:paraId="6891CC97" w14:textId="77777777" w:rsidR="009F71AD" w:rsidRPr="009F71AD" w:rsidRDefault="009F71AD" w:rsidP="00C054CC">
            <w:pPr>
              <w:rPr>
                <w:lang w:val="en-US"/>
              </w:rPr>
            </w:pPr>
            <w:r w:rsidRPr="009F71AD">
              <w:rPr>
                <w:lang w:val="en-US"/>
              </w:rPr>
              <w:t>Making the community safer by reducing combustible cladding risk</w:t>
            </w:r>
          </w:p>
        </w:tc>
      </w:tr>
      <w:tr w:rsidR="009F71AD" w:rsidRPr="009F71AD" w14:paraId="2B958E1C" w14:textId="77777777" w:rsidTr="00C054CC">
        <w:trPr>
          <w:trHeight w:val="1287"/>
        </w:trPr>
        <w:tc>
          <w:tcPr>
            <w:tcW w:w="1967" w:type="dxa"/>
            <w:tcMar>
              <w:top w:w="170" w:type="dxa"/>
              <w:left w:w="170" w:type="dxa"/>
              <w:bottom w:w="170" w:type="dxa"/>
              <w:right w:w="170" w:type="dxa"/>
            </w:tcMar>
          </w:tcPr>
          <w:p w14:paraId="2E2D7179" w14:textId="77777777" w:rsidR="009F71AD" w:rsidRPr="009F71AD" w:rsidRDefault="009F71AD" w:rsidP="00C054CC">
            <w:pPr>
              <w:rPr>
                <w:color w:val="000000"/>
                <w:sz w:val="20"/>
                <w:szCs w:val="20"/>
                <w:lang w:val="en-US"/>
              </w:rPr>
            </w:pPr>
            <w:r w:rsidRPr="009F71AD">
              <w:rPr>
                <w:lang w:val="en-US"/>
              </w:rPr>
              <w:t>Mission</w:t>
            </w:r>
          </w:p>
        </w:tc>
        <w:tc>
          <w:tcPr>
            <w:tcW w:w="7115" w:type="dxa"/>
            <w:gridSpan w:val="3"/>
            <w:tcMar>
              <w:top w:w="227" w:type="dxa"/>
              <w:left w:w="283" w:type="dxa"/>
              <w:bottom w:w="227" w:type="dxa"/>
              <w:right w:w="170" w:type="dxa"/>
            </w:tcMar>
          </w:tcPr>
          <w:p w14:paraId="20670773" w14:textId="77777777" w:rsidR="009F71AD" w:rsidRPr="009F71AD" w:rsidRDefault="009F71AD" w:rsidP="00C054CC">
            <w:pPr>
              <w:rPr>
                <w:lang w:val="en-US"/>
              </w:rPr>
            </w:pPr>
            <w:r w:rsidRPr="009F71AD">
              <w:rPr>
                <w:lang w:val="en-US"/>
              </w:rPr>
              <w:t>We will improve the safety of buildings impacted by cladding issues by working in partnership with industry and the community</w:t>
            </w:r>
          </w:p>
        </w:tc>
      </w:tr>
      <w:tr w:rsidR="009F71AD" w:rsidRPr="009F71AD" w14:paraId="078F2164" w14:textId="77777777" w:rsidTr="00C054CC">
        <w:trPr>
          <w:trHeight w:val="1287"/>
        </w:trPr>
        <w:tc>
          <w:tcPr>
            <w:tcW w:w="1967" w:type="dxa"/>
            <w:tcMar>
              <w:top w:w="170" w:type="dxa"/>
              <w:left w:w="170" w:type="dxa"/>
              <w:bottom w:w="170" w:type="dxa"/>
              <w:right w:w="170" w:type="dxa"/>
            </w:tcMar>
          </w:tcPr>
          <w:p w14:paraId="23799F04" w14:textId="77777777" w:rsidR="009F71AD" w:rsidRPr="009F71AD" w:rsidRDefault="009F71AD" w:rsidP="00C054CC">
            <w:pPr>
              <w:rPr>
                <w:color w:val="000000"/>
                <w:sz w:val="20"/>
                <w:szCs w:val="20"/>
                <w:lang w:val="en-US"/>
              </w:rPr>
            </w:pPr>
            <w:r w:rsidRPr="009F71AD">
              <w:rPr>
                <w:lang w:val="en-US"/>
              </w:rPr>
              <w:t>Outcomes</w:t>
            </w:r>
          </w:p>
        </w:tc>
        <w:tc>
          <w:tcPr>
            <w:tcW w:w="2372" w:type="dxa"/>
            <w:tcMar>
              <w:top w:w="227" w:type="dxa"/>
              <w:left w:w="283" w:type="dxa"/>
              <w:bottom w:w="227" w:type="dxa"/>
              <w:right w:w="170" w:type="dxa"/>
            </w:tcMar>
          </w:tcPr>
          <w:p w14:paraId="0BD623F0" w14:textId="77777777" w:rsidR="009F71AD" w:rsidRPr="009F71AD" w:rsidRDefault="009F71AD" w:rsidP="00C054CC">
            <w:pPr>
              <w:rPr>
                <w:lang w:val="en-US"/>
              </w:rPr>
            </w:pPr>
            <w:r w:rsidRPr="009F71AD">
              <w:rPr>
                <w:lang w:val="en-US"/>
              </w:rPr>
              <w:t>CSV actions improve the safety of buildings within the scope of the program</w:t>
            </w:r>
          </w:p>
        </w:tc>
        <w:tc>
          <w:tcPr>
            <w:tcW w:w="2372" w:type="dxa"/>
            <w:tcMar>
              <w:top w:w="227" w:type="dxa"/>
              <w:left w:w="283" w:type="dxa"/>
              <w:bottom w:w="227" w:type="dxa"/>
              <w:right w:w="170" w:type="dxa"/>
            </w:tcMar>
          </w:tcPr>
          <w:p w14:paraId="312D6C9B" w14:textId="77777777" w:rsidR="009F71AD" w:rsidRPr="009F71AD" w:rsidRDefault="009F71AD" w:rsidP="00C054CC">
            <w:pPr>
              <w:rPr>
                <w:lang w:val="en-US"/>
              </w:rPr>
            </w:pPr>
            <w:proofErr w:type="gramStart"/>
            <w:r w:rsidRPr="009F71AD">
              <w:rPr>
                <w:lang w:val="en-US"/>
              </w:rPr>
              <w:t>Owners</w:t>
            </w:r>
            <w:proofErr w:type="gramEnd"/>
            <w:r w:rsidRPr="009F71AD">
              <w:rPr>
                <w:lang w:val="en-US"/>
              </w:rPr>
              <w:t xml:space="preserve"> corporations participating in the rectification program, as well as the wider Victorian community, are well-informed about cladding risk</w:t>
            </w:r>
          </w:p>
        </w:tc>
        <w:tc>
          <w:tcPr>
            <w:tcW w:w="2371" w:type="dxa"/>
            <w:tcMar>
              <w:top w:w="227" w:type="dxa"/>
              <w:left w:w="283" w:type="dxa"/>
              <w:bottom w:w="227" w:type="dxa"/>
              <w:right w:w="170" w:type="dxa"/>
            </w:tcMar>
          </w:tcPr>
          <w:p w14:paraId="36AC358D" w14:textId="77777777" w:rsidR="009F71AD" w:rsidRPr="009F71AD" w:rsidRDefault="009F71AD" w:rsidP="00C054CC">
            <w:pPr>
              <w:rPr>
                <w:lang w:val="en-US"/>
              </w:rPr>
            </w:pPr>
            <w:r w:rsidRPr="009F71AD">
              <w:rPr>
                <w:lang w:val="en-US"/>
              </w:rPr>
              <w:t xml:space="preserve">Robust financial and resource management </w:t>
            </w:r>
            <w:proofErr w:type="spellStart"/>
            <w:r w:rsidRPr="009F71AD">
              <w:rPr>
                <w:lang w:val="en-US"/>
              </w:rPr>
              <w:t>optimises</w:t>
            </w:r>
            <w:proofErr w:type="spellEnd"/>
            <w:r w:rsidRPr="009F71AD">
              <w:rPr>
                <w:lang w:val="en-US"/>
              </w:rPr>
              <w:t xml:space="preserve"> the value of CSV’s delivery outcomes</w:t>
            </w:r>
          </w:p>
        </w:tc>
      </w:tr>
      <w:tr w:rsidR="009F71AD" w:rsidRPr="009F71AD" w14:paraId="0DF65FBB" w14:textId="77777777" w:rsidTr="00C054CC">
        <w:trPr>
          <w:trHeight w:val="1287"/>
        </w:trPr>
        <w:tc>
          <w:tcPr>
            <w:tcW w:w="1967" w:type="dxa"/>
            <w:tcMar>
              <w:top w:w="227" w:type="dxa"/>
              <w:left w:w="170" w:type="dxa"/>
              <w:bottom w:w="227" w:type="dxa"/>
              <w:right w:w="170" w:type="dxa"/>
            </w:tcMar>
          </w:tcPr>
          <w:p w14:paraId="1900B187" w14:textId="77777777" w:rsidR="009F71AD" w:rsidRPr="009F71AD" w:rsidRDefault="009F71AD" w:rsidP="00C054CC">
            <w:pPr>
              <w:rPr>
                <w:color w:val="000000"/>
                <w:sz w:val="20"/>
                <w:szCs w:val="20"/>
                <w:lang w:val="en-US"/>
              </w:rPr>
            </w:pPr>
            <w:r w:rsidRPr="009F71AD">
              <w:rPr>
                <w:lang w:val="en-US"/>
              </w:rPr>
              <w:t>Enablers</w:t>
            </w:r>
          </w:p>
        </w:tc>
        <w:tc>
          <w:tcPr>
            <w:tcW w:w="7115" w:type="dxa"/>
            <w:gridSpan w:val="3"/>
            <w:tcMar>
              <w:top w:w="227" w:type="dxa"/>
              <w:left w:w="283" w:type="dxa"/>
              <w:bottom w:w="227" w:type="dxa"/>
              <w:right w:w="170" w:type="dxa"/>
            </w:tcMar>
          </w:tcPr>
          <w:p w14:paraId="4AA7445C" w14:textId="77777777" w:rsidR="009F71AD" w:rsidRPr="009F71AD" w:rsidRDefault="009F71AD" w:rsidP="00C054CC">
            <w:pPr>
              <w:rPr>
                <w:lang w:val="en-US"/>
              </w:rPr>
            </w:pPr>
            <w:r w:rsidRPr="009F71AD">
              <w:rPr>
                <w:lang w:val="en-US"/>
              </w:rPr>
              <w:t>CSV’s key supporting functions, including risk management, systems and record keeping, assurance, compliance and contract management, underpin successful delivery of the vision, mission and outcomes</w:t>
            </w:r>
          </w:p>
        </w:tc>
      </w:tr>
    </w:tbl>
    <w:p w14:paraId="23161F08" w14:textId="77777777" w:rsidR="009F71AD" w:rsidRPr="001703CF" w:rsidRDefault="009F71AD" w:rsidP="00071FD0">
      <w:pPr>
        <w:pStyle w:val="Heading1"/>
      </w:pPr>
      <w:bookmarkStart w:id="6" w:name="_Toc88132876"/>
      <w:r w:rsidRPr="001703CF">
        <w:t>Outcome 1: CSV actions improve the safety of buildings within the scope of the program</w:t>
      </w:r>
      <w:bookmarkEnd w:id="6"/>
    </w:p>
    <w:p w14:paraId="22B14748" w14:textId="77777777" w:rsidR="009F71AD" w:rsidRPr="00CC1AA2" w:rsidRDefault="009F71AD" w:rsidP="00C054CC">
      <w:r w:rsidRPr="00CC1AA2">
        <w:t xml:space="preserve">The focus of CSV’s rectification program is to efficiently reduce the risks associated with combustible cladding on government and residential properties, thereby protecting occupants and building assets from the serious impacts of fire that can spread through building cladding. </w:t>
      </w:r>
    </w:p>
    <w:p w14:paraId="060852AD" w14:textId="77777777" w:rsidR="009F71AD" w:rsidRPr="00CC1AA2" w:rsidRDefault="009F71AD" w:rsidP="00C054CC">
      <w:r w:rsidRPr="00CC1AA2">
        <w:t xml:space="preserve">CSV works intensively with government departments and </w:t>
      </w:r>
      <w:proofErr w:type="gramStart"/>
      <w:r w:rsidRPr="00CC1AA2">
        <w:t>owners</w:t>
      </w:r>
      <w:proofErr w:type="gramEnd"/>
      <w:r w:rsidRPr="00CC1AA2">
        <w:t xml:space="preserve"> corporations to develop high-quality and cost-effective solutions that effectively address cladding risk and to ensure these are implemented to the highest safety standards.</w:t>
      </w:r>
    </w:p>
    <w:p w14:paraId="08586F33" w14:textId="77777777" w:rsidR="009F71AD" w:rsidRPr="001703CF" w:rsidRDefault="009F71AD" w:rsidP="00C054CC">
      <w:pPr>
        <w:pStyle w:val="Heading2"/>
      </w:pPr>
      <w:bookmarkStart w:id="7" w:name="_Toc88132877"/>
      <w:r w:rsidRPr="001703CF">
        <w:t>Outcome Indicator and Measure</w:t>
      </w:r>
      <w:bookmarkEnd w:id="7"/>
    </w:p>
    <w:p w14:paraId="43AE9B6B" w14:textId="77777777" w:rsidR="009F71AD" w:rsidRPr="001703CF" w:rsidRDefault="009F71AD" w:rsidP="00C054CC">
      <w:r w:rsidRPr="001703CF">
        <w:t>Our progress towards achieving this outcome will be measured through the following outcome indicator and measure.</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listing outcome indicator and outcome measure"/>
        <w:tblDescription w:val="Table outlining the outcome indicator and outcome measure across the four quarters of the year in both the government program and residential program."/>
      </w:tblPr>
      <w:tblGrid>
        <w:gridCol w:w="2917"/>
        <w:gridCol w:w="1968"/>
        <w:gridCol w:w="1968"/>
        <w:gridCol w:w="1969"/>
        <w:gridCol w:w="1968"/>
      </w:tblGrid>
      <w:tr w:rsidR="009F71AD" w:rsidRPr="001703CF" w14:paraId="6E013071" w14:textId="77777777" w:rsidTr="00C054CC">
        <w:trPr>
          <w:trHeight w:val="60"/>
        </w:trPr>
        <w:tc>
          <w:tcPr>
            <w:tcW w:w="2529" w:type="dxa"/>
            <w:shd w:val="solid" w:color="FEB403" w:fill="auto"/>
            <w:tcMar>
              <w:top w:w="170" w:type="dxa"/>
              <w:left w:w="170" w:type="dxa"/>
              <w:bottom w:w="170" w:type="dxa"/>
              <w:right w:w="170" w:type="dxa"/>
            </w:tcMar>
          </w:tcPr>
          <w:p w14:paraId="1C8D31F0" w14:textId="77777777" w:rsidR="009F71AD" w:rsidRPr="001703CF" w:rsidRDefault="009F71AD" w:rsidP="00C054CC">
            <w:r w:rsidRPr="001703CF">
              <w:rPr>
                <w:rStyle w:val="Medium"/>
              </w:rPr>
              <w:t>Outcome Indicator</w:t>
            </w:r>
          </w:p>
        </w:tc>
        <w:tc>
          <w:tcPr>
            <w:tcW w:w="6825" w:type="dxa"/>
            <w:gridSpan w:val="4"/>
            <w:tcMar>
              <w:top w:w="170" w:type="dxa"/>
              <w:left w:w="170" w:type="dxa"/>
              <w:bottom w:w="170" w:type="dxa"/>
              <w:right w:w="170" w:type="dxa"/>
            </w:tcMar>
          </w:tcPr>
          <w:p w14:paraId="6FC18466" w14:textId="77777777" w:rsidR="009F71AD" w:rsidRPr="001703CF" w:rsidRDefault="009F71AD" w:rsidP="00C054CC">
            <w:r w:rsidRPr="001703CF">
              <w:t>Timely rectification of buildings prioritised on a risk basis</w:t>
            </w:r>
          </w:p>
        </w:tc>
      </w:tr>
      <w:tr w:rsidR="009F71AD" w:rsidRPr="001703CF" w14:paraId="557E4B16" w14:textId="77777777" w:rsidTr="00C054CC">
        <w:trPr>
          <w:trHeight w:val="542"/>
        </w:trPr>
        <w:tc>
          <w:tcPr>
            <w:tcW w:w="2529" w:type="dxa"/>
            <w:shd w:val="solid" w:color="FEB403" w:fill="auto"/>
            <w:tcMar>
              <w:top w:w="170" w:type="dxa"/>
              <w:left w:w="170" w:type="dxa"/>
              <w:bottom w:w="170" w:type="dxa"/>
              <w:right w:w="170" w:type="dxa"/>
            </w:tcMar>
          </w:tcPr>
          <w:p w14:paraId="3EAC54C3" w14:textId="77777777" w:rsidR="009F71AD" w:rsidRPr="001703CF" w:rsidRDefault="009F71AD" w:rsidP="00C054CC">
            <w:r w:rsidRPr="001703CF">
              <w:rPr>
                <w:rStyle w:val="Medium"/>
              </w:rPr>
              <w:lastRenderedPageBreak/>
              <w:t>Outcome Measure</w:t>
            </w:r>
          </w:p>
        </w:tc>
        <w:tc>
          <w:tcPr>
            <w:tcW w:w="6825" w:type="dxa"/>
            <w:gridSpan w:val="4"/>
            <w:tcMar>
              <w:top w:w="170" w:type="dxa"/>
              <w:left w:w="170" w:type="dxa"/>
              <w:bottom w:w="170" w:type="dxa"/>
              <w:right w:w="170" w:type="dxa"/>
            </w:tcMar>
          </w:tcPr>
          <w:p w14:paraId="743CA476" w14:textId="77777777" w:rsidR="009F71AD" w:rsidRPr="001703CF" w:rsidRDefault="009F71AD" w:rsidP="00C054CC">
            <w:r w:rsidRPr="001703CF">
              <w:t>Percentage of buildings within the program that reach practical completion within agreed timeframes</w:t>
            </w:r>
          </w:p>
        </w:tc>
      </w:tr>
      <w:tr w:rsidR="009F71AD" w:rsidRPr="001703CF" w14:paraId="4E792258" w14:textId="77777777" w:rsidTr="00C054CC">
        <w:trPr>
          <w:trHeight w:val="60"/>
        </w:trPr>
        <w:tc>
          <w:tcPr>
            <w:tcW w:w="2529" w:type="dxa"/>
            <w:shd w:val="solid" w:color="FEB403" w:fill="auto"/>
            <w:tcMar>
              <w:top w:w="170" w:type="dxa"/>
              <w:left w:w="170" w:type="dxa"/>
              <w:bottom w:w="170" w:type="dxa"/>
              <w:right w:w="170" w:type="dxa"/>
            </w:tcMar>
          </w:tcPr>
          <w:p w14:paraId="69136D85" w14:textId="77777777" w:rsidR="009F71AD" w:rsidRPr="001703CF" w:rsidRDefault="009F71AD" w:rsidP="00C054CC">
            <w:r w:rsidRPr="001703CF">
              <w:rPr>
                <w:rStyle w:val="Medium"/>
              </w:rPr>
              <w:t>2021–22 Target</w:t>
            </w:r>
          </w:p>
        </w:tc>
        <w:tc>
          <w:tcPr>
            <w:tcW w:w="1706" w:type="dxa"/>
            <w:tcMar>
              <w:top w:w="170" w:type="dxa"/>
              <w:left w:w="170" w:type="dxa"/>
              <w:bottom w:w="170" w:type="dxa"/>
              <w:right w:w="170" w:type="dxa"/>
            </w:tcMar>
          </w:tcPr>
          <w:p w14:paraId="295D820D" w14:textId="77777777" w:rsidR="009F71AD" w:rsidRPr="001703CF" w:rsidRDefault="009F71AD" w:rsidP="00C054CC">
            <w:r w:rsidRPr="001703CF">
              <w:rPr>
                <w:rStyle w:val="Semibold"/>
              </w:rPr>
              <w:t>Quarter 1</w:t>
            </w:r>
          </w:p>
        </w:tc>
        <w:tc>
          <w:tcPr>
            <w:tcW w:w="1706" w:type="dxa"/>
            <w:tcMar>
              <w:top w:w="170" w:type="dxa"/>
              <w:left w:w="170" w:type="dxa"/>
              <w:bottom w:w="170" w:type="dxa"/>
              <w:right w:w="170" w:type="dxa"/>
            </w:tcMar>
          </w:tcPr>
          <w:p w14:paraId="0352F46F" w14:textId="77777777" w:rsidR="009F71AD" w:rsidRPr="001703CF" w:rsidRDefault="009F71AD" w:rsidP="00C054CC">
            <w:r w:rsidRPr="001703CF">
              <w:rPr>
                <w:rStyle w:val="Semibold"/>
              </w:rPr>
              <w:t>Quarter 2</w:t>
            </w:r>
          </w:p>
        </w:tc>
        <w:tc>
          <w:tcPr>
            <w:tcW w:w="1707" w:type="dxa"/>
            <w:tcMar>
              <w:top w:w="170" w:type="dxa"/>
              <w:left w:w="170" w:type="dxa"/>
              <w:bottom w:w="170" w:type="dxa"/>
              <w:right w:w="170" w:type="dxa"/>
            </w:tcMar>
          </w:tcPr>
          <w:p w14:paraId="2077F349" w14:textId="77777777" w:rsidR="009F71AD" w:rsidRPr="001703CF" w:rsidRDefault="009F71AD" w:rsidP="00C054CC">
            <w:r w:rsidRPr="001703CF">
              <w:rPr>
                <w:rStyle w:val="Semibold"/>
              </w:rPr>
              <w:t>Quarter 3</w:t>
            </w:r>
          </w:p>
        </w:tc>
        <w:tc>
          <w:tcPr>
            <w:tcW w:w="1706" w:type="dxa"/>
            <w:tcMar>
              <w:top w:w="170" w:type="dxa"/>
              <w:left w:w="170" w:type="dxa"/>
              <w:bottom w:w="170" w:type="dxa"/>
              <w:right w:w="170" w:type="dxa"/>
            </w:tcMar>
          </w:tcPr>
          <w:p w14:paraId="34BCEA66" w14:textId="77777777" w:rsidR="009F71AD" w:rsidRPr="001703CF" w:rsidRDefault="009F71AD" w:rsidP="00C054CC">
            <w:r w:rsidRPr="001703CF">
              <w:rPr>
                <w:rStyle w:val="Semibold"/>
              </w:rPr>
              <w:t>Quarter 4</w:t>
            </w:r>
          </w:p>
        </w:tc>
      </w:tr>
      <w:tr w:rsidR="009F71AD" w:rsidRPr="001703CF" w14:paraId="11D92D5C" w14:textId="77777777" w:rsidTr="00C054CC">
        <w:trPr>
          <w:trHeight w:val="540"/>
        </w:trPr>
        <w:tc>
          <w:tcPr>
            <w:tcW w:w="2529" w:type="dxa"/>
            <w:shd w:val="solid" w:color="FEB403" w:fill="auto"/>
            <w:tcMar>
              <w:top w:w="170" w:type="dxa"/>
              <w:left w:w="170" w:type="dxa"/>
              <w:bottom w:w="170" w:type="dxa"/>
              <w:right w:w="170" w:type="dxa"/>
            </w:tcMar>
          </w:tcPr>
          <w:p w14:paraId="18277B43" w14:textId="77777777" w:rsidR="009F71AD" w:rsidRPr="001703CF" w:rsidRDefault="009F71AD" w:rsidP="00C054CC">
            <w:r w:rsidRPr="001703CF">
              <w:rPr>
                <w:rStyle w:val="Medium"/>
              </w:rPr>
              <w:t>Government Program</w:t>
            </w:r>
          </w:p>
        </w:tc>
        <w:tc>
          <w:tcPr>
            <w:tcW w:w="1706" w:type="dxa"/>
            <w:tcMar>
              <w:top w:w="170" w:type="dxa"/>
              <w:left w:w="170" w:type="dxa"/>
              <w:bottom w:w="170" w:type="dxa"/>
              <w:right w:w="170" w:type="dxa"/>
            </w:tcMar>
          </w:tcPr>
          <w:p w14:paraId="3DB08564" w14:textId="77777777" w:rsidR="009F71AD" w:rsidRPr="001703CF" w:rsidRDefault="009F71AD" w:rsidP="00C054CC">
            <w:r w:rsidRPr="001703CF">
              <w:rPr>
                <w:rStyle w:val="Semibold"/>
                <w:b w:val="0"/>
                <w:bCs w:val="0"/>
              </w:rPr>
              <w:t>≥80%</w:t>
            </w:r>
          </w:p>
        </w:tc>
        <w:tc>
          <w:tcPr>
            <w:tcW w:w="1706" w:type="dxa"/>
            <w:tcMar>
              <w:top w:w="170" w:type="dxa"/>
              <w:left w:w="170" w:type="dxa"/>
              <w:bottom w:w="170" w:type="dxa"/>
              <w:right w:w="170" w:type="dxa"/>
            </w:tcMar>
          </w:tcPr>
          <w:p w14:paraId="37FA352E" w14:textId="77777777" w:rsidR="009F71AD" w:rsidRPr="001703CF" w:rsidRDefault="009F71AD" w:rsidP="00C054CC">
            <w:r w:rsidRPr="001703CF">
              <w:rPr>
                <w:rStyle w:val="Semibold"/>
                <w:b w:val="0"/>
                <w:bCs w:val="0"/>
              </w:rPr>
              <w:t>≥90%</w:t>
            </w:r>
          </w:p>
        </w:tc>
        <w:tc>
          <w:tcPr>
            <w:tcW w:w="1707" w:type="dxa"/>
            <w:tcMar>
              <w:top w:w="170" w:type="dxa"/>
              <w:left w:w="170" w:type="dxa"/>
              <w:bottom w:w="170" w:type="dxa"/>
              <w:right w:w="170" w:type="dxa"/>
            </w:tcMar>
          </w:tcPr>
          <w:p w14:paraId="14D6F61D" w14:textId="77777777" w:rsidR="009F71AD" w:rsidRPr="001703CF" w:rsidRDefault="009F71AD" w:rsidP="00C054CC">
            <w:r w:rsidRPr="001703CF">
              <w:rPr>
                <w:rStyle w:val="Semibold"/>
                <w:b w:val="0"/>
                <w:bCs w:val="0"/>
              </w:rPr>
              <w:t>100%</w:t>
            </w:r>
          </w:p>
        </w:tc>
        <w:tc>
          <w:tcPr>
            <w:tcW w:w="1706" w:type="dxa"/>
            <w:tcMar>
              <w:top w:w="170" w:type="dxa"/>
              <w:left w:w="170" w:type="dxa"/>
              <w:bottom w:w="170" w:type="dxa"/>
              <w:right w:w="170" w:type="dxa"/>
            </w:tcMar>
          </w:tcPr>
          <w:p w14:paraId="15AC6631" w14:textId="77777777" w:rsidR="009F71AD" w:rsidRPr="001703CF" w:rsidRDefault="009F71AD" w:rsidP="00C054CC">
            <w:r w:rsidRPr="001703CF">
              <w:rPr>
                <w:rStyle w:val="Semibold"/>
                <w:b w:val="0"/>
                <w:bCs w:val="0"/>
              </w:rPr>
              <w:t>100%</w:t>
            </w:r>
          </w:p>
        </w:tc>
      </w:tr>
      <w:tr w:rsidR="009F71AD" w:rsidRPr="001703CF" w14:paraId="5E2C59B9" w14:textId="77777777" w:rsidTr="00C054CC">
        <w:trPr>
          <w:trHeight w:val="60"/>
        </w:trPr>
        <w:tc>
          <w:tcPr>
            <w:tcW w:w="2529" w:type="dxa"/>
            <w:shd w:val="solid" w:color="FEB403" w:fill="auto"/>
            <w:tcMar>
              <w:top w:w="170" w:type="dxa"/>
              <w:left w:w="170" w:type="dxa"/>
              <w:bottom w:w="170" w:type="dxa"/>
              <w:right w:w="170" w:type="dxa"/>
            </w:tcMar>
          </w:tcPr>
          <w:p w14:paraId="53ADE7CE" w14:textId="77777777" w:rsidR="009F71AD" w:rsidRPr="001703CF" w:rsidRDefault="009F71AD" w:rsidP="00C054CC">
            <w:r w:rsidRPr="001703CF">
              <w:rPr>
                <w:rStyle w:val="Medium"/>
              </w:rPr>
              <w:t>Residential Program</w:t>
            </w:r>
          </w:p>
        </w:tc>
        <w:tc>
          <w:tcPr>
            <w:tcW w:w="1706" w:type="dxa"/>
            <w:tcMar>
              <w:top w:w="170" w:type="dxa"/>
              <w:left w:w="170" w:type="dxa"/>
              <w:bottom w:w="170" w:type="dxa"/>
              <w:right w:w="170" w:type="dxa"/>
            </w:tcMar>
          </w:tcPr>
          <w:p w14:paraId="51A2AB51" w14:textId="77777777" w:rsidR="009F71AD" w:rsidRPr="001703CF" w:rsidRDefault="009F71AD" w:rsidP="00C054CC">
            <w:r w:rsidRPr="001703CF">
              <w:rPr>
                <w:rStyle w:val="Semibold"/>
                <w:b w:val="0"/>
                <w:bCs w:val="0"/>
              </w:rPr>
              <w:t xml:space="preserve">≥95% </w:t>
            </w:r>
          </w:p>
        </w:tc>
        <w:tc>
          <w:tcPr>
            <w:tcW w:w="1706" w:type="dxa"/>
            <w:tcMar>
              <w:top w:w="170" w:type="dxa"/>
              <w:left w:w="170" w:type="dxa"/>
              <w:bottom w:w="170" w:type="dxa"/>
              <w:right w:w="170" w:type="dxa"/>
            </w:tcMar>
          </w:tcPr>
          <w:p w14:paraId="68932853" w14:textId="77777777" w:rsidR="009F71AD" w:rsidRPr="001703CF" w:rsidRDefault="009F71AD" w:rsidP="00C054CC">
            <w:r w:rsidRPr="001703CF">
              <w:rPr>
                <w:rStyle w:val="Semibold"/>
                <w:b w:val="0"/>
                <w:bCs w:val="0"/>
              </w:rPr>
              <w:t>≥95%</w:t>
            </w:r>
          </w:p>
        </w:tc>
        <w:tc>
          <w:tcPr>
            <w:tcW w:w="1707" w:type="dxa"/>
            <w:tcMar>
              <w:top w:w="170" w:type="dxa"/>
              <w:left w:w="170" w:type="dxa"/>
              <w:bottom w:w="170" w:type="dxa"/>
              <w:right w:w="170" w:type="dxa"/>
            </w:tcMar>
          </w:tcPr>
          <w:p w14:paraId="707EF98D" w14:textId="77777777" w:rsidR="009F71AD" w:rsidRPr="001703CF" w:rsidRDefault="009F71AD" w:rsidP="00C054CC">
            <w:r w:rsidRPr="001703CF">
              <w:rPr>
                <w:rStyle w:val="Semibold"/>
                <w:b w:val="0"/>
                <w:bCs w:val="0"/>
              </w:rPr>
              <w:t>≥95%</w:t>
            </w:r>
          </w:p>
        </w:tc>
        <w:tc>
          <w:tcPr>
            <w:tcW w:w="1706" w:type="dxa"/>
            <w:tcMar>
              <w:top w:w="170" w:type="dxa"/>
              <w:left w:w="170" w:type="dxa"/>
              <w:bottom w:w="170" w:type="dxa"/>
              <w:right w:w="170" w:type="dxa"/>
            </w:tcMar>
          </w:tcPr>
          <w:p w14:paraId="52388AA9" w14:textId="77777777" w:rsidR="009F71AD" w:rsidRPr="001703CF" w:rsidRDefault="009F71AD" w:rsidP="00C054CC">
            <w:r w:rsidRPr="001703CF">
              <w:rPr>
                <w:rStyle w:val="Semibold"/>
                <w:b w:val="0"/>
                <w:bCs w:val="0"/>
              </w:rPr>
              <w:t>≥95%</w:t>
            </w:r>
          </w:p>
        </w:tc>
      </w:tr>
    </w:tbl>
    <w:p w14:paraId="1563F7AE" w14:textId="77777777" w:rsidR="009F71AD" w:rsidRPr="001703CF" w:rsidRDefault="009F71AD" w:rsidP="00C054CC">
      <w:pPr>
        <w:pStyle w:val="Heading2"/>
      </w:pPr>
      <w:bookmarkStart w:id="8" w:name="_Toc88132878"/>
      <w:r w:rsidRPr="001703CF">
        <w:t>Outputs</w:t>
      </w:r>
      <w:bookmarkEnd w:id="8"/>
    </w:p>
    <w:p w14:paraId="37218429" w14:textId="77777777" w:rsidR="009F71AD" w:rsidRPr="001703CF" w:rsidRDefault="009F71AD" w:rsidP="00C054CC">
      <w:pPr>
        <w:pStyle w:val="Heading3"/>
      </w:pPr>
      <w:bookmarkStart w:id="9" w:name="_Toc88132879"/>
      <w:r w:rsidRPr="001703CF">
        <w:t>Residential rectification program</w:t>
      </w:r>
      <w:bookmarkEnd w:id="9"/>
    </w:p>
    <w:p w14:paraId="1BD7EA58" w14:textId="77777777" w:rsidR="009F71AD" w:rsidRPr="001703CF" w:rsidRDefault="009F71AD" w:rsidP="00C054CC">
      <w:r w:rsidRPr="001703CF">
        <w:t xml:space="preserve">CSV works closely with </w:t>
      </w:r>
      <w:proofErr w:type="gramStart"/>
      <w:r w:rsidRPr="001703CF">
        <w:t>owners</w:t>
      </w:r>
      <w:proofErr w:type="gramEnd"/>
      <w:r w:rsidRPr="001703CF">
        <w:t xml:space="preserve"> corporations to deliver cladding rectification works for residential buildings, which are prioritised through a risk framework for inclusion in this program. CSV is working to commence rectification on 400 prioritised buildings by 30 June 2022, with additional buildings to be prioritised subject to the availability of</w:t>
      </w:r>
      <w:r w:rsidRPr="001703CF">
        <w:rPr>
          <w:rFonts w:ascii="Cambria" w:hAnsi="Cambria" w:cs="Cambria"/>
        </w:rPr>
        <w:t> </w:t>
      </w:r>
      <w:r w:rsidRPr="001703CF">
        <w:t>funding.</w:t>
      </w:r>
    </w:p>
    <w:p w14:paraId="4545F674" w14:textId="77777777" w:rsidR="009F71AD" w:rsidRPr="001703CF" w:rsidRDefault="009F71AD" w:rsidP="00C054CC">
      <w:r w:rsidRPr="001703CF">
        <w:t>CSV’s oversight of the program ensures that:</w:t>
      </w:r>
    </w:p>
    <w:p w14:paraId="280C9ABB" w14:textId="77777777" w:rsidR="009F71AD" w:rsidRPr="001703CF" w:rsidRDefault="009F71AD" w:rsidP="00C054CC">
      <w:pPr>
        <w:pStyle w:val="ListParagraph"/>
        <w:numPr>
          <w:ilvl w:val="0"/>
          <w:numId w:val="11"/>
        </w:numPr>
      </w:pPr>
      <w:r w:rsidRPr="001703CF">
        <w:t>project management processes protect the safety of staff, residents, contractors and the community</w:t>
      </w:r>
    </w:p>
    <w:p w14:paraId="0698C291" w14:textId="77777777" w:rsidR="009F71AD" w:rsidRPr="001703CF" w:rsidRDefault="009F71AD" w:rsidP="00C054CC">
      <w:pPr>
        <w:pStyle w:val="ListParagraph"/>
        <w:numPr>
          <w:ilvl w:val="0"/>
          <w:numId w:val="11"/>
        </w:numPr>
      </w:pPr>
      <w:r w:rsidRPr="001703CF">
        <w:t>rectification is achieved within agreed timeframes with minimal disruption to residents</w:t>
      </w:r>
    </w:p>
    <w:p w14:paraId="2D6CE4DB" w14:textId="77777777" w:rsidR="009F71AD" w:rsidRPr="001703CF" w:rsidRDefault="009F71AD" w:rsidP="00C054CC">
      <w:pPr>
        <w:pStyle w:val="ListParagraph"/>
        <w:numPr>
          <w:ilvl w:val="0"/>
          <w:numId w:val="11"/>
        </w:numPr>
      </w:pPr>
      <w:r w:rsidRPr="001703CF">
        <w:t>each project is delivered within the forecast budget</w:t>
      </w:r>
    </w:p>
    <w:p w14:paraId="45947788" w14:textId="77777777" w:rsidR="009F71AD" w:rsidRPr="001703CF" w:rsidRDefault="009F71AD" w:rsidP="00C054CC">
      <w:pPr>
        <w:pStyle w:val="ListParagraph"/>
        <w:numPr>
          <w:ilvl w:val="0"/>
          <w:numId w:val="11"/>
        </w:numPr>
      </w:pPr>
      <w:r w:rsidRPr="001703CF">
        <w:t>prioritisation is dynamic based on up-to-date knowledge of risks, construction costs, funding and the overall building portfolio</w:t>
      </w:r>
    </w:p>
    <w:p w14:paraId="6BBA6B4E" w14:textId="77777777" w:rsidR="009F71AD" w:rsidRPr="001703CF" w:rsidRDefault="009F71AD" w:rsidP="00C054CC">
      <w:pPr>
        <w:pStyle w:val="ListParagraph"/>
        <w:numPr>
          <w:ilvl w:val="0"/>
          <w:numId w:val="11"/>
        </w:numPr>
      </w:pPr>
      <w:r w:rsidRPr="001703CF">
        <w:t>projects are delivered to high quality standards that ensure the mitigation of cladding risk to an acceptable level</w:t>
      </w:r>
    </w:p>
    <w:p w14:paraId="69B37370" w14:textId="77777777" w:rsidR="009F71AD" w:rsidRPr="001703CF" w:rsidRDefault="009F71AD" w:rsidP="00C054CC">
      <w:pPr>
        <w:pStyle w:val="ListParagraph"/>
        <w:numPr>
          <w:ilvl w:val="0"/>
          <w:numId w:val="11"/>
        </w:numPr>
      </w:pPr>
      <w:r w:rsidRPr="001703CF">
        <w:t xml:space="preserve">value-for-money outcomes maximise the impact of the state’s investment.  </w:t>
      </w:r>
    </w:p>
    <w:p w14:paraId="2460834E" w14:textId="77777777" w:rsidR="009F71AD" w:rsidRPr="001703CF" w:rsidRDefault="009F71AD" w:rsidP="00C054CC">
      <w:r w:rsidRPr="001703CF">
        <w:t xml:space="preserve">CSV also works collaboratively with the Victorian Building Authority and other practitioners to develop joint processes and appropriate information sharing that support efficient delivery of the program and a seamless experience for participating </w:t>
      </w:r>
      <w:proofErr w:type="gramStart"/>
      <w:r w:rsidRPr="001703CF">
        <w:t>owners</w:t>
      </w:r>
      <w:proofErr w:type="gramEnd"/>
      <w:r w:rsidRPr="001703CF">
        <w:t xml:space="preserve"> corporations. </w:t>
      </w:r>
    </w:p>
    <w:p w14:paraId="259A053B" w14:textId="77777777" w:rsidR="009F71AD" w:rsidRPr="00CC1AA2" w:rsidRDefault="009F71AD" w:rsidP="00C054CC">
      <w:pPr>
        <w:pStyle w:val="Heading4"/>
      </w:pPr>
      <w:r w:rsidRPr="00CC1AA2">
        <w:t>What will we deliver in 2021–22?</w:t>
      </w:r>
    </w:p>
    <w:p w14:paraId="20C75D43" w14:textId="77777777" w:rsidR="009F71AD" w:rsidRPr="001703CF" w:rsidRDefault="009F71AD" w:rsidP="00C054CC">
      <w:r w:rsidRPr="001703CF">
        <w:t>Solutions to address combustible cladding risk for 200 buildings will be underway and improved safety for the occupants of more than 10,000 sole-occupancy units will be achieved. In total, 150 buildings within the current scope of the overall program are forecast to reach practical completion by the end of the financial year. CSV will also focus on further embedding quality assurance processes that are delivered through the assignment of dedicated clerks of works to each rectification project.</w:t>
      </w:r>
    </w:p>
    <w:p w14:paraId="1B5188FE" w14:textId="77777777" w:rsidR="009F71AD" w:rsidRPr="001703CF" w:rsidRDefault="009F71AD" w:rsidP="00C054CC">
      <w:pPr>
        <w:pStyle w:val="Heading3"/>
      </w:pPr>
      <w:bookmarkStart w:id="10" w:name="_Toc88132880"/>
      <w:r w:rsidRPr="001703CF">
        <w:t>Government rectification program</w:t>
      </w:r>
      <w:bookmarkEnd w:id="10"/>
    </w:p>
    <w:p w14:paraId="22012DD9" w14:textId="77777777" w:rsidR="009F71AD" w:rsidRPr="001703CF" w:rsidRDefault="009F71AD" w:rsidP="00C054CC">
      <w:r w:rsidRPr="001703CF">
        <w:t xml:space="preserve">Under this program, CSV works with departments that own and manage properties with combustible cladding to support them in delivering rectification works. The program is expected to be delivered 12 months ahead of schedule, despite the inclusion of an additional 16 buildings into the program. The rectification of 112 buildings </w:t>
      </w:r>
      <w:r w:rsidRPr="001703CF">
        <w:lastRenderedPageBreak/>
        <w:t>in total will meet the government’s objective to reduce the fire safety risk for community users of these buildings and is expected to be delivered within</w:t>
      </w:r>
      <w:r w:rsidRPr="001703CF">
        <w:rPr>
          <w:rFonts w:ascii="Cambria" w:hAnsi="Cambria" w:cs="Cambria"/>
        </w:rPr>
        <w:t> </w:t>
      </w:r>
      <w:r w:rsidRPr="001703CF">
        <w:t xml:space="preserve">budget. </w:t>
      </w:r>
    </w:p>
    <w:p w14:paraId="2248B2CE" w14:textId="77777777" w:rsidR="009F71AD" w:rsidRPr="001703CF" w:rsidRDefault="009F71AD" w:rsidP="00C054CC">
      <w:pPr>
        <w:pStyle w:val="Heading4"/>
      </w:pPr>
      <w:r w:rsidRPr="001703CF">
        <w:t>What will we deliver in 2021–22?</w:t>
      </w:r>
    </w:p>
    <w:p w14:paraId="5A003B90" w14:textId="77777777" w:rsidR="009F71AD" w:rsidRPr="001703CF" w:rsidRDefault="009F71AD" w:rsidP="00C054CC">
      <w:pPr>
        <w:rPr>
          <w:b/>
          <w:bCs/>
          <w:spacing w:val="-3"/>
          <w:sz w:val="28"/>
          <w:szCs w:val="28"/>
        </w:rPr>
      </w:pPr>
      <w:r w:rsidRPr="001703CF">
        <w:t xml:space="preserve">It is forecast that the cladding rectification program for government buildings will largely be completed in 2021–22, </w:t>
      </w:r>
      <w:proofErr w:type="gramStart"/>
      <w:r w:rsidRPr="001703CF">
        <w:t>with the exception of</w:t>
      </w:r>
      <w:proofErr w:type="gramEnd"/>
      <w:r w:rsidRPr="001703CF">
        <w:t xml:space="preserve"> a few larger hospitals. The focus of the program in 2021–22 will be the completion of rectification works on sports stadiums, TAFE buildings, public </w:t>
      </w:r>
      <w:proofErr w:type="gramStart"/>
      <w:r w:rsidRPr="001703CF">
        <w:t>buildings</w:t>
      </w:r>
      <w:proofErr w:type="gramEnd"/>
      <w:r w:rsidRPr="001703CF">
        <w:t xml:space="preserve"> and the majority of hospitals. </w:t>
      </w:r>
    </w:p>
    <w:p w14:paraId="55F9DC07" w14:textId="77777777" w:rsidR="009F71AD" w:rsidRPr="001703CF" w:rsidRDefault="009F71AD" w:rsidP="00C054CC">
      <w:pPr>
        <w:pStyle w:val="Heading2"/>
      </w:pPr>
      <w:bookmarkStart w:id="11" w:name="_Toc88132881"/>
      <w:r w:rsidRPr="001703CF">
        <w:t>Output Measures</w:t>
      </w:r>
      <w:bookmarkEnd w:id="11"/>
    </w:p>
    <w:p w14:paraId="6D7AD4C7" w14:textId="77777777" w:rsidR="009F71AD" w:rsidRPr="001703CF" w:rsidRDefault="009F71AD" w:rsidP="00C054CC">
      <w:r w:rsidRPr="001703CF">
        <w:t>The effectiveness of our delivery will be monitored through the following measures.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listing output measures"/>
        <w:tblDescription w:val="Table outlining output measures across the four quarters of the year."/>
      </w:tblPr>
      <w:tblGrid>
        <w:gridCol w:w="4918"/>
        <w:gridCol w:w="1468"/>
        <w:gridCol w:w="1468"/>
        <w:gridCol w:w="1468"/>
        <w:gridCol w:w="1468"/>
      </w:tblGrid>
      <w:tr w:rsidR="009F71AD" w:rsidRPr="001703CF" w14:paraId="7C84E77E" w14:textId="77777777" w:rsidTr="00362F9C">
        <w:trPr>
          <w:trHeight w:val="60"/>
          <w:tblHeader/>
        </w:trPr>
        <w:tc>
          <w:tcPr>
            <w:tcW w:w="4394" w:type="dxa"/>
            <w:shd w:val="solid" w:color="FEB403" w:fill="auto"/>
            <w:tcMar>
              <w:top w:w="170" w:type="dxa"/>
              <w:left w:w="170" w:type="dxa"/>
              <w:bottom w:w="170" w:type="dxa"/>
              <w:right w:w="170" w:type="dxa"/>
            </w:tcMar>
          </w:tcPr>
          <w:p w14:paraId="1C41C723" w14:textId="77777777" w:rsidR="009F71AD" w:rsidRPr="001703CF" w:rsidRDefault="009F71AD" w:rsidP="00C054CC">
            <w:r w:rsidRPr="001703CF">
              <w:rPr>
                <w:rStyle w:val="Medium"/>
              </w:rPr>
              <w:t>Output Measure</w:t>
            </w:r>
          </w:p>
        </w:tc>
        <w:tc>
          <w:tcPr>
            <w:tcW w:w="1311" w:type="dxa"/>
            <w:tcMar>
              <w:top w:w="170" w:type="dxa"/>
              <w:left w:w="170" w:type="dxa"/>
              <w:bottom w:w="170" w:type="dxa"/>
              <w:right w:w="170" w:type="dxa"/>
            </w:tcMar>
          </w:tcPr>
          <w:p w14:paraId="22815279" w14:textId="77777777" w:rsidR="009F71AD" w:rsidRPr="001703CF" w:rsidRDefault="009F71AD" w:rsidP="00C054CC">
            <w:r w:rsidRPr="001703CF">
              <w:rPr>
                <w:rStyle w:val="Semibold"/>
              </w:rPr>
              <w:t>Quarter 1 Target</w:t>
            </w:r>
          </w:p>
        </w:tc>
        <w:tc>
          <w:tcPr>
            <w:tcW w:w="1311" w:type="dxa"/>
            <w:tcMar>
              <w:top w:w="170" w:type="dxa"/>
              <w:left w:w="170" w:type="dxa"/>
              <w:bottom w:w="170" w:type="dxa"/>
              <w:right w:w="170" w:type="dxa"/>
            </w:tcMar>
          </w:tcPr>
          <w:p w14:paraId="5645ADBE" w14:textId="77777777" w:rsidR="009F71AD" w:rsidRPr="001703CF" w:rsidRDefault="009F71AD" w:rsidP="00C054CC">
            <w:r w:rsidRPr="001703CF">
              <w:rPr>
                <w:rStyle w:val="Semibold"/>
              </w:rPr>
              <w:t>Quarter 2 Target</w:t>
            </w:r>
          </w:p>
        </w:tc>
        <w:tc>
          <w:tcPr>
            <w:tcW w:w="1311" w:type="dxa"/>
            <w:tcMar>
              <w:top w:w="170" w:type="dxa"/>
              <w:left w:w="170" w:type="dxa"/>
              <w:bottom w:w="170" w:type="dxa"/>
              <w:right w:w="170" w:type="dxa"/>
            </w:tcMar>
          </w:tcPr>
          <w:p w14:paraId="4A273E4B" w14:textId="77777777" w:rsidR="009F71AD" w:rsidRPr="001703CF" w:rsidRDefault="009F71AD" w:rsidP="00C054CC">
            <w:r w:rsidRPr="001703CF">
              <w:rPr>
                <w:rStyle w:val="Semibold"/>
              </w:rPr>
              <w:t>Quarter 3 Target</w:t>
            </w:r>
          </w:p>
        </w:tc>
        <w:tc>
          <w:tcPr>
            <w:tcW w:w="1311" w:type="dxa"/>
            <w:tcMar>
              <w:top w:w="170" w:type="dxa"/>
              <w:left w:w="170" w:type="dxa"/>
              <w:bottom w:w="170" w:type="dxa"/>
              <w:right w:w="170" w:type="dxa"/>
            </w:tcMar>
          </w:tcPr>
          <w:p w14:paraId="5E8DAF24" w14:textId="77777777" w:rsidR="009F71AD" w:rsidRPr="001703CF" w:rsidRDefault="009F71AD" w:rsidP="00C054CC">
            <w:r w:rsidRPr="001703CF">
              <w:rPr>
                <w:rStyle w:val="Semibold"/>
              </w:rPr>
              <w:t>Quarter 4 Target</w:t>
            </w:r>
          </w:p>
        </w:tc>
      </w:tr>
      <w:tr w:rsidR="009F71AD" w:rsidRPr="001703CF" w14:paraId="73982732" w14:textId="77777777" w:rsidTr="00C054CC">
        <w:trPr>
          <w:trHeight w:val="60"/>
        </w:trPr>
        <w:tc>
          <w:tcPr>
            <w:tcW w:w="4394" w:type="dxa"/>
            <w:shd w:val="solid" w:color="FEB403" w:fill="auto"/>
            <w:tcMar>
              <w:top w:w="170" w:type="dxa"/>
              <w:left w:w="170" w:type="dxa"/>
              <w:bottom w:w="170" w:type="dxa"/>
              <w:right w:w="170" w:type="dxa"/>
            </w:tcMar>
          </w:tcPr>
          <w:p w14:paraId="11B1D0CD" w14:textId="77777777" w:rsidR="009F71AD" w:rsidRPr="001703CF" w:rsidRDefault="009F71AD" w:rsidP="00C054CC">
            <w:r w:rsidRPr="001703CF">
              <w:t xml:space="preserve">Number of buildings within the government program that reach practical completion </w:t>
            </w:r>
          </w:p>
        </w:tc>
        <w:tc>
          <w:tcPr>
            <w:tcW w:w="1311" w:type="dxa"/>
            <w:tcMar>
              <w:top w:w="170" w:type="dxa"/>
              <w:left w:w="170" w:type="dxa"/>
              <w:bottom w:w="170" w:type="dxa"/>
              <w:right w:w="170" w:type="dxa"/>
            </w:tcMar>
          </w:tcPr>
          <w:p w14:paraId="6DA3FE0B" w14:textId="77777777" w:rsidR="009F71AD" w:rsidRPr="001703CF" w:rsidRDefault="009F71AD" w:rsidP="00C054CC">
            <w:r w:rsidRPr="001703CF">
              <w:t>14</w:t>
            </w:r>
          </w:p>
        </w:tc>
        <w:tc>
          <w:tcPr>
            <w:tcW w:w="1311" w:type="dxa"/>
            <w:tcMar>
              <w:top w:w="170" w:type="dxa"/>
              <w:left w:w="170" w:type="dxa"/>
              <w:bottom w:w="170" w:type="dxa"/>
              <w:right w:w="170" w:type="dxa"/>
            </w:tcMar>
          </w:tcPr>
          <w:p w14:paraId="4755E754" w14:textId="77777777" w:rsidR="009F71AD" w:rsidRPr="001703CF" w:rsidRDefault="009F71AD" w:rsidP="00C054CC">
            <w:r w:rsidRPr="001703CF">
              <w:t>11</w:t>
            </w:r>
          </w:p>
        </w:tc>
        <w:tc>
          <w:tcPr>
            <w:tcW w:w="1311" w:type="dxa"/>
            <w:tcMar>
              <w:top w:w="170" w:type="dxa"/>
              <w:left w:w="170" w:type="dxa"/>
              <w:bottom w:w="170" w:type="dxa"/>
              <w:right w:w="170" w:type="dxa"/>
            </w:tcMar>
          </w:tcPr>
          <w:p w14:paraId="45985AC1" w14:textId="77777777" w:rsidR="009F71AD" w:rsidRPr="001703CF" w:rsidRDefault="009F71AD" w:rsidP="00C054CC">
            <w:r w:rsidRPr="001703CF">
              <w:t>6</w:t>
            </w:r>
          </w:p>
        </w:tc>
        <w:tc>
          <w:tcPr>
            <w:tcW w:w="1311" w:type="dxa"/>
            <w:tcMar>
              <w:top w:w="170" w:type="dxa"/>
              <w:left w:w="170" w:type="dxa"/>
              <w:bottom w:w="170" w:type="dxa"/>
              <w:right w:w="170" w:type="dxa"/>
            </w:tcMar>
          </w:tcPr>
          <w:p w14:paraId="00DE84C5" w14:textId="77777777" w:rsidR="009F71AD" w:rsidRPr="001703CF" w:rsidRDefault="009F71AD" w:rsidP="00C054CC">
            <w:r w:rsidRPr="001703CF">
              <w:t>1</w:t>
            </w:r>
          </w:p>
        </w:tc>
      </w:tr>
      <w:tr w:rsidR="009F71AD" w:rsidRPr="001703CF" w14:paraId="416E6119" w14:textId="77777777" w:rsidTr="00C054CC">
        <w:trPr>
          <w:trHeight w:val="542"/>
        </w:trPr>
        <w:tc>
          <w:tcPr>
            <w:tcW w:w="4394" w:type="dxa"/>
            <w:shd w:val="solid" w:color="FEB403" w:fill="auto"/>
            <w:tcMar>
              <w:top w:w="170" w:type="dxa"/>
              <w:left w:w="170" w:type="dxa"/>
              <w:bottom w:w="170" w:type="dxa"/>
              <w:right w:w="170" w:type="dxa"/>
            </w:tcMar>
          </w:tcPr>
          <w:p w14:paraId="2F249AC2" w14:textId="77777777" w:rsidR="009F71AD" w:rsidRPr="001703CF" w:rsidRDefault="009F71AD" w:rsidP="00C054CC">
            <w:r w:rsidRPr="001703CF">
              <w:t xml:space="preserve">Number of buildings within the residential program that reach practical completion </w:t>
            </w:r>
          </w:p>
        </w:tc>
        <w:tc>
          <w:tcPr>
            <w:tcW w:w="1311" w:type="dxa"/>
            <w:tcMar>
              <w:top w:w="170" w:type="dxa"/>
              <w:left w:w="170" w:type="dxa"/>
              <w:bottom w:w="170" w:type="dxa"/>
              <w:right w:w="170" w:type="dxa"/>
            </w:tcMar>
          </w:tcPr>
          <w:p w14:paraId="2A51D194" w14:textId="77777777" w:rsidR="009F71AD" w:rsidRPr="001703CF" w:rsidRDefault="009F71AD" w:rsidP="00C054CC">
            <w:r w:rsidRPr="001703CF">
              <w:t>35</w:t>
            </w:r>
          </w:p>
        </w:tc>
        <w:tc>
          <w:tcPr>
            <w:tcW w:w="1311" w:type="dxa"/>
            <w:tcMar>
              <w:top w:w="170" w:type="dxa"/>
              <w:left w:w="170" w:type="dxa"/>
              <w:bottom w:w="170" w:type="dxa"/>
              <w:right w:w="170" w:type="dxa"/>
            </w:tcMar>
          </w:tcPr>
          <w:p w14:paraId="1FE1F116" w14:textId="77777777" w:rsidR="009F71AD" w:rsidRPr="001703CF" w:rsidRDefault="009F71AD" w:rsidP="00C054CC">
            <w:r w:rsidRPr="001703CF">
              <w:t>35</w:t>
            </w:r>
          </w:p>
        </w:tc>
        <w:tc>
          <w:tcPr>
            <w:tcW w:w="1311" w:type="dxa"/>
            <w:tcMar>
              <w:top w:w="170" w:type="dxa"/>
              <w:left w:w="170" w:type="dxa"/>
              <w:bottom w:w="170" w:type="dxa"/>
              <w:right w:w="170" w:type="dxa"/>
            </w:tcMar>
          </w:tcPr>
          <w:p w14:paraId="39EA960F" w14:textId="77777777" w:rsidR="009F71AD" w:rsidRPr="001703CF" w:rsidRDefault="009F71AD" w:rsidP="00C054CC">
            <w:r w:rsidRPr="001703CF">
              <w:t>35</w:t>
            </w:r>
          </w:p>
        </w:tc>
        <w:tc>
          <w:tcPr>
            <w:tcW w:w="1311" w:type="dxa"/>
            <w:tcMar>
              <w:top w:w="170" w:type="dxa"/>
              <w:left w:w="170" w:type="dxa"/>
              <w:bottom w:w="170" w:type="dxa"/>
              <w:right w:w="170" w:type="dxa"/>
            </w:tcMar>
          </w:tcPr>
          <w:p w14:paraId="778B98B5" w14:textId="77777777" w:rsidR="009F71AD" w:rsidRPr="001703CF" w:rsidRDefault="009F71AD" w:rsidP="00C054CC">
            <w:r w:rsidRPr="001703CF">
              <w:t>45</w:t>
            </w:r>
          </w:p>
        </w:tc>
      </w:tr>
      <w:tr w:rsidR="009F71AD" w:rsidRPr="001703CF" w14:paraId="15A384ED" w14:textId="77777777" w:rsidTr="00C054CC">
        <w:trPr>
          <w:trHeight w:val="656"/>
        </w:trPr>
        <w:tc>
          <w:tcPr>
            <w:tcW w:w="4394" w:type="dxa"/>
            <w:shd w:val="solid" w:color="FEB403" w:fill="auto"/>
            <w:tcMar>
              <w:top w:w="170" w:type="dxa"/>
              <w:left w:w="170" w:type="dxa"/>
              <w:bottom w:w="170" w:type="dxa"/>
              <w:right w:w="170" w:type="dxa"/>
            </w:tcMar>
          </w:tcPr>
          <w:p w14:paraId="428FD3F9" w14:textId="77777777" w:rsidR="009F71AD" w:rsidRPr="001703CF" w:rsidRDefault="009F71AD" w:rsidP="00C054CC">
            <w:r w:rsidRPr="001703CF">
              <w:t>Identified residential rectification program milestones met:</w:t>
            </w:r>
          </w:p>
        </w:tc>
        <w:tc>
          <w:tcPr>
            <w:tcW w:w="1311" w:type="dxa"/>
            <w:tcMar>
              <w:top w:w="170" w:type="dxa"/>
              <w:left w:w="170" w:type="dxa"/>
              <w:bottom w:w="170" w:type="dxa"/>
              <w:right w:w="170" w:type="dxa"/>
            </w:tcMar>
          </w:tcPr>
          <w:p w14:paraId="22C3D3C5" w14:textId="77777777" w:rsidR="009F71AD" w:rsidRPr="001703CF" w:rsidRDefault="009F71AD" w:rsidP="00C054CC"/>
        </w:tc>
        <w:tc>
          <w:tcPr>
            <w:tcW w:w="1311" w:type="dxa"/>
            <w:tcMar>
              <w:top w:w="170" w:type="dxa"/>
              <w:left w:w="170" w:type="dxa"/>
              <w:bottom w:w="170" w:type="dxa"/>
              <w:right w:w="170" w:type="dxa"/>
            </w:tcMar>
          </w:tcPr>
          <w:p w14:paraId="4D9FFE03" w14:textId="77777777" w:rsidR="009F71AD" w:rsidRPr="001703CF" w:rsidRDefault="009F71AD" w:rsidP="00C054CC"/>
        </w:tc>
        <w:tc>
          <w:tcPr>
            <w:tcW w:w="1311" w:type="dxa"/>
            <w:tcMar>
              <w:top w:w="170" w:type="dxa"/>
              <w:left w:w="170" w:type="dxa"/>
              <w:bottom w:w="170" w:type="dxa"/>
              <w:right w:w="170" w:type="dxa"/>
            </w:tcMar>
          </w:tcPr>
          <w:p w14:paraId="0DE0A3F1" w14:textId="77777777" w:rsidR="009F71AD" w:rsidRPr="001703CF" w:rsidRDefault="009F71AD" w:rsidP="00C054CC"/>
        </w:tc>
        <w:tc>
          <w:tcPr>
            <w:tcW w:w="1311" w:type="dxa"/>
            <w:tcMar>
              <w:top w:w="170" w:type="dxa"/>
              <w:left w:w="170" w:type="dxa"/>
              <w:bottom w:w="170" w:type="dxa"/>
              <w:right w:w="170" w:type="dxa"/>
            </w:tcMar>
          </w:tcPr>
          <w:p w14:paraId="7DFE08C6" w14:textId="77777777" w:rsidR="009F71AD" w:rsidRPr="001703CF" w:rsidRDefault="009F71AD" w:rsidP="00C054CC"/>
        </w:tc>
      </w:tr>
      <w:tr w:rsidR="009F71AD" w:rsidRPr="001703CF" w14:paraId="255DC037" w14:textId="77777777" w:rsidTr="00C054CC">
        <w:trPr>
          <w:trHeight w:val="1410"/>
        </w:trPr>
        <w:tc>
          <w:tcPr>
            <w:tcW w:w="4394" w:type="dxa"/>
            <w:shd w:val="solid" w:color="FEB403" w:fill="auto"/>
            <w:tcMar>
              <w:top w:w="0" w:type="dxa"/>
              <w:left w:w="170" w:type="dxa"/>
              <w:bottom w:w="170" w:type="dxa"/>
              <w:right w:w="170" w:type="dxa"/>
            </w:tcMar>
          </w:tcPr>
          <w:p w14:paraId="3D2F2847" w14:textId="77777777" w:rsidR="009F71AD" w:rsidRPr="001703CF" w:rsidRDefault="009F71AD" w:rsidP="00C054CC">
            <w:pPr>
              <w:pStyle w:val="ListParagraph"/>
              <w:numPr>
                <w:ilvl w:val="0"/>
                <w:numId w:val="12"/>
              </w:numPr>
            </w:pPr>
            <w:r w:rsidRPr="001703CF">
              <w:t xml:space="preserve">% </w:t>
            </w:r>
            <w:proofErr w:type="gramStart"/>
            <w:r w:rsidRPr="001703CF">
              <w:t>of</w:t>
            </w:r>
            <w:proofErr w:type="gramEnd"/>
            <w:r w:rsidRPr="001703CF">
              <w:t xml:space="preserve"> buildings proposed to have a partial removal or performance solution submitted to the Building Appeals Board within 4 months of execution of the funding agreement</w:t>
            </w:r>
          </w:p>
        </w:tc>
        <w:tc>
          <w:tcPr>
            <w:tcW w:w="1311" w:type="dxa"/>
            <w:tcMar>
              <w:top w:w="0" w:type="dxa"/>
              <w:left w:w="170" w:type="dxa"/>
              <w:bottom w:w="170" w:type="dxa"/>
              <w:right w:w="170" w:type="dxa"/>
            </w:tcMar>
          </w:tcPr>
          <w:p w14:paraId="5528FDC3" w14:textId="77777777" w:rsidR="009F71AD" w:rsidRPr="001703CF" w:rsidRDefault="009F71AD" w:rsidP="00C054CC">
            <w:r w:rsidRPr="001703CF">
              <w:t>≥75%</w:t>
            </w:r>
          </w:p>
        </w:tc>
        <w:tc>
          <w:tcPr>
            <w:tcW w:w="1311" w:type="dxa"/>
            <w:tcMar>
              <w:top w:w="0" w:type="dxa"/>
              <w:left w:w="170" w:type="dxa"/>
              <w:bottom w:w="170" w:type="dxa"/>
              <w:right w:w="170" w:type="dxa"/>
            </w:tcMar>
          </w:tcPr>
          <w:p w14:paraId="209C171B" w14:textId="77777777" w:rsidR="009F71AD" w:rsidRPr="001703CF" w:rsidRDefault="009F71AD" w:rsidP="00C054CC">
            <w:r w:rsidRPr="001703CF">
              <w:t>≥75%</w:t>
            </w:r>
          </w:p>
        </w:tc>
        <w:tc>
          <w:tcPr>
            <w:tcW w:w="1311" w:type="dxa"/>
            <w:tcMar>
              <w:top w:w="0" w:type="dxa"/>
              <w:left w:w="170" w:type="dxa"/>
              <w:bottom w:w="170" w:type="dxa"/>
              <w:right w:w="170" w:type="dxa"/>
            </w:tcMar>
          </w:tcPr>
          <w:p w14:paraId="1F2F248D" w14:textId="77777777" w:rsidR="009F71AD" w:rsidRPr="001703CF" w:rsidRDefault="009F71AD" w:rsidP="00C054CC">
            <w:r w:rsidRPr="001703CF">
              <w:t>≥75%</w:t>
            </w:r>
          </w:p>
        </w:tc>
        <w:tc>
          <w:tcPr>
            <w:tcW w:w="1311" w:type="dxa"/>
            <w:tcMar>
              <w:top w:w="0" w:type="dxa"/>
              <w:left w:w="170" w:type="dxa"/>
              <w:bottom w:w="170" w:type="dxa"/>
              <w:right w:w="170" w:type="dxa"/>
            </w:tcMar>
          </w:tcPr>
          <w:p w14:paraId="6E9A0279" w14:textId="77777777" w:rsidR="009F71AD" w:rsidRPr="001703CF" w:rsidRDefault="009F71AD" w:rsidP="00C054CC">
            <w:r w:rsidRPr="001703CF">
              <w:t>≥75%</w:t>
            </w:r>
          </w:p>
        </w:tc>
      </w:tr>
      <w:tr w:rsidR="009F71AD" w:rsidRPr="001703CF" w14:paraId="5DBC6473" w14:textId="77777777" w:rsidTr="00C054CC">
        <w:trPr>
          <w:trHeight w:val="630"/>
        </w:trPr>
        <w:tc>
          <w:tcPr>
            <w:tcW w:w="4394" w:type="dxa"/>
            <w:shd w:val="solid" w:color="FEB403" w:fill="auto"/>
            <w:tcMar>
              <w:top w:w="0" w:type="dxa"/>
              <w:left w:w="170" w:type="dxa"/>
              <w:bottom w:w="170" w:type="dxa"/>
              <w:right w:w="170" w:type="dxa"/>
            </w:tcMar>
          </w:tcPr>
          <w:p w14:paraId="18A3B2F5" w14:textId="77777777" w:rsidR="009F71AD" w:rsidRPr="001703CF" w:rsidRDefault="009F71AD" w:rsidP="00C054CC">
            <w:pPr>
              <w:pStyle w:val="ListParagraph"/>
              <w:numPr>
                <w:ilvl w:val="0"/>
                <w:numId w:val="12"/>
              </w:numPr>
            </w:pPr>
            <w:r w:rsidRPr="001703CF">
              <w:t>Number of Priority 16 buildings that reach practical completion</w:t>
            </w:r>
          </w:p>
        </w:tc>
        <w:tc>
          <w:tcPr>
            <w:tcW w:w="1311" w:type="dxa"/>
            <w:tcMar>
              <w:top w:w="0" w:type="dxa"/>
              <w:left w:w="170" w:type="dxa"/>
              <w:bottom w:w="170" w:type="dxa"/>
              <w:right w:w="170" w:type="dxa"/>
            </w:tcMar>
          </w:tcPr>
          <w:p w14:paraId="5B152497" w14:textId="77777777" w:rsidR="009F71AD" w:rsidRPr="001703CF" w:rsidRDefault="009F71AD" w:rsidP="00C054CC">
            <w:r w:rsidRPr="001703CF">
              <w:t>2</w:t>
            </w:r>
          </w:p>
        </w:tc>
        <w:tc>
          <w:tcPr>
            <w:tcW w:w="1311" w:type="dxa"/>
            <w:tcMar>
              <w:top w:w="0" w:type="dxa"/>
              <w:left w:w="170" w:type="dxa"/>
              <w:bottom w:w="170" w:type="dxa"/>
              <w:right w:w="170" w:type="dxa"/>
            </w:tcMar>
          </w:tcPr>
          <w:p w14:paraId="5529888D" w14:textId="77777777" w:rsidR="009F71AD" w:rsidRPr="001703CF" w:rsidRDefault="009F71AD" w:rsidP="00C054CC">
            <w:r w:rsidRPr="001703CF">
              <w:t>5</w:t>
            </w:r>
          </w:p>
        </w:tc>
        <w:tc>
          <w:tcPr>
            <w:tcW w:w="1311" w:type="dxa"/>
            <w:tcMar>
              <w:top w:w="0" w:type="dxa"/>
              <w:left w:w="170" w:type="dxa"/>
              <w:bottom w:w="170" w:type="dxa"/>
              <w:right w:w="170" w:type="dxa"/>
            </w:tcMar>
          </w:tcPr>
          <w:p w14:paraId="35685EF1" w14:textId="77777777" w:rsidR="009F71AD" w:rsidRPr="001703CF" w:rsidRDefault="009F71AD" w:rsidP="00C054CC">
            <w:r w:rsidRPr="001703CF">
              <w:t>N/A</w:t>
            </w:r>
          </w:p>
        </w:tc>
        <w:tc>
          <w:tcPr>
            <w:tcW w:w="1311" w:type="dxa"/>
            <w:tcMar>
              <w:top w:w="0" w:type="dxa"/>
              <w:left w:w="170" w:type="dxa"/>
              <w:bottom w:w="170" w:type="dxa"/>
              <w:right w:w="170" w:type="dxa"/>
            </w:tcMar>
          </w:tcPr>
          <w:p w14:paraId="000F159A" w14:textId="77777777" w:rsidR="009F71AD" w:rsidRPr="001703CF" w:rsidRDefault="009F71AD" w:rsidP="00C054CC">
            <w:r w:rsidRPr="001703CF">
              <w:t>N/A</w:t>
            </w:r>
          </w:p>
        </w:tc>
      </w:tr>
      <w:tr w:rsidR="009F71AD" w:rsidRPr="001703CF" w14:paraId="733A4FC3" w14:textId="77777777" w:rsidTr="00C054CC">
        <w:trPr>
          <w:trHeight w:val="656"/>
        </w:trPr>
        <w:tc>
          <w:tcPr>
            <w:tcW w:w="4394" w:type="dxa"/>
            <w:shd w:val="solid" w:color="FEB403" w:fill="auto"/>
            <w:tcMar>
              <w:top w:w="0" w:type="dxa"/>
              <w:left w:w="170" w:type="dxa"/>
              <w:bottom w:w="170" w:type="dxa"/>
              <w:right w:w="170" w:type="dxa"/>
            </w:tcMar>
          </w:tcPr>
          <w:p w14:paraId="1F666FC4" w14:textId="77777777" w:rsidR="009F71AD" w:rsidRPr="001703CF" w:rsidRDefault="009F71AD" w:rsidP="00C054CC">
            <w:pPr>
              <w:pStyle w:val="ListParagraph"/>
              <w:numPr>
                <w:ilvl w:val="0"/>
                <w:numId w:val="12"/>
              </w:numPr>
            </w:pPr>
            <w:r w:rsidRPr="001703CF">
              <w:t>Number of original builders appointed to rectification projects</w:t>
            </w:r>
          </w:p>
        </w:tc>
        <w:tc>
          <w:tcPr>
            <w:tcW w:w="1311" w:type="dxa"/>
            <w:tcMar>
              <w:top w:w="0" w:type="dxa"/>
              <w:left w:w="170" w:type="dxa"/>
              <w:bottom w:w="170" w:type="dxa"/>
              <w:right w:w="170" w:type="dxa"/>
            </w:tcMar>
          </w:tcPr>
          <w:p w14:paraId="37DA671A" w14:textId="77777777" w:rsidR="009F71AD" w:rsidRPr="001703CF" w:rsidRDefault="009F71AD" w:rsidP="00C054CC">
            <w:r w:rsidRPr="001703CF">
              <w:t>20</w:t>
            </w:r>
          </w:p>
        </w:tc>
        <w:tc>
          <w:tcPr>
            <w:tcW w:w="1311" w:type="dxa"/>
            <w:tcMar>
              <w:top w:w="0" w:type="dxa"/>
              <w:left w:w="170" w:type="dxa"/>
              <w:bottom w:w="170" w:type="dxa"/>
              <w:right w:w="170" w:type="dxa"/>
            </w:tcMar>
          </w:tcPr>
          <w:p w14:paraId="50B2336D" w14:textId="77777777" w:rsidR="009F71AD" w:rsidRPr="001703CF" w:rsidRDefault="009F71AD" w:rsidP="00C054CC">
            <w:r w:rsidRPr="001703CF">
              <w:t>20</w:t>
            </w:r>
          </w:p>
        </w:tc>
        <w:tc>
          <w:tcPr>
            <w:tcW w:w="1311" w:type="dxa"/>
            <w:tcMar>
              <w:top w:w="0" w:type="dxa"/>
              <w:left w:w="170" w:type="dxa"/>
              <w:bottom w:w="170" w:type="dxa"/>
              <w:right w:w="170" w:type="dxa"/>
            </w:tcMar>
          </w:tcPr>
          <w:p w14:paraId="5F6BB469" w14:textId="77777777" w:rsidR="009F71AD" w:rsidRPr="001703CF" w:rsidRDefault="009F71AD" w:rsidP="00C054CC">
            <w:r w:rsidRPr="001703CF">
              <w:t>20*</w:t>
            </w:r>
          </w:p>
        </w:tc>
        <w:tc>
          <w:tcPr>
            <w:tcW w:w="1311" w:type="dxa"/>
            <w:tcMar>
              <w:top w:w="0" w:type="dxa"/>
              <w:left w:w="170" w:type="dxa"/>
              <w:bottom w:w="170" w:type="dxa"/>
              <w:right w:w="170" w:type="dxa"/>
            </w:tcMar>
          </w:tcPr>
          <w:p w14:paraId="41F51BDA" w14:textId="77777777" w:rsidR="009F71AD" w:rsidRPr="001703CF" w:rsidRDefault="009F71AD" w:rsidP="00C054CC">
            <w:r w:rsidRPr="001703CF">
              <w:t>20 *</w:t>
            </w:r>
          </w:p>
        </w:tc>
      </w:tr>
      <w:tr w:rsidR="009F71AD" w:rsidRPr="001703CF" w14:paraId="447B9BD7" w14:textId="77777777" w:rsidTr="00C054CC">
        <w:trPr>
          <w:trHeight w:val="60"/>
        </w:trPr>
        <w:tc>
          <w:tcPr>
            <w:tcW w:w="4394" w:type="dxa"/>
            <w:shd w:val="solid" w:color="FEB403" w:fill="auto"/>
            <w:tcMar>
              <w:top w:w="170" w:type="dxa"/>
              <w:left w:w="170" w:type="dxa"/>
              <w:bottom w:w="170" w:type="dxa"/>
              <w:right w:w="170" w:type="dxa"/>
            </w:tcMar>
          </w:tcPr>
          <w:p w14:paraId="1F12D651" w14:textId="77777777" w:rsidR="009F71AD" w:rsidRPr="001703CF" w:rsidRDefault="009F71AD" w:rsidP="00C054CC">
            <w:r w:rsidRPr="001703CF">
              <w:t>Lost-time injury frequency rate</w:t>
            </w:r>
          </w:p>
        </w:tc>
        <w:tc>
          <w:tcPr>
            <w:tcW w:w="1311" w:type="dxa"/>
            <w:tcMar>
              <w:top w:w="170" w:type="dxa"/>
              <w:left w:w="170" w:type="dxa"/>
              <w:bottom w:w="170" w:type="dxa"/>
              <w:right w:w="170" w:type="dxa"/>
            </w:tcMar>
          </w:tcPr>
          <w:p w14:paraId="30B49940" w14:textId="77777777" w:rsidR="009F71AD" w:rsidRPr="001703CF" w:rsidRDefault="009F71AD" w:rsidP="00C054CC">
            <w:r w:rsidRPr="001703CF">
              <w:t>&lt;3.5</w:t>
            </w:r>
          </w:p>
        </w:tc>
        <w:tc>
          <w:tcPr>
            <w:tcW w:w="1311" w:type="dxa"/>
            <w:tcMar>
              <w:top w:w="170" w:type="dxa"/>
              <w:left w:w="170" w:type="dxa"/>
              <w:bottom w:w="170" w:type="dxa"/>
              <w:right w:w="170" w:type="dxa"/>
            </w:tcMar>
          </w:tcPr>
          <w:p w14:paraId="1B67EC17" w14:textId="77777777" w:rsidR="009F71AD" w:rsidRPr="001703CF" w:rsidRDefault="009F71AD" w:rsidP="00C054CC">
            <w:r w:rsidRPr="001703CF">
              <w:t>&lt;3.5</w:t>
            </w:r>
          </w:p>
        </w:tc>
        <w:tc>
          <w:tcPr>
            <w:tcW w:w="1311" w:type="dxa"/>
            <w:tcMar>
              <w:top w:w="170" w:type="dxa"/>
              <w:left w:w="170" w:type="dxa"/>
              <w:bottom w:w="170" w:type="dxa"/>
              <w:right w:w="170" w:type="dxa"/>
            </w:tcMar>
          </w:tcPr>
          <w:p w14:paraId="7CD8FEE6" w14:textId="77777777" w:rsidR="009F71AD" w:rsidRPr="001703CF" w:rsidRDefault="009F71AD" w:rsidP="00C054CC">
            <w:r w:rsidRPr="001703CF">
              <w:t>&lt;3.5</w:t>
            </w:r>
          </w:p>
        </w:tc>
        <w:tc>
          <w:tcPr>
            <w:tcW w:w="1311" w:type="dxa"/>
            <w:tcMar>
              <w:top w:w="170" w:type="dxa"/>
              <w:left w:w="170" w:type="dxa"/>
              <w:bottom w:w="170" w:type="dxa"/>
              <w:right w:w="170" w:type="dxa"/>
            </w:tcMar>
          </w:tcPr>
          <w:p w14:paraId="2BB7C7E0" w14:textId="77777777" w:rsidR="009F71AD" w:rsidRPr="001703CF" w:rsidRDefault="009F71AD" w:rsidP="00C054CC">
            <w:r w:rsidRPr="001703CF">
              <w:t>&lt;3.5</w:t>
            </w:r>
          </w:p>
        </w:tc>
      </w:tr>
      <w:tr w:rsidR="009F71AD" w:rsidRPr="001703CF" w14:paraId="21FF4D40" w14:textId="77777777" w:rsidTr="00C054CC">
        <w:trPr>
          <w:trHeight w:val="60"/>
        </w:trPr>
        <w:tc>
          <w:tcPr>
            <w:tcW w:w="4394" w:type="dxa"/>
            <w:shd w:val="solid" w:color="FEB403" w:fill="auto"/>
            <w:tcMar>
              <w:top w:w="170" w:type="dxa"/>
              <w:left w:w="170" w:type="dxa"/>
              <w:bottom w:w="170" w:type="dxa"/>
              <w:right w:w="170" w:type="dxa"/>
            </w:tcMar>
          </w:tcPr>
          <w:p w14:paraId="55165B2D" w14:textId="77777777" w:rsidR="009F71AD" w:rsidRPr="001703CF" w:rsidRDefault="009F71AD" w:rsidP="00C054CC">
            <w:r w:rsidRPr="001703CF">
              <w:t xml:space="preserve">Percentage of same-day at-site incident reports </w:t>
            </w:r>
          </w:p>
        </w:tc>
        <w:tc>
          <w:tcPr>
            <w:tcW w:w="1311" w:type="dxa"/>
            <w:tcMar>
              <w:top w:w="170" w:type="dxa"/>
              <w:left w:w="170" w:type="dxa"/>
              <w:bottom w:w="170" w:type="dxa"/>
              <w:right w:w="170" w:type="dxa"/>
            </w:tcMar>
          </w:tcPr>
          <w:p w14:paraId="55B49F8B" w14:textId="77777777" w:rsidR="009F71AD" w:rsidRPr="001703CF" w:rsidRDefault="009F71AD" w:rsidP="00C054CC">
            <w:r w:rsidRPr="001703CF">
              <w:t>100%</w:t>
            </w:r>
          </w:p>
        </w:tc>
        <w:tc>
          <w:tcPr>
            <w:tcW w:w="1311" w:type="dxa"/>
            <w:tcMar>
              <w:top w:w="170" w:type="dxa"/>
              <w:left w:w="170" w:type="dxa"/>
              <w:bottom w:w="170" w:type="dxa"/>
              <w:right w:w="170" w:type="dxa"/>
            </w:tcMar>
          </w:tcPr>
          <w:p w14:paraId="0D597B4E" w14:textId="77777777" w:rsidR="009F71AD" w:rsidRPr="001703CF" w:rsidRDefault="009F71AD" w:rsidP="00C054CC">
            <w:r w:rsidRPr="001703CF">
              <w:t>100%</w:t>
            </w:r>
          </w:p>
        </w:tc>
        <w:tc>
          <w:tcPr>
            <w:tcW w:w="1311" w:type="dxa"/>
            <w:tcMar>
              <w:top w:w="170" w:type="dxa"/>
              <w:left w:w="170" w:type="dxa"/>
              <w:bottom w:w="170" w:type="dxa"/>
              <w:right w:w="170" w:type="dxa"/>
            </w:tcMar>
          </w:tcPr>
          <w:p w14:paraId="3CDC10B7" w14:textId="77777777" w:rsidR="009F71AD" w:rsidRPr="001703CF" w:rsidRDefault="009F71AD" w:rsidP="00C054CC">
            <w:r w:rsidRPr="001703CF">
              <w:t>100%</w:t>
            </w:r>
          </w:p>
        </w:tc>
        <w:tc>
          <w:tcPr>
            <w:tcW w:w="1311" w:type="dxa"/>
            <w:tcMar>
              <w:top w:w="170" w:type="dxa"/>
              <w:left w:w="170" w:type="dxa"/>
              <w:bottom w:w="170" w:type="dxa"/>
              <w:right w:w="170" w:type="dxa"/>
            </w:tcMar>
          </w:tcPr>
          <w:p w14:paraId="617A0ADB" w14:textId="77777777" w:rsidR="009F71AD" w:rsidRPr="001703CF" w:rsidRDefault="009F71AD" w:rsidP="00C054CC">
            <w:r w:rsidRPr="001703CF">
              <w:t>100%</w:t>
            </w:r>
          </w:p>
        </w:tc>
      </w:tr>
      <w:tr w:rsidR="009F71AD" w:rsidRPr="001703CF" w14:paraId="7479026F" w14:textId="77777777" w:rsidTr="00C054CC">
        <w:trPr>
          <w:trHeight w:val="60"/>
        </w:trPr>
        <w:tc>
          <w:tcPr>
            <w:tcW w:w="4394" w:type="dxa"/>
            <w:shd w:val="solid" w:color="FEB403" w:fill="auto"/>
            <w:tcMar>
              <w:top w:w="170" w:type="dxa"/>
              <w:left w:w="170" w:type="dxa"/>
              <w:bottom w:w="170" w:type="dxa"/>
              <w:right w:w="170" w:type="dxa"/>
            </w:tcMar>
          </w:tcPr>
          <w:p w14:paraId="5A4353FC" w14:textId="77777777" w:rsidR="009F71AD" w:rsidRPr="001703CF" w:rsidRDefault="009F71AD" w:rsidP="00C054CC">
            <w:r w:rsidRPr="001703CF">
              <w:lastRenderedPageBreak/>
              <w:t>Number of new jobs supported through the rectification program ^</w:t>
            </w:r>
          </w:p>
        </w:tc>
        <w:tc>
          <w:tcPr>
            <w:tcW w:w="1311" w:type="dxa"/>
            <w:tcMar>
              <w:top w:w="170" w:type="dxa"/>
              <w:left w:w="170" w:type="dxa"/>
              <w:bottom w:w="170" w:type="dxa"/>
              <w:right w:w="170" w:type="dxa"/>
            </w:tcMar>
          </w:tcPr>
          <w:p w14:paraId="63F9CC2D" w14:textId="77777777" w:rsidR="009F71AD" w:rsidRPr="001703CF" w:rsidRDefault="009F71AD" w:rsidP="00C054CC">
            <w:r w:rsidRPr="001703CF">
              <w:t>N/A</w:t>
            </w:r>
          </w:p>
        </w:tc>
        <w:tc>
          <w:tcPr>
            <w:tcW w:w="1311" w:type="dxa"/>
            <w:tcMar>
              <w:top w:w="170" w:type="dxa"/>
              <w:left w:w="170" w:type="dxa"/>
              <w:bottom w:w="170" w:type="dxa"/>
              <w:right w:w="170" w:type="dxa"/>
            </w:tcMar>
          </w:tcPr>
          <w:p w14:paraId="011ACE31" w14:textId="77777777" w:rsidR="009F71AD" w:rsidRPr="001703CF" w:rsidRDefault="009F71AD" w:rsidP="00C054CC">
            <w:r w:rsidRPr="001703CF">
              <w:t>N/A</w:t>
            </w:r>
          </w:p>
        </w:tc>
        <w:tc>
          <w:tcPr>
            <w:tcW w:w="1311" w:type="dxa"/>
            <w:tcMar>
              <w:top w:w="170" w:type="dxa"/>
              <w:left w:w="170" w:type="dxa"/>
              <w:bottom w:w="170" w:type="dxa"/>
              <w:right w:w="170" w:type="dxa"/>
            </w:tcMar>
          </w:tcPr>
          <w:p w14:paraId="7C64DA3B" w14:textId="77777777" w:rsidR="009F71AD" w:rsidRPr="001703CF" w:rsidRDefault="009F71AD" w:rsidP="00C054CC">
            <w:r w:rsidRPr="001703CF">
              <w:t>N/A</w:t>
            </w:r>
          </w:p>
        </w:tc>
        <w:tc>
          <w:tcPr>
            <w:tcW w:w="1311" w:type="dxa"/>
            <w:tcMar>
              <w:top w:w="170" w:type="dxa"/>
              <w:left w:w="170" w:type="dxa"/>
              <w:bottom w:w="170" w:type="dxa"/>
              <w:right w:w="170" w:type="dxa"/>
            </w:tcMar>
          </w:tcPr>
          <w:p w14:paraId="4414FE9F" w14:textId="77777777" w:rsidR="009F71AD" w:rsidRPr="001703CF" w:rsidRDefault="009F71AD" w:rsidP="00C054CC">
            <w:r w:rsidRPr="001703CF">
              <w:t>N/A</w:t>
            </w:r>
          </w:p>
        </w:tc>
      </w:tr>
      <w:tr w:rsidR="009F71AD" w:rsidRPr="001703CF" w14:paraId="4A9E90DE" w14:textId="77777777" w:rsidTr="00C054CC">
        <w:trPr>
          <w:trHeight w:val="60"/>
        </w:trPr>
        <w:tc>
          <w:tcPr>
            <w:tcW w:w="4394" w:type="dxa"/>
            <w:shd w:val="solid" w:color="FEB403" w:fill="auto"/>
            <w:tcMar>
              <w:top w:w="170" w:type="dxa"/>
              <w:left w:w="170" w:type="dxa"/>
              <w:bottom w:w="170" w:type="dxa"/>
              <w:right w:w="170" w:type="dxa"/>
            </w:tcMar>
          </w:tcPr>
          <w:p w14:paraId="615F5302" w14:textId="77777777" w:rsidR="009F71AD" w:rsidRPr="001703CF" w:rsidRDefault="009F71AD" w:rsidP="00C054CC">
            <w:r w:rsidRPr="001703CF">
              <w:t>Variance between actual and forecast cost, excluding contingency, for the government program</w:t>
            </w:r>
          </w:p>
        </w:tc>
        <w:tc>
          <w:tcPr>
            <w:tcW w:w="1311" w:type="dxa"/>
            <w:tcMar>
              <w:top w:w="170" w:type="dxa"/>
              <w:left w:w="170" w:type="dxa"/>
              <w:bottom w:w="170" w:type="dxa"/>
              <w:right w:w="170" w:type="dxa"/>
            </w:tcMar>
          </w:tcPr>
          <w:p w14:paraId="21006924" w14:textId="77777777" w:rsidR="009F71AD" w:rsidRPr="001703CF" w:rsidRDefault="009F71AD" w:rsidP="00C054CC">
            <w:r w:rsidRPr="001703CF">
              <w:t>≤+/-10%</w:t>
            </w:r>
          </w:p>
        </w:tc>
        <w:tc>
          <w:tcPr>
            <w:tcW w:w="1311" w:type="dxa"/>
            <w:tcMar>
              <w:top w:w="170" w:type="dxa"/>
              <w:left w:w="170" w:type="dxa"/>
              <w:bottom w:w="170" w:type="dxa"/>
              <w:right w:w="170" w:type="dxa"/>
            </w:tcMar>
          </w:tcPr>
          <w:p w14:paraId="27CE55C2" w14:textId="77777777" w:rsidR="009F71AD" w:rsidRPr="001703CF" w:rsidRDefault="009F71AD" w:rsidP="00C054CC">
            <w:r w:rsidRPr="001703CF">
              <w:t>≤+/-10%</w:t>
            </w:r>
          </w:p>
        </w:tc>
        <w:tc>
          <w:tcPr>
            <w:tcW w:w="1311" w:type="dxa"/>
            <w:tcMar>
              <w:top w:w="170" w:type="dxa"/>
              <w:left w:w="170" w:type="dxa"/>
              <w:bottom w:w="170" w:type="dxa"/>
              <w:right w:w="170" w:type="dxa"/>
            </w:tcMar>
          </w:tcPr>
          <w:p w14:paraId="31BCB87D" w14:textId="77777777" w:rsidR="009F71AD" w:rsidRPr="001703CF" w:rsidRDefault="009F71AD" w:rsidP="00C054CC">
            <w:r w:rsidRPr="001703CF">
              <w:t>≤+/-10%</w:t>
            </w:r>
          </w:p>
        </w:tc>
        <w:tc>
          <w:tcPr>
            <w:tcW w:w="1311" w:type="dxa"/>
            <w:tcMar>
              <w:top w:w="170" w:type="dxa"/>
              <w:left w:w="170" w:type="dxa"/>
              <w:bottom w:w="170" w:type="dxa"/>
              <w:right w:w="170" w:type="dxa"/>
            </w:tcMar>
          </w:tcPr>
          <w:p w14:paraId="2FFE520D" w14:textId="77777777" w:rsidR="009F71AD" w:rsidRPr="001703CF" w:rsidRDefault="009F71AD" w:rsidP="00C054CC">
            <w:r w:rsidRPr="001703CF">
              <w:t>≤+/-10%</w:t>
            </w:r>
          </w:p>
        </w:tc>
      </w:tr>
      <w:tr w:rsidR="009F71AD" w:rsidRPr="001703CF" w14:paraId="3E4BB0B8" w14:textId="77777777" w:rsidTr="00C054CC">
        <w:trPr>
          <w:trHeight w:val="60"/>
        </w:trPr>
        <w:tc>
          <w:tcPr>
            <w:tcW w:w="4394" w:type="dxa"/>
            <w:shd w:val="solid" w:color="FEB403" w:fill="auto"/>
            <w:tcMar>
              <w:top w:w="170" w:type="dxa"/>
              <w:left w:w="170" w:type="dxa"/>
              <w:bottom w:w="170" w:type="dxa"/>
              <w:right w:w="170" w:type="dxa"/>
            </w:tcMar>
          </w:tcPr>
          <w:p w14:paraId="40286DD0" w14:textId="77777777" w:rsidR="009F71AD" w:rsidRPr="001703CF" w:rsidRDefault="009F71AD" w:rsidP="00C054CC">
            <w:r w:rsidRPr="001703CF">
              <w:t>Variance between actual and forecast cost, excluding contingency, for the residential program</w:t>
            </w:r>
          </w:p>
        </w:tc>
        <w:tc>
          <w:tcPr>
            <w:tcW w:w="1311" w:type="dxa"/>
            <w:tcMar>
              <w:top w:w="170" w:type="dxa"/>
              <w:left w:w="170" w:type="dxa"/>
              <w:bottom w:w="170" w:type="dxa"/>
              <w:right w:w="170" w:type="dxa"/>
            </w:tcMar>
          </w:tcPr>
          <w:p w14:paraId="6A09A43E" w14:textId="77777777" w:rsidR="009F71AD" w:rsidRPr="001703CF" w:rsidRDefault="009F71AD" w:rsidP="00C054CC">
            <w:r w:rsidRPr="001703CF">
              <w:t>≤+/-10%</w:t>
            </w:r>
          </w:p>
        </w:tc>
        <w:tc>
          <w:tcPr>
            <w:tcW w:w="1311" w:type="dxa"/>
            <w:tcMar>
              <w:top w:w="170" w:type="dxa"/>
              <w:left w:w="170" w:type="dxa"/>
              <w:bottom w:w="170" w:type="dxa"/>
              <w:right w:w="170" w:type="dxa"/>
            </w:tcMar>
          </w:tcPr>
          <w:p w14:paraId="0EEEDD01" w14:textId="77777777" w:rsidR="009F71AD" w:rsidRPr="001703CF" w:rsidRDefault="009F71AD" w:rsidP="00C054CC">
            <w:r w:rsidRPr="001703CF">
              <w:t>≤+/-10%</w:t>
            </w:r>
          </w:p>
        </w:tc>
        <w:tc>
          <w:tcPr>
            <w:tcW w:w="1311" w:type="dxa"/>
            <w:tcMar>
              <w:top w:w="170" w:type="dxa"/>
              <w:left w:w="170" w:type="dxa"/>
              <w:bottom w:w="170" w:type="dxa"/>
              <w:right w:w="170" w:type="dxa"/>
            </w:tcMar>
          </w:tcPr>
          <w:p w14:paraId="7CA13A37" w14:textId="77777777" w:rsidR="009F71AD" w:rsidRPr="001703CF" w:rsidRDefault="009F71AD" w:rsidP="00C054CC">
            <w:r w:rsidRPr="001703CF">
              <w:t>≤+/-10%</w:t>
            </w:r>
          </w:p>
        </w:tc>
        <w:tc>
          <w:tcPr>
            <w:tcW w:w="1311" w:type="dxa"/>
            <w:tcMar>
              <w:top w:w="170" w:type="dxa"/>
              <w:left w:w="170" w:type="dxa"/>
              <w:bottom w:w="170" w:type="dxa"/>
              <w:right w:w="170" w:type="dxa"/>
            </w:tcMar>
          </w:tcPr>
          <w:p w14:paraId="50433B6D" w14:textId="77777777" w:rsidR="009F71AD" w:rsidRPr="001703CF" w:rsidRDefault="009F71AD" w:rsidP="00C054CC">
            <w:r w:rsidRPr="001703CF">
              <w:t>≤+/-10%</w:t>
            </w:r>
          </w:p>
        </w:tc>
      </w:tr>
      <w:tr w:rsidR="009F71AD" w:rsidRPr="001703CF" w14:paraId="1533F714" w14:textId="77777777" w:rsidTr="00C054CC">
        <w:trPr>
          <w:trHeight w:val="60"/>
        </w:trPr>
        <w:tc>
          <w:tcPr>
            <w:tcW w:w="4394" w:type="dxa"/>
            <w:shd w:val="solid" w:color="FEB403" w:fill="auto"/>
            <w:tcMar>
              <w:top w:w="170" w:type="dxa"/>
              <w:left w:w="170" w:type="dxa"/>
              <w:bottom w:w="170" w:type="dxa"/>
              <w:right w:w="170" w:type="dxa"/>
            </w:tcMar>
          </w:tcPr>
          <w:p w14:paraId="78C760CD" w14:textId="77777777" w:rsidR="009F71AD" w:rsidRPr="001703CF" w:rsidRDefault="009F71AD" w:rsidP="00C054CC">
            <w:r w:rsidRPr="001703CF">
              <w:t>Variance between actual cost and Cost Plan C estimate for all buildings, including for original builders</w:t>
            </w:r>
          </w:p>
        </w:tc>
        <w:tc>
          <w:tcPr>
            <w:tcW w:w="1311" w:type="dxa"/>
            <w:tcMar>
              <w:top w:w="170" w:type="dxa"/>
              <w:left w:w="170" w:type="dxa"/>
              <w:bottom w:w="170" w:type="dxa"/>
              <w:right w:w="170" w:type="dxa"/>
            </w:tcMar>
          </w:tcPr>
          <w:p w14:paraId="13D99023" w14:textId="77777777" w:rsidR="009F71AD" w:rsidRPr="001703CF" w:rsidRDefault="009F71AD" w:rsidP="00C054CC">
            <w:r w:rsidRPr="001703CF">
              <w:t>–20%</w:t>
            </w:r>
          </w:p>
        </w:tc>
        <w:tc>
          <w:tcPr>
            <w:tcW w:w="1311" w:type="dxa"/>
            <w:tcMar>
              <w:top w:w="170" w:type="dxa"/>
              <w:left w:w="170" w:type="dxa"/>
              <w:bottom w:w="170" w:type="dxa"/>
              <w:right w:w="170" w:type="dxa"/>
            </w:tcMar>
          </w:tcPr>
          <w:p w14:paraId="1C7B4557" w14:textId="77777777" w:rsidR="009F71AD" w:rsidRPr="001703CF" w:rsidRDefault="009F71AD" w:rsidP="00C054CC">
            <w:r w:rsidRPr="001703CF">
              <w:t>–20%</w:t>
            </w:r>
          </w:p>
        </w:tc>
        <w:tc>
          <w:tcPr>
            <w:tcW w:w="1311" w:type="dxa"/>
            <w:tcMar>
              <w:top w:w="170" w:type="dxa"/>
              <w:left w:w="170" w:type="dxa"/>
              <w:bottom w:w="170" w:type="dxa"/>
              <w:right w:w="170" w:type="dxa"/>
            </w:tcMar>
          </w:tcPr>
          <w:p w14:paraId="401FDE0B" w14:textId="77777777" w:rsidR="009F71AD" w:rsidRPr="001703CF" w:rsidRDefault="009F71AD" w:rsidP="00C054CC">
            <w:r w:rsidRPr="001703CF">
              <w:t>–20%</w:t>
            </w:r>
          </w:p>
        </w:tc>
        <w:tc>
          <w:tcPr>
            <w:tcW w:w="1311" w:type="dxa"/>
            <w:tcMar>
              <w:top w:w="170" w:type="dxa"/>
              <w:left w:w="170" w:type="dxa"/>
              <w:bottom w:w="170" w:type="dxa"/>
              <w:right w:w="170" w:type="dxa"/>
            </w:tcMar>
          </w:tcPr>
          <w:p w14:paraId="219611C2" w14:textId="77777777" w:rsidR="009F71AD" w:rsidRPr="001703CF" w:rsidRDefault="009F71AD" w:rsidP="00C054CC">
            <w:r w:rsidRPr="001703CF">
              <w:t>–20%</w:t>
            </w:r>
          </w:p>
        </w:tc>
      </w:tr>
    </w:tbl>
    <w:p w14:paraId="059A6534" w14:textId="77777777" w:rsidR="009F71AD" w:rsidRPr="001703CF" w:rsidRDefault="009F71AD" w:rsidP="00C054CC">
      <w:r w:rsidRPr="001703CF">
        <w:t>* Subject to prioritisation of original builder buildings based on the risk prioritisation model</w:t>
      </w:r>
    </w:p>
    <w:p w14:paraId="0F293271" w14:textId="77777777" w:rsidR="009F71AD" w:rsidRPr="001703CF" w:rsidRDefault="009F71AD" w:rsidP="00C054CC">
      <w:pPr>
        <w:rPr>
          <w:i/>
          <w:iCs/>
        </w:rPr>
      </w:pPr>
      <w:r w:rsidRPr="001703CF">
        <w:t>^ This is a new measure, with the baseline to be established in 2020–21 and targets to be set for future years</w:t>
      </w:r>
    </w:p>
    <w:p w14:paraId="3A80D585" w14:textId="77777777" w:rsidR="009F71AD" w:rsidRPr="001703CF" w:rsidRDefault="009F71AD" w:rsidP="00C054CC">
      <w:pPr>
        <w:pStyle w:val="Heading2"/>
      </w:pPr>
      <w:bookmarkStart w:id="12" w:name="_Toc88132882"/>
      <w:r w:rsidRPr="001703CF">
        <w:t>Strategic Initiatives</w:t>
      </w:r>
      <w:bookmarkEnd w:id="12"/>
    </w:p>
    <w:p w14:paraId="7B8C1931" w14:textId="77777777" w:rsidR="009F71AD" w:rsidRPr="001703CF" w:rsidRDefault="009F71AD" w:rsidP="00C054CC">
      <w:pPr>
        <w:pStyle w:val="Heading3"/>
      </w:pPr>
      <w:bookmarkStart w:id="13" w:name="_Toc88132883"/>
      <w:r w:rsidRPr="001703CF">
        <w:t>Development of an evidence base to demonstrate the reduction in risk to the built environment as a result of addressing cladding issues</w:t>
      </w:r>
      <w:bookmarkEnd w:id="13"/>
    </w:p>
    <w:p w14:paraId="48AF70C0" w14:textId="77777777" w:rsidR="009F71AD" w:rsidRPr="001703CF" w:rsidRDefault="009F71AD" w:rsidP="00C054CC">
      <w:r w:rsidRPr="001703CF">
        <w:t xml:space="preserve">CSV is continually collecting data to support the development of robust and objective methodologies to enhance the efficiency of the delivery of the rectification program and to evaluate the effectiveness of program outcomes. This evidence base ensures that CSV is achieving its stated objectives of reducing combustible cladding risk and improving the safety of </w:t>
      </w:r>
      <w:proofErr w:type="gramStart"/>
      <w:r w:rsidRPr="001703CF">
        <w:t>buildings, and</w:t>
      </w:r>
      <w:proofErr w:type="gramEnd"/>
      <w:r w:rsidRPr="001703CF">
        <w:t xml:space="preserve"> can also be used to inform the community of the success of the government’s risk reduction interventions. Beyond the lifespan of CSV’s program, it may further be used by government in the broader consideration of built environment risk and the design of future programs. This process will be an integral part of CSV’s approach to continuous improvement as the database grows and feedback from </w:t>
      </w:r>
      <w:proofErr w:type="gramStart"/>
      <w:r w:rsidRPr="001703CF">
        <w:t>owners</w:t>
      </w:r>
      <w:proofErr w:type="gramEnd"/>
      <w:r w:rsidRPr="001703CF">
        <w:t xml:space="preserve"> corporations and other stakeholders will help refine and improve CSV’s processes and rectification strategies/methodologies.</w:t>
      </w:r>
    </w:p>
    <w:p w14:paraId="0D854AA6" w14:textId="77777777" w:rsidR="009F71AD" w:rsidRPr="001703CF" w:rsidRDefault="009F71AD" w:rsidP="00C054CC">
      <w:pPr>
        <w:pStyle w:val="Heading4"/>
      </w:pPr>
      <w:r w:rsidRPr="001703CF">
        <w:t>What will we deliver in 2021–22?</w:t>
      </w:r>
    </w:p>
    <w:p w14:paraId="4D8D6E10" w14:textId="77777777" w:rsidR="009F71AD" w:rsidRPr="001703CF" w:rsidRDefault="009F71AD" w:rsidP="00C054CC">
      <w:r w:rsidRPr="001703CF">
        <w:t>CSV, in association with CSIRO, will undertake Stage 3 of the risk prioritisation work and develop a cladding risk likelihood framework. This framework will enable CSV to commence collating and capturing the required datasets that will be critical to the development of a risk co-efficient of each building’s intervention and determine the aggregate likelihood and consequence reduction through the targeted building activities.</w:t>
      </w:r>
    </w:p>
    <w:p w14:paraId="45C438A6" w14:textId="77777777" w:rsidR="009F71AD" w:rsidRPr="001703CF" w:rsidRDefault="009F71AD" w:rsidP="00C054CC">
      <w:pPr>
        <w:pStyle w:val="Heading3"/>
      </w:pPr>
      <w:bookmarkStart w:id="14" w:name="_Toc88132884"/>
      <w:r w:rsidRPr="001703CF">
        <w:t>Contribution to the development of new legislation, regulations and standards relating to cladding</w:t>
      </w:r>
      <w:bookmarkEnd w:id="14"/>
    </w:p>
    <w:p w14:paraId="13BE142B" w14:textId="77777777" w:rsidR="009F71AD" w:rsidRPr="001703CF" w:rsidRDefault="009F71AD" w:rsidP="00C054CC">
      <w:r w:rsidRPr="001703CF">
        <w:lastRenderedPageBreak/>
        <w:t>Through the delivery of its programs and extensive engagement with industry and community stakeholders, CSV has developed a deep understanding of cladding-related issues and significant expertise in establishing practical solutions to the risks posed by combustible cladding. In working collaboratively with the bodies who are responsible for reviewing Victoria’s building regulatory framework by sharing information and contributing to government submissions and reports, CSV can act as an agent of change and a positive contributor to the long-term reform strategy for the construction industry.</w:t>
      </w:r>
    </w:p>
    <w:p w14:paraId="7E18839E" w14:textId="77777777" w:rsidR="009F71AD" w:rsidRPr="001703CF" w:rsidRDefault="009F71AD" w:rsidP="00C054CC">
      <w:pPr>
        <w:pStyle w:val="Heading4"/>
      </w:pPr>
      <w:r w:rsidRPr="001703CF">
        <w:t>What will we deliver in 2021–22?</w:t>
      </w:r>
    </w:p>
    <w:p w14:paraId="0D7E47FA" w14:textId="77777777" w:rsidR="009F71AD" w:rsidRPr="001703CF" w:rsidRDefault="009F71AD" w:rsidP="00C054CC">
      <w:r w:rsidRPr="001703CF">
        <w:t>CSV will document lessons learned through the delivery of the rectification program and share key insights with Victorian Government stakeholders, as well as interstate governments that are grappling with similar issues and have indicated a desire to learn from our work. CSV will also continue to provide feedback on the government’s strategic policy reforms and work collegiately to identify opportunities to make legislative improvements.</w:t>
      </w:r>
    </w:p>
    <w:p w14:paraId="409BF3CC" w14:textId="77777777" w:rsidR="009F71AD" w:rsidRPr="001703CF" w:rsidRDefault="009F71AD" w:rsidP="00071FD0">
      <w:pPr>
        <w:pStyle w:val="Heading1"/>
      </w:pPr>
      <w:bookmarkStart w:id="15" w:name="_Toc88132885"/>
      <w:r w:rsidRPr="001703CF">
        <w:t xml:space="preserve">Outcome 2: Owners corporations </w:t>
      </w:r>
      <w:r w:rsidRPr="001703CF">
        <w:rPr>
          <w:spacing w:val="-10"/>
        </w:rPr>
        <w:t>participating in the rectification program,</w:t>
      </w:r>
      <w:r w:rsidRPr="001703CF">
        <w:t xml:space="preserve"> as well as the wider Victorian community, are well-informed about cladding risk</w:t>
      </w:r>
      <w:bookmarkEnd w:id="15"/>
    </w:p>
    <w:p w14:paraId="39E4B8DE" w14:textId="77777777" w:rsidR="009F71AD" w:rsidRPr="00CC1AA2" w:rsidRDefault="009F71AD" w:rsidP="00C054CC">
      <w:r w:rsidRPr="00CC1AA2">
        <w:t xml:space="preserve">The community has a critical role to play in preserving the safety of buildings that contain combustible cladding. </w:t>
      </w:r>
    </w:p>
    <w:p w14:paraId="1694FBBC" w14:textId="77777777" w:rsidR="009F71AD" w:rsidRPr="00CC1AA2" w:rsidRDefault="009F71AD" w:rsidP="00C054CC">
      <w:r w:rsidRPr="00CC1AA2">
        <w:t xml:space="preserve">CSV produces resources and undertakes engagement activities to ensure that the community has access to information about cladding risk and its implications for households exposed to fire risk in domestic and public settings. </w:t>
      </w:r>
    </w:p>
    <w:p w14:paraId="6C8A2207" w14:textId="77777777" w:rsidR="009F71AD" w:rsidRPr="00CC1AA2" w:rsidRDefault="009F71AD" w:rsidP="00C054CC">
      <w:r w:rsidRPr="00CC1AA2">
        <w:t xml:space="preserve">CSV also works closely with </w:t>
      </w:r>
      <w:proofErr w:type="gramStart"/>
      <w:r w:rsidRPr="00CC1AA2">
        <w:t>owners</w:t>
      </w:r>
      <w:proofErr w:type="gramEnd"/>
      <w:r w:rsidRPr="00CC1AA2">
        <w:t xml:space="preserve"> corporations participating in the rectification program to ensure that they are fully informed about the rectification process and the steps they can take to protect their buildings. In addition, CSV regularly distributes information about the importance of fire safety and practical advice and safety tips for circulation to residents.</w:t>
      </w:r>
    </w:p>
    <w:p w14:paraId="0A48525E" w14:textId="77777777" w:rsidR="009F71AD" w:rsidRPr="001703CF" w:rsidRDefault="009F71AD" w:rsidP="00C054CC">
      <w:pPr>
        <w:pStyle w:val="Heading2"/>
      </w:pPr>
      <w:bookmarkStart w:id="16" w:name="_Toc88132886"/>
      <w:r w:rsidRPr="001703CF">
        <w:t>Outcome Indicator and Measure</w:t>
      </w:r>
      <w:bookmarkEnd w:id="16"/>
    </w:p>
    <w:p w14:paraId="138CA250" w14:textId="77777777" w:rsidR="009F71AD" w:rsidRPr="001703CF" w:rsidRDefault="009F71AD" w:rsidP="00C054CC">
      <w:r w:rsidRPr="001703CF">
        <w:t>Our progress towards achieving this outcome will be measured through the following outcome indicator and measure.</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listing outcome indicator and outcome measures"/>
        <w:tblDescription w:val="Table outlining outcome indicator and outcome measures across the four quarters of the year."/>
      </w:tblPr>
      <w:tblGrid>
        <w:gridCol w:w="2832"/>
        <w:gridCol w:w="1989"/>
        <w:gridCol w:w="1989"/>
        <w:gridCol w:w="1989"/>
        <w:gridCol w:w="1991"/>
      </w:tblGrid>
      <w:tr w:rsidR="009F71AD" w:rsidRPr="001703CF" w14:paraId="3E8E8578" w14:textId="77777777" w:rsidTr="00C054CC">
        <w:trPr>
          <w:trHeight w:val="60"/>
        </w:trPr>
        <w:tc>
          <w:tcPr>
            <w:tcW w:w="2529" w:type="dxa"/>
            <w:shd w:val="solid" w:color="FEB403" w:fill="auto"/>
            <w:tcMar>
              <w:top w:w="170" w:type="dxa"/>
              <w:left w:w="170" w:type="dxa"/>
              <w:bottom w:w="170" w:type="dxa"/>
              <w:right w:w="170" w:type="dxa"/>
            </w:tcMar>
          </w:tcPr>
          <w:p w14:paraId="153B9974" w14:textId="77777777" w:rsidR="009F71AD" w:rsidRPr="001703CF" w:rsidRDefault="009F71AD" w:rsidP="00C054CC">
            <w:r w:rsidRPr="001703CF">
              <w:rPr>
                <w:rStyle w:val="Medium"/>
              </w:rPr>
              <w:t>Outcome Indicator</w:t>
            </w:r>
          </w:p>
        </w:tc>
        <w:tc>
          <w:tcPr>
            <w:tcW w:w="7109" w:type="dxa"/>
            <w:gridSpan w:val="4"/>
            <w:tcMar>
              <w:top w:w="170" w:type="dxa"/>
              <w:left w:w="170" w:type="dxa"/>
              <w:bottom w:w="170" w:type="dxa"/>
              <w:right w:w="170" w:type="dxa"/>
            </w:tcMar>
          </w:tcPr>
          <w:p w14:paraId="2A7AA812" w14:textId="77777777" w:rsidR="009F71AD" w:rsidRPr="001703CF" w:rsidRDefault="009F71AD" w:rsidP="00C054CC">
            <w:r w:rsidRPr="001703CF">
              <w:t xml:space="preserve">Enhanced awareness of the Victorian community and participating </w:t>
            </w:r>
            <w:proofErr w:type="gramStart"/>
            <w:r w:rsidRPr="001703CF">
              <w:t>owners</w:t>
            </w:r>
            <w:proofErr w:type="gramEnd"/>
            <w:r w:rsidRPr="001703CF">
              <w:t xml:space="preserve"> corporations about cladding fire safety risk and the rectification program</w:t>
            </w:r>
          </w:p>
        </w:tc>
      </w:tr>
      <w:tr w:rsidR="009F71AD" w:rsidRPr="001703CF" w14:paraId="3A82914B" w14:textId="77777777" w:rsidTr="00C054CC">
        <w:trPr>
          <w:trHeight w:val="542"/>
        </w:trPr>
        <w:tc>
          <w:tcPr>
            <w:tcW w:w="2529" w:type="dxa"/>
            <w:shd w:val="solid" w:color="FEB403" w:fill="auto"/>
            <w:tcMar>
              <w:top w:w="170" w:type="dxa"/>
              <w:left w:w="170" w:type="dxa"/>
              <w:bottom w:w="170" w:type="dxa"/>
              <w:right w:w="170" w:type="dxa"/>
            </w:tcMar>
          </w:tcPr>
          <w:p w14:paraId="7CA318A5" w14:textId="77777777" w:rsidR="009F71AD" w:rsidRPr="001703CF" w:rsidRDefault="009F71AD" w:rsidP="00C054CC">
            <w:r w:rsidRPr="001703CF">
              <w:rPr>
                <w:rStyle w:val="Medium"/>
              </w:rPr>
              <w:t>Outcome Measure</w:t>
            </w:r>
          </w:p>
        </w:tc>
        <w:tc>
          <w:tcPr>
            <w:tcW w:w="7109" w:type="dxa"/>
            <w:gridSpan w:val="4"/>
            <w:tcMar>
              <w:top w:w="170" w:type="dxa"/>
              <w:left w:w="170" w:type="dxa"/>
              <w:bottom w:w="170" w:type="dxa"/>
              <w:right w:w="170" w:type="dxa"/>
            </w:tcMar>
          </w:tcPr>
          <w:p w14:paraId="17F559CB" w14:textId="77777777" w:rsidR="009F71AD" w:rsidRPr="001703CF" w:rsidRDefault="009F71AD" w:rsidP="00C054CC">
            <w:r w:rsidRPr="001703CF">
              <w:t xml:space="preserve">Satisfaction rating for participating </w:t>
            </w:r>
            <w:proofErr w:type="gramStart"/>
            <w:r w:rsidRPr="001703CF">
              <w:t>owners</w:t>
            </w:r>
            <w:proofErr w:type="gramEnd"/>
            <w:r w:rsidRPr="001703CF">
              <w:t xml:space="preserve"> corporations *</w:t>
            </w:r>
          </w:p>
        </w:tc>
      </w:tr>
      <w:tr w:rsidR="009F71AD" w:rsidRPr="001703CF" w14:paraId="3A0EEDBE" w14:textId="77777777" w:rsidTr="00C054CC">
        <w:trPr>
          <w:trHeight w:val="60"/>
        </w:trPr>
        <w:tc>
          <w:tcPr>
            <w:tcW w:w="2529" w:type="dxa"/>
            <w:shd w:val="solid" w:color="FEB403" w:fill="auto"/>
            <w:tcMar>
              <w:top w:w="170" w:type="dxa"/>
              <w:left w:w="170" w:type="dxa"/>
              <w:bottom w:w="170" w:type="dxa"/>
              <w:right w:w="170" w:type="dxa"/>
            </w:tcMar>
          </w:tcPr>
          <w:p w14:paraId="3E0CCE33" w14:textId="77777777" w:rsidR="009F71AD" w:rsidRPr="001703CF" w:rsidRDefault="009F71AD" w:rsidP="00C054CC">
            <w:r w:rsidRPr="001703CF">
              <w:rPr>
                <w:rStyle w:val="Medium"/>
              </w:rPr>
              <w:t>2021–22 Target</w:t>
            </w:r>
          </w:p>
        </w:tc>
        <w:tc>
          <w:tcPr>
            <w:tcW w:w="1777" w:type="dxa"/>
            <w:tcMar>
              <w:top w:w="170" w:type="dxa"/>
              <w:left w:w="170" w:type="dxa"/>
              <w:bottom w:w="170" w:type="dxa"/>
              <w:right w:w="170" w:type="dxa"/>
            </w:tcMar>
          </w:tcPr>
          <w:p w14:paraId="0C4F6035" w14:textId="77777777" w:rsidR="009F71AD" w:rsidRPr="001703CF" w:rsidRDefault="009F71AD" w:rsidP="00C054CC">
            <w:r w:rsidRPr="001703CF">
              <w:rPr>
                <w:rStyle w:val="Semibold"/>
              </w:rPr>
              <w:t>Quarter 1</w:t>
            </w:r>
          </w:p>
        </w:tc>
        <w:tc>
          <w:tcPr>
            <w:tcW w:w="1777" w:type="dxa"/>
            <w:tcMar>
              <w:top w:w="170" w:type="dxa"/>
              <w:left w:w="170" w:type="dxa"/>
              <w:bottom w:w="170" w:type="dxa"/>
              <w:right w:w="170" w:type="dxa"/>
            </w:tcMar>
          </w:tcPr>
          <w:p w14:paraId="5C2A9763" w14:textId="77777777" w:rsidR="009F71AD" w:rsidRPr="001703CF" w:rsidRDefault="009F71AD" w:rsidP="00C054CC">
            <w:r w:rsidRPr="001703CF">
              <w:rPr>
                <w:rStyle w:val="Semibold"/>
              </w:rPr>
              <w:t>Quarter 2</w:t>
            </w:r>
          </w:p>
        </w:tc>
        <w:tc>
          <w:tcPr>
            <w:tcW w:w="1777" w:type="dxa"/>
            <w:tcMar>
              <w:top w:w="170" w:type="dxa"/>
              <w:left w:w="170" w:type="dxa"/>
              <w:bottom w:w="170" w:type="dxa"/>
              <w:right w:w="170" w:type="dxa"/>
            </w:tcMar>
          </w:tcPr>
          <w:p w14:paraId="68FE8B67" w14:textId="77777777" w:rsidR="009F71AD" w:rsidRPr="001703CF" w:rsidRDefault="009F71AD" w:rsidP="00C054CC">
            <w:r w:rsidRPr="001703CF">
              <w:rPr>
                <w:rStyle w:val="Semibold"/>
              </w:rPr>
              <w:t>Quarter 3</w:t>
            </w:r>
          </w:p>
        </w:tc>
        <w:tc>
          <w:tcPr>
            <w:tcW w:w="1778" w:type="dxa"/>
            <w:tcMar>
              <w:top w:w="170" w:type="dxa"/>
              <w:left w:w="170" w:type="dxa"/>
              <w:bottom w:w="170" w:type="dxa"/>
              <w:right w:w="170" w:type="dxa"/>
            </w:tcMar>
          </w:tcPr>
          <w:p w14:paraId="0836D17A" w14:textId="77777777" w:rsidR="009F71AD" w:rsidRPr="001703CF" w:rsidRDefault="009F71AD" w:rsidP="00C054CC">
            <w:r w:rsidRPr="001703CF">
              <w:rPr>
                <w:rStyle w:val="Semibold"/>
              </w:rPr>
              <w:t>Quarter 4</w:t>
            </w:r>
          </w:p>
        </w:tc>
      </w:tr>
      <w:tr w:rsidR="009F71AD" w:rsidRPr="001703CF" w14:paraId="31C30E5D" w14:textId="77777777" w:rsidTr="00C054CC">
        <w:trPr>
          <w:trHeight w:val="540"/>
        </w:trPr>
        <w:tc>
          <w:tcPr>
            <w:tcW w:w="2529" w:type="dxa"/>
            <w:shd w:val="solid" w:color="FEB403" w:fill="auto"/>
            <w:tcMar>
              <w:top w:w="170" w:type="dxa"/>
              <w:left w:w="170" w:type="dxa"/>
              <w:bottom w:w="170" w:type="dxa"/>
              <w:right w:w="170" w:type="dxa"/>
            </w:tcMar>
          </w:tcPr>
          <w:p w14:paraId="69C3633E" w14:textId="77777777" w:rsidR="009F71AD" w:rsidRPr="001703CF" w:rsidRDefault="009F71AD" w:rsidP="00C054CC"/>
        </w:tc>
        <w:tc>
          <w:tcPr>
            <w:tcW w:w="1777" w:type="dxa"/>
            <w:tcMar>
              <w:top w:w="170" w:type="dxa"/>
              <w:left w:w="170" w:type="dxa"/>
              <w:bottom w:w="170" w:type="dxa"/>
              <w:right w:w="170" w:type="dxa"/>
            </w:tcMar>
          </w:tcPr>
          <w:p w14:paraId="07C33DD5" w14:textId="77777777" w:rsidR="009F71AD" w:rsidRPr="001703CF" w:rsidRDefault="009F71AD" w:rsidP="00C054CC">
            <w:r w:rsidRPr="001703CF">
              <w:rPr>
                <w:rStyle w:val="Semibold"/>
                <w:b w:val="0"/>
                <w:bCs w:val="0"/>
              </w:rPr>
              <w:t>N/A</w:t>
            </w:r>
          </w:p>
        </w:tc>
        <w:tc>
          <w:tcPr>
            <w:tcW w:w="1777" w:type="dxa"/>
            <w:tcMar>
              <w:top w:w="170" w:type="dxa"/>
              <w:left w:w="170" w:type="dxa"/>
              <w:bottom w:w="170" w:type="dxa"/>
              <w:right w:w="170" w:type="dxa"/>
            </w:tcMar>
          </w:tcPr>
          <w:p w14:paraId="6827D4F7" w14:textId="77777777" w:rsidR="009F71AD" w:rsidRPr="001703CF" w:rsidRDefault="009F71AD" w:rsidP="00C054CC">
            <w:r w:rsidRPr="001703CF">
              <w:rPr>
                <w:rStyle w:val="Semibold"/>
                <w:b w:val="0"/>
                <w:bCs w:val="0"/>
              </w:rPr>
              <w:t>N/A</w:t>
            </w:r>
          </w:p>
        </w:tc>
        <w:tc>
          <w:tcPr>
            <w:tcW w:w="1777" w:type="dxa"/>
            <w:tcMar>
              <w:top w:w="170" w:type="dxa"/>
              <w:left w:w="170" w:type="dxa"/>
              <w:bottom w:w="170" w:type="dxa"/>
              <w:right w:w="170" w:type="dxa"/>
            </w:tcMar>
          </w:tcPr>
          <w:p w14:paraId="5B21F799" w14:textId="77777777" w:rsidR="009F71AD" w:rsidRPr="001703CF" w:rsidRDefault="009F71AD" w:rsidP="00C054CC">
            <w:r w:rsidRPr="001703CF">
              <w:rPr>
                <w:rStyle w:val="Semibold"/>
                <w:b w:val="0"/>
                <w:bCs w:val="0"/>
              </w:rPr>
              <w:t>N/A</w:t>
            </w:r>
          </w:p>
        </w:tc>
        <w:tc>
          <w:tcPr>
            <w:tcW w:w="1778" w:type="dxa"/>
            <w:tcMar>
              <w:top w:w="170" w:type="dxa"/>
              <w:left w:w="170" w:type="dxa"/>
              <w:bottom w:w="170" w:type="dxa"/>
              <w:right w:w="170" w:type="dxa"/>
            </w:tcMar>
          </w:tcPr>
          <w:p w14:paraId="412489B0" w14:textId="77777777" w:rsidR="009F71AD" w:rsidRPr="001703CF" w:rsidRDefault="009F71AD" w:rsidP="00C054CC">
            <w:r w:rsidRPr="001703CF">
              <w:rPr>
                <w:rStyle w:val="Semibold"/>
                <w:b w:val="0"/>
                <w:bCs w:val="0"/>
              </w:rPr>
              <w:t>≥80%</w:t>
            </w:r>
          </w:p>
        </w:tc>
      </w:tr>
      <w:tr w:rsidR="009F71AD" w:rsidRPr="001703CF" w14:paraId="260DD7AA" w14:textId="77777777" w:rsidTr="00C054CC">
        <w:trPr>
          <w:trHeight w:val="540"/>
        </w:trPr>
        <w:tc>
          <w:tcPr>
            <w:tcW w:w="2529" w:type="dxa"/>
            <w:shd w:val="solid" w:color="FEB403" w:fill="auto"/>
            <w:tcMar>
              <w:top w:w="170" w:type="dxa"/>
              <w:left w:w="170" w:type="dxa"/>
              <w:bottom w:w="170" w:type="dxa"/>
              <w:right w:w="170" w:type="dxa"/>
            </w:tcMar>
          </w:tcPr>
          <w:p w14:paraId="230ACF11" w14:textId="77777777" w:rsidR="009F71AD" w:rsidRPr="001703CF" w:rsidRDefault="009F71AD" w:rsidP="00C054CC">
            <w:r w:rsidRPr="001703CF">
              <w:rPr>
                <w:rStyle w:val="Medium"/>
              </w:rPr>
              <w:t>Outcome Measure</w:t>
            </w:r>
          </w:p>
        </w:tc>
        <w:tc>
          <w:tcPr>
            <w:tcW w:w="7109" w:type="dxa"/>
            <w:gridSpan w:val="4"/>
            <w:tcMar>
              <w:top w:w="170" w:type="dxa"/>
              <w:left w:w="170" w:type="dxa"/>
              <w:bottom w:w="170" w:type="dxa"/>
              <w:right w:w="170" w:type="dxa"/>
            </w:tcMar>
          </w:tcPr>
          <w:p w14:paraId="70B68B60" w14:textId="77777777" w:rsidR="009F71AD" w:rsidRPr="001703CF" w:rsidRDefault="009F71AD" w:rsidP="00C054CC">
            <w:r w:rsidRPr="001703CF">
              <w:t>Engagement rates for community information campaigns ^</w:t>
            </w:r>
          </w:p>
        </w:tc>
      </w:tr>
      <w:tr w:rsidR="009F71AD" w:rsidRPr="001703CF" w14:paraId="4196A723" w14:textId="77777777" w:rsidTr="00C054CC">
        <w:trPr>
          <w:trHeight w:val="540"/>
        </w:trPr>
        <w:tc>
          <w:tcPr>
            <w:tcW w:w="2529" w:type="dxa"/>
            <w:shd w:val="solid" w:color="FEB403" w:fill="auto"/>
            <w:tcMar>
              <w:top w:w="170" w:type="dxa"/>
              <w:left w:w="170" w:type="dxa"/>
              <w:bottom w:w="170" w:type="dxa"/>
              <w:right w:w="170" w:type="dxa"/>
            </w:tcMar>
          </w:tcPr>
          <w:p w14:paraId="7C175CE9" w14:textId="77777777" w:rsidR="009F71AD" w:rsidRPr="001703CF" w:rsidRDefault="009F71AD" w:rsidP="00C054CC">
            <w:r w:rsidRPr="001703CF">
              <w:rPr>
                <w:rStyle w:val="Medium"/>
              </w:rPr>
              <w:t>2021–22 Target</w:t>
            </w:r>
          </w:p>
        </w:tc>
        <w:tc>
          <w:tcPr>
            <w:tcW w:w="1777" w:type="dxa"/>
            <w:tcMar>
              <w:top w:w="170" w:type="dxa"/>
              <w:left w:w="170" w:type="dxa"/>
              <w:bottom w:w="170" w:type="dxa"/>
              <w:right w:w="170" w:type="dxa"/>
            </w:tcMar>
          </w:tcPr>
          <w:p w14:paraId="275453C7" w14:textId="77777777" w:rsidR="009F71AD" w:rsidRPr="001703CF" w:rsidRDefault="009F71AD" w:rsidP="00C054CC">
            <w:r w:rsidRPr="001703CF">
              <w:rPr>
                <w:rStyle w:val="Semibold"/>
              </w:rPr>
              <w:t>Quarter 1</w:t>
            </w:r>
          </w:p>
        </w:tc>
        <w:tc>
          <w:tcPr>
            <w:tcW w:w="1777" w:type="dxa"/>
            <w:tcMar>
              <w:top w:w="170" w:type="dxa"/>
              <w:left w:w="170" w:type="dxa"/>
              <w:bottom w:w="170" w:type="dxa"/>
              <w:right w:w="170" w:type="dxa"/>
            </w:tcMar>
          </w:tcPr>
          <w:p w14:paraId="691EB9F4" w14:textId="77777777" w:rsidR="009F71AD" w:rsidRPr="001703CF" w:rsidRDefault="009F71AD" w:rsidP="00C054CC">
            <w:r w:rsidRPr="001703CF">
              <w:rPr>
                <w:rStyle w:val="Semibold"/>
              </w:rPr>
              <w:t>Quarter 2</w:t>
            </w:r>
          </w:p>
        </w:tc>
        <w:tc>
          <w:tcPr>
            <w:tcW w:w="1777" w:type="dxa"/>
            <w:tcMar>
              <w:top w:w="170" w:type="dxa"/>
              <w:left w:w="170" w:type="dxa"/>
              <w:bottom w:w="170" w:type="dxa"/>
              <w:right w:w="170" w:type="dxa"/>
            </w:tcMar>
          </w:tcPr>
          <w:p w14:paraId="5AD0BC7A" w14:textId="77777777" w:rsidR="009F71AD" w:rsidRPr="001703CF" w:rsidRDefault="009F71AD" w:rsidP="00C054CC">
            <w:r w:rsidRPr="001703CF">
              <w:rPr>
                <w:rStyle w:val="Semibold"/>
              </w:rPr>
              <w:t>Quarter 3</w:t>
            </w:r>
          </w:p>
        </w:tc>
        <w:tc>
          <w:tcPr>
            <w:tcW w:w="1778" w:type="dxa"/>
            <w:tcMar>
              <w:top w:w="170" w:type="dxa"/>
              <w:left w:w="170" w:type="dxa"/>
              <w:bottom w:w="170" w:type="dxa"/>
              <w:right w:w="170" w:type="dxa"/>
            </w:tcMar>
          </w:tcPr>
          <w:p w14:paraId="14DB714F" w14:textId="77777777" w:rsidR="009F71AD" w:rsidRPr="001703CF" w:rsidRDefault="009F71AD" w:rsidP="00C054CC">
            <w:r w:rsidRPr="001703CF">
              <w:rPr>
                <w:rStyle w:val="Semibold"/>
              </w:rPr>
              <w:t>Quarter 4</w:t>
            </w:r>
          </w:p>
        </w:tc>
      </w:tr>
      <w:tr w:rsidR="009F71AD" w:rsidRPr="001703CF" w14:paraId="2B47A66F" w14:textId="77777777" w:rsidTr="00C054CC">
        <w:trPr>
          <w:trHeight w:val="60"/>
        </w:trPr>
        <w:tc>
          <w:tcPr>
            <w:tcW w:w="2529" w:type="dxa"/>
            <w:shd w:val="solid" w:color="FEB403" w:fill="auto"/>
            <w:tcMar>
              <w:top w:w="170" w:type="dxa"/>
              <w:left w:w="170" w:type="dxa"/>
              <w:bottom w:w="170" w:type="dxa"/>
              <w:right w:w="170" w:type="dxa"/>
            </w:tcMar>
          </w:tcPr>
          <w:p w14:paraId="4B96AF79" w14:textId="77777777" w:rsidR="009F71AD" w:rsidRPr="001703CF" w:rsidRDefault="009F71AD" w:rsidP="00C054CC"/>
        </w:tc>
        <w:tc>
          <w:tcPr>
            <w:tcW w:w="1777" w:type="dxa"/>
            <w:tcMar>
              <w:top w:w="170" w:type="dxa"/>
              <w:left w:w="170" w:type="dxa"/>
              <w:bottom w:w="170" w:type="dxa"/>
              <w:right w:w="170" w:type="dxa"/>
            </w:tcMar>
          </w:tcPr>
          <w:p w14:paraId="6ED692EA" w14:textId="77777777" w:rsidR="009F71AD" w:rsidRPr="001703CF" w:rsidRDefault="009F71AD" w:rsidP="00C054CC">
            <w:r w:rsidRPr="001703CF">
              <w:rPr>
                <w:rStyle w:val="Semibold"/>
                <w:b w:val="0"/>
                <w:bCs w:val="0"/>
              </w:rPr>
              <w:t>N/A</w:t>
            </w:r>
          </w:p>
        </w:tc>
        <w:tc>
          <w:tcPr>
            <w:tcW w:w="1777" w:type="dxa"/>
            <w:tcMar>
              <w:top w:w="170" w:type="dxa"/>
              <w:left w:w="170" w:type="dxa"/>
              <w:bottom w:w="170" w:type="dxa"/>
              <w:right w:w="170" w:type="dxa"/>
            </w:tcMar>
          </w:tcPr>
          <w:p w14:paraId="38CF12AB" w14:textId="77777777" w:rsidR="009F71AD" w:rsidRPr="001703CF" w:rsidRDefault="009F71AD" w:rsidP="00C054CC">
            <w:r w:rsidRPr="001703CF">
              <w:rPr>
                <w:rStyle w:val="Semibold"/>
                <w:b w:val="0"/>
                <w:bCs w:val="0"/>
              </w:rPr>
              <w:t>N/A</w:t>
            </w:r>
          </w:p>
        </w:tc>
        <w:tc>
          <w:tcPr>
            <w:tcW w:w="1777" w:type="dxa"/>
            <w:tcMar>
              <w:top w:w="170" w:type="dxa"/>
              <w:left w:w="170" w:type="dxa"/>
              <w:bottom w:w="170" w:type="dxa"/>
              <w:right w:w="170" w:type="dxa"/>
            </w:tcMar>
          </w:tcPr>
          <w:p w14:paraId="7B0C071B" w14:textId="77777777" w:rsidR="009F71AD" w:rsidRPr="001703CF" w:rsidRDefault="009F71AD" w:rsidP="00C054CC">
            <w:r w:rsidRPr="001703CF">
              <w:rPr>
                <w:rStyle w:val="Semibold"/>
                <w:b w:val="0"/>
                <w:bCs w:val="0"/>
              </w:rPr>
              <w:t>N/A</w:t>
            </w:r>
          </w:p>
        </w:tc>
        <w:tc>
          <w:tcPr>
            <w:tcW w:w="1778" w:type="dxa"/>
            <w:tcMar>
              <w:top w:w="170" w:type="dxa"/>
              <w:left w:w="170" w:type="dxa"/>
              <w:bottom w:w="170" w:type="dxa"/>
              <w:right w:w="170" w:type="dxa"/>
            </w:tcMar>
          </w:tcPr>
          <w:p w14:paraId="1779809C" w14:textId="77777777" w:rsidR="009F71AD" w:rsidRPr="001703CF" w:rsidRDefault="009F71AD" w:rsidP="00C054CC">
            <w:r w:rsidRPr="001703CF">
              <w:rPr>
                <w:rStyle w:val="Semibold"/>
                <w:b w:val="0"/>
                <w:bCs w:val="0"/>
              </w:rPr>
              <w:t>N/A</w:t>
            </w:r>
          </w:p>
        </w:tc>
      </w:tr>
    </w:tbl>
    <w:p w14:paraId="2F0809FA" w14:textId="62737B95" w:rsidR="00C054CC" w:rsidRDefault="00C054CC" w:rsidP="00C054CC">
      <w:r w:rsidRPr="001703CF">
        <w:t>* Annual measure</w:t>
      </w:r>
    </w:p>
    <w:p w14:paraId="11BC17A9" w14:textId="4B8E5963" w:rsidR="00C054CC" w:rsidRDefault="00C054CC" w:rsidP="00C054CC">
      <w:r w:rsidRPr="001703CF">
        <w:t>^ Baseline to be established in 2021–22</w:t>
      </w:r>
    </w:p>
    <w:p w14:paraId="3B6FB1A1" w14:textId="64970C34" w:rsidR="009F71AD" w:rsidRPr="001703CF" w:rsidRDefault="009F71AD" w:rsidP="00C054CC">
      <w:pPr>
        <w:pStyle w:val="Heading2"/>
      </w:pPr>
      <w:bookmarkStart w:id="17" w:name="_Toc88132887"/>
      <w:r w:rsidRPr="001703CF">
        <w:t>Outputs</w:t>
      </w:r>
      <w:bookmarkEnd w:id="17"/>
    </w:p>
    <w:p w14:paraId="46FE333F" w14:textId="77777777" w:rsidR="009F71AD" w:rsidRPr="001703CF" w:rsidRDefault="009F71AD" w:rsidP="00C054CC">
      <w:pPr>
        <w:pStyle w:val="Heading3"/>
      </w:pPr>
      <w:bookmarkStart w:id="18" w:name="_Toc88132888"/>
      <w:r w:rsidRPr="001703CF">
        <w:t>Residential program engagement</w:t>
      </w:r>
      <w:r w:rsidRPr="001703CF">
        <w:rPr>
          <w:rFonts w:ascii="Cambria" w:hAnsi="Cambria" w:cs="Cambria"/>
        </w:rPr>
        <w:t> </w:t>
      </w:r>
      <w:r w:rsidRPr="001703CF">
        <w:t>model</w:t>
      </w:r>
      <w:bookmarkEnd w:id="18"/>
    </w:p>
    <w:p w14:paraId="2100D5D9" w14:textId="77777777" w:rsidR="009F71AD" w:rsidRPr="001703CF" w:rsidRDefault="009F71AD" w:rsidP="00C054CC">
      <w:r w:rsidRPr="001703CF">
        <w:t xml:space="preserve">Effective engagement with </w:t>
      </w:r>
      <w:proofErr w:type="gramStart"/>
      <w:r w:rsidRPr="001703CF">
        <w:t>owners</w:t>
      </w:r>
      <w:proofErr w:type="gramEnd"/>
      <w:r w:rsidRPr="001703CF">
        <w:t xml:space="preserve"> corporations, owners and residents is essential for the successful delivery of the residential rectification program, as it creates the foundation on which CSV can establish collaborative working relationships between all of the program participants. CSV puts these stakeholders at the heart of its program, consulting in a transparent and empathetic way throughout the rectification process. To this end, CSV ensures that each owners corporation involved in the program has a dedicated Customer Liaison Officer and access to the CSV executive to support them across the full lifecycle of their rectification project.</w:t>
      </w:r>
    </w:p>
    <w:p w14:paraId="3818B721" w14:textId="77777777" w:rsidR="009F71AD" w:rsidRPr="001703CF" w:rsidRDefault="009F71AD" w:rsidP="00C054CC">
      <w:pPr>
        <w:pStyle w:val="Heading4"/>
      </w:pPr>
      <w:r w:rsidRPr="001703CF">
        <w:t>What will we deliver in 2021–22?</w:t>
      </w:r>
    </w:p>
    <w:p w14:paraId="273649E7" w14:textId="77777777" w:rsidR="009F71AD" w:rsidRPr="001703CF" w:rsidRDefault="009F71AD" w:rsidP="00C054CC">
      <w:r w:rsidRPr="001703CF">
        <w:t xml:space="preserve">CSV will continue to hold regular meetings with </w:t>
      </w:r>
      <w:proofErr w:type="gramStart"/>
      <w:r w:rsidRPr="001703CF">
        <w:t>owners</w:t>
      </w:r>
      <w:proofErr w:type="gramEnd"/>
      <w:r w:rsidRPr="001703CF">
        <w:t xml:space="preserve"> corporations to ensure that they are supported through the rectification process, and in particular through the key project phases including induction, completion of the registration process, communication of the funding decision, appointment of the independent project manager, and execution of the funding agreements. These meetings are critical for explaining CSV’s purpose and </w:t>
      </w:r>
      <w:proofErr w:type="gramStart"/>
      <w:r w:rsidRPr="001703CF">
        <w:t>process, and</w:t>
      </w:r>
      <w:proofErr w:type="gramEnd"/>
      <w:r w:rsidRPr="001703CF">
        <w:t xml:space="preserve"> creating understanding about how these apply to the specific owners corporation. Through this process, issues are </w:t>
      </w:r>
      <w:proofErr w:type="gramStart"/>
      <w:r w:rsidRPr="001703CF">
        <w:t>identified</w:t>
      </w:r>
      <w:proofErr w:type="gramEnd"/>
      <w:r w:rsidRPr="001703CF">
        <w:t xml:space="preserve"> and limitations of CSV’s assistance are made clear. The meetings will also include discussions about the risks posed by cladding, including proactive steps that </w:t>
      </w:r>
      <w:proofErr w:type="gramStart"/>
      <w:r w:rsidRPr="001703CF">
        <w:t>owners</w:t>
      </w:r>
      <w:proofErr w:type="gramEnd"/>
      <w:r w:rsidRPr="001703CF">
        <w:t xml:space="preserve"> corporations and residents can take to improve </w:t>
      </w:r>
      <w:r w:rsidRPr="001703CF">
        <w:rPr>
          <w:spacing w:val="-2"/>
        </w:rPr>
        <w:t xml:space="preserve">their buildings’ fire safety, along with the importance of ESM maintenance and practical steps that can be taken to reduce fire safety risk. </w:t>
      </w:r>
    </w:p>
    <w:p w14:paraId="572FA2D8" w14:textId="77777777" w:rsidR="009F71AD" w:rsidRPr="001703CF" w:rsidRDefault="009F71AD" w:rsidP="00C054CC">
      <w:pPr>
        <w:pStyle w:val="Heading3"/>
      </w:pPr>
      <w:bookmarkStart w:id="19" w:name="_Toc88132889"/>
      <w:r w:rsidRPr="001703CF">
        <w:t>Communication programs and campaigns</w:t>
      </w:r>
      <w:bookmarkEnd w:id="19"/>
    </w:p>
    <w:p w14:paraId="5987160E" w14:textId="77777777" w:rsidR="009F71AD" w:rsidRPr="001703CF" w:rsidRDefault="009F71AD" w:rsidP="00C054CC">
      <w:r w:rsidRPr="001703CF">
        <w:t xml:space="preserve">CSV employs a multifaceted approach to communications that is guided by its communications and stakeholder engagement strategy. CSV recognises there are interested stakeholders from the wider Victorian </w:t>
      </w:r>
      <w:proofErr w:type="gramStart"/>
      <w:r w:rsidRPr="001703CF">
        <w:t>community, and</w:t>
      </w:r>
      <w:proofErr w:type="gramEnd"/>
      <w:r w:rsidRPr="001703CF">
        <w:t xml:space="preserve"> provides information to ensure awareness about cladding safety risks, as well as the progress of the rectification program. This includes face-to-face engagement such as presentations at industry seminars and hosted information sessions, the provision of written information and resources for industry groups, and digital strategies to connect with the broader community. CSV maintains a website and social media platforms that contain comprehensive information about cladding risk for the Victorian community, as well as </w:t>
      </w:r>
      <w:proofErr w:type="gramStart"/>
      <w:r w:rsidRPr="001703CF">
        <w:t>owners</w:t>
      </w:r>
      <w:proofErr w:type="gramEnd"/>
      <w:r w:rsidRPr="001703CF">
        <w:t xml:space="preserve"> corporations, building practitioners and residents involved in rectification program. CSV also works with Fire Rescue Victoria and the Victorian Building Authority to determine safety messaging, with CSV’s focus being on cladding risk awareness and how residents can act to reduce fire risk.</w:t>
      </w:r>
    </w:p>
    <w:p w14:paraId="2E65EBE8" w14:textId="77777777" w:rsidR="009F71AD" w:rsidRPr="001703CF" w:rsidRDefault="009F71AD" w:rsidP="00C054CC">
      <w:pPr>
        <w:pStyle w:val="Heading4"/>
      </w:pPr>
      <w:r w:rsidRPr="001703CF">
        <w:lastRenderedPageBreak/>
        <w:t>What will we deliver in 2021–22?</w:t>
      </w:r>
    </w:p>
    <w:p w14:paraId="1717EE70" w14:textId="77777777" w:rsidR="009F71AD" w:rsidRPr="001703CF" w:rsidRDefault="009F71AD" w:rsidP="00C054CC">
      <w:pPr>
        <w:rPr>
          <w:b/>
          <w:bCs/>
          <w:sz w:val="28"/>
          <w:szCs w:val="28"/>
        </w:rPr>
      </w:pPr>
      <w:r w:rsidRPr="001703CF">
        <w:t xml:space="preserve">CSV will produce fresh content for our social media channels that highlights CSV’s activities and projects. This will be supported by a new online digital campaign, which will be delivered via social media in the early part of 2021–22 and will focus on the buildings within our program. Targeted communications will also include biannual fire safety/ESM reminder letters to all </w:t>
      </w:r>
      <w:proofErr w:type="gramStart"/>
      <w:r w:rsidRPr="001703CF">
        <w:t>owners</w:t>
      </w:r>
      <w:proofErr w:type="gramEnd"/>
      <w:r w:rsidRPr="001703CF">
        <w:t xml:space="preserve"> corporations with information to be passed on to residents, and fire safety postcards dropped in the letterbox of every apartment within the program.</w:t>
      </w:r>
    </w:p>
    <w:p w14:paraId="0C22F949" w14:textId="77777777" w:rsidR="009F71AD" w:rsidRPr="001703CF" w:rsidRDefault="009F71AD" w:rsidP="00C054CC">
      <w:pPr>
        <w:pStyle w:val="Heading2"/>
      </w:pPr>
      <w:bookmarkStart w:id="20" w:name="_Toc88132890"/>
      <w:r w:rsidRPr="001703CF">
        <w:t>Output Measures</w:t>
      </w:r>
      <w:bookmarkEnd w:id="20"/>
    </w:p>
    <w:p w14:paraId="34C21AA5" w14:textId="77777777" w:rsidR="009F71AD" w:rsidRPr="001703CF" w:rsidRDefault="009F71AD" w:rsidP="00C054CC">
      <w:r w:rsidRPr="001703CF">
        <w:t>The effectiveness of our delivery will be monitored through the following measures.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listing output measures"/>
        <w:tblDescription w:val="Table outlining the output measures across the four quarters of the year."/>
      </w:tblPr>
      <w:tblGrid>
        <w:gridCol w:w="4918"/>
        <w:gridCol w:w="1468"/>
        <w:gridCol w:w="1468"/>
        <w:gridCol w:w="1468"/>
        <w:gridCol w:w="1468"/>
      </w:tblGrid>
      <w:tr w:rsidR="009F71AD" w:rsidRPr="001703CF" w14:paraId="4B5A2C8C" w14:textId="77777777" w:rsidTr="00C054CC">
        <w:trPr>
          <w:trHeight w:val="60"/>
        </w:trPr>
        <w:tc>
          <w:tcPr>
            <w:tcW w:w="4394" w:type="dxa"/>
            <w:shd w:val="solid" w:color="FEB403" w:fill="auto"/>
            <w:tcMar>
              <w:top w:w="170" w:type="dxa"/>
              <w:left w:w="170" w:type="dxa"/>
              <w:bottom w:w="170" w:type="dxa"/>
              <w:right w:w="170" w:type="dxa"/>
            </w:tcMar>
          </w:tcPr>
          <w:p w14:paraId="1584FD77" w14:textId="77777777" w:rsidR="009F71AD" w:rsidRPr="001703CF" w:rsidRDefault="009F71AD" w:rsidP="00C054CC">
            <w:r w:rsidRPr="001703CF">
              <w:rPr>
                <w:rStyle w:val="Medium"/>
              </w:rPr>
              <w:t>Output Measure</w:t>
            </w:r>
          </w:p>
        </w:tc>
        <w:tc>
          <w:tcPr>
            <w:tcW w:w="1311" w:type="dxa"/>
            <w:tcMar>
              <w:top w:w="170" w:type="dxa"/>
              <w:left w:w="170" w:type="dxa"/>
              <w:bottom w:w="170" w:type="dxa"/>
              <w:right w:w="170" w:type="dxa"/>
            </w:tcMar>
          </w:tcPr>
          <w:p w14:paraId="29FC89AF" w14:textId="77777777" w:rsidR="009F71AD" w:rsidRPr="001703CF" w:rsidRDefault="009F71AD" w:rsidP="00C054CC">
            <w:r w:rsidRPr="001703CF">
              <w:rPr>
                <w:rStyle w:val="Semibold"/>
              </w:rPr>
              <w:t>Quarter 1 Target</w:t>
            </w:r>
          </w:p>
        </w:tc>
        <w:tc>
          <w:tcPr>
            <w:tcW w:w="1311" w:type="dxa"/>
            <w:tcMar>
              <w:top w:w="170" w:type="dxa"/>
              <w:left w:w="170" w:type="dxa"/>
              <w:bottom w:w="170" w:type="dxa"/>
              <w:right w:w="170" w:type="dxa"/>
            </w:tcMar>
          </w:tcPr>
          <w:p w14:paraId="583AD50A" w14:textId="77777777" w:rsidR="009F71AD" w:rsidRPr="001703CF" w:rsidRDefault="009F71AD" w:rsidP="00C054CC">
            <w:r w:rsidRPr="001703CF">
              <w:rPr>
                <w:rStyle w:val="Semibold"/>
              </w:rPr>
              <w:t>Quarter 2 Target</w:t>
            </w:r>
          </w:p>
        </w:tc>
        <w:tc>
          <w:tcPr>
            <w:tcW w:w="1311" w:type="dxa"/>
            <w:tcMar>
              <w:top w:w="170" w:type="dxa"/>
              <w:left w:w="170" w:type="dxa"/>
              <w:bottom w:w="170" w:type="dxa"/>
              <w:right w:w="170" w:type="dxa"/>
            </w:tcMar>
          </w:tcPr>
          <w:p w14:paraId="640BD1FF" w14:textId="77777777" w:rsidR="009F71AD" w:rsidRPr="001703CF" w:rsidRDefault="009F71AD" w:rsidP="00C054CC">
            <w:r w:rsidRPr="001703CF">
              <w:rPr>
                <w:rStyle w:val="Semibold"/>
              </w:rPr>
              <w:t>Quarter 3 Target</w:t>
            </w:r>
          </w:p>
        </w:tc>
        <w:tc>
          <w:tcPr>
            <w:tcW w:w="1311" w:type="dxa"/>
            <w:tcMar>
              <w:top w:w="170" w:type="dxa"/>
              <w:left w:w="170" w:type="dxa"/>
              <w:bottom w:w="170" w:type="dxa"/>
              <w:right w:w="170" w:type="dxa"/>
            </w:tcMar>
          </w:tcPr>
          <w:p w14:paraId="34841D06" w14:textId="77777777" w:rsidR="009F71AD" w:rsidRPr="001703CF" w:rsidRDefault="009F71AD" w:rsidP="00C054CC">
            <w:r w:rsidRPr="001703CF">
              <w:rPr>
                <w:rStyle w:val="Semibold"/>
              </w:rPr>
              <w:t>Quarter 4 Target</w:t>
            </w:r>
          </w:p>
        </w:tc>
      </w:tr>
      <w:tr w:rsidR="009F71AD" w:rsidRPr="001703CF" w14:paraId="1BC3FF0B" w14:textId="77777777" w:rsidTr="00C054CC">
        <w:trPr>
          <w:trHeight w:val="60"/>
        </w:trPr>
        <w:tc>
          <w:tcPr>
            <w:tcW w:w="4394" w:type="dxa"/>
            <w:shd w:val="solid" w:color="FEB403" w:fill="auto"/>
            <w:tcMar>
              <w:top w:w="170" w:type="dxa"/>
              <w:left w:w="170" w:type="dxa"/>
              <w:bottom w:w="170" w:type="dxa"/>
              <w:right w:w="170" w:type="dxa"/>
            </w:tcMar>
          </w:tcPr>
          <w:p w14:paraId="5D6BC7A1" w14:textId="77777777" w:rsidR="009F71AD" w:rsidRPr="001703CF" w:rsidRDefault="009F71AD" w:rsidP="00C054CC">
            <w:r w:rsidRPr="001703CF">
              <w:t>Percentage of queries about cladding and the rectification program responded to within 72 hours</w:t>
            </w:r>
          </w:p>
        </w:tc>
        <w:tc>
          <w:tcPr>
            <w:tcW w:w="1311" w:type="dxa"/>
            <w:tcMar>
              <w:top w:w="170" w:type="dxa"/>
              <w:left w:w="170" w:type="dxa"/>
              <w:bottom w:w="170" w:type="dxa"/>
              <w:right w:w="170" w:type="dxa"/>
            </w:tcMar>
          </w:tcPr>
          <w:p w14:paraId="0AD6645A" w14:textId="77777777" w:rsidR="009F71AD" w:rsidRPr="001703CF" w:rsidRDefault="009F71AD" w:rsidP="00C054CC">
            <w:r w:rsidRPr="001703CF">
              <w:t>100%</w:t>
            </w:r>
          </w:p>
        </w:tc>
        <w:tc>
          <w:tcPr>
            <w:tcW w:w="1311" w:type="dxa"/>
            <w:tcMar>
              <w:top w:w="170" w:type="dxa"/>
              <w:left w:w="170" w:type="dxa"/>
              <w:bottom w:w="170" w:type="dxa"/>
              <w:right w:w="170" w:type="dxa"/>
            </w:tcMar>
          </w:tcPr>
          <w:p w14:paraId="5DD483A5" w14:textId="77777777" w:rsidR="009F71AD" w:rsidRPr="001703CF" w:rsidRDefault="009F71AD" w:rsidP="00C054CC">
            <w:r w:rsidRPr="001703CF">
              <w:t>100%</w:t>
            </w:r>
          </w:p>
        </w:tc>
        <w:tc>
          <w:tcPr>
            <w:tcW w:w="1311" w:type="dxa"/>
            <w:tcMar>
              <w:top w:w="170" w:type="dxa"/>
              <w:left w:w="170" w:type="dxa"/>
              <w:bottom w:w="170" w:type="dxa"/>
              <w:right w:w="170" w:type="dxa"/>
            </w:tcMar>
          </w:tcPr>
          <w:p w14:paraId="3CCB3E90" w14:textId="77777777" w:rsidR="009F71AD" w:rsidRPr="001703CF" w:rsidRDefault="009F71AD" w:rsidP="00C054CC">
            <w:r w:rsidRPr="001703CF">
              <w:t>100%</w:t>
            </w:r>
          </w:p>
        </w:tc>
        <w:tc>
          <w:tcPr>
            <w:tcW w:w="1311" w:type="dxa"/>
            <w:tcMar>
              <w:top w:w="170" w:type="dxa"/>
              <w:left w:w="170" w:type="dxa"/>
              <w:bottom w:w="170" w:type="dxa"/>
              <w:right w:w="170" w:type="dxa"/>
            </w:tcMar>
          </w:tcPr>
          <w:p w14:paraId="5C2BEA2F" w14:textId="77777777" w:rsidR="009F71AD" w:rsidRPr="001703CF" w:rsidRDefault="009F71AD" w:rsidP="00C054CC">
            <w:r w:rsidRPr="001703CF">
              <w:t>100%</w:t>
            </w:r>
          </w:p>
        </w:tc>
      </w:tr>
      <w:tr w:rsidR="009F71AD" w:rsidRPr="001703CF" w14:paraId="4D3E66D5" w14:textId="77777777" w:rsidTr="00C054CC">
        <w:trPr>
          <w:trHeight w:val="542"/>
        </w:trPr>
        <w:tc>
          <w:tcPr>
            <w:tcW w:w="4394" w:type="dxa"/>
            <w:shd w:val="solid" w:color="FEB403" w:fill="auto"/>
            <w:tcMar>
              <w:top w:w="170" w:type="dxa"/>
              <w:left w:w="170" w:type="dxa"/>
              <w:bottom w:w="170" w:type="dxa"/>
              <w:right w:w="170" w:type="dxa"/>
            </w:tcMar>
          </w:tcPr>
          <w:p w14:paraId="491C0709" w14:textId="77777777" w:rsidR="009F71AD" w:rsidRPr="001703CF" w:rsidRDefault="009F71AD" w:rsidP="00C054CC">
            <w:r w:rsidRPr="001703CF">
              <w:t xml:space="preserve">Percentage of participating </w:t>
            </w:r>
            <w:proofErr w:type="gramStart"/>
            <w:r w:rsidRPr="001703CF">
              <w:t>owners</w:t>
            </w:r>
            <w:proofErr w:type="gramEnd"/>
            <w:r w:rsidRPr="001703CF">
              <w:t xml:space="preserve"> corporations inducted by a dedicated CLO within two weeks of referral</w:t>
            </w:r>
          </w:p>
        </w:tc>
        <w:tc>
          <w:tcPr>
            <w:tcW w:w="1311" w:type="dxa"/>
            <w:tcMar>
              <w:top w:w="170" w:type="dxa"/>
              <w:left w:w="170" w:type="dxa"/>
              <w:bottom w:w="170" w:type="dxa"/>
              <w:right w:w="170" w:type="dxa"/>
            </w:tcMar>
          </w:tcPr>
          <w:p w14:paraId="5346CD65" w14:textId="77777777" w:rsidR="009F71AD" w:rsidRPr="001703CF" w:rsidRDefault="009F71AD" w:rsidP="00C054CC">
            <w:r w:rsidRPr="001703CF">
              <w:t>≥95%</w:t>
            </w:r>
          </w:p>
        </w:tc>
        <w:tc>
          <w:tcPr>
            <w:tcW w:w="1311" w:type="dxa"/>
            <w:tcMar>
              <w:top w:w="170" w:type="dxa"/>
              <w:left w:w="170" w:type="dxa"/>
              <w:bottom w:w="170" w:type="dxa"/>
              <w:right w:w="170" w:type="dxa"/>
            </w:tcMar>
          </w:tcPr>
          <w:p w14:paraId="5E426F76" w14:textId="77777777" w:rsidR="009F71AD" w:rsidRPr="001703CF" w:rsidRDefault="009F71AD" w:rsidP="00C054CC">
            <w:r w:rsidRPr="001703CF">
              <w:t>≥95%</w:t>
            </w:r>
          </w:p>
        </w:tc>
        <w:tc>
          <w:tcPr>
            <w:tcW w:w="1311" w:type="dxa"/>
            <w:tcMar>
              <w:top w:w="170" w:type="dxa"/>
              <w:left w:w="170" w:type="dxa"/>
              <w:bottom w:w="170" w:type="dxa"/>
              <w:right w:w="170" w:type="dxa"/>
            </w:tcMar>
          </w:tcPr>
          <w:p w14:paraId="35BADE8E" w14:textId="77777777" w:rsidR="009F71AD" w:rsidRPr="001703CF" w:rsidRDefault="009F71AD" w:rsidP="00C054CC">
            <w:r w:rsidRPr="001703CF">
              <w:t>≥95%</w:t>
            </w:r>
          </w:p>
        </w:tc>
        <w:tc>
          <w:tcPr>
            <w:tcW w:w="1311" w:type="dxa"/>
            <w:tcMar>
              <w:top w:w="170" w:type="dxa"/>
              <w:left w:w="170" w:type="dxa"/>
              <w:bottom w:w="170" w:type="dxa"/>
              <w:right w:w="170" w:type="dxa"/>
            </w:tcMar>
          </w:tcPr>
          <w:p w14:paraId="5CF8BB83" w14:textId="77777777" w:rsidR="009F71AD" w:rsidRPr="001703CF" w:rsidRDefault="009F71AD" w:rsidP="00C054CC">
            <w:r w:rsidRPr="001703CF">
              <w:t>≥95%</w:t>
            </w:r>
          </w:p>
        </w:tc>
      </w:tr>
      <w:tr w:rsidR="009F71AD" w:rsidRPr="001703CF" w14:paraId="3E397FAB" w14:textId="77777777" w:rsidTr="00C054CC">
        <w:trPr>
          <w:trHeight w:val="60"/>
        </w:trPr>
        <w:tc>
          <w:tcPr>
            <w:tcW w:w="4394" w:type="dxa"/>
            <w:shd w:val="solid" w:color="FEB403" w:fill="auto"/>
            <w:tcMar>
              <w:top w:w="170" w:type="dxa"/>
              <w:left w:w="170" w:type="dxa"/>
              <w:bottom w:w="170" w:type="dxa"/>
              <w:right w:w="170" w:type="dxa"/>
            </w:tcMar>
          </w:tcPr>
          <w:p w14:paraId="6DFBD5D7" w14:textId="77777777" w:rsidR="009F71AD" w:rsidRPr="001703CF" w:rsidRDefault="009F71AD" w:rsidP="00C054CC">
            <w:r w:rsidRPr="001703CF">
              <w:t xml:space="preserve">Resolution of issues from participating </w:t>
            </w:r>
            <w:proofErr w:type="gramStart"/>
            <w:r w:rsidRPr="001703CF">
              <w:t>owners</w:t>
            </w:r>
            <w:proofErr w:type="gramEnd"/>
            <w:r w:rsidRPr="001703CF">
              <w:t xml:space="preserve"> corporations within agreed timeframes</w:t>
            </w:r>
          </w:p>
        </w:tc>
        <w:tc>
          <w:tcPr>
            <w:tcW w:w="1311" w:type="dxa"/>
            <w:tcMar>
              <w:top w:w="170" w:type="dxa"/>
              <w:left w:w="170" w:type="dxa"/>
              <w:bottom w:w="170" w:type="dxa"/>
              <w:right w:w="170" w:type="dxa"/>
            </w:tcMar>
          </w:tcPr>
          <w:p w14:paraId="7147787D" w14:textId="77777777" w:rsidR="009F71AD" w:rsidRPr="001703CF" w:rsidRDefault="009F71AD" w:rsidP="00C054CC">
            <w:r w:rsidRPr="001703CF">
              <w:t>≥85%</w:t>
            </w:r>
          </w:p>
        </w:tc>
        <w:tc>
          <w:tcPr>
            <w:tcW w:w="1311" w:type="dxa"/>
            <w:tcMar>
              <w:top w:w="170" w:type="dxa"/>
              <w:left w:w="170" w:type="dxa"/>
              <w:bottom w:w="170" w:type="dxa"/>
              <w:right w:w="170" w:type="dxa"/>
            </w:tcMar>
          </w:tcPr>
          <w:p w14:paraId="5DE63617" w14:textId="77777777" w:rsidR="009F71AD" w:rsidRPr="001703CF" w:rsidRDefault="009F71AD" w:rsidP="00C054CC">
            <w:r w:rsidRPr="001703CF">
              <w:t>≥85%</w:t>
            </w:r>
          </w:p>
        </w:tc>
        <w:tc>
          <w:tcPr>
            <w:tcW w:w="1311" w:type="dxa"/>
            <w:tcMar>
              <w:top w:w="170" w:type="dxa"/>
              <w:left w:w="170" w:type="dxa"/>
              <w:bottom w:w="170" w:type="dxa"/>
              <w:right w:w="170" w:type="dxa"/>
            </w:tcMar>
          </w:tcPr>
          <w:p w14:paraId="63B5F2BC" w14:textId="77777777" w:rsidR="009F71AD" w:rsidRPr="001703CF" w:rsidRDefault="009F71AD" w:rsidP="00C054CC">
            <w:r w:rsidRPr="001703CF">
              <w:t>≥85%</w:t>
            </w:r>
          </w:p>
        </w:tc>
        <w:tc>
          <w:tcPr>
            <w:tcW w:w="1311" w:type="dxa"/>
            <w:tcMar>
              <w:top w:w="170" w:type="dxa"/>
              <w:left w:w="170" w:type="dxa"/>
              <w:bottom w:w="170" w:type="dxa"/>
              <w:right w:w="170" w:type="dxa"/>
            </w:tcMar>
          </w:tcPr>
          <w:p w14:paraId="562E0317" w14:textId="77777777" w:rsidR="009F71AD" w:rsidRPr="001703CF" w:rsidRDefault="009F71AD" w:rsidP="00C054CC">
            <w:r w:rsidRPr="001703CF">
              <w:t>≥85%</w:t>
            </w:r>
          </w:p>
        </w:tc>
      </w:tr>
      <w:tr w:rsidR="009F71AD" w:rsidRPr="001703CF" w14:paraId="73CD92D2" w14:textId="77777777" w:rsidTr="00C054CC">
        <w:trPr>
          <w:trHeight w:val="60"/>
        </w:trPr>
        <w:tc>
          <w:tcPr>
            <w:tcW w:w="4394" w:type="dxa"/>
            <w:shd w:val="solid" w:color="FEB403" w:fill="auto"/>
            <w:tcMar>
              <w:top w:w="170" w:type="dxa"/>
              <w:left w:w="170" w:type="dxa"/>
              <w:bottom w:w="170" w:type="dxa"/>
              <w:right w:w="170" w:type="dxa"/>
            </w:tcMar>
          </w:tcPr>
          <w:p w14:paraId="3EE395B1" w14:textId="77777777" w:rsidR="009F71AD" w:rsidRPr="001703CF" w:rsidRDefault="009F71AD" w:rsidP="00C054CC">
            <w:r w:rsidRPr="001703CF">
              <w:t>Number of hits for the CSV website</w:t>
            </w:r>
          </w:p>
        </w:tc>
        <w:tc>
          <w:tcPr>
            <w:tcW w:w="1311" w:type="dxa"/>
            <w:tcMar>
              <w:top w:w="170" w:type="dxa"/>
              <w:left w:w="170" w:type="dxa"/>
              <w:bottom w:w="170" w:type="dxa"/>
              <w:right w:w="170" w:type="dxa"/>
            </w:tcMar>
          </w:tcPr>
          <w:p w14:paraId="3BF28796" w14:textId="77777777" w:rsidR="009F71AD" w:rsidRPr="001703CF" w:rsidRDefault="009F71AD" w:rsidP="00C054CC">
            <w:r w:rsidRPr="001703CF">
              <w:t>≥2021–22 baseline</w:t>
            </w:r>
          </w:p>
        </w:tc>
        <w:tc>
          <w:tcPr>
            <w:tcW w:w="1311" w:type="dxa"/>
            <w:tcMar>
              <w:top w:w="170" w:type="dxa"/>
              <w:left w:w="170" w:type="dxa"/>
              <w:bottom w:w="170" w:type="dxa"/>
              <w:right w:w="170" w:type="dxa"/>
            </w:tcMar>
          </w:tcPr>
          <w:p w14:paraId="624848A0" w14:textId="77777777" w:rsidR="009F71AD" w:rsidRPr="001703CF" w:rsidRDefault="009F71AD" w:rsidP="00C054CC">
            <w:r w:rsidRPr="001703CF">
              <w:t>≥2021–22 baseline</w:t>
            </w:r>
          </w:p>
        </w:tc>
        <w:tc>
          <w:tcPr>
            <w:tcW w:w="1311" w:type="dxa"/>
            <w:tcMar>
              <w:top w:w="170" w:type="dxa"/>
              <w:left w:w="170" w:type="dxa"/>
              <w:bottom w:w="170" w:type="dxa"/>
              <w:right w:w="170" w:type="dxa"/>
            </w:tcMar>
          </w:tcPr>
          <w:p w14:paraId="0A1718BD" w14:textId="77777777" w:rsidR="009F71AD" w:rsidRPr="001703CF" w:rsidRDefault="009F71AD" w:rsidP="00C054CC">
            <w:r w:rsidRPr="001703CF">
              <w:t>≥2021–22 baseline</w:t>
            </w:r>
          </w:p>
        </w:tc>
        <w:tc>
          <w:tcPr>
            <w:tcW w:w="1311" w:type="dxa"/>
            <w:tcMar>
              <w:top w:w="170" w:type="dxa"/>
              <w:left w:w="170" w:type="dxa"/>
              <w:bottom w:w="170" w:type="dxa"/>
              <w:right w:w="170" w:type="dxa"/>
            </w:tcMar>
          </w:tcPr>
          <w:p w14:paraId="331CD2BE" w14:textId="77777777" w:rsidR="009F71AD" w:rsidRPr="001703CF" w:rsidRDefault="009F71AD" w:rsidP="00C054CC">
            <w:r w:rsidRPr="001703CF">
              <w:t>≥2021–22 baseline</w:t>
            </w:r>
          </w:p>
        </w:tc>
      </w:tr>
      <w:tr w:rsidR="009F71AD" w:rsidRPr="001703CF" w14:paraId="384F5522" w14:textId="77777777" w:rsidTr="00C054CC">
        <w:trPr>
          <w:trHeight w:val="60"/>
        </w:trPr>
        <w:tc>
          <w:tcPr>
            <w:tcW w:w="4394" w:type="dxa"/>
            <w:shd w:val="solid" w:color="FEB403" w:fill="auto"/>
            <w:tcMar>
              <w:top w:w="170" w:type="dxa"/>
              <w:left w:w="170" w:type="dxa"/>
              <w:bottom w:w="170" w:type="dxa"/>
              <w:right w:w="170" w:type="dxa"/>
            </w:tcMar>
          </w:tcPr>
          <w:p w14:paraId="30866D4A" w14:textId="77777777" w:rsidR="009F71AD" w:rsidRPr="001703CF" w:rsidRDefault="009F71AD" w:rsidP="00C054CC">
            <w:r w:rsidRPr="001703CF">
              <w:t>Satisfaction rate for CSV-hosted information sessions</w:t>
            </w:r>
          </w:p>
        </w:tc>
        <w:tc>
          <w:tcPr>
            <w:tcW w:w="1311" w:type="dxa"/>
            <w:tcMar>
              <w:top w:w="170" w:type="dxa"/>
              <w:left w:w="170" w:type="dxa"/>
              <w:bottom w:w="170" w:type="dxa"/>
              <w:right w:w="170" w:type="dxa"/>
            </w:tcMar>
          </w:tcPr>
          <w:p w14:paraId="301B720C" w14:textId="77777777" w:rsidR="009F71AD" w:rsidRPr="001703CF" w:rsidRDefault="009F71AD" w:rsidP="00C054CC">
            <w:r w:rsidRPr="001703CF">
              <w:t>≥80%</w:t>
            </w:r>
          </w:p>
        </w:tc>
        <w:tc>
          <w:tcPr>
            <w:tcW w:w="1311" w:type="dxa"/>
            <w:tcMar>
              <w:top w:w="170" w:type="dxa"/>
              <w:left w:w="170" w:type="dxa"/>
              <w:bottom w:w="170" w:type="dxa"/>
              <w:right w:w="170" w:type="dxa"/>
            </w:tcMar>
          </w:tcPr>
          <w:p w14:paraId="27F2F8BF" w14:textId="77777777" w:rsidR="009F71AD" w:rsidRPr="001703CF" w:rsidRDefault="009F71AD" w:rsidP="00C054CC">
            <w:r w:rsidRPr="001703CF">
              <w:t>≥80%</w:t>
            </w:r>
          </w:p>
        </w:tc>
        <w:tc>
          <w:tcPr>
            <w:tcW w:w="1311" w:type="dxa"/>
            <w:tcMar>
              <w:top w:w="170" w:type="dxa"/>
              <w:left w:w="170" w:type="dxa"/>
              <w:bottom w:w="170" w:type="dxa"/>
              <w:right w:w="170" w:type="dxa"/>
            </w:tcMar>
          </w:tcPr>
          <w:p w14:paraId="2F3D8EAE" w14:textId="77777777" w:rsidR="009F71AD" w:rsidRPr="001703CF" w:rsidRDefault="009F71AD" w:rsidP="00C054CC">
            <w:r w:rsidRPr="001703CF">
              <w:t>≥80%</w:t>
            </w:r>
          </w:p>
        </w:tc>
        <w:tc>
          <w:tcPr>
            <w:tcW w:w="1311" w:type="dxa"/>
            <w:tcMar>
              <w:top w:w="170" w:type="dxa"/>
              <w:left w:w="170" w:type="dxa"/>
              <w:bottom w:w="170" w:type="dxa"/>
              <w:right w:w="170" w:type="dxa"/>
            </w:tcMar>
          </w:tcPr>
          <w:p w14:paraId="67977423" w14:textId="77777777" w:rsidR="009F71AD" w:rsidRPr="001703CF" w:rsidRDefault="009F71AD" w:rsidP="00C054CC">
            <w:r w:rsidRPr="001703CF">
              <w:t>≥80%</w:t>
            </w:r>
          </w:p>
        </w:tc>
      </w:tr>
    </w:tbl>
    <w:p w14:paraId="49E99A81" w14:textId="77777777" w:rsidR="009F71AD" w:rsidRPr="001703CF" w:rsidRDefault="009F71AD" w:rsidP="00C054CC">
      <w:pPr>
        <w:pStyle w:val="Heading2"/>
      </w:pPr>
      <w:bookmarkStart w:id="21" w:name="_Toc88132891"/>
      <w:r w:rsidRPr="001703CF">
        <w:t>Strategic Initiatives</w:t>
      </w:r>
      <w:bookmarkEnd w:id="21"/>
    </w:p>
    <w:p w14:paraId="21D91CE2" w14:textId="77777777" w:rsidR="009F71AD" w:rsidRPr="001703CF" w:rsidRDefault="009F71AD" w:rsidP="00C054CC">
      <w:pPr>
        <w:pStyle w:val="Heading3"/>
      </w:pPr>
      <w:bookmarkStart w:id="22" w:name="_Toc88132892"/>
      <w:r w:rsidRPr="001703CF">
        <w:t>Expansion of our approaches to engagement, such as exploring new forms of visual communications</w:t>
      </w:r>
      <w:bookmarkEnd w:id="22"/>
    </w:p>
    <w:p w14:paraId="2135D1A9" w14:textId="77777777" w:rsidR="009F71AD" w:rsidRPr="001703CF" w:rsidRDefault="009F71AD" w:rsidP="00C054CC">
      <w:r w:rsidRPr="001703CF">
        <w:t xml:space="preserve">In order to reach as many members of the community as possible, CSV is constantly considering new ways to engage our stakeholder groups. As a way of providing a broader range of information about the rectification program, CSV continually builds its YouTube channel with short information videos, evidence of project completions and testimonials from project managers and owners corporations. As the library of video footage, photos and testimonials is expanded, CSV will be able to consistently generate new digital content. </w:t>
      </w:r>
    </w:p>
    <w:p w14:paraId="5D1F84C6" w14:textId="77777777" w:rsidR="009F71AD" w:rsidRPr="001703CF" w:rsidRDefault="009F71AD" w:rsidP="00C054CC">
      <w:pPr>
        <w:pStyle w:val="Heading4"/>
      </w:pPr>
      <w:r w:rsidRPr="001703CF">
        <w:lastRenderedPageBreak/>
        <w:t>What will we deliver in 2021–22?</w:t>
      </w:r>
    </w:p>
    <w:p w14:paraId="1D3585D6" w14:textId="77777777" w:rsidR="009F71AD" w:rsidRPr="001703CF" w:rsidRDefault="009F71AD" w:rsidP="00C054CC">
      <w:r w:rsidRPr="001703CF">
        <w:t>CSV will continue to gather stories about the experiences of program participants and CSV’s achievements in order to develop new visual content. In early 2021–22, CSV will add time-lapse to our range of videos. This will create an accessible end-to-end view of rectification projects that will provide owners corporations and other stakeholders with a visual overview of the construction process.</w:t>
      </w:r>
    </w:p>
    <w:p w14:paraId="4CFB31F2" w14:textId="77777777" w:rsidR="009F71AD" w:rsidRPr="001703CF" w:rsidRDefault="009F71AD" w:rsidP="00C054CC">
      <w:pPr>
        <w:pStyle w:val="Heading3"/>
      </w:pPr>
      <w:bookmarkStart w:id="23" w:name="_Toc88132893"/>
      <w:r w:rsidRPr="001703CF">
        <w:t xml:space="preserve">Continuous improvement of our engagement approach with </w:t>
      </w:r>
      <w:proofErr w:type="gramStart"/>
      <w:r w:rsidRPr="001703CF">
        <w:t>owners</w:t>
      </w:r>
      <w:proofErr w:type="gramEnd"/>
      <w:r w:rsidRPr="001703CF">
        <w:t xml:space="preserve"> corporations</w:t>
      </w:r>
      <w:bookmarkEnd w:id="23"/>
    </w:p>
    <w:p w14:paraId="5BB7F518" w14:textId="77777777" w:rsidR="009F71AD" w:rsidRPr="001703CF" w:rsidRDefault="009F71AD" w:rsidP="00C054CC">
      <w:r w:rsidRPr="001703CF">
        <w:t xml:space="preserve">CSV’s deep engagement with its stakeholders, and </w:t>
      </w:r>
      <w:proofErr w:type="gramStart"/>
      <w:r w:rsidRPr="001703CF">
        <w:t>owners</w:t>
      </w:r>
      <w:proofErr w:type="gramEnd"/>
      <w:r w:rsidRPr="001703CF">
        <w:t xml:space="preserve"> corporations in particular, aims to create an optimal environment to facilitate effective delivery of the rectification program and the mitigation of cladding risks. CSV’s approach to engagement has been developed based on better practice principles. However, to ensure the ongoing effectiveness of this approach, CSV is committed to gathering regular feedback from </w:t>
      </w:r>
      <w:proofErr w:type="gramStart"/>
      <w:r w:rsidRPr="001703CF">
        <w:t>owners</w:t>
      </w:r>
      <w:proofErr w:type="gramEnd"/>
      <w:r w:rsidRPr="001703CF">
        <w:t xml:space="preserve"> corporations so that it can further improve its practice and the owners corporation experience.</w:t>
      </w:r>
    </w:p>
    <w:p w14:paraId="3B426DF0" w14:textId="77777777" w:rsidR="009F71AD" w:rsidRPr="001703CF" w:rsidRDefault="009F71AD" w:rsidP="00C054CC">
      <w:pPr>
        <w:pStyle w:val="Heading4"/>
      </w:pPr>
      <w:r w:rsidRPr="001703CF">
        <w:t>What will we deliver in 2021–22?</w:t>
      </w:r>
    </w:p>
    <w:p w14:paraId="7E807051" w14:textId="77777777" w:rsidR="009F71AD" w:rsidRPr="001703CF" w:rsidRDefault="009F71AD" w:rsidP="00C054CC">
      <w:r w:rsidRPr="001703CF">
        <w:t xml:space="preserve">CSV will regularly survey </w:t>
      </w:r>
      <w:proofErr w:type="gramStart"/>
      <w:r w:rsidRPr="001703CF">
        <w:t>owners</w:t>
      </w:r>
      <w:proofErr w:type="gramEnd"/>
      <w:r w:rsidRPr="001703CF">
        <w:t xml:space="preserve"> corporations about the effectiveness of its engagement and about the appropriateness of information provided by CSV on cladding risks, the rectification process and the role of residents in ensuring fire safety. The results from these surveys will be used to evaluate CSV’s engagement and communication approach, and to identify future improvements.</w:t>
      </w:r>
    </w:p>
    <w:p w14:paraId="2061D55B" w14:textId="77777777" w:rsidR="009F71AD" w:rsidRPr="001703CF" w:rsidRDefault="009F71AD" w:rsidP="00071FD0">
      <w:pPr>
        <w:pStyle w:val="Heading1"/>
      </w:pPr>
      <w:bookmarkStart w:id="24" w:name="_Toc88132894"/>
      <w:r w:rsidRPr="001703CF">
        <w:t>Outcome 3: Robust financial and resource management optimises the value of CSV’s delivery outcomes</w:t>
      </w:r>
      <w:bookmarkEnd w:id="24"/>
    </w:p>
    <w:p w14:paraId="6442B655" w14:textId="77777777" w:rsidR="009F71AD" w:rsidRPr="00CC1AA2" w:rsidRDefault="009F71AD" w:rsidP="00C054CC">
      <w:r w:rsidRPr="00CC1AA2">
        <w:t xml:space="preserve">CSV’s success is underpinned by the processes and controls that work to build and sustain a high level of organisational performance through effective resource management, comprehensive risk and safety systems, and strong financial governance. </w:t>
      </w:r>
    </w:p>
    <w:p w14:paraId="6E59D682" w14:textId="77777777" w:rsidR="009F71AD" w:rsidRPr="00CC1AA2" w:rsidRDefault="009F71AD" w:rsidP="00C054CC">
      <w:r w:rsidRPr="00CC1AA2">
        <w:t xml:space="preserve">CSV is continually striving to improve the operational practices that provide a strong foundation for the achievement of its objectives. This is realised through benchmarking against better-practice organisations, sound oversight and the external review of our processes by independent bodies. </w:t>
      </w:r>
    </w:p>
    <w:p w14:paraId="07872E32" w14:textId="77777777" w:rsidR="009F71AD" w:rsidRPr="001703CF" w:rsidRDefault="009F71AD" w:rsidP="00C054CC">
      <w:pPr>
        <w:pStyle w:val="Heading2"/>
      </w:pPr>
      <w:bookmarkStart w:id="25" w:name="_Toc88132895"/>
      <w:r w:rsidRPr="001703CF">
        <w:t>Outcome Indicators and Measures</w:t>
      </w:r>
      <w:bookmarkEnd w:id="25"/>
    </w:p>
    <w:p w14:paraId="6803D61B" w14:textId="77777777" w:rsidR="009F71AD" w:rsidRPr="001703CF" w:rsidRDefault="009F71AD" w:rsidP="00C054CC">
      <w:r w:rsidRPr="001703CF">
        <w:t>Our progress towards achieving this outcome will be measured through the following outcome indicator and measures.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listing outcome indicator and outcome measures"/>
        <w:tblDescription w:val="Table outlining the outcome indicator and outcome measures across the four quarters of the year."/>
      </w:tblPr>
      <w:tblGrid>
        <w:gridCol w:w="2832"/>
        <w:gridCol w:w="1989"/>
        <w:gridCol w:w="1989"/>
        <w:gridCol w:w="1989"/>
        <w:gridCol w:w="1991"/>
      </w:tblGrid>
      <w:tr w:rsidR="009F71AD" w:rsidRPr="001703CF" w14:paraId="03A3926F" w14:textId="77777777" w:rsidTr="00C054CC">
        <w:trPr>
          <w:trHeight w:val="60"/>
        </w:trPr>
        <w:tc>
          <w:tcPr>
            <w:tcW w:w="2529" w:type="dxa"/>
            <w:shd w:val="solid" w:color="FEB403" w:fill="auto"/>
            <w:tcMar>
              <w:top w:w="170" w:type="dxa"/>
              <w:left w:w="170" w:type="dxa"/>
              <w:bottom w:w="170" w:type="dxa"/>
              <w:right w:w="170" w:type="dxa"/>
            </w:tcMar>
          </w:tcPr>
          <w:p w14:paraId="7639AE82" w14:textId="77777777" w:rsidR="009F71AD" w:rsidRPr="001703CF" w:rsidRDefault="009F71AD" w:rsidP="00C054CC">
            <w:r w:rsidRPr="001703CF">
              <w:rPr>
                <w:rStyle w:val="Medium"/>
              </w:rPr>
              <w:t>Outcome Indicator</w:t>
            </w:r>
          </w:p>
        </w:tc>
        <w:tc>
          <w:tcPr>
            <w:tcW w:w="7109" w:type="dxa"/>
            <w:gridSpan w:val="4"/>
            <w:tcMar>
              <w:top w:w="170" w:type="dxa"/>
              <w:left w:w="170" w:type="dxa"/>
              <w:bottom w:w="170" w:type="dxa"/>
              <w:right w:w="170" w:type="dxa"/>
            </w:tcMar>
          </w:tcPr>
          <w:p w14:paraId="1DE8B63A" w14:textId="77777777" w:rsidR="009F71AD" w:rsidRPr="001703CF" w:rsidRDefault="009F71AD" w:rsidP="00C054CC">
            <w:r w:rsidRPr="001703CF">
              <w:t>Enhance the effectiveness of CSV’s financial, risk and resource planning and systems</w:t>
            </w:r>
          </w:p>
        </w:tc>
      </w:tr>
      <w:tr w:rsidR="009F71AD" w:rsidRPr="001703CF" w14:paraId="0AF29353" w14:textId="77777777" w:rsidTr="00C054CC">
        <w:trPr>
          <w:trHeight w:val="542"/>
        </w:trPr>
        <w:tc>
          <w:tcPr>
            <w:tcW w:w="2529" w:type="dxa"/>
            <w:shd w:val="solid" w:color="FEB403" w:fill="auto"/>
            <w:tcMar>
              <w:top w:w="170" w:type="dxa"/>
              <w:left w:w="170" w:type="dxa"/>
              <w:bottom w:w="170" w:type="dxa"/>
              <w:right w:w="170" w:type="dxa"/>
            </w:tcMar>
          </w:tcPr>
          <w:p w14:paraId="35356B1D" w14:textId="77777777" w:rsidR="009F71AD" w:rsidRPr="001703CF" w:rsidRDefault="009F71AD" w:rsidP="00C054CC">
            <w:r w:rsidRPr="001703CF">
              <w:rPr>
                <w:rStyle w:val="Medium"/>
              </w:rPr>
              <w:t>Outcome Measure</w:t>
            </w:r>
          </w:p>
        </w:tc>
        <w:tc>
          <w:tcPr>
            <w:tcW w:w="7109" w:type="dxa"/>
            <w:gridSpan w:val="4"/>
            <w:tcMar>
              <w:top w:w="170" w:type="dxa"/>
              <w:left w:w="170" w:type="dxa"/>
              <w:bottom w:w="170" w:type="dxa"/>
              <w:right w:w="170" w:type="dxa"/>
            </w:tcMar>
          </w:tcPr>
          <w:p w14:paraId="5D5B199D" w14:textId="77777777" w:rsidR="009F71AD" w:rsidRPr="001703CF" w:rsidRDefault="009F71AD" w:rsidP="00C054CC">
            <w:r w:rsidRPr="001703CF">
              <w:t>Variance between actual and budgeted cost for CSV’s overall budget</w:t>
            </w:r>
          </w:p>
        </w:tc>
      </w:tr>
      <w:tr w:rsidR="009F71AD" w:rsidRPr="001703CF" w14:paraId="6D8187E5" w14:textId="77777777" w:rsidTr="00C054CC">
        <w:trPr>
          <w:trHeight w:val="60"/>
        </w:trPr>
        <w:tc>
          <w:tcPr>
            <w:tcW w:w="2529" w:type="dxa"/>
            <w:shd w:val="solid" w:color="FEB403" w:fill="auto"/>
            <w:tcMar>
              <w:top w:w="170" w:type="dxa"/>
              <w:left w:w="170" w:type="dxa"/>
              <w:bottom w:w="170" w:type="dxa"/>
              <w:right w:w="170" w:type="dxa"/>
            </w:tcMar>
          </w:tcPr>
          <w:p w14:paraId="170A9139" w14:textId="77777777" w:rsidR="009F71AD" w:rsidRPr="001703CF" w:rsidRDefault="009F71AD" w:rsidP="00C054CC">
            <w:r w:rsidRPr="001703CF">
              <w:rPr>
                <w:rStyle w:val="Medium"/>
              </w:rPr>
              <w:t>2021–22 Target</w:t>
            </w:r>
          </w:p>
        </w:tc>
        <w:tc>
          <w:tcPr>
            <w:tcW w:w="1777" w:type="dxa"/>
            <w:tcMar>
              <w:top w:w="170" w:type="dxa"/>
              <w:left w:w="170" w:type="dxa"/>
              <w:bottom w:w="170" w:type="dxa"/>
              <w:right w:w="170" w:type="dxa"/>
            </w:tcMar>
          </w:tcPr>
          <w:p w14:paraId="0B7208C8" w14:textId="77777777" w:rsidR="009F71AD" w:rsidRPr="001703CF" w:rsidRDefault="009F71AD" w:rsidP="00C054CC">
            <w:r w:rsidRPr="001703CF">
              <w:rPr>
                <w:rStyle w:val="Semibold"/>
              </w:rPr>
              <w:t>Quarter 1</w:t>
            </w:r>
          </w:p>
        </w:tc>
        <w:tc>
          <w:tcPr>
            <w:tcW w:w="1777" w:type="dxa"/>
            <w:tcMar>
              <w:top w:w="170" w:type="dxa"/>
              <w:left w:w="170" w:type="dxa"/>
              <w:bottom w:w="170" w:type="dxa"/>
              <w:right w:w="170" w:type="dxa"/>
            </w:tcMar>
          </w:tcPr>
          <w:p w14:paraId="30C7A8AA" w14:textId="77777777" w:rsidR="009F71AD" w:rsidRPr="001703CF" w:rsidRDefault="009F71AD" w:rsidP="00C054CC">
            <w:r w:rsidRPr="001703CF">
              <w:rPr>
                <w:rStyle w:val="Semibold"/>
              </w:rPr>
              <w:t>Quarter 2</w:t>
            </w:r>
          </w:p>
        </w:tc>
        <w:tc>
          <w:tcPr>
            <w:tcW w:w="1777" w:type="dxa"/>
            <w:tcMar>
              <w:top w:w="170" w:type="dxa"/>
              <w:left w:w="170" w:type="dxa"/>
              <w:bottom w:w="170" w:type="dxa"/>
              <w:right w:w="170" w:type="dxa"/>
            </w:tcMar>
          </w:tcPr>
          <w:p w14:paraId="769E4A96" w14:textId="77777777" w:rsidR="009F71AD" w:rsidRPr="001703CF" w:rsidRDefault="009F71AD" w:rsidP="00C054CC">
            <w:r w:rsidRPr="001703CF">
              <w:rPr>
                <w:rStyle w:val="Semibold"/>
              </w:rPr>
              <w:t>Quarter 3</w:t>
            </w:r>
          </w:p>
        </w:tc>
        <w:tc>
          <w:tcPr>
            <w:tcW w:w="1778" w:type="dxa"/>
            <w:tcMar>
              <w:top w:w="170" w:type="dxa"/>
              <w:left w:w="170" w:type="dxa"/>
              <w:bottom w:w="170" w:type="dxa"/>
              <w:right w:w="170" w:type="dxa"/>
            </w:tcMar>
          </w:tcPr>
          <w:p w14:paraId="31A04B9D" w14:textId="77777777" w:rsidR="009F71AD" w:rsidRPr="001703CF" w:rsidRDefault="009F71AD" w:rsidP="00C054CC">
            <w:r w:rsidRPr="001703CF">
              <w:rPr>
                <w:rStyle w:val="Semibold"/>
              </w:rPr>
              <w:t>Quarter 4</w:t>
            </w:r>
          </w:p>
        </w:tc>
      </w:tr>
      <w:tr w:rsidR="009F71AD" w:rsidRPr="001703CF" w14:paraId="7213226E" w14:textId="77777777" w:rsidTr="00C054CC">
        <w:trPr>
          <w:trHeight w:val="540"/>
        </w:trPr>
        <w:tc>
          <w:tcPr>
            <w:tcW w:w="2529" w:type="dxa"/>
            <w:shd w:val="solid" w:color="FEB403" w:fill="auto"/>
            <w:tcMar>
              <w:top w:w="170" w:type="dxa"/>
              <w:left w:w="170" w:type="dxa"/>
              <w:bottom w:w="170" w:type="dxa"/>
              <w:right w:w="170" w:type="dxa"/>
            </w:tcMar>
          </w:tcPr>
          <w:p w14:paraId="1D474F6F" w14:textId="77777777" w:rsidR="009F71AD" w:rsidRPr="001703CF" w:rsidRDefault="009F71AD" w:rsidP="00C054CC"/>
        </w:tc>
        <w:tc>
          <w:tcPr>
            <w:tcW w:w="1777" w:type="dxa"/>
            <w:tcMar>
              <w:top w:w="170" w:type="dxa"/>
              <w:left w:w="170" w:type="dxa"/>
              <w:bottom w:w="170" w:type="dxa"/>
              <w:right w:w="170" w:type="dxa"/>
            </w:tcMar>
          </w:tcPr>
          <w:p w14:paraId="53BF16E3" w14:textId="77777777" w:rsidR="009F71AD" w:rsidRPr="001703CF" w:rsidRDefault="009F71AD" w:rsidP="00C054CC">
            <w:r w:rsidRPr="001703CF">
              <w:rPr>
                <w:rStyle w:val="Semibold"/>
                <w:b w:val="0"/>
                <w:bCs w:val="0"/>
              </w:rPr>
              <w:t>≤+/-10%</w:t>
            </w:r>
          </w:p>
        </w:tc>
        <w:tc>
          <w:tcPr>
            <w:tcW w:w="1777" w:type="dxa"/>
            <w:tcMar>
              <w:top w:w="170" w:type="dxa"/>
              <w:left w:w="170" w:type="dxa"/>
              <w:bottom w:w="170" w:type="dxa"/>
              <w:right w:w="170" w:type="dxa"/>
            </w:tcMar>
          </w:tcPr>
          <w:p w14:paraId="64DDD9D4" w14:textId="77777777" w:rsidR="009F71AD" w:rsidRPr="001703CF" w:rsidRDefault="009F71AD" w:rsidP="00C054CC">
            <w:r w:rsidRPr="001703CF">
              <w:rPr>
                <w:rStyle w:val="Semibold"/>
                <w:b w:val="0"/>
                <w:bCs w:val="0"/>
              </w:rPr>
              <w:t>≤+/-10%</w:t>
            </w:r>
          </w:p>
        </w:tc>
        <w:tc>
          <w:tcPr>
            <w:tcW w:w="1777" w:type="dxa"/>
            <w:tcMar>
              <w:top w:w="170" w:type="dxa"/>
              <w:left w:w="170" w:type="dxa"/>
              <w:bottom w:w="170" w:type="dxa"/>
              <w:right w:w="170" w:type="dxa"/>
            </w:tcMar>
          </w:tcPr>
          <w:p w14:paraId="2DFA9247" w14:textId="77777777" w:rsidR="009F71AD" w:rsidRPr="001703CF" w:rsidRDefault="009F71AD" w:rsidP="00C054CC">
            <w:r w:rsidRPr="001703CF">
              <w:rPr>
                <w:rStyle w:val="Semibold"/>
                <w:b w:val="0"/>
                <w:bCs w:val="0"/>
              </w:rPr>
              <w:t>≤+/-10%</w:t>
            </w:r>
          </w:p>
        </w:tc>
        <w:tc>
          <w:tcPr>
            <w:tcW w:w="1778" w:type="dxa"/>
            <w:tcMar>
              <w:top w:w="170" w:type="dxa"/>
              <w:left w:w="170" w:type="dxa"/>
              <w:bottom w:w="170" w:type="dxa"/>
              <w:right w:w="170" w:type="dxa"/>
            </w:tcMar>
          </w:tcPr>
          <w:p w14:paraId="00CA75BA" w14:textId="77777777" w:rsidR="009F71AD" w:rsidRPr="001703CF" w:rsidRDefault="009F71AD" w:rsidP="00C054CC">
            <w:r w:rsidRPr="001703CF">
              <w:rPr>
                <w:rStyle w:val="Semibold"/>
                <w:b w:val="0"/>
                <w:bCs w:val="0"/>
              </w:rPr>
              <w:t>≤+/-10%</w:t>
            </w:r>
          </w:p>
        </w:tc>
      </w:tr>
      <w:tr w:rsidR="009F71AD" w:rsidRPr="001703CF" w14:paraId="0910D2DA" w14:textId="77777777" w:rsidTr="00C054CC">
        <w:trPr>
          <w:trHeight w:val="540"/>
        </w:trPr>
        <w:tc>
          <w:tcPr>
            <w:tcW w:w="2529" w:type="dxa"/>
            <w:shd w:val="solid" w:color="FEB403" w:fill="auto"/>
            <w:tcMar>
              <w:top w:w="170" w:type="dxa"/>
              <w:left w:w="170" w:type="dxa"/>
              <w:bottom w:w="170" w:type="dxa"/>
              <w:right w:w="170" w:type="dxa"/>
            </w:tcMar>
          </w:tcPr>
          <w:p w14:paraId="631CC933" w14:textId="77777777" w:rsidR="009F71AD" w:rsidRPr="001703CF" w:rsidRDefault="009F71AD" w:rsidP="00C054CC">
            <w:r w:rsidRPr="001703CF">
              <w:rPr>
                <w:rStyle w:val="Medium"/>
              </w:rPr>
              <w:t>Outcome Measure</w:t>
            </w:r>
          </w:p>
        </w:tc>
        <w:tc>
          <w:tcPr>
            <w:tcW w:w="7109" w:type="dxa"/>
            <w:gridSpan w:val="4"/>
            <w:tcMar>
              <w:top w:w="170" w:type="dxa"/>
              <w:left w:w="170" w:type="dxa"/>
              <w:bottom w:w="170" w:type="dxa"/>
              <w:right w:w="170" w:type="dxa"/>
            </w:tcMar>
          </w:tcPr>
          <w:p w14:paraId="625F9CD7" w14:textId="77777777" w:rsidR="009F71AD" w:rsidRPr="001703CF" w:rsidRDefault="009F71AD" w:rsidP="00C054CC">
            <w:r w:rsidRPr="001703CF">
              <w:t>Internal CSV operating costs as a percentage of overall costs</w:t>
            </w:r>
          </w:p>
        </w:tc>
      </w:tr>
      <w:tr w:rsidR="009F71AD" w:rsidRPr="001703CF" w14:paraId="416809DD" w14:textId="77777777" w:rsidTr="00C054CC">
        <w:trPr>
          <w:trHeight w:val="540"/>
        </w:trPr>
        <w:tc>
          <w:tcPr>
            <w:tcW w:w="2529" w:type="dxa"/>
            <w:shd w:val="solid" w:color="FEB403" w:fill="auto"/>
            <w:tcMar>
              <w:top w:w="170" w:type="dxa"/>
              <w:left w:w="170" w:type="dxa"/>
              <w:bottom w:w="170" w:type="dxa"/>
              <w:right w:w="170" w:type="dxa"/>
            </w:tcMar>
          </w:tcPr>
          <w:p w14:paraId="6575BA81" w14:textId="77777777" w:rsidR="009F71AD" w:rsidRPr="001703CF" w:rsidRDefault="009F71AD" w:rsidP="00C054CC">
            <w:r w:rsidRPr="001703CF">
              <w:rPr>
                <w:rStyle w:val="Medium"/>
              </w:rPr>
              <w:t>2021–22 Target</w:t>
            </w:r>
          </w:p>
        </w:tc>
        <w:tc>
          <w:tcPr>
            <w:tcW w:w="1777" w:type="dxa"/>
            <w:tcMar>
              <w:top w:w="170" w:type="dxa"/>
              <w:left w:w="170" w:type="dxa"/>
              <w:bottom w:w="170" w:type="dxa"/>
              <w:right w:w="170" w:type="dxa"/>
            </w:tcMar>
          </w:tcPr>
          <w:p w14:paraId="7080C160" w14:textId="77777777" w:rsidR="009F71AD" w:rsidRPr="001703CF" w:rsidRDefault="009F71AD" w:rsidP="00C054CC">
            <w:r w:rsidRPr="001703CF">
              <w:rPr>
                <w:rStyle w:val="Semibold"/>
              </w:rPr>
              <w:t>Quarter 1</w:t>
            </w:r>
          </w:p>
        </w:tc>
        <w:tc>
          <w:tcPr>
            <w:tcW w:w="1777" w:type="dxa"/>
            <w:tcMar>
              <w:top w:w="170" w:type="dxa"/>
              <w:left w:w="170" w:type="dxa"/>
              <w:bottom w:w="170" w:type="dxa"/>
              <w:right w:w="170" w:type="dxa"/>
            </w:tcMar>
          </w:tcPr>
          <w:p w14:paraId="168769E7" w14:textId="77777777" w:rsidR="009F71AD" w:rsidRPr="001703CF" w:rsidRDefault="009F71AD" w:rsidP="00C054CC">
            <w:r w:rsidRPr="001703CF">
              <w:rPr>
                <w:rStyle w:val="Semibold"/>
              </w:rPr>
              <w:t>Quarter 2</w:t>
            </w:r>
          </w:p>
        </w:tc>
        <w:tc>
          <w:tcPr>
            <w:tcW w:w="1777" w:type="dxa"/>
            <w:tcMar>
              <w:top w:w="170" w:type="dxa"/>
              <w:left w:w="170" w:type="dxa"/>
              <w:bottom w:w="170" w:type="dxa"/>
              <w:right w:w="170" w:type="dxa"/>
            </w:tcMar>
          </w:tcPr>
          <w:p w14:paraId="63F6774A" w14:textId="77777777" w:rsidR="009F71AD" w:rsidRPr="001703CF" w:rsidRDefault="009F71AD" w:rsidP="00C054CC">
            <w:r w:rsidRPr="001703CF">
              <w:rPr>
                <w:rStyle w:val="Semibold"/>
              </w:rPr>
              <w:t>Quarter 3</w:t>
            </w:r>
          </w:p>
        </w:tc>
        <w:tc>
          <w:tcPr>
            <w:tcW w:w="1778" w:type="dxa"/>
            <w:tcMar>
              <w:top w:w="170" w:type="dxa"/>
              <w:left w:w="170" w:type="dxa"/>
              <w:bottom w:w="170" w:type="dxa"/>
              <w:right w:w="170" w:type="dxa"/>
            </w:tcMar>
          </w:tcPr>
          <w:p w14:paraId="014B50D1" w14:textId="77777777" w:rsidR="009F71AD" w:rsidRPr="001703CF" w:rsidRDefault="009F71AD" w:rsidP="00C054CC">
            <w:r w:rsidRPr="001703CF">
              <w:rPr>
                <w:rStyle w:val="Semibold"/>
              </w:rPr>
              <w:t>Quarter 4</w:t>
            </w:r>
          </w:p>
        </w:tc>
      </w:tr>
      <w:tr w:rsidR="009F71AD" w:rsidRPr="001703CF" w14:paraId="3E8EAEB7" w14:textId="77777777" w:rsidTr="00C054CC">
        <w:trPr>
          <w:trHeight w:val="60"/>
        </w:trPr>
        <w:tc>
          <w:tcPr>
            <w:tcW w:w="2529" w:type="dxa"/>
            <w:shd w:val="solid" w:color="FEB403" w:fill="auto"/>
            <w:tcMar>
              <w:top w:w="170" w:type="dxa"/>
              <w:left w:w="170" w:type="dxa"/>
              <w:bottom w:w="170" w:type="dxa"/>
              <w:right w:w="170" w:type="dxa"/>
            </w:tcMar>
          </w:tcPr>
          <w:p w14:paraId="4F4F3602" w14:textId="77777777" w:rsidR="009F71AD" w:rsidRPr="001703CF" w:rsidRDefault="009F71AD" w:rsidP="00C054CC"/>
        </w:tc>
        <w:tc>
          <w:tcPr>
            <w:tcW w:w="1777" w:type="dxa"/>
            <w:tcMar>
              <w:top w:w="170" w:type="dxa"/>
              <w:left w:w="170" w:type="dxa"/>
              <w:bottom w:w="170" w:type="dxa"/>
              <w:right w:w="170" w:type="dxa"/>
            </w:tcMar>
          </w:tcPr>
          <w:p w14:paraId="2CD7BE0C" w14:textId="77777777" w:rsidR="009F71AD" w:rsidRPr="001703CF" w:rsidRDefault="009F71AD" w:rsidP="00C054CC">
            <w:r w:rsidRPr="001703CF">
              <w:rPr>
                <w:rStyle w:val="Semibold"/>
                <w:b w:val="0"/>
                <w:bCs w:val="0"/>
              </w:rPr>
              <w:t>&lt;15%</w:t>
            </w:r>
          </w:p>
        </w:tc>
        <w:tc>
          <w:tcPr>
            <w:tcW w:w="1777" w:type="dxa"/>
            <w:tcMar>
              <w:top w:w="170" w:type="dxa"/>
              <w:left w:w="170" w:type="dxa"/>
              <w:bottom w:w="170" w:type="dxa"/>
              <w:right w:w="170" w:type="dxa"/>
            </w:tcMar>
          </w:tcPr>
          <w:p w14:paraId="6BA2AB99" w14:textId="77777777" w:rsidR="009F71AD" w:rsidRPr="001703CF" w:rsidRDefault="009F71AD" w:rsidP="00C054CC">
            <w:r w:rsidRPr="001703CF">
              <w:rPr>
                <w:rStyle w:val="Semibold"/>
                <w:b w:val="0"/>
                <w:bCs w:val="0"/>
              </w:rPr>
              <w:t>&lt;15%</w:t>
            </w:r>
          </w:p>
        </w:tc>
        <w:tc>
          <w:tcPr>
            <w:tcW w:w="1777" w:type="dxa"/>
            <w:tcMar>
              <w:top w:w="170" w:type="dxa"/>
              <w:left w:w="170" w:type="dxa"/>
              <w:bottom w:w="170" w:type="dxa"/>
              <w:right w:w="170" w:type="dxa"/>
            </w:tcMar>
          </w:tcPr>
          <w:p w14:paraId="5A9DF33C" w14:textId="77777777" w:rsidR="009F71AD" w:rsidRPr="001703CF" w:rsidRDefault="009F71AD" w:rsidP="00C054CC">
            <w:r w:rsidRPr="001703CF">
              <w:rPr>
                <w:rStyle w:val="Semibold"/>
                <w:b w:val="0"/>
                <w:bCs w:val="0"/>
              </w:rPr>
              <w:t>&lt;15%</w:t>
            </w:r>
          </w:p>
        </w:tc>
        <w:tc>
          <w:tcPr>
            <w:tcW w:w="1778" w:type="dxa"/>
            <w:tcMar>
              <w:top w:w="170" w:type="dxa"/>
              <w:left w:w="170" w:type="dxa"/>
              <w:bottom w:w="170" w:type="dxa"/>
              <w:right w:w="170" w:type="dxa"/>
            </w:tcMar>
          </w:tcPr>
          <w:p w14:paraId="788918F0" w14:textId="77777777" w:rsidR="009F71AD" w:rsidRPr="001703CF" w:rsidRDefault="009F71AD" w:rsidP="00C054CC">
            <w:r w:rsidRPr="001703CF">
              <w:rPr>
                <w:rStyle w:val="Semibold"/>
                <w:b w:val="0"/>
                <w:bCs w:val="0"/>
              </w:rPr>
              <w:t>&lt;15%</w:t>
            </w:r>
          </w:p>
        </w:tc>
      </w:tr>
      <w:tr w:rsidR="009F71AD" w:rsidRPr="001703CF" w14:paraId="0646CA84" w14:textId="77777777" w:rsidTr="00C054CC">
        <w:trPr>
          <w:trHeight w:val="520"/>
        </w:trPr>
        <w:tc>
          <w:tcPr>
            <w:tcW w:w="2529" w:type="dxa"/>
            <w:shd w:val="solid" w:color="FEB403" w:fill="auto"/>
            <w:tcMar>
              <w:top w:w="170" w:type="dxa"/>
              <w:left w:w="170" w:type="dxa"/>
              <w:bottom w:w="170" w:type="dxa"/>
              <w:right w:w="170" w:type="dxa"/>
            </w:tcMar>
          </w:tcPr>
          <w:p w14:paraId="02D18251" w14:textId="77777777" w:rsidR="009F71AD" w:rsidRPr="001703CF" w:rsidRDefault="009F71AD" w:rsidP="00C054CC">
            <w:r w:rsidRPr="001703CF">
              <w:rPr>
                <w:rStyle w:val="Medium"/>
              </w:rPr>
              <w:t>Outcome Measure</w:t>
            </w:r>
          </w:p>
        </w:tc>
        <w:tc>
          <w:tcPr>
            <w:tcW w:w="7109" w:type="dxa"/>
            <w:gridSpan w:val="4"/>
            <w:tcMar>
              <w:top w:w="170" w:type="dxa"/>
              <w:left w:w="170" w:type="dxa"/>
              <w:bottom w:w="170" w:type="dxa"/>
              <w:right w:w="170" w:type="dxa"/>
            </w:tcMar>
          </w:tcPr>
          <w:p w14:paraId="3A811D1E" w14:textId="77777777" w:rsidR="009F71AD" w:rsidRPr="001703CF" w:rsidRDefault="009F71AD" w:rsidP="00C054CC">
            <w:r w:rsidRPr="001703CF">
              <w:t>Percentage of extreme and high risks managed within tolerance levels</w:t>
            </w:r>
          </w:p>
        </w:tc>
      </w:tr>
      <w:tr w:rsidR="009F71AD" w:rsidRPr="001703CF" w14:paraId="0ADB3B9A" w14:textId="77777777" w:rsidTr="00C054CC">
        <w:trPr>
          <w:trHeight w:val="520"/>
        </w:trPr>
        <w:tc>
          <w:tcPr>
            <w:tcW w:w="2529" w:type="dxa"/>
            <w:shd w:val="solid" w:color="FEB403" w:fill="auto"/>
            <w:tcMar>
              <w:top w:w="170" w:type="dxa"/>
              <w:left w:w="170" w:type="dxa"/>
              <w:bottom w:w="170" w:type="dxa"/>
              <w:right w:w="170" w:type="dxa"/>
            </w:tcMar>
          </w:tcPr>
          <w:p w14:paraId="64D3E06D" w14:textId="77777777" w:rsidR="009F71AD" w:rsidRPr="001703CF" w:rsidRDefault="009F71AD" w:rsidP="00C054CC">
            <w:r w:rsidRPr="001703CF">
              <w:rPr>
                <w:rStyle w:val="Medium"/>
              </w:rPr>
              <w:t>2021–22 Target</w:t>
            </w:r>
          </w:p>
        </w:tc>
        <w:tc>
          <w:tcPr>
            <w:tcW w:w="1777" w:type="dxa"/>
            <w:tcMar>
              <w:top w:w="170" w:type="dxa"/>
              <w:left w:w="170" w:type="dxa"/>
              <w:bottom w:w="170" w:type="dxa"/>
              <w:right w:w="170" w:type="dxa"/>
            </w:tcMar>
          </w:tcPr>
          <w:p w14:paraId="2F559176" w14:textId="77777777" w:rsidR="009F71AD" w:rsidRPr="001703CF" w:rsidRDefault="009F71AD" w:rsidP="00C054CC">
            <w:r w:rsidRPr="001703CF">
              <w:rPr>
                <w:rStyle w:val="Semibold"/>
              </w:rPr>
              <w:t>Quarter 1</w:t>
            </w:r>
          </w:p>
        </w:tc>
        <w:tc>
          <w:tcPr>
            <w:tcW w:w="1777" w:type="dxa"/>
            <w:tcMar>
              <w:top w:w="170" w:type="dxa"/>
              <w:left w:w="170" w:type="dxa"/>
              <w:bottom w:w="170" w:type="dxa"/>
              <w:right w:w="170" w:type="dxa"/>
            </w:tcMar>
          </w:tcPr>
          <w:p w14:paraId="00BA29DF" w14:textId="77777777" w:rsidR="009F71AD" w:rsidRPr="001703CF" w:rsidRDefault="009F71AD" w:rsidP="00C054CC">
            <w:r w:rsidRPr="001703CF">
              <w:rPr>
                <w:rStyle w:val="Semibold"/>
              </w:rPr>
              <w:t>Quarter 2</w:t>
            </w:r>
          </w:p>
        </w:tc>
        <w:tc>
          <w:tcPr>
            <w:tcW w:w="1777" w:type="dxa"/>
            <w:tcMar>
              <w:top w:w="170" w:type="dxa"/>
              <w:left w:w="170" w:type="dxa"/>
              <w:bottom w:w="170" w:type="dxa"/>
              <w:right w:w="170" w:type="dxa"/>
            </w:tcMar>
          </w:tcPr>
          <w:p w14:paraId="00E506DD" w14:textId="77777777" w:rsidR="009F71AD" w:rsidRPr="001703CF" w:rsidRDefault="009F71AD" w:rsidP="00C054CC">
            <w:r w:rsidRPr="001703CF">
              <w:rPr>
                <w:rStyle w:val="Semibold"/>
              </w:rPr>
              <w:t>Quarter 3</w:t>
            </w:r>
          </w:p>
        </w:tc>
        <w:tc>
          <w:tcPr>
            <w:tcW w:w="1778" w:type="dxa"/>
            <w:tcMar>
              <w:top w:w="170" w:type="dxa"/>
              <w:left w:w="170" w:type="dxa"/>
              <w:bottom w:w="170" w:type="dxa"/>
              <w:right w:w="170" w:type="dxa"/>
            </w:tcMar>
          </w:tcPr>
          <w:p w14:paraId="6D44FE43" w14:textId="77777777" w:rsidR="009F71AD" w:rsidRPr="001703CF" w:rsidRDefault="009F71AD" w:rsidP="00C054CC">
            <w:r w:rsidRPr="001703CF">
              <w:rPr>
                <w:rStyle w:val="Semibold"/>
              </w:rPr>
              <w:t>Quarter 4</w:t>
            </w:r>
          </w:p>
        </w:tc>
      </w:tr>
      <w:tr w:rsidR="009F71AD" w:rsidRPr="001703CF" w14:paraId="41B532BB" w14:textId="77777777" w:rsidTr="00C054CC">
        <w:trPr>
          <w:trHeight w:val="520"/>
        </w:trPr>
        <w:tc>
          <w:tcPr>
            <w:tcW w:w="2529" w:type="dxa"/>
            <w:shd w:val="solid" w:color="FEB403" w:fill="auto"/>
            <w:tcMar>
              <w:top w:w="170" w:type="dxa"/>
              <w:left w:w="170" w:type="dxa"/>
              <w:bottom w:w="170" w:type="dxa"/>
              <w:right w:w="170" w:type="dxa"/>
            </w:tcMar>
          </w:tcPr>
          <w:p w14:paraId="178A336D" w14:textId="77777777" w:rsidR="009F71AD" w:rsidRPr="001703CF" w:rsidRDefault="009F71AD" w:rsidP="00C054CC"/>
        </w:tc>
        <w:tc>
          <w:tcPr>
            <w:tcW w:w="1777" w:type="dxa"/>
            <w:tcMar>
              <w:top w:w="170" w:type="dxa"/>
              <w:left w:w="170" w:type="dxa"/>
              <w:bottom w:w="170" w:type="dxa"/>
              <w:right w:w="170" w:type="dxa"/>
            </w:tcMar>
          </w:tcPr>
          <w:p w14:paraId="2BE3A415" w14:textId="77777777" w:rsidR="009F71AD" w:rsidRPr="001703CF" w:rsidRDefault="009F71AD" w:rsidP="00C054CC">
            <w:r w:rsidRPr="001703CF">
              <w:rPr>
                <w:rStyle w:val="Semibold"/>
                <w:b w:val="0"/>
                <w:bCs w:val="0"/>
              </w:rPr>
              <w:t>≥85%</w:t>
            </w:r>
          </w:p>
        </w:tc>
        <w:tc>
          <w:tcPr>
            <w:tcW w:w="1777" w:type="dxa"/>
            <w:tcMar>
              <w:top w:w="170" w:type="dxa"/>
              <w:left w:w="170" w:type="dxa"/>
              <w:bottom w:w="170" w:type="dxa"/>
              <w:right w:w="170" w:type="dxa"/>
            </w:tcMar>
          </w:tcPr>
          <w:p w14:paraId="571A780B" w14:textId="77777777" w:rsidR="009F71AD" w:rsidRPr="001703CF" w:rsidRDefault="009F71AD" w:rsidP="00C054CC">
            <w:r w:rsidRPr="001703CF">
              <w:rPr>
                <w:rStyle w:val="Semibold"/>
                <w:b w:val="0"/>
                <w:bCs w:val="0"/>
              </w:rPr>
              <w:t>≥85%</w:t>
            </w:r>
          </w:p>
        </w:tc>
        <w:tc>
          <w:tcPr>
            <w:tcW w:w="1777" w:type="dxa"/>
            <w:tcMar>
              <w:top w:w="170" w:type="dxa"/>
              <w:left w:w="170" w:type="dxa"/>
              <w:bottom w:w="170" w:type="dxa"/>
              <w:right w:w="170" w:type="dxa"/>
            </w:tcMar>
          </w:tcPr>
          <w:p w14:paraId="2D7C239A" w14:textId="77777777" w:rsidR="009F71AD" w:rsidRPr="001703CF" w:rsidRDefault="009F71AD" w:rsidP="00C054CC">
            <w:r w:rsidRPr="001703CF">
              <w:rPr>
                <w:rStyle w:val="Semibold"/>
                <w:b w:val="0"/>
                <w:bCs w:val="0"/>
              </w:rPr>
              <w:t>≥85%</w:t>
            </w:r>
          </w:p>
        </w:tc>
        <w:tc>
          <w:tcPr>
            <w:tcW w:w="1778" w:type="dxa"/>
            <w:tcMar>
              <w:top w:w="170" w:type="dxa"/>
              <w:left w:w="170" w:type="dxa"/>
              <w:bottom w:w="170" w:type="dxa"/>
              <w:right w:w="170" w:type="dxa"/>
            </w:tcMar>
          </w:tcPr>
          <w:p w14:paraId="0E6E8A1D" w14:textId="77777777" w:rsidR="009F71AD" w:rsidRPr="001703CF" w:rsidRDefault="009F71AD" w:rsidP="00C054CC">
            <w:r w:rsidRPr="001703CF">
              <w:rPr>
                <w:rStyle w:val="Semibold"/>
                <w:b w:val="0"/>
                <w:bCs w:val="0"/>
              </w:rPr>
              <w:t>≥85%</w:t>
            </w:r>
          </w:p>
        </w:tc>
      </w:tr>
    </w:tbl>
    <w:p w14:paraId="56371465" w14:textId="77777777" w:rsidR="009F71AD" w:rsidRPr="001703CF" w:rsidRDefault="009F71AD" w:rsidP="00C054CC">
      <w:pPr>
        <w:pStyle w:val="Heading2"/>
      </w:pPr>
      <w:bookmarkStart w:id="26" w:name="_Toc88132896"/>
      <w:r w:rsidRPr="001703CF">
        <w:t>Outputs</w:t>
      </w:r>
      <w:bookmarkEnd w:id="26"/>
    </w:p>
    <w:p w14:paraId="1A1638E4" w14:textId="77777777" w:rsidR="009F71AD" w:rsidRPr="001703CF" w:rsidRDefault="009F71AD" w:rsidP="00C054CC">
      <w:pPr>
        <w:pStyle w:val="Heading3"/>
      </w:pPr>
      <w:bookmarkStart w:id="27" w:name="_Toc88132897"/>
      <w:r w:rsidRPr="001703CF">
        <w:t>Financial control systems</w:t>
      </w:r>
      <w:bookmarkEnd w:id="27"/>
    </w:p>
    <w:p w14:paraId="61914045" w14:textId="77777777" w:rsidR="009F71AD" w:rsidRPr="001703CF" w:rsidRDefault="009F71AD" w:rsidP="00C054CC">
      <w:r w:rsidRPr="001703CF">
        <w:t>A robust financial control system ensures that public resources are being used efficiently and that financial risks, including fraud, are being appropriately managed. It also ensures that CSV is meeting its compliance obligations relating to financial management. CSV is committed to the maintenance of a strong financial control environment and to this end, will document its control systems through the development of a financial control plan.</w:t>
      </w:r>
    </w:p>
    <w:p w14:paraId="1C5B6ECF" w14:textId="77777777" w:rsidR="009F71AD" w:rsidRPr="001703CF" w:rsidRDefault="009F71AD" w:rsidP="00C054CC">
      <w:pPr>
        <w:pStyle w:val="Heading4"/>
      </w:pPr>
      <w:r w:rsidRPr="001703CF">
        <w:t>What will we deliver in 2021–22?</w:t>
      </w:r>
    </w:p>
    <w:p w14:paraId="7AB6C992" w14:textId="77777777" w:rsidR="009F71AD" w:rsidRPr="001703CF" w:rsidRDefault="009F71AD" w:rsidP="00C054CC">
      <w:r w:rsidRPr="001703CF">
        <w:t>CSV will develop an integrated financial control plan that will define our systems that ensure compliance with financial reporting obligations, identify clear roles and accountabilities for financial reporting and outline our budget management, cost forecasting, and supplier and subcontractor payment processes.</w:t>
      </w:r>
    </w:p>
    <w:p w14:paraId="515FE617" w14:textId="77777777" w:rsidR="009F71AD" w:rsidRPr="001703CF" w:rsidRDefault="009F71AD" w:rsidP="00C054CC">
      <w:pPr>
        <w:pStyle w:val="Heading3"/>
      </w:pPr>
      <w:bookmarkStart w:id="28" w:name="_Toc88132898"/>
      <w:r w:rsidRPr="001703CF">
        <w:t>Annual program forecasting plan</w:t>
      </w:r>
      <w:bookmarkEnd w:id="28"/>
    </w:p>
    <w:p w14:paraId="670AEA87" w14:textId="77777777" w:rsidR="009F71AD" w:rsidRPr="001703CF" w:rsidRDefault="009F71AD" w:rsidP="00C054CC">
      <w:r w:rsidRPr="001703CF">
        <w:t>Comprehensive forward financial forecasting enables CSV to accurately identify in advance any funding issues that may impact on the timely delivery of the rectification program. This planning informs effective decision-making with respect to funding requirements and enables CSV to manage any risks relating to the availability of funding. To ensure that this forecasting is undertaken in a consistent and thorough manner, CSV will develop an annual forecasting plan for the full rectification program.</w:t>
      </w:r>
    </w:p>
    <w:p w14:paraId="28D425A5" w14:textId="77777777" w:rsidR="009F71AD" w:rsidRPr="001703CF" w:rsidRDefault="009F71AD" w:rsidP="00C054CC">
      <w:pPr>
        <w:pStyle w:val="Heading4"/>
      </w:pPr>
      <w:r w:rsidRPr="001703CF">
        <w:lastRenderedPageBreak/>
        <w:t>What will we deliver in 2021–22?</w:t>
      </w:r>
    </w:p>
    <w:p w14:paraId="6DB4F44B" w14:textId="77777777" w:rsidR="009F71AD" w:rsidRPr="001703CF" w:rsidRDefault="009F71AD" w:rsidP="00C054CC">
      <w:r w:rsidRPr="001703CF">
        <w:t>CSV will develop a detailed annual forecasting plan that will include multi-year project expenditure forecasting to better inform program-wide decision-making. This will include time phasing of CSV’s cost plan forecasts at key stages of the rectification project cycle that align to financial years.</w:t>
      </w:r>
    </w:p>
    <w:p w14:paraId="520CDAC7" w14:textId="77777777" w:rsidR="009F71AD" w:rsidRPr="001703CF" w:rsidRDefault="009F71AD" w:rsidP="00C054CC">
      <w:pPr>
        <w:pStyle w:val="Heading3"/>
      </w:pPr>
      <w:bookmarkStart w:id="29" w:name="_Toc88132899"/>
      <w:r w:rsidRPr="001703CF">
        <w:t>People and culture plan</w:t>
      </w:r>
      <w:bookmarkEnd w:id="29"/>
    </w:p>
    <w:p w14:paraId="5231F61C" w14:textId="77777777" w:rsidR="009F71AD" w:rsidRPr="001703CF" w:rsidRDefault="009F71AD" w:rsidP="00C054CC">
      <w:r w:rsidRPr="001703CF">
        <w:t>A robust positive workplace culture that attracts talent, drives engagement, enhances staff satisfaction and improves performance is a critical enabler for the delivery of CSV’s strategic objectives. CSV is committed to developing and implementing a comprehensive People and Culture Plan that will build on CSV’s existing strong culture. The plan will include organisational culture, talent acquisition, onboarding, staff development, leadership development, staff performance, staff retention, occupational health, safety and wellbeing and exit strategies.</w:t>
      </w:r>
    </w:p>
    <w:p w14:paraId="61BB66A3" w14:textId="77777777" w:rsidR="009F71AD" w:rsidRPr="001703CF" w:rsidRDefault="009F71AD" w:rsidP="00C054CC">
      <w:pPr>
        <w:pStyle w:val="Heading4"/>
      </w:pPr>
      <w:r w:rsidRPr="001703CF">
        <w:t>What will we deliver in 2021–22?</w:t>
      </w:r>
    </w:p>
    <w:p w14:paraId="6D5D6C94" w14:textId="77777777" w:rsidR="009F71AD" w:rsidRPr="001703CF" w:rsidRDefault="009F71AD" w:rsidP="00C054CC">
      <w:r w:rsidRPr="001703CF">
        <w:t>CSV will finalise the People and Culture Plan and implement the first-year initiatives within the plan. Ongoing prioritisation of projects to be delivered under the plan will be informed by the results of CSV’s staff survey, which is rolled out annually and measures overall staff satisfaction, as well as satisfaction with specific aspects of the CSV workplace and culture.</w:t>
      </w:r>
    </w:p>
    <w:p w14:paraId="341B6327" w14:textId="77777777" w:rsidR="009F71AD" w:rsidRPr="001703CF" w:rsidRDefault="009F71AD" w:rsidP="00C054CC">
      <w:pPr>
        <w:pStyle w:val="Heading3"/>
      </w:pPr>
      <w:bookmarkStart w:id="30" w:name="_Toc88132900"/>
      <w:r w:rsidRPr="001703CF">
        <w:t>Risk management framework</w:t>
      </w:r>
      <w:bookmarkEnd w:id="30"/>
      <w:r w:rsidRPr="001703CF">
        <w:t xml:space="preserve"> </w:t>
      </w:r>
    </w:p>
    <w:p w14:paraId="0671E19E" w14:textId="0133BC59" w:rsidR="00C054CC" w:rsidRPr="00C054CC" w:rsidRDefault="009F71AD" w:rsidP="00C054CC">
      <w:r w:rsidRPr="00C054CC">
        <w:t xml:space="preserve">Robust risk management practice is critical to ensuring that CSV is well-placed to achieve its objectives. CSV’s risk management framework provides a systematic approach to the identification and mitigation of risks to support effective decision-making. Under the framework, CSV undertakes regular reviews of its risk profile and provides the executive and Board with tactical and strategic risk information that facilitates program and business planning, the monitoring of performance and the escalation of critical issues. </w:t>
      </w:r>
    </w:p>
    <w:p w14:paraId="3197348B" w14:textId="77777777" w:rsidR="009F71AD" w:rsidRPr="001703CF" w:rsidRDefault="009F71AD" w:rsidP="00C054CC">
      <w:pPr>
        <w:pStyle w:val="Heading4"/>
      </w:pPr>
      <w:r w:rsidRPr="001703CF">
        <w:t xml:space="preserve">What will we deliver in 2021–22? </w:t>
      </w:r>
    </w:p>
    <w:p w14:paraId="10C78AFF" w14:textId="77777777" w:rsidR="009F71AD" w:rsidRPr="001703CF" w:rsidRDefault="009F71AD" w:rsidP="00C054CC">
      <w:r w:rsidRPr="001703CF">
        <w:t xml:space="preserve">CSV’s new risk management framework will be implemented in 2021–22 and a baseline measurement for CSV’s risk maturity will be established, which will inform the development of a risk management action plan. </w:t>
      </w:r>
    </w:p>
    <w:p w14:paraId="522C0B96" w14:textId="77777777" w:rsidR="009F71AD" w:rsidRPr="001703CF" w:rsidRDefault="009F71AD" w:rsidP="00C054CC">
      <w:pPr>
        <w:pStyle w:val="Heading3"/>
      </w:pPr>
      <w:bookmarkStart w:id="31" w:name="_Toc88132901"/>
      <w:r w:rsidRPr="001703CF">
        <w:t>Future planning and collaboration</w:t>
      </w:r>
      <w:bookmarkEnd w:id="31"/>
    </w:p>
    <w:p w14:paraId="7EC5671C" w14:textId="77777777" w:rsidR="009F71AD" w:rsidRPr="001703CF" w:rsidRDefault="009F71AD" w:rsidP="00C054CC">
      <w:r w:rsidRPr="001703CF">
        <w:t>In order to clarify CSV’s ability to fund the Cladding Rectification Program and meet government commitments, CSV will work in collaboration with DELWP to develop options for future delivery models to support government’s aim of reducing the risk posed by combustible cladding and the submission of additional funding requests.</w:t>
      </w:r>
    </w:p>
    <w:p w14:paraId="76119368" w14:textId="77777777" w:rsidR="009F71AD" w:rsidRPr="001703CF" w:rsidRDefault="009F71AD" w:rsidP="00C054CC">
      <w:pPr>
        <w:pStyle w:val="Heading4"/>
      </w:pPr>
      <w:r w:rsidRPr="001703CF">
        <w:t>What will we deliver in 2021–22?</w:t>
      </w:r>
    </w:p>
    <w:p w14:paraId="1B50EEE6" w14:textId="77777777" w:rsidR="009F71AD" w:rsidRPr="001703CF" w:rsidRDefault="009F71AD" w:rsidP="00C054CC">
      <w:r w:rsidRPr="001703CF">
        <w:t xml:space="preserve">CSV will gather an evidence base and undertake investment logic mapping to assess potential future service delivery options. CSV will work closely with DELWP on this exercise and </w:t>
      </w:r>
      <w:proofErr w:type="gramStart"/>
      <w:r w:rsidRPr="001703CF">
        <w:t>in particular to</w:t>
      </w:r>
      <w:proofErr w:type="gramEnd"/>
      <w:r w:rsidRPr="001703CF">
        <w:t xml:space="preserve"> ascertain possible funding strategies.</w:t>
      </w:r>
    </w:p>
    <w:p w14:paraId="0AE9B99C" w14:textId="77777777" w:rsidR="009F71AD" w:rsidRPr="001703CF" w:rsidRDefault="009F71AD" w:rsidP="00C054CC">
      <w:pPr>
        <w:pStyle w:val="Heading2"/>
      </w:pPr>
      <w:bookmarkStart w:id="32" w:name="_Toc88132902"/>
      <w:r w:rsidRPr="001703CF">
        <w:t>Output Measures</w:t>
      </w:r>
      <w:bookmarkEnd w:id="32"/>
    </w:p>
    <w:p w14:paraId="43825729" w14:textId="77777777" w:rsidR="009F71AD" w:rsidRPr="001703CF" w:rsidRDefault="009F71AD" w:rsidP="00C054CC">
      <w:r w:rsidRPr="001703CF">
        <w:t>The effectiveness of our delivery will be monitored through the following measures.</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listing output measures"/>
        <w:tblDescription w:val="Table outlining the output measures across the four quarters of the year."/>
      </w:tblPr>
      <w:tblGrid>
        <w:gridCol w:w="4918"/>
        <w:gridCol w:w="1468"/>
        <w:gridCol w:w="1468"/>
        <w:gridCol w:w="1468"/>
        <w:gridCol w:w="1468"/>
      </w:tblGrid>
      <w:tr w:rsidR="009F71AD" w:rsidRPr="001703CF" w14:paraId="4FE72995" w14:textId="77777777" w:rsidTr="00C054CC">
        <w:trPr>
          <w:trHeight w:val="60"/>
        </w:trPr>
        <w:tc>
          <w:tcPr>
            <w:tcW w:w="4394" w:type="dxa"/>
            <w:shd w:val="solid" w:color="FEB403" w:fill="auto"/>
            <w:tcMar>
              <w:top w:w="170" w:type="dxa"/>
              <w:left w:w="170" w:type="dxa"/>
              <w:bottom w:w="170" w:type="dxa"/>
              <w:right w:w="170" w:type="dxa"/>
            </w:tcMar>
          </w:tcPr>
          <w:p w14:paraId="7A56904A" w14:textId="77777777" w:rsidR="009F71AD" w:rsidRPr="001703CF" w:rsidRDefault="009F71AD" w:rsidP="00C054CC">
            <w:r w:rsidRPr="001703CF">
              <w:rPr>
                <w:rStyle w:val="Medium"/>
              </w:rPr>
              <w:lastRenderedPageBreak/>
              <w:t>Output Measure</w:t>
            </w:r>
          </w:p>
        </w:tc>
        <w:tc>
          <w:tcPr>
            <w:tcW w:w="1311" w:type="dxa"/>
            <w:tcMar>
              <w:top w:w="170" w:type="dxa"/>
              <w:left w:w="170" w:type="dxa"/>
              <w:bottom w:w="170" w:type="dxa"/>
              <w:right w:w="170" w:type="dxa"/>
            </w:tcMar>
          </w:tcPr>
          <w:p w14:paraId="65EA6343" w14:textId="77777777" w:rsidR="009F71AD" w:rsidRPr="001703CF" w:rsidRDefault="009F71AD" w:rsidP="00C054CC">
            <w:r w:rsidRPr="001703CF">
              <w:rPr>
                <w:rStyle w:val="Semibold"/>
              </w:rPr>
              <w:t>Quarter 1 Target</w:t>
            </w:r>
          </w:p>
        </w:tc>
        <w:tc>
          <w:tcPr>
            <w:tcW w:w="1311" w:type="dxa"/>
            <w:tcMar>
              <w:top w:w="170" w:type="dxa"/>
              <w:left w:w="170" w:type="dxa"/>
              <w:bottom w:w="170" w:type="dxa"/>
              <w:right w:w="170" w:type="dxa"/>
            </w:tcMar>
          </w:tcPr>
          <w:p w14:paraId="6BEEEF42" w14:textId="77777777" w:rsidR="009F71AD" w:rsidRPr="001703CF" w:rsidRDefault="009F71AD" w:rsidP="00C054CC">
            <w:r w:rsidRPr="001703CF">
              <w:rPr>
                <w:rStyle w:val="Semibold"/>
              </w:rPr>
              <w:t>Quarter 2 Target</w:t>
            </w:r>
          </w:p>
        </w:tc>
        <w:tc>
          <w:tcPr>
            <w:tcW w:w="1311" w:type="dxa"/>
            <w:tcMar>
              <w:top w:w="170" w:type="dxa"/>
              <w:left w:w="170" w:type="dxa"/>
              <w:bottom w:w="170" w:type="dxa"/>
              <w:right w:w="170" w:type="dxa"/>
            </w:tcMar>
          </w:tcPr>
          <w:p w14:paraId="485DA2B9" w14:textId="77777777" w:rsidR="009F71AD" w:rsidRPr="001703CF" w:rsidRDefault="009F71AD" w:rsidP="00C054CC">
            <w:r w:rsidRPr="001703CF">
              <w:rPr>
                <w:rStyle w:val="Semibold"/>
              </w:rPr>
              <w:t>Quarter 3 Target</w:t>
            </w:r>
          </w:p>
        </w:tc>
        <w:tc>
          <w:tcPr>
            <w:tcW w:w="1311" w:type="dxa"/>
            <w:tcMar>
              <w:top w:w="170" w:type="dxa"/>
              <w:left w:w="170" w:type="dxa"/>
              <w:bottom w:w="170" w:type="dxa"/>
              <w:right w:w="170" w:type="dxa"/>
            </w:tcMar>
          </w:tcPr>
          <w:p w14:paraId="4B3874D7" w14:textId="77777777" w:rsidR="009F71AD" w:rsidRPr="001703CF" w:rsidRDefault="009F71AD" w:rsidP="00C054CC">
            <w:r w:rsidRPr="001703CF">
              <w:rPr>
                <w:rStyle w:val="Semibold"/>
              </w:rPr>
              <w:t>Quarter 4 Target</w:t>
            </w:r>
          </w:p>
        </w:tc>
      </w:tr>
      <w:tr w:rsidR="009F71AD" w:rsidRPr="001703CF" w14:paraId="5F961364" w14:textId="77777777" w:rsidTr="00C054CC">
        <w:trPr>
          <w:trHeight w:val="60"/>
        </w:trPr>
        <w:tc>
          <w:tcPr>
            <w:tcW w:w="4394" w:type="dxa"/>
            <w:shd w:val="solid" w:color="FEB403" w:fill="auto"/>
            <w:tcMar>
              <w:top w:w="170" w:type="dxa"/>
              <w:left w:w="170" w:type="dxa"/>
              <w:bottom w:w="170" w:type="dxa"/>
              <w:right w:w="170" w:type="dxa"/>
            </w:tcMar>
          </w:tcPr>
          <w:p w14:paraId="72330BEC" w14:textId="77777777" w:rsidR="009F71AD" w:rsidRPr="001703CF" w:rsidRDefault="009F71AD" w:rsidP="00C054CC">
            <w:r w:rsidRPr="001703CF">
              <w:t>Organisational culture and staff engagement rating *</w:t>
            </w:r>
          </w:p>
        </w:tc>
        <w:tc>
          <w:tcPr>
            <w:tcW w:w="1311" w:type="dxa"/>
            <w:tcMar>
              <w:top w:w="170" w:type="dxa"/>
              <w:left w:w="170" w:type="dxa"/>
              <w:bottom w:w="170" w:type="dxa"/>
              <w:right w:w="170" w:type="dxa"/>
            </w:tcMar>
          </w:tcPr>
          <w:p w14:paraId="2B5D51EC" w14:textId="77777777" w:rsidR="009F71AD" w:rsidRPr="001703CF" w:rsidRDefault="009F71AD" w:rsidP="00C054CC">
            <w:r w:rsidRPr="001703CF">
              <w:t>N/A</w:t>
            </w:r>
          </w:p>
        </w:tc>
        <w:tc>
          <w:tcPr>
            <w:tcW w:w="1311" w:type="dxa"/>
            <w:tcMar>
              <w:top w:w="170" w:type="dxa"/>
              <w:left w:w="170" w:type="dxa"/>
              <w:bottom w:w="170" w:type="dxa"/>
              <w:right w:w="170" w:type="dxa"/>
            </w:tcMar>
          </w:tcPr>
          <w:p w14:paraId="361CA7DF" w14:textId="77777777" w:rsidR="009F71AD" w:rsidRPr="001703CF" w:rsidRDefault="009F71AD" w:rsidP="00C054CC">
            <w:r w:rsidRPr="001703CF">
              <w:t xml:space="preserve">N/A </w:t>
            </w:r>
          </w:p>
        </w:tc>
        <w:tc>
          <w:tcPr>
            <w:tcW w:w="1311" w:type="dxa"/>
            <w:tcMar>
              <w:top w:w="170" w:type="dxa"/>
              <w:left w:w="170" w:type="dxa"/>
              <w:bottom w:w="170" w:type="dxa"/>
              <w:right w:w="170" w:type="dxa"/>
            </w:tcMar>
          </w:tcPr>
          <w:p w14:paraId="0460E763" w14:textId="77777777" w:rsidR="009F71AD" w:rsidRPr="001703CF" w:rsidRDefault="009F71AD" w:rsidP="00C054CC">
            <w:r w:rsidRPr="001703CF">
              <w:t>N/A</w:t>
            </w:r>
          </w:p>
        </w:tc>
        <w:tc>
          <w:tcPr>
            <w:tcW w:w="1311" w:type="dxa"/>
            <w:tcMar>
              <w:top w:w="170" w:type="dxa"/>
              <w:left w:w="170" w:type="dxa"/>
              <w:bottom w:w="170" w:type="dxa"/>
              <w:right w:w="170" w:type="dxa"/>
            </w:tcMar>
          </w:tcPr>
          <w:p w14:paraId="14997E7C" w14:textId="77777777" w:rsidR="009F71AD" w:rsidRPr="001703CF" w:rsidRDefault="009F71AD" w:rsidP="00C054CC">
            <w:r w:rsidRPr="001703CF">
              <w:t>N/A</w:t>
            </w:r>
          </w:p>
        </w:tc>
      </w:tr>
      <w:tr w:rsidR="009F71AD" w:rsidRPr="001703CF" w14:paraId="012A1D60" w14:textId="77777777" w:rsidTr="00C054CC">
        <w:trPr>
          <w:trHeight w:val="542"/>
        </w:trPr>
        <w:tc>
          <w:tcPr>
            <w:tcW w:w="4394" w:type="dxa"/>
            <w:shd w:val="solid" w:color="FEB403" w:fill="auto"/>
            <w:tcMar>
              <w:top w:w="170" w:type="dxa"/>
              <w:left w:w="170" w:type="dxa"/>
              <w:bottom w:w="170" w:type="dxa"/>
              <w:right w:w="170" w:type="dxa"/>
            </w:tcMar>
          </w:tcPr>
          <w:p w14:paraId="1B72D3F3" w14:textId="77777777" w:rsidR="009F71AD" w:rsidRPr="001703CF" w:rsidRDefault="009F71AD" w:rsidP="00C054CC">
            <w:r w:rsidRPr="001703CF">
              <w:t>Percentage of safety corrective actions completed within agreed timeframes</w:t>
            </w:r>
          </w:p>
        </w:tc>
        <w:tc>
          <w:tcPr>
            <w:tcW w:w="1311" w:type="dxa"/>
            <w:tcMar>
              <w:top w:w="170" w:type="dxa"/>
              <w:left w:w="170" w:type="dxa"/>
              <w:bottom w:w="170" w:type="dxa"/>
              <w:right w:w="170" w:type="dxa"/>
            </w:tcMar>
          </w:tcPr>
          <w:p w14:paraId="1F39C4FB" w14:textId="77777777" w:rsidR="009F71AD" w:rsidRPr="001703CF" w:rsidRDefault="009F71AD" w:rsidP="00C054CC">
            <w:r w:rsidRPr="001703CF">
              <w:t>100%</w:t>
            </w:r>
          </w:p>
        </w:tc>
        <w:tc>
          <w:tcPr>
            <w:tcW w:w="1311" w:type="dxa"/>
            <w:tcMar>
              <w:top w:w="170" w:type="dxa"/>
              <w:left w:w="170" w:type="dxa"/>
              <w:bottom w:w="170" w:type="dxa"/>
              <w:right w:w="170" w:type="dxa"/>
            </w:tcMar>
          </w:tcPr>
          <w:p w14:paraId="06469167" w14:textId="77777777" w:rsidR="009F71AD" w:rsidRPr="001703CF" w:rsidRDefault="009F71AD" w:rsidP="00C054CC">
            <w:r w:rsidRPr="001703CF">
              <w:t>100%</w:t>
            </w:r>
          </w:p>
        </w:tc>
        <w:tc>
          <w:tcPr>
            <w:tcW w:w="1311" w:type="dxa"/>
            <w:tcMar>
              <w:top w:w="170" w:type="dxa"/>
              <w:left w:w="170" w:type="dxa"/>
              <w:bottom w:w="170" w:type="dxa"/>
              <w:right w:w="170" w:type="dxa"/>
            </w:tcMar>
          </w:tcPr>
          <w:p w14:paraId="5C44C314" w14:textId="77777777" w:rsidR="009F71AD" w:rsidRPr="001703CF" w:rsidRDefault="009F71AD" w:rsidP="00C054CC">
            <w:r w:rsidRPr="001703CF">
              <w:t>100%</w:t>
            </w:r>
          </w:p>
        </w:tc>
        <w:tc>
          <w:tcPr>
            <w:tcW w:w="1311" w:type="dxa"/>
            <w:tcMar>
              <w:top w:w="170" w:type="dxa"/>
              <w:left w:w="170" w:type="dxa"/>
              <w:bottom w:w="170" w:type="dxa"/>
              <w:right w:w="170" w:type="dxa"/>
            </w:tcMar>
          </w:tcPr>
          <w:p w14:paraId="54FCCBFA" w14:textId="77777777" w:rsidR="009F71AD" w:rsidRPr="001703CF" w:rsidRDefault="009F71AD" w:rsidP="00C054CC">
            <w:r w:rsidRPr="001703CF">
              <w:t>100%</w:t>
            </w:r>
          </w:p>
        </w:tc>
      </w:tr>
      <w:tr w:rsidR="009F71AD" w:rsidRPr="001703CF" w14:paraId="38E62B0A" w14:textId="77777777" w:rsidTr="00C054CC">
        <w:trPr>
          <w:trHeight w:val="60"/>
        </w:trPr>
        <w:tc>
          <w:tcPr>
            <w:tcW w:w="4394" w:type="dxa"/>
            <w:shd w:val="solid" w:color="FEB403" w:fill="auto"/>
            <w:tcMar>
              <w:top w:w="170" w:type="dxa"/>
              <w:left w:w="170" w:type="dxa"/>
              <w:bottom w:w="170" w:type="dxa"/>
              <w:right w:w="170" w:type="dxa"/>
            </w:tcMar>
          </w:tcPr>
          <w:p w14:paraId="47B5A066" w14:textId="77777777" w:rsidR="009F71AD" w:rsidRPr="001703CF" w:rsidRDefault="009F71AD" w:rsidP="00C054CC">
            <w:r w:rsidRPr="001703CF">
              <w:t>Percentage completion of mandatory compliance training modules</w:t>
            </w:r>
          </w:p>
        </w:tc>
        <w:tc>
          <w:tcPr>
            <w:tcW w:w="1311" w:type="dxa"/>
            <w:tcMar>
              <w:top w:w="170" w:type="dxa"/>
              <w:left w:w="170" w:type="dxa"/>
              <w:bottom w:w="170" w:type="dxa"/>
              <w:right w:w="170" w:type="dxa"/>
            </w:tcMar>
          </w:tcPr>
          <w:p w14:paraId="1DD74F8F" w14:textId="77777777" w:rsidR="009F71AD" w:rsidRPr="001703CF" w:rsidRDefault="009F71AD" w:rsidP="00C054CC">
            <w:r w:rsidRPr="001703CF">
              <w:t>≥95%</w:t>
            </w:r>
          </w:p>
        </w:tc>
        <w:tc>
          <w:tcPr>
            <w:tcW w:w="1311" w:type="dxa"/>
            <w:tcMar>
              <w:top w:w="170" w:type="dxa"/>
              <w:left w:w="170" w:type="dxa"/>
              <w:bottom w:w="170" w:type="dxa"/>
              <w:right w:w="170" w:type="dxa"/>
            </w:tcMar>
          </w:tcPr>
          <w:p w14:paraId="6813F278" w14:textId="77777777" w:rsidR="009F71AD" w:rsidRPr="001703CF" w:rsidRDefault="009F71AD" w:rsidP="00C054CC">
            <w:r w:rsidRPr="001703CF">
              <w:t>≥95%</w:t>
            </w:r>
          </w:p>
        </w:tc>
        <w:tc>
          <w:tcPr>
            <w:tcW w:w="1311" w:type="dxa"/>
            <w:tcMar>
              <w:top w:w="170" w:type="dxa"/>
              <w:left w:w="170" w:type="dxa"/>
              <w:bottom w:w="170" w:type="dxa"/>
              <w:right w:w="170" w:type="dxa"/>
            </w:tcMar>
          </w:tcPr>
          <w:p w14:paraId="6049D768" w14:textId="77777777" w:rsidR="009F71AD" w:rsidRPr="001703CF" w:rsidRDefault="009F71AD" w:rsidP="00C054CC">
            <w:r w:rsidRPr="001703CF">
              <w:t>≥95%</w:t>
            </w:r>
          </w:p>
        </w:tc>
        <w:tc>
          <w:tcPr>
            <w:tcW w:w="1311" w:type="dxa"/>
            <w:tcMar>
              <w:top w:w="170" w:type="dxa"/>
              <w:left w:w="170" w:type="dxa"/>
              <w:bottom w:w="170" w:type="dxa"/>
              <w:right w:w="170" w:type="dxa"/>
            </w:tcMar>
          </w:tcPr>
          <w:p w14:paraId="0BD9AD9E" w14:textId="77777777" w:rsidR="009F71AD" w:rsidRPr="001703CF" w:rsidRDefault="009F71AD" w:rsidP="00C054CC">
            <w:r w:rsidRPr="001703CF">
              <w:t>≥95%</w:t>
            </w:r>
          </w:p>
        </w:tc>
      </w:tr>
      <w:tr w:rsidR="009F71AD" w:rsidRPr="001703CF" w14:paraId="2BFA207C" w14:textId="77777777" w:rsidTr="00C054CC">
        <w:trPr>
          <w:trHeight w:val="60"/>
        </w:trPr>
        <w:tc>
          <w:tcPr>
            <w:tcW w:w="4394" w:type="dxa"/>
            <w:shd w:val="solid" w:color="FEB403" w:fill="auto"/>
            <w:tcMar>
              <w:top w:w="170" w:type="dxa"/>
              <w:left w:w="170" w:type="dxa"/>
              <w:bottom w:w="170" w:type="dxa"/>
              <w:right w:w="170" w:type="dxa"/>
            </w:tcMar>
          </w:tcPr>
          <w:p w14:paraId="710DF1A7" w14:textId="77777777" w:rsidR="009F71AD" w:rsidRPr="001703CF" w:rsidRDefault="009F71AD" w:rsidP="00C054CC">
            <w:r w:rsidRPr="001703CF">
              <w:t>Percentage of program reporting delivered within agreed timeframes</w:t>
            </w:r>
          </w:p>
        </w:tc>
        <w:tc>
          <w:tcPr>
            <w:tcW w:w="1311" w:type="dxa"/>
            <w:tcMar>
              <w:top w:w="170" w:type="dxa"/>
              <w:left w:w="170" w:type="dxa"/>
              <w:bottom w:w="170" w:type="dxa"/>
              <w:right w:w="170" w:type="dxa"/>
            </w:tcMar>
          </w:tcPr>
          <w:p w14:paraId="3EFC7766" w14:textId="77777777" w:rsidR="009F71AD" w:rsidRPr="001703CF" w:rsidRDefault="009F71AD" w:rsidP="00C054CC">
            <w:r w:rsidRPr="001703CF">
              <w:t>≥95%</w:t>
            </w:r>
          </w:p>
        </w:tc>
        <w:tc>
          <w:tcPr>
            <w:tcW w:w="1311" w:type="dxa"/>
            <w:tcMar>
              <w:top w:w="170" w:type="dxa"/>
              <w:left w:w="170" w:type="dxa"/>
              <w:bottom w:w="170" w:type="dxa"/>
              <w:right w:w="170" w:type="dxa"/>
            </w:tcMar>
          </w:tcPr>
          <w:p w14:paraId="767D54E6" w14:textId="77777777" w:rsidR="009F71AD" w:rsidRPr="001703CF" w:rsidRDefault="009F71AD" w:rsidP="00C054CC">
            <w:r w:rsidRPr="001703CF">
              <w:t>≥95%</w:t>
            </w:r>
          </w:p>
        </w:tc>
        <w:tc>
          <w:tcPr>
            <w:tcW w:w="1311" w:type="dxa"/>
            <w:tcMar>
              <w:top w:w="170" w:type="dxa"/>
              <w:left w:w="170" w:type="dxa"/>
              <w:bottom w:w="170" w:type="dxa"/>
              <w:right w:w="170" w:type="dxa"/>
            </w:tcMar>
          </w:tcPr>
          <w:p w14:paraId="412EFB62" w14:textId="77777777" w:rsidR="009F71AD" w:rsidRPr="001703CF" w:rsidRDefault="009F71AD" w:rsidP="00C054CC">
            <w:r w:rsidRPr="001703CF">
              <w:t>≥95%</w:t>
            </w:r>
          </w:p>
        </w:tc>
        <w:tc>
          <w:tcPr>
            <w:tcW w:w="1311" w:type="dxa"/>
            <w:tcMar>
              <w:top w:w="170" w:type="dxa"/>
              <w:left w:w="170" w:type="dxa"/>
              <w:bottom w:w="170" w:type="dxa"/>
              <w:right w:w="170" w:type="dxa"/>
            </w:tcMar>
          </w:tcPr>
          <w:p w14:paraId="426EB3F2" w14:textId="77777777" w:rsidR="009F71AD" w:rsidRPr="001703CF" w:rsidRDefault="009F71AD" w:rsidP="00C054CC">
            <w:r w:rsidRPr="001703CF">
              <w:t>≥95%</w:t>
            </w:r>
          </w:p>
        </w:tc>
      </w:tr>
      <w:tr w:rsidR="009F71AD" w:rsidRPr="001703CF" w14:paraId="31C3A64A" w14:textId="77777777" w:rsidTr="00C054CC">
        <w:trPr>
          <w:trHeight w:val="60"/>
        </w:trPr>
        <w:tc>
          <w:tcPr>
            <w:tcW w:w="4394" w:type="dxa"/>
            <w:shd w:val="solid" w:color="FEB403" w:fill="auto"/>
            <w:tcMar>
              <w:top w:w="170" w:type="dxa"/>
              <w:left w:w="170" w:type="dxa"/>
              <w:bottom w:w="170" w:type="dxa"/>
              <w:right w:w="170" w:type="dxa"/>
            </w:tcMar>
          </w:tcPr>
          <w:p w14:paraId="35BCF928" w14:textId="77777777" w:rsidR="009F71AD" w:rsidRPr="001703CF" w:rsidRDefault="009F71AD" w:rsidP="00C054CC">
            <w:r w:rsidRPr="001703CF">
              <w:t>Percentage compliance with mandatory financial management requirements ^</w:t>
            </w:r>
          </w:p>
        </w:tc>
        <w:tc>
          <w:tcPr>
            <w:tcW w:w="1311" w:type="dxa"/>
            <w:tcMar>
              <w:top w:w="170" w:type="dxa"/>
              <w:left w:w="170" w:type="dxa"/>
              <w:bottom w:w="170" w:type="dxa"/>
              <w:right w:w="170" w:type="dxa"/>
            </w:tcMar>
          </w:tcPr>
          <w:p w14:paraId="2DAF51A5" w14:textId="77777777" w:rsidR="009F71AD" w:rsidRPr="001703CF" w:rsidRDefault="009F71AD" w:rsidP="00C054CC">
            <w:r w:rsidRPr="001703CF">
              <w:t>N/A</w:t>
            </w:r>
          </w:p>
        </w:tc>
        <w:tc>
          <w:tcPr>
            <w:tcW w:w="1311" w:type="dxa"/>
            <w:tcMar>
              <w:top w:w="170" w:type="dxa"/>
              <w:left w:w="170" w:type="dxa"/>
              <w:bottom w:w="170" w:type="dxa"/>
              <w:right w:w="170" w:type="dxa"/>
            </w:tcMar>
          </w:tcPr>
          <w:p w14:paraId="39DBDFD0" w14:textId="77777777" w:rsidR="009F71AD" w:rsidRPr="001703CF" w:rsidRDefault="009F71AD" w:rsidP="00C054CC">
            <w:r w:rsidRPr="001703CF">
              <w:t>≥90%</w:t>
            </w:r>
          </w:p>
        </w:tc>
        <w:tc>
          <w:tcPr>
            <w:tcW w:w="1311" w:type="dxa"/>
            <w:tcMar>
              <w:top w:w="170" w:type="dxa"/>
              <w:left w:w="170" w:type="dxa"/>
              <w:bottom w:w="170" w:type="dxa"/>
              <w:right w:w="170" w:type="dxa"/>
            </w:tcMar>
          </w:tcPr>
          <w:p w14:paraId="4326033B" w14:textId="77777777" w:rsidR="009F71AD" w:rsidRPr="001703CF" w:rsidRDefault="009F71AD" w:rsidP="00C054CC">
            <w:r w:rsidRPr="001703CF">
              <w:t>N/A</w:t>
            </w:r>
          </w:p>
        </w:tc>
        <w:tc>
          <w:tcPr>
            <w:tcW w:w="1311" w:type="dxa"/>
            <w:tcMar>
              <w:top w:w="170" w:type="dxa"/>
              <w:left w:w="170" w:type="dxa"/>
              <w:bottom w:w="170" w:type="dxa"/>
              <w:right w:w="170" w:type="dxa"/>
            </w:tcMar>
          </w:tcPr>
          <w:p w14:paraId="2456D204" w14:textId="77777777" w:rsidR="009F71AD" w:rsidRPr="001703CF" w:rsidRDefault="009F71AD" w:rsidP="00C054CC">
            <w:r w:rsidRPr="001703CF">
              <w:t>N/A</w:t>
            </w:r>
          </w:p>
        </w:tc>
      </w:tr>
      <w:tr w:rsidR="009F71AD" w:rsidRPr="001703CF" w14:paraId="13D20528" w14:textId="77777777" w:rsidTr="00C054CC">
        <w:trPr>
          <w:trHeight w:val="60"/>
        </w:trPr>
        <w:tc>
          <w:tcPr>
            <w:tcW w:w="4394" w:type="dxa"/>
            <w:shd w:val="solid" w:color="FEB403" w:fill="auto"/>
            <w:tcMar>
              <w:top w:w="170" w:type="dxa"/>
              <w:left w:w="170" w:type="dxa"/>
              <w:bottom w:w="170" w:type="dxa"/>
              <w:right w:w="170" w:type="dxa"/>
            </w:tcMar>
          </w:tcPr>
          <w:p w14:paraId="39CF3F9F" w14:textId="77777777" w:rsidR="009F71AD" w:rsidRPr="001703CF" w:rsidRDefault="009F71AD" w:rsidP="00C054CC">
            <w:r w:rsidRPr="001703CF">
              <w:t>Percentage of risk treatment actions completed within agreed timeframes</w:t>
            </w:r>
          </w:p>
        </w:tc>
        <w:tc>
          <w:tcPr>
            <w:tcW w:w="1311" w:type="dxa"/>
            <w:tcMar>
              <w:top w:w="170" w:type="dxa"/>
              <w:left w:w="170" w:type="dxa"/>
              <w:bottom w:w="170" w:type="dxa"/>
              <w:right w:w="170" w:type="dxa"/>
            </w:tcMar>
          </w:tcPr>
          <w:p w14:paraId="5EC88F53" w14:textId="77777777" w:rsidR="009F71AD" w:rsidRPr="001703CF" w:rsidRDefault="009F71AD" w:rsidP="00C054CC">
            <w:r w:rsidRPr="001703CF">
              <w:t>≥85%</w:t>
            </w:r>
          </w:p>
        </w:tc>
        <w:tc>
          <w:tcPr>
            <w:tcW w:w="1311" w:type="dxa"/>
            <w:tcMar>
              <w:top w:w="170" w:type="dxa"/>
              <w:left w:w="170" w:type="dxa"/>
              <w:bottom w:w="170" w:type="dxa"/>
              <w:right w:w="170" w:type="dxa"/>
            </w:tcMar>
          </w:tcPr>
          <w:p w14:paraId="4F2F57D1" w14:textId="77777777" w:rsidR="009F71AD" w:rsidRPr="001703CF" w:rsidRDefault="009F71AD" w:rsidP="00C054CC">
            <w:r w:rsidRPr="001703CF">
              <w:t>≥85%</w:t>
            </w:r>
          </w:p>
        </w:tc>
        <w:tc>
          <w:tcPr>
            <w:tcW w:w="1311" w:type="dxa"/>
            <w:tcMar>
              <w:top w:w="170" w:type="dxa"/>
              <w:left w:w="170" w:type="dxa"/>
              <w:bottom w:w="170" w:type="dxa"/>
              <w:right w:w="170" w:type="dxa"/>
            </w:tcMar>
          </w:tcPr>
          <w:p w14:paraId="6648BFA5" w14:textId="77777777" w:rsidR="009F71AD" w:rsidRPr="001703CF" w:rsidRDefault="009F71AD" w:rsidP="00C054CC">
            <w:r w:rsidRPr="001703CF">
              <w:t>≥85%</w:t>
            </w:r>
          </w:p>
        </w:tc>
        <w:tc>
          <w:tcPr>
            <w:tcW w:w="1311" w:type="dxa"/>
            <w:tcMar>
              <w:top w:w="170" w:type="dxa"/>
              <w:left w:w="170" w:type="dxa"/>
              <w:bottom w:w="170" w:type="dxa"/>
              <w:right w:w="170" w:type="dxa"/>
            </w:tcMar>
          </w:tcPr>
          <w:p w14:paraId="0FED0B2A" w14:textId="77777777" w:rsidR="009F71AD" w:rsidRPr="001703CF" w:rsidRDefault="009F71AD" w:rsidP="00C054CC">
            <w:r w:rsidRPr="001703CF">
              <w:t>≥85%</w:t>
            </w:r>
          </w:p>
        </w:tc>
      </w:tr>
    </w:tbl>
    <w:p w14:paraId="0E8784AA" w14:textId="609B5682" w:rsidR="009F71AD" w:rsidRPr="001703CF" w:rsidRDefault="009F71AD" w:rsidP="00C054CC">
      <w:r w:rsidRPr="001703CF">
        <w:t>* This is a new measure, with the baseline to be established in 2021–22 and targets to be set for future years</w:t>
      </w:r>
    </w:p>
    <w:p w14:paraId="7FF91458" w14:textId="77777777" w:rsidR="009F71AD" w:rsidRPr="001703CF" w:rsidRDefault="009F71AD" w:rsidP="00C054CC">
      <w:r w:rsidRPr="001703CF">
        <w:t>^ Annual measure</w:t>
      </w:r>
    </w:p>
    <w:p w14:paraId="118E62B7" w14:textId="77777777" w:rsidR="009F71AD" w:rsidRPr="001703CF" w:rsidRDefault="009F71AD" w:rsidP="00C054CC">
      <w:pPr>
        <w:pStyle w:val="Heading2"/>
      </w:pPr>
      <w:bookmarkStart w:id="33" w:name="_Toc88132903"/>
      <w:r w:rsidRPr="001703CF">
        <w:t>Strategic Initiatives</w:t>
      </w:r>
      <w:bookmarkEnd w:id="33"/>
    </w:p>
    <w:p w14:paraId="1E6DCBF1" w14:textId="77777777" w:rsidR="009F71AD" w:rsidRPr="001703CF" w:rsidRDefault="009F71AD" w:rsidP="00C054CC">
      <w:pPr>
        <w:pStyle w:val="Heading3"/>
      </w:pPr>
      <w:bookmarkStart w:id="34" w:name="_Toc88132904"/>
      <w:r w:rsidRPr="001703CF">
        <w:t>Continuous improvement to program governance and quality assurance processes</w:t>
      </w:r>
      <w:bookmarkEnd w:id="34"/>
    </w:p>
    <w:p w14:paraId="75359EA2" w14:textId="77777777" w:rsidR="009F71AD" w:rsidRPr="001703CF" w:rsidRDefault="009F71AD" w:rsidP="00C054CC">
      <w:r w:rsidRPr="001703CF">
        <w:t xml:space="preserve">Successful delivery of the rectification program is underpinned by governance and assurance processes that ensure the consistent and effective implementation, and ongoing improvement, of CSV’s delivery framework. These processes provide key points of review, crucial business intelligence and methods to identify opportunities to streamline systems of work, create new efficiencies and enhance the processes that deliver strong financial outcomes. </w:t>
      </w:r>
    </w:p>
    <w:p w14:paraId="2513B500" w14:textId="77777777" w:rsidR="009F71AD" w:rsidRPr="001703CF" w:rsidRDefault="009F71AD" w:rsidP="00C054CC">
      <w:pPr>
        <w:pStyle w:val="Heading4"/>
      </w:pPr>
      <w:r w:rsidRPr="001703CF">
        <w:t>What will we deliver in 2021–22?</w:t>
      </w:r>
    </w:p>
    <w:p w14:paraId="00137621" w14:textId="77777777" w:rsidR="009F71AD" w:rsidRPr="001703CF" w:rsidRDefault="009F71AD" w:rsidP="00C054CC">
      <w:r w:rsidRPr="001703CF">
        <w:t xml:space="preserve">CSV will embed systematic monitoring and oversight of individual projects throughout the project lifecycle according to agreed indicators (including schedule, cost and overall project health). In addition, the enhancement of processes including project closure reviews, business process mapping and periodic quality assurance checks will identify opportunities for continuous improvement throughout the delivery framework. </w:t>
      </w:r>
    </w:p>
    <w:p w14:paraId="05A77B27" w14:textId="77777777" w:rsidR="009F71AD" w:rsidRPr="001703CF" w:rsidRDefault="009F71AD" w:rsidP="00C054CC">
      <w:pPr>
        <w:pStyle w:val="Heading3"/>
      </w:pPr>
      <w:bookmarkStart w:id="35" w:name="_Toc88132905"/>
      <w:r w:rsidRPr="001703CF">
        <w:lastRenderedPageBreak/>
        <w:t>Improvement of commercial capabilities to enhance the effectiveness of contract management processes</w:t>
      </w:r>
      <w:bookmarkEnd w:id="35"/>
    </w:p>
    <w:p w14:paraId="052C2C43" w14:textId="77777777" w:rsidR="009F71AD" w:rsidRPr="001703CF" w:rsidRDefault="009F71AD" w:rsidP="00C054CC">
      <w:r w:rsidRPr="001703CF">
        <w:t>Critical to the achievement of quality and value-for-money outcomes through the rectification program is the application of effective commercial principles to CSV’s delivery approach. CSV is committed to further developing its internal commercial capability by incorporating construction industry expertise and methodologies into its contracting, risk management and issue resolution processes.</w:t>
      </w:r>
    </w:p>
    <w:p w14:paraId="0AAAC41A" w14:textId="77777777" w:rsidR="009F71AD" w:rsidRPr="001703CF" w:rsidRDefault="009F71AD" w:rsidP="00C054CC">
      <w:pPr>
        <w:pStyle w:val="Heading4"/>
      </w:pPr>
      <w:r w:rsidRPr="001703CF">
        <w:t>What will we deliver in 2021–22?</w:t>
      </w:r>
    </w:p>
    <w:p w14:paraId="5431DED9" w14:textId="77777777" w:rsidR="009F71AD" w:rsidRPr="001703CF" w:rsidRDefault="009F71AD" w:rsidP="00C054CC">
      <w:r w:rsidRPr="001703CF">
        <w:t>CSV will embed a commercial mindset into contract management processes and the assessment of construction risks. Commercial approaches will also be integrated into the review and resolution of issues and disputes during the delivery phase of rectification projects.</w:t>
      </w:r>
    </w:p>
    <w:p w14:paraId="183F0478" w14:textId="77777777" w:rsidR="009F71AD" w:rsidRPr="00071FD0" w:rsidRDefault="009F71AD" w:rsidP="00071FD0">
      <w:pPr>
        <w:pStyle w:val="Heading1"/>
      </w:pPr>
      <w:bookmarkStart w:id="36" w:name="_Toc88132906"/>
      <w:r w:rsidRPr="00071FD0">
        <w:t>Reporting</w:t>
      </w:r>
      <w:bookmarkEnd w:id="36"/>
    </w:p>
    <w:p w14:paraId="449B247E" w14:textId="77777777" w:rsidR="009F71AD" w:rsidRPr="001703CF" w:rsidRDefault="009F71AD" w:rsidP="00C054CC">
      <w:r w:rsidRPr="001703CF">
        <w:t xml:space="preserve">CSV regularly reviews its progress towards the delivery of agreed objectives to ensure that projects and initiatives are on track, key risks to outcomes are assessed and any critical issues are addressed in a timely manner. </w:t>
      </w:r>
    </w:p>
    <w:p w14:paraId="0ED3D8C2" w14:textId="77777777" w:rsidR="009F71AD" w:rsidRPr="001703CF" w:rsidRDefault="009F71AD" w:rsidP="00C054CC">
      <w:r w:rsidRPr="001703CF">
        <w:t>Formal reporting is undertaken in relation to the projects, initiatives and targets outlined in the annual work program, which are aligned with the strategic plan outcomes. Quarterly progress reports are provided to the CSV Board and public reporting of achievements and challenges occurs annually through CSV’s annual report.</w:t>
      </w:r>
    </w:p>
    <w:p w14:paraId="1E92D2F3" w14:textId="5F1AEECD" w:rsidR="009F71AD" w:rsidRPr="001703CF" w:rsidRDefault="009F71AD" w:rsidP="00C054CC">
      <w:r w:rsidRPr="001703CF">
        <w:t>CSV also provides regular program and operational reports to DELWP, as well as progress reports against the Ministerial Statement of Expectations to the Minister for Planning.</w:t>
      </w:r>
    </w:p>
    <w:p w14:paraId="14C60A99" w14:textId="6DAC998A" w:rsidR="009F71AD" w:rsidRPr="001703CF" w:rsidRDefault="009F71AD" w:rsidP="00C054CC">
      <w:pPr>
        <w:rPr>
          <w:lang w:val="en-US"/>
        </w:rPr>
      </w:pPr>
      <w:r w:rsidRPr="001703CF">
        <w:rPr>
          <w:lang w:val="en-US"/>
        </w:rPr>
        <w:t>Website</w:t>
      </w:r>
      <w:r w:rsidR="00CC1AA2">
        <w:rPr>
          <w:lang w:val="en-US"/>
        </w:rPr>
        <w:t xml:space="preserve"> </w:t>
      </w:r>
      <w:r w:rsidRPr="00CC1AA2">
        <w:rPr>
          <w:rStyle w:val="Hyperlink"/>
        </w:rPr>
        <w:t>www.vic.gov.au/cladding-safety</w:t>
      </w:r>
    </w:p>
    <w:p w14:paraId="0C91533F" w14:textId="23AF0DEE" w:rsidR="009F71AD" w:rsidRPr="00CC1AA2" w:rsidRDefault="009F71AD" w:rsidP="00C054CC">
      <w:pPr>
        <w:rPr>
          <w:rStyle w:val="Hyperlink"/>
        </w:rPr>
      </w:pPr>
      <w:r w:rsidRPr="001703CF">
        <w:rPr>
          <w:lang w:val="en-US"/>
        </w:rPr>
        <w:t>Email</w:t>
      </w:r>
      <w:r w:rsidR="00CC1AA2">
        <w:rPr>
          <w:lang w:val="en-US"/>
        </w:rPr>
        <w:t xml:space="preserve"> </w:t>
      </w:r>
      <w:r w:rsidRPr="00CC1AA2">
        <w:rPr>
          <w:rStyle w:val="Hyperlink"/>
        </w:rPr>
        <w:t>support@claddingsafety.vic.gov.au</w:t>
      </w:r>
    </w:p>
    <w:p w14:paraId="3E334C30" w14:textId="1EFC56F4" w:rsidR="009F71AD" w:rsidRPr="001703CF" w:rsidRDefault="009F71AD" w:rsidP="00C054CC">
      <w:pPr>
        <w:rPr>
          <w:lang w:val="en-US"/>
        </w:rPr>
      </w:pPr>
      <w:r w:rsidRPr="001703CF">
        <w:rPr>
          <w:b/>
          <w:bCs/>
          <w:lang w:val="en-US"/>
        </w:rPr>
        <w:t>Postal address</w:t>
      </w:r>
      <w:r w:rsidR="00CC1AA2">
        <w:rPr>
          <w:b/>
          <w:bCs/>
          <w:lang w:val="en-US"/>
        </w:rPr>
        <w:t xml:space="preserve"> </w:t>
      </w:r>
      <w:r w:rsidRPr="001703CF">
        <w:rPr>
          <w:lang w:val="en-US"/>
        </w:rPr>
        <w:t>PO Box 23392, Docklands VIC 8012</w:t>
      </w:r>
    </w:p>
    <w:p w14:paraId="50FE9F09" w14:textId="1A21B73B" w:rsidR="009F71AD" w:rsidRPr="001703CF" w:rsidRDefault="009F71AD" w:rsidP="00C054CC">
      <w:pPr>
        <w:rPr>
          <w:lang w:val="en-US"/>
        </w:rPr>
      </w:pPr>
      <w:r w:rsidRPr="001703CF">
        <w:rPr>
          <w:b/>
          <w:bCs/>
          <w:lang w:val="en-US"/>
        </w:rPr>
        <w:t>Telephone</w:t>
      </w:r>
      <w:r w:rsidR="00CC1AA2">
        <w:rPr>
          <w:b/>
          <w:bCs/>
          <w:lang w:val="en-US"/>
        </w:rPr>
        <w:t xml:space="preserve"> </w:t>
      </w:r>
      <w:r w:rsidRPr="001703CF">
        <w:rPr>
          <w:lang w:val="en-US"/>
        </w:rPr>
        <w:t>1300 456 542</w:t>
      </w:r>
    </w:p>
    <w:p w14:paraId="269081AF" w14:textId="77777777" w:rsidR="009F71AD" w:rsidRPr="001703CF" w:rsidRDefault="009F71AD" w:rsidP="00C054CC">
      <w:pPr>
        <w:rPr>
          <w:lang w:val="en-US"/>
        </w:rPr>
      </w:pPr>
      <w:r w:rsidRPr="001703CF">
        <w:rPr>
          <w:lang w:val="en-US"/>
        </w:rPr>
        <w:t>For enquiries in languages other than English, contact the Translating and Interpreting Service on 131 450.</w:t>
      </w:r>
    </w:p>
    <w:p w14:paraId="79463606" w14:textId="77777777" w:rsidR="009F71AD" w:rsidRPr="001703CF" w:rsidRDefault="009F71AD" w:rsidP="00C054CC">
      <w:pPr>
        <w:rPr>
          <w:lang w:val="en-US"/>
        </w:rPr>
      </w:pPr>
      <w:r w:rsidRPr="001703CF">
        <w:rPr>
          <w:lang w:val="en-US"/>
        </w:rPr>
        <w:t xml:space="preserve">If you are deaf, or have a hearing or speech impairment, contact us through the National Relay Service. </w:t>
      </w:r>
    </w:p>
    <w:p w14:paraId="15937D31" w14:textId="77777777" w:rsidR="009F71AD" w:rsidRPr="001703CF" w:rsidRDefault="009F71AD" w:rsidP="00C054CC">
      <w:pPr>
        <w:rPr>
          <w:lang w:val="en-US"/>
        </w:rPr>
      </w:pPr>
      <w:r w:rsidRPr="001703CF">
        <w:rPr>
          <w:lang w:val="en-US"/>
        </w:rPr>
        <w:t>For more information:</w:t>
      </w:r>
    </w:p>
    <w:p w14:paraId="563681C3" w14:textId="77777777" w:rsidR="009F71AD" w:rsidRPr="001703CF" w:rsidRDefault="009F71AD" w:rsidP="00C054CC">
      <w:pPr>
        <w:rPr>
          <w:lang w:val="en-US"/>
        </w:rPr>
      </w:pPr>
      <w:r w:rsidRPr="001703CF">
        <w:rPr>
          <w:lang w:val="en-US"/>
        </w:rPr>
        <w:t>Voice Relay number 1300 555 727</w:t>
      </w:r>
    </w:p>
    <w:p w14:paraId="041D0231" w14:textId="77777777" w:rsidR="009F71AD" w:rsidRPr="001703CF" w:rsidRDefault="009F71AD" w:rsidP="00C054CC">
      <w:pPr>
        <w:rPr>
          <w:lang w:val="en-US"/>
        </w:rPr>
      </w:pPr>
      <w:r w:rsidRPr="001703CF">
        <w:rPr>
          <w:lang w:val="en-US"/>
        </w:rPr>
        <w:t>TTY number 133 677</w:t>
      </w:r>
    </w:p>
    <w:p w14:paraId="41BD4520" w14:textId="67E9B7F0" w:rsidR="009F71AD" w:rsidRPr="001703CF" w:rsidRDefault="009F71AD" w:rsidP="00C054CC">
      <w:r w:rsidRPr="001703CF">
        <w:rPr>
          <w:lang w:val="en-US"/>
        </w:rPr>
        <w:t>SMS relay number 0423 677 767</w:t>
      </w:r>
    </w:p>
    <w:sectPr w:rsidR="009F71AD" w:rsidRPr="001703CF" w:rsidSect="00226246">
      <w:footerReference w:type="even" r:id="rId9"/>
      <w:footerReference w:type="default" r:id="rId10"/>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34A9" w14:textId="77777777" w:rsidR="00EE65E7" w:rsidRDefault="00EE65E7" w:rsidP="00C054CC">
      <w:r>
        <w:separator/>
      </w:r>
    </w:p>
  </w:endnote>
  <w:endnote w:type="continuationSeparator" w:id="0">
    <w:p w14:paraId="25383457" w14:textId="77777777" w:rsidR="00EE65E7" w:rsidRDefault="00EE65E7" w:rsidP="00C0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IC Light">
    <w:altName w:val="Calibri"/>
    <w:panose1 w:val="00000000000000000000"/>
    <w:charset w:val="4D"/>
    <w:family w:val="auto"/>
    <w:notTrueType/>
    <w:pitch w:val="variable"/>
    <w:sig w:usb0="00000007" w:usb1="00000000" w:usb2="00000000" w:usb3="00000000" w:csb0="00000093" w:csb1="00000000"/>
  </w:font>
  <w:font w:name="VIC Light Italic">
    <w:altName w:val="Calibri"/>
    <w:panose1 w:val="00000000000000000000"/>
    <w:charset w:val="4D"/>
    <w:family w:val="auto"/>
    <w:notTrueType/>
    <w:pitch w:val="variable"/>
    <w:sig w:usb0="00000007" w:usb1="00000000" w:usb2="00000000" w:usb3="00000000" w:csb0="00000093" w:csb1="00000000"/>
  </w:font>
  <w:font w:name="VIC Medium">
    <w:altName w:val="Calibri"/>
    <w:panose1 w:val="000000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935592"/>
      <w:docPartObj>
        <w:docPartGallery w:val="Page Numbers (Bottom of Page)"/>
        <w:docPartUnique/>
      </w:docPartObj>
    </w:sdtPr>
    <w:sdtEndPr>
      <w:rPr>
        <w:rStyle w:val="PageNumber"/>
      </w:rPr>
    </w:sdtEndPr>
    <w:sdtContent>
      <w:p w14:paraId="63E8BCA1" w14:textId="7D935187" w:rsidR="00C054CC" w:rsidRDefault="00C054CC" w:rsidP="00C054C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E0CF40" w14:textId="77777777" w:rsidR="00C054CC" w:rsidRDefault="00C054CC" w:rsidP="00C0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636523"/>
      <w:docPartObj>
        <w:docPartGallery w:val="Page Numbers (Bottom of Page)"/>
        <w:docPartUnique/>
      </w:docPartObj>
    </w:sdtPr>
    <w:sdtEndPr>
      <w:rPr>
        <w:rStyle w:val="PageNumber"/>
      </w:rPr>
    </w:sdtEndPr>
    <w:sdtContent>
      <w:p w14:paraId="7D7B98BE" w14:textId="72E7AD49" w:rsidR="00C054CC" w:rsidRDefault="00C054CC" w:rsidP="00C054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C06B" w14:textId="77777777" w:rsidR="00EE65E7" w:rsidRDefault="00EE65E7" w:rsidP="00C054CC">
      <w:r>
        <w:separator/>
      </w:r>
    </w:p>
  </w:footnote>
  <w:footnote w:type="continuationSeparator" w:id="0">
    <w:p w14:paraId="65748911" w14:textId="77777777" w:rsidR="00EE65E7" w:rsidRDefault="00EE65E7" w:rsidP="00C0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76F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38A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2EA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46F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D20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27A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247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5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0460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62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D5CA0"/>
    <w:multiLevelType w:val="hybridMultilevel"/>
    <w:tmpl w:val="7214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0B204D"/>
    <w:multiLevelType w:val="hybridMultilevel"/>
    <w:tmpl w:val="BEE2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AD"/>
    <w:rsid w:val="00054E17"/>
    <w:rsid w:val="00071FD0"/>
    <w:rsid w:val="000E500A"/>
    <w:rsid w:val="001703CF"/>
    <w:rsid w:val="00362F9C"/>
    <w:rsid w:val="004375FD"/>
    <w:rsid w:val="004D3FC4"/>
    <w:rsid w:val="005F4F6E"/>
    <w:rsid w:val="006D6D39"/>
    <w:rsid w:val="006E33E8"/>
    <w:rsid w:val="009A07DE"/>
    <w:rsid w:val="009B3E73"/>
    <w:rsid w:val="009F71AD"/>
    <w:rsid w:val="00C054CC"/>
    <w:rsid w:val="00C26B8F"/>
    <w:rsid w:val="00C52563"/>
    <w:rsid w:val="00CC1AA2"/>
    <w:rsid w:val="00D04136"/>
    <w:rsid w:val="00DB5192"/>
    <w:rsid w:val="00DE209A"/>
    <w:rsid w:val="00E774C4"/>
    <w:rsid w:val="00EE65E7"/>
    <w:rsid w:val="00F10A22"/>
    <w:rsid w:val="00F13D5B"/>
    <w:rsid w:val="00F40CA0"/>
    <w:rsid w:val="00F6016F"/>
    <w:rsid w:val="00F61290"/>
    <w:rsid w:val="00F97E15"/>
    <w:rsid w:val="00FD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6F41"/>
  <w14:defaultImageDpi w14:val="32767"/>
  <w15:chartTrackingRefBased/>
  <w15:docId w15:val="{A3C0E838-AD03-A94D-8106-9200C6DD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54CC"/>
    <w:pPr>
      <w:spacing w:before="240"/>
    </w:pPr>
    <w:rPr>
      <w:rFonts w:ascii="Arial" w:hAnsi="Arial" w:cs="Arial"/>
      <w:sz w:val="22"/>
      <w:szCs w:val="22"/>
    </w:rPr>
  </w:style>
  <w:style w:type="paragraph" w:styleId="Heading1">
    <w:name w:val="heading 1"/>
    <w:basedOn w:val="Normal"/>
    <w:next w:val="Normal"/>
    <w:link w:val="Heading1Char"/>
    <w:uiPriority w:val="9"/>
    <w:qFormat/>
    <w:rsid w:val="00071FD0"/>
    <w:pPr>
      <w:keepNext/>
      <w:keepLines/>
      <w:spacing w:before="480" w:after="120"/>
      <w:outlineLvl w:val="0"/>
    </w:pPr>
    <w:rPr>
      <w:rFonts w:eastAsiaTheme="majorEastAsia"/>
      <w:b/>
      <w:bCs/>
      <w:color w:val="000000" w:themeColor="text1"/>
      <w:sz w:val="48"/>
      <w:szCs w:val="48"/>
    </w:rPr>
  </w:style>
  <w:style w:type="paragraph" w:styleId="Heading2">
    <w:name w:val="heading 2"/>
    <w:basedOn w:val="Normal"/>
    <w:next w:val="Normal"/>
    <w:link w:val="Heading2Char"/>
    <w:uiPriority w:val="9"/>
    <w:unhideWhenUsed/>
    <w:qFormat/>
    <w:rsid w:val="00CC1AA2"/>
    <w:pPr>
      <w:keepNext/>
      <w:keepLines/>
      <w:spacing w:before="360" w:after="120"/>
      <w:outlineLvl w:val="1"/>
    </w:pPr>
    <w:rPr>
      <w:rFonts w:eastAsiaTheme="majorEastAsia"/>
      <w:b/>
      <w:bCs/>
      <w:color w:val="000000" w:themeColor="text1"/>
      <w:sz w:val="36"/>
      <w:szCs w:val="36"/>
    </w:rPr>
  </w:style>
  <w:style w:type="paragraph" w:styleId="Heading3">
    <w:name w:val="heading 3"/>
    <w:link w:val="Heading3Char"/>
    <w:uiPriority w:val="99"/>
    <w:qFormat/>
    <w:rsid w:val="00071FD0"/>
    <w:pPr>
      <w:suppressAutoHyphens/>
      <w:autoSpaceDE w:val="0"/>
      <w:autoSpaceDN w:val="0"/>
      <w:adjustRightInd w:val="0"/>
      <w:spacing w:before="340" w:line="260" w:lineRule="atLeast"/>
      <w:textAlignment w:val="center"/>
      <w:outlineLvl w:val="2"/>
    </w:pPr>
    <w:rPr>
      <w:rFonts w:ascii="Arial" w:hAnsi="Arial" w:cs="Arial"/>
      <w:b/>
      <w:bCs/>
      <w:color w:val="000000"/>
      <w:sz w:val="26"/>
      <w:szCs w:val="26"/>
      <w:lang w:val="en-US"/>
    </w:rPr>
  </w:style>
  <w:style w:type="paragraph" w:styleId="Heading4">
    <w:name w:val="heading 4"/>
    <w:basedOn w:val="Normal"/>
    <w:next w:val="Normal"/>
    <w:link w:val="Heading4Char"/>
    <w:uiPriority w:val="9"/>
    <w:unhideWhenUsed/>
    <w:qFormat/>
    <w:rsid w:val="00CC1AA2"/>
    <w:pPr>
      <w:keepNext/>
      <w:keepLines/>
      <w:outlineLvl w:val="3"/>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F71AD"/>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3Char">
    <w:name w:val="Heading 3 Char"/>
    <w:basedOn w:val="DefaultParagraphFont"/>
    <w:link w:val="Heading3"/>
    <w:uiPriority w:val="99"/>
    <w:rsid w:val="00071FD0"/>
    <w:rPr>
      <w:rFonts w:ascii="Arial" w:hAnsi="Arial" w:cs="Arial"/>
      <w:b/>
      <w:bCs/>
      <w:color w:val="000000"/>
      <w:sz w:val="26"/>
      <w:szCs w:val="26"/>
      <w:lang w:val="en-US"/>
    </w:rPr>
  </w:style>
  <w:style w:type="paragraph" w:customStyle="1" w:styleId="Body">
    <w:name w:val="Body"/>
    <w:basedOn w:val="Normal"/>
    <w:uiPriority w:val="99"/>
    <w:rsid w:val="009F71AD"/>
    <w:pPr>
      <w:suppressAutoHyphens/>
      <w:autoSpaceDE w:val="0"/>
      <w:autoSpaceDN w:val="0"/>
      <w:adjustRightInd w:val="0"/>
      <w:spacing w:before="227" w:line="260" w:lineRule="atLeast"/>
      <w:textAlignment w:val="center"/>
    </w:pPr>
    <w:rPr>
      <w:rFonts w:ascii="VIC Light" w:hAnsi="VIC Light" w:cs="VIC Light"/>
      <w:color w:val="000000"/>
      <w:sz w:val="20"/>
      <w:szCs w:val="20"/>
      <w:lang w:val="en-US"/>
    </w:rPr>
  </w:style>
  <w:style w:type="paragraph" w:customStyle="1" w:styleId="Source">
    <w:name w:val="Source"/>
    <w:basedOn w:val="Body"/>
    <w:uiPriority w:val="99"/>
    <w:rsid w:val="009F71AD"/>
    <w:pPr>
      <w:spacing w:line="200" w:lineRule="atLeast"/>
    </w:pPr>
    <w:rPr>
      <w:rFonts w:ascii="VIC Light Italic" w:hAnsi="VIC Light Italic" w:cs="VIC Light Italic"/>
      <w:i/>
      <w:iCs/>
      <w:sz w:val="18"/>
      <w:szCs w:val="18"/>
    </w:rPr>
  </w:style>
  <w:style w:type="character" w:customStyle="1" w:styleId="Italic">
    <w:name w:val="Italic"/>
    <w:uiPriority w:val="99"/>
    <w:rsid w:val="009F71AD"/>
    <w:rPr>
      <w:i/>
      <w:iCs/>
    </w:rPr>
  </w:style>
  <w:style w:type="character" w:customStyle="1" w:styleId="Medium">
    <w:name w:val="Medium"/>
    <w:basedOn w:val="DefaultParagraphFont"/>
    <w:uiPriority w:val="99"/>
    <w:rsid w:val="009F71AD"/>
  </w:style>
  <w:style w:type="character" w:customStyle="1" w:styleId="mediumyellow">
    <w:name w:val="medium yellow"/>
    <w:uiPriority w:val="99"/>
    <w:rsid w:val="009F71AD"/>
    <w:rPr>
      <w:color w:val="FEB403"/>
    </w:rPr>
  </w:style>
  <w:style w:type="character" w:styleId="Hyperlink">
    <w:name w:val="Hyperlink"/>
    <w:basedOn w:val="DefaultParagraphFont"/>
    <w:uiPriority w:val="99"/>
    <w:unhideWhenUsed/>
    <w:rsid w:val="009F71AD"/>
    <w:rPr>
      <w:color w:val="0563C1" w:themeColor="hyperlink"/>
      <w:u w:val="single"/>
    </w:rPr>
  </w:style>
  <w:style w:type="character" w:styleId="UnresolvedMention">
    <w:name w:val="Unresolved Mention"/>
    <w:basedOn w:val="DefaultParagraphFont"/>
    <w:uiPriority w:val="99"/>
    <w:rsid w:val="009F71AD"/>
    <w:rPr>
      <w:color w:val="605E5C"/>
      <w:shd w:val="clear" w:color="auto" w:fill="E1DFDD"/>
    </w:rPr>
  </w:style>
  <w:style w:type="character" w:customStyle="1" w:styleId="Heading1Char">
    <w:name w:val="Heading 1 Char"/>
    <w:basedOn w:val="DefaultParagraphFont"/>
    <w:link w:val="Heading1"/>
    <w:uiPriority w:val="9"/>
    <w:rsid w:val="00071FD0"/>
    <w:rPr>
      <w:rFonts w:ascii="Arial" w:eastAsiaTheme="majorEastAsia" w:hAnsi="Arial" w:cs="Arial"/>
      <w:b/>
      <w:bCs/>
      <w:color w:val="000000" w:themeColor="text1"/>
      <w:sz w:val="48"/>
      <w:szCs w:val="48"/>
    </w:rPr>
  </w:style>
  <w:style w:type="character" w:customStyle="1" w:styleId="Heading2Char">
    <w:name w:val="Heading 2 Char"/>
    <w:basedOn w:val="DefaultParagraphFont"/>
    <w:link w:val="Heading2"/>
    <w:uiPriority w:val="9"/>
    <w:rsid w:val="00CC1AA2"/>
    <w:rPr>
      <w:rFonts w:ascii="Arial" w:eastAsiaTheme="majorEastAsia" w:hAnsi="Arial" w:cs="Arial"/>
      <w:b/>
      <w:bCs/>
      <w:color w:val="000000" w:themeColor="text1"/>
      <w:sz w:val="36"/>
      <w:szCs w:val="36"/>
    </w:rPr>
  </w:style>
  <w:style w:type="character" w:customStyle="1" w:styleId="Heading4Char">
    <w:name w:val="Heading 4 Char"/>
    <w:basedOn w:val="DefaultParagraphFont"/>
    <w:link w:val="Heading4"/>
    <w:uiPriority w:val="9"/>
    <w:rsid w:val="00CC1AA2"/>
    <w:rPr>
      <w:rFonts w:ascii="Arial" w:eastAsiaTheme="majorEastAsia" w:hAnsi="Arial" w:cs="Arial"/>
      <w:b/>
      <w:bCs/>
      <w:color w:val="000000" w:themeColor="text1"/>
    </w:rPr>
  </w:style>
  <w:style w:type="paragraph" w:customStyle="1" w:styleId="NoParagraphStyle">
    <w:name w:val="[No Paragraph Style]"/>
    <w:rsid w:val="009F71AD"/>
    <w:pPr>
      <w:autoSpaceDE w:val="0"/>
      <w:autoSpaceDN w:val="0"/>
      <w:adjustRightInd w:val="0"/>
      <w:spacing w:line="288" w:lineRule="auto"/>
      <w:textAlignment w:val="center"/>
    </w:pPr>
    <w:rPr>
      <w:rFonts w:ascii="Minion Pro" w:hAnsi="Minion Pro" w:cs="Minion Pro"/>
      <w:color w:val="000000"/>
      <w:lang w:val="en-US"/>
    </w:rPr>
  </w:style>
  <w:style w:type="paragraph" w:customStyle="1" w:styleId="Intro">
    <w:name w:val="Intro"/>
    <w:basedOn w:val="NoParagraphStyle"/>
    <w:uiPriority w:val="99"/>
    <w:rsid w:val="009F71AD"/>
    <w:pPr>
      <w:pBdr>
        <w:top w:val="single" w:sz="2" w:space="25" w:color="FEB403"/>
        <w:bottom w:val="single" w:sz="2" w:space="19" w:color="FEB403"/>
      </w:pBdr>
      <w:suppressAutoHyphens/>
      <w:spacing w:before="340" w:after="340" w:line="320" w:lineRule="atLeast"/>
      <w:ind w:left="397" w:right="283"/>
    </w:pPr>
    <w:rPr>
      <w:rFonts w:ascii="VIC Light Italic" w:hAnsi="VIC Light Italic" w:cs="VIC Light Italic"/>
      <w:i/>
      <w:iCs/>
    </w:rPr>
  </w:style>
  <w:style w:type="paragraph" w:customStyle="1" w:styleId="Bullets">
    <w:name w:val="Bullets"/>
    <w:basedOn w:val="Body"/>
    <w:uiPriority w:val="99"/>
    <w:rsid w:val="009F71AD"/>
    <w:pPr>
      <w:spacing w:before="57"/>
      <w:ind w:left="227" w:hanging="227"/>
    </w:pPr>
  </w:style>
  <w:style w:type="paragraph" w:customStyle="1" w:styleId="Tableheader">
    <w:name w:val="Table header"/>
    <w:basedOn w:val="NoParagraphStyle"/>
    <w:uiPriority w:val="99"/>
    <w:rsid w:val="009F71AD"/>
    <w:pPr>
      <w:suppressAutoHyphens/>
      <w:spacing w:before="340" w:line="260" w:lineRule="atLeast"/>
    </w:pPr>
    <w:rPr>
      <w:rFonts w:ascii="VIC Medium" w:hAnsi="VIC Medium" w:cs="VIC Medium"/>
      <w:sz w:val="20"/>
      <w:szCs w:val="20"/>
    </w:rPr>
  </w:style>
  <w:style w:type="character" w:customStyle="1" w:styleId="Semibold">
    <w:name w:val="Semibold"/>
    <w:uiPriority w:val="99"/>
    <w:rsid w:val="009F71AD"/>
    <w:rPr>
      <w:b/>
      <w:bCs/>
    </w:rPr>
  </w:style>
  <w:style w:type="paragraph" w:styleId="Title">
    <w:name w:val="Title"/>
    <w:basedOn w:val="Normal"/>
    <w:next w:val="Normal"/>
    <w:link w:val="TitleChar"/>
    <w:uiPriority w:val="10"/>
    <w:qFormat/>
    <w:rsid w:val="009A07DE"/>
    <w:pPr>
      <w:contextualSpacing/>
    </w:pPr>
    <w:rPr>
      <w:rFonts w:eastAsiaTheme="majorEastAsia"/>
      <w:spacing w:val="-10"/>
      <w:kern w:val="28"/>
      <w:sz w:val="48"/>
      <w:szCs w:val="48"/>
    </w:rPr>
  </w:style>
  <w:style w:type="character" w:customStyle="1" w:styleId="TitleChar">
    <w:name w:val="Title Char"/>
    <w:basedOn w:val="DefaultParagraphFont"/>
    <w:link w:val="Title"/>
    <w:uiPriority w:val="10"/>
    <w:rsid w:val="009A07DE"/>
    <w:rPr>
      <w:rFonts w:ascii="Arial" w:eastAsiaTheme="majorEastAsia" w:hAnsi="Arial" w:cs="Arial"/>
      <w:spacing w:val="-10"/>
      <w:kern w:val="28"/>
      <w:sz w:val="48"/>
      <w:szCs w:val="48"/>
    </w:rPr>
  </w:style>
  <w:style w:type="paragraph" w:styleId="ListParagraph">
    <w:name w:val="List Paragraph"/>
    <w:basedOn w:val="Normal"/>
    <w:uiPriority w:val="34"/>
    <w:qFormat/>
    <w:rsid w:val="00CC1AA2"/>
    <w:pPr>
      <w:ind w:left="720"/>
      <w:contextualSpacing/>
    </w:pPr>
  </w:style>
  <w:style w:type="paragraph" w:styleId="TOC3">
    <w:name w:val="toc 3"/>
    <w:basedOn w:val="Normal"/>
    <w:next w:val="Normal"/>
    <w:autoRedefine/>
    <w:uiPriority w:val="39"/>
    <w:unhideWhenUsed/>
    <w:rsid w:val="00C054CC"/>
    <w:pPr>
      <w:spacing w:after="100"/>
      <w:ind w:left="480"/>
    </w:pPr>
  </w:style>
  <w:style w:type="paragraph" w:styleId="TOC1">
    <w:name w:val="toc 1"/>
    <w:basedOn w:val="Normal"/>
    <w:next w:val="Normal"/>
    <w:autoRedefine/>
    <w:uiPriority w:val="39"/>
    <w:unhideWhenUsed/>
    <w:rsid w:val="00C054CC"/>
    <w:pPr>
      <w:spacing w:after="100"/>
    </w:pPr>
  </w:style>
  <w:style w:type="paragraph" w:styleId="TOC2">
    <w:name w:val="toc 2"/>
    <w:basedOn w:val="Normal"/>
    <w:next w:val="Normal"/>
    <w:autoRedefine/>
    <w:uiPriority w:val="39"/>
    <w:unhideWhenUsed/>
    <w:rsid w:val="00C054CC"/>
    <w:pPr>
      <w:spacing w:after="100"/>
      <w:ind w:left="240"/>
    </w:pPr>
  </w:style>
  <w:style w:type="paragraph" w:styleId="Header">
    <w:name w:val="header"/>
    <w:basedOn w:val="Normal"/>
    <w:link w:val="HeaderChar"/>
    <w:uiPriority w:val="99"/>
    <w:unhideWhenUsed/>
    <w:rsid w:val="00C054CC"/>
    <w:pPr>
      <w:tabs>
        <w:tab w:val="center" w:pos="4513"/>
        <w:tab w:val="right" w:pos="9026"/>
      </w:tabs>
      <w:spacing w:before="0"/>
    </w:pPr>
  </w:style>
  <w:style w:type="character" w:customStyle="1" w:styleId="HeaderChar">
    <w:name w:val="Header Char"/>
    <w:basedOn w:val="DefaultParagraphFont"/>
    <w:link w:val="Header"/>
    <w:uiPriority w:val="99"/>
    <w:rsid w:val="00C054CC"/>
    <w:rPr>
      <w:rFonts w:ascii="Arial" w:hAnsi="Arial" w:cs="Arial"/>
    </w:rPr>
  </w:style>
  <w:style w:type="paragraph" w:styleId="Footer">
    <w:name w:val="footer"/>
    <w:basedOn w:val="Normal"/>
    <w:link w:val="FooterChar"/>
    <w:uiPriority w:val="99"/>
    <w:unhideWhenUsed/>
    <w:rsid w:val="00C054CC"/>
    <w:pPr>
      <w:tabs>
        <w:tab w:val="center" w:pos="4513"/>
        <w:tab w:val="right" w:pos="9026"/>
      </w:tabs>
      <w:spacing w:before="0"/>
    </w:pPr>
  </w:style>
  <w:style w:type="character" w:customStyle="1" w:styleId="FooterChar">
    <w:name w:val="Footer Char"/>
    <w:basedOn w:val="DefaultParagraphFont"/>
    <w:link w:val="Footer"/>
    <w:uiPriority w:val="99"/>
    <w:rsid w:val="00C054CC"/>
    <w:rPr>
      <w:rFonts w:ascii="Arial" w:hAnsi="Arial" w:cs="Arial"/>
    </w:rPr>
  </w:style>
  <w:style w:type="character" w:styleId="PageNumber">
    <w:name w:val="page number"/>
    <w:basedOn w:val="DefaultParagraphFont"/>
    <w:uiPriority w:val="99"/>
    <w:semiHidden/>
    <w:unhideWhenUsed/>
    <w:rsid w:val="00C0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c.gov.au/cladding-safe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5154</Words>
  <Characters>29381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Beaumont</dc:creator>
  <cp:keywords/>
  <dc:description/>
  <cp:lastModifiedBy>Brendan Williams</cp:lastModifiedBy>
  <cp:revision>7</cp:revision>
  <dcterms:created xsi:type="dcterms:W3CDTF">2021-11-18T05:40:00Z</dcterms:created>
  <dcterms:modified xsi:type="dcterms:W3CDTF">2021-11-22T03:27:00Z</dcterms:modified>
</cp:coreProperties>
</file>