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F00E8" w14:textId="77777777" w:rsidR="0074696E" w:rsidRPr="004C6EEE" w:rsidRDefault="00DB55C3" w:rsidP="00AD784C">
      <w:pPr>
        <w:pStyle w:val="Spacerparatopoffirstpage"/>
      </w:pPr>
      <w:r>
        <w:drawing>
          <wp:anchor distT="0" distB="0" distL="114300" distR="114300" simplePos="0" relativeHeight="251658240" behindDoc="1" locked="1" layoutInCell="1" allowOverlap="1" wp14:anchorId="7FD5A075" wp14:editId="4179B705">
            <wp:simplePos x="0" y="0"/>
            <wp:positionH relativeFrom="page">
              <wp:posOffset>0</wp:posOffset>
            </wp:positionH>
            <wp:positionV relativeFrom="page">
              <wp:posOffset>0</wp:posOffset>
            </wp:positionV>
            <wp:extent cx="7560000" cy="20844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8"/>
                    <a:stretch>
                      <a:fillRect/>
                    </a:stretch>
                  </pic:blipFill>
                  <pic:spPr>
                    <a:xfrm>
                      <a:off x="0" y="0"/>
                      <a:ext cx="7560000" cy="2084400"/>
                    </a:xfrm>
                    <a:prstGeom prst="rect">
                      <a:avLst/>
                    </a:prstGeom>
                  </pic:spPr>
                </pic:pic>
              </a:graphicData>
            </a:graphic>
            <wp14:sizeRelH relativeFrom="margin">
              <wp14:pctWidth>0</wp14:pctWidth>
            </wp14:sizeRelH>
            <wp14:sizeRelV relativeFrom="margin">
              <wp14:pctHeight>0</wp14:pctHeight>
            </wp14:sizeRelV>
          </wp:anchor>
        </w:drawing>
      </w:r>
    </w:p>
    <w:p w14:paraId="1862A1DF" w14:textId="77777777" w:rsidR="00A62D44" w:rsidRPr="004C6EEE" w:rsidRDefault="00A62D44" w:rsidP="004C6EEE">
      <w:pPr>
        <w:pStyle w:val="Sectionbreakfirstpage"/>
        <w:sectPr w:rsidR="00A62D44" w:rsidRPr="004C6EEE" w:rsidSect="00B04489">
          <w:headerReference w:type="even" r:id="rId9"/>
          <w:headerReference w:type="default" r:id="rId10"/>
          <w:footerReference w:type="even" r:id="rId11"/>
          <w:footerReference w:type="default" r:id="rId12"/>
          <w:headerReference w:type="first" r:id="rId13"/>
          <w:footerReference w:type="first" r:id="rId14"/>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67E144BF" w14:textId="77777777" w:rsidTr="00CF4148">
        <w:trPr>
          <w:trHeight w:val="1418"/>
        </w:trPr>
        <w:tc>
          <w:tcPr>
            <w:tcW w:w="7825" w:type="dxa"/>
            <w:vAlign w:val="bottom"/>
          </w:tcPr>
          <w:p w14:paraId="1AE89678" w14:textId="27916D53" w:rsidR="00AD784C" w:rsidRPr="00161AA0" w:rsidRDefault="00333973" w:rsidP="00EC20FF">
            <w:pPr>
              <w:pStyle w:val="Documenttitle"/>
            </w:pPr>
            <w:r>
              <w:t>Refugee minor program</w:t>
            </w:r>
            <w:r w:rsidR="003719B8">
              <w:t xml:space="preserve"> </w:t>
            </w:r>
          </w:p>
        </w:tc>
      </w:tr>
      <w:tr w:rsidR="000B2117" w14:paraId="3D3FEF75" w14:textId="77777777" w:rsidTr="009C1CB1">
        <w:trPr>
          <w:trHeight w:val="1247"/>
        </w:trPr>
        <w:tc>
          <w:tcPr>
            <w:tcW w:w="7825" w:type="dxa"/>
          </w:tcPr>
          <w:p w14:paraId="48173458" w14:textId="111BD3C9" w:rsidR="000B2117" w:rsidRPr="00A1389F" w:rsidRDefault="000B2117" w:rsidP="00CF4148">
            <w:pPr>
              <w:pStyle w:val="Documentsubtitle"/>
            </w:pPr>
          </w:p>
        </w:tc>
      </w:tr>
      <w:tr w:rsidR="00CF4148" w14:paraId="12163100" w14:textId="77777777" w:rsidTr="00CF4148">
        <w:trPr>
          <w:trHeight w:val="284"/>
        </w:trPr>
        <w:tc>
          <w:tcPr>
            <w:tcW w:w="7825" w:type="dxa"/>
          </w:tcPr>
          <w:p w14:paraId="58D22D06" w14:textId="77777777" w:rsidR="00CF4148" w:rsidRPr="00250DC4" w:rsidRDefault="00451663" w:rsidP="00CF4148">
            <w:pPr>
              <w:pStyle w:val="Bannermarking"/>
            </w:pPr>
            <w:fldSimple w:instr=" FILLIN  &quot;Type the protective marking&quot; \d OFFICIAL \o  \* MERGEFORMAT ">
              <w:r w:rsidR="001A6BA8">
                <w:t>OFFICIAL</w:t>
              </w:r>
            </w:fldSimple>
          </w:p>
        </w:tc>
      </w:tr>
    </w:tbl>
    <w:p w14:paraId="78627D1A" w14:textId="77777777" w:rsidR="00AD784C" w:rsidRPr="00B57329" w:rsidRDefault="00AD784C" w:rsidP="002365B4">
      <w:pPr>
        <w:pStyle w:val="TOCheadingfactsheet"/>
      </w:pPr>
      <w:r w:rsidRPr="00B57329">
        <w:t>Contents</w:t>
      </w:r>
    </w:p>
    <w:p w14:paraId="2CFFA3C6" w14:textId="1A65D561" w:rsidR="00E5634B"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98846552" w:history="1">
        <w:r w:rsidR="00E5634B" w:rsidRPr="00116BEC">
          <w:rPr>
            <w:rStyle w:val="Hyperlink"/>
          </w:rPr>
          <w:t>This case study shows</w:t>
        </w:r>
        <w:r w:rsidR="00E5634B">
          <w:rPr>
            <w:webHidden/>
          </w:rPr>
          <w:tab/>
        </w:r>
        <w:r w:rsidR="00E5634B">
          <w:rPr>
            <w:webHidden/>
          </w:rPr>
          <w:fldChar w:fldCharType="begin"/>
        </w:r>
        <w:r w:rsidR="00E5634B">
          <w:rPr>
            <w:webHidden/>
          </w:rPr>
          <w:instrText xml:space="preserve"> PAGEREF _Toc98846552 \h </w:instrText>
        </w:r>
        <w:r w:rsidR="00E5634B">
          <w:rPr>
            <w:webHidden/>
          </w:rPr>
        </w:r>
        <w:r w:rsidR="00E5634B">
          <w:rPr>
            <w:webHidden/>
          </w:rPr>
          <w:fldChar w:fldCharType="separate"/>
        </w:r>
        <w:r w:rsidR="00E5634B">
          <w:rPr>
            <w:webHidden/>
          </w:rPr>
          <w:t>1</w:t>
        </w:r>
        <w:r w:rsidR="00E5634B">
          <w:rPr>
            <w:webHidden/>
          </w:rPr>
          <w:fldChar w:fldCharType="end"/>
        </w:r>
      </w:hyperlink>
    </w:p>
    <w:p w14:paraId="663AA76A" w14:textId="104917CE" w:rsidR="00E5634B" w:rsidRDefault="00E5634B">
      <w:pPr>
        <w:pStyle w:val="TOC1"/>
        <w:rPr>
          <w:rFonts w:asciiTheme="minorHAnsi" w:eastAsiaTheme="minorEastAsia" w:hAnsiTheme="minorHAnsi" w:cstheme="minorBidi"/>
          <w:b w:val="0"/>
          <w:sz w:val="22"/>
          <w:szCs w:val="22"/>
          <w:lang w:eastAsia="en-AU"/>
        </w:rPr>
      </w:pPr>
      <w:hyperlink w:anchor="_Toc98846553" w:history="1">
        <w:r w:rsidRPr="00116BEC">
          <w:rPr>
            <w:rStyle w:val="Hyperlink"/>
          </w:rPr>
          <w:t>About this case study</w:t>
        </w:r>
        <w:r>
          <w:rPr>
            <w:webHidden/>
          </w:rPr>
          <w:tab/>
        </w:r>
        <w:r>
          <w:rPr>
            <w:webHidden/>
          </w:rPr>
          <w:fldChar w:fldCharType="begin"/>
        </w:r>
        <w:r>
          <w:rPr>
            <w:webHidden/>
          </w:rPr>
          <w:instrText xml:space="preserve"> PAGEREF _Toc98846553 \h </w:instrText>
        </w:r>
        <w:r>
          <w:rPr>
            <w:webHidden/>
          </w:rPr>
        </w:r>
        <w:r>
          <w:rPr>
            <w:webHidden/>
          </w:rPr>
          <w:fldChar w:fldCharType="separate"/>
        </w:r>
        <w:r>
          <w:rPr>
            <w:webHidden/>
          </w:rPr>
          <w:t>1</w:t>
        </w:r>
        <w:r>
          <w:rPr>
            <w:webHidden/>
          </w:rPr>
          <w:fldChar w:fldCharType="end"/>
        </w:r>
      </w:hyperlink>
    </w:p>
    <w:p w14:paraId="73356818" w14:textId="7F6E28D1" w:rsidR="00E5634B" w:rsidRDefault="00E5634B">
      <w:pPr>
        <w:pStyle w:val="TOC1"/>
        <w:rPr>
          <w:rFonts w:asciiTheme="minorHAnsi" w:eastAsiaTheme="minorEastAsia" w:hAnsiTheme="minorHAnsi" w:cstheme="minorBidi"/>
          <w:b w:val="0"/>
          <w:sz w:val="22"/>
          <w:szCs w:val="22"/>
          <w:lang w:eastAsia="en-AU"/>
        </w:rPr>
      </w:pPr>
      <w:hyperlink w:anchor="_Toc98846554" w:history="1">
        <w:r w:rsidRPr="00116BEC">
          <w:rPr>
            <w:rStyle w:val="Hyperlink"/>
          </w:rPr>
          <w:t>Benefits</w:t>
        </w:r>
        <w:r>
          <w:rPr>
            <w:webHidden/>
          </w:rPr>
          <w:tab/>
        </w:r>
        <w:r>
          <w:rPr>
            <w:webHidden/>
          </w:rPr>
          <w:fldChar w:fldCharType="begin"/>
        </w:r>
        <w:r>
          <w:rPr>
            <w:webHidden/>
          </w:rPr>
          <w:instrText xml:space="preserve"> PAGEREF _Toc98846554 \h </w:instrText>
        </w:r>
        <w:r>
          <w:rPr>
            <w:webHidden/>
          </w:rPr>
        </w:r>
        <w:r>
          <w:rPr>
            <w:webHidden/>
          </w:rPr>
          <w:fldChar w:fldCharType="separate"/>
        </w:r>
        <w:r>
          <w:rPr>
            <w:webHidden/>
          </w:rPr>
          <w:t>2</w:t>
        </w:r>
        <w:r>
          <w:rPr>
            <w:webHidden/>
          </w:rPr>
          <w:fldChar w:fldCharType="end"/>
        </w:r>
      </w:hyperlink>
    </w:p>
    <w:p w14:paraId="62E751B5" w14:textId="5F95E45B" w:rsidR="00E5634B" w:rsidRDefault="00E5634B">
      <w:pPr>
        <w:pStyle w:val="TOC1"/>
        <w:rPr>
          <w:rFonts w:asciiTheme="minorHAnsi" w:eastAsiaTheme="minorEastAsia" w:hAnsiTheme="minorHAnsi" w:cstheme="minorBidi"/>
          <w:b w:val="0"/>
          <w:sz w:val="22"/>
          <w:szCs w:val="22"/>
          <w:lang w:eastAsia="en-AU"/>
        </w:rPr>
      </w:pPr>
      <w:hyperlink w:anchor="_Toc98846555" w:history="1">
        <w:r w:rsidRPr="00116BEC">
          <w:rPr>
            <w:rStyle w:val="Hyperlink"/>
          </w:rPr>
          <w:t>Success factors</w:t>
        </w:r>
        <w:r>
          <w:rPr>
            <w:webHidden/>
          </w:rPr>
          <w:tab/>
        </w:r>
        <w:r>
          <w:rPr>
            <w:webHidden/>
          </w:rPr>
          <w:fldChar w:fldCharType="begin"/>
        </w:r>
        <w:r>
          <w:rPr>
            <w:webHidden/>
          </w:rPr>
          <w:instrText xml:space="preserve"> PAGEREF _Toc98846555 \h </w:instrText>
        </w:r>
        <w:r>
          <w:rPr>
            <w:webHidden/>
          </w:rPr>
        </w:r>
        <w:r>
          <w:rPr>
            <w:webHidden/>
          </w:rPr>
          <w:fldChar w:fldCharType="separate"/>
        </w:r>
        <w:r>
          <w:rPr>
            <w:webHidden/>
          </w:rPr>
          <w:t>2</w:t>
        </w:r>
        <w:r>
          <w:rPr>
            <w:webHidden/>
          </w:rPr>
          <w:fldChar w:fldCharType="end"/>
        </w:r>
      </w:hyperlink>
    </w:p>
    <w:p w14:paraId="5F3689A8" w14:textId="254DC8CC" w:rsidR="00E5634B" w:rsidRDefault="00E5634B">
      <w:pPr>
        <w:pStyle w:val="TOC1"/>
        <w:rPr>
          <w:rFonts w:asciiTheme="minorHAnsi" w:eastAsiaTheme="minorEastAsia" w:hAnsiTheme="minorHAnsi" w:cstheme="minorBidi"/>
          <w:b w:val="0"/>
          <w:sz w:val="22"/>
          <w:szCs w:val="22"/>
          <w:lang w:eastAsia="en-AU"/>
        </w:rPr>
      </w:pPr>
      <w:hyperlink w:anchor="_Toc98846556" w:history="1">
        <w:r w:rsidRPr="00116BEC">
          <w:rPr>
            <w:rStyle w:val="Hyperlink"/>
          </w:rPr>
          <w:t>Learn more</w:t>
        </w:r>
        <w:r>
          <w:rPr>
            <w:webHidden/>
          </w:rPr>
          <w:tab/>
        </w:r>
        <w:r>
          <w:rPr>
            <w:webHidden/>
          </w:rPr>
          <w:fldChar w:fldCharType="begin"/>
        </w:r>
        <w:r>
          <w:rPr>
            <w:webHidden/>
          </w:rPr>
          <w:instrText xml:space="preserve"> PAGEREF _Toc98846556 \h </w:instrText>
        </w:r>
        <w:r>
          <w:rPr>
            <w:webHidden/>
          </w:rPr>
        </w:r>
        <w:r>
          <w:rPr>
            <w:webHidden/>
          </w:rPr>
          <w:fldChar w:fldCharType="separate"/>
        </w:r>
        <w:r>
          <w:rPr>
            <w:webHidden/>
          </w:rPr>
          <w:t>2</w:t>
        </w:r>
        <w:r>
          <w:rPr>
            <w:webHidden/>
          </w:rPr>
          <w:fldChar w:fldCharType="end"/>
        </w:r>
      </w:hyperlink>
    </w:p>
    <w:p w14:paraId="2B6E5520" w14:textId="543BBBE7" w:rsidR="007173CA" w:rsidRDefault="00AD784C" w:rsidP="00D079AA">
      <w:pPr>
        <w:pStyle w:val="Body"/>
      </w:pPr>
      <w:r>
        <w:fldChar w:fldCharType="end"/>
      </w:r>
    </w:p>
    <w:p w14:paraId="0ACC06B9" w14:textId="2EBE43CC" w:rsidR="001A202A" w:rsidRPr="001A202A" w:rsidRDefault="003719B8" w:rsidP="001A202A">
      <w:pPr>
        <w:pStyle w:val="Heading1"/>
      </w:pPr>
      <w:bookmarkStart w:id="0" w:name="_Toc63257285"/>
      <w:bookmarkStart w:id="1" w:name="_Toc98846552"/>
      <w:r>
        <w:t>This case study shows</w:t>
      </w:r>
      <w:bookmarkEnd w:id="1"/>
      <w:r>
        <w:t xml:space="preserve"> </w:t>
      </w:r>
      <w:bookmarkEnd w:id="0"/>
    </w:p>
    <w:p w14:paraId="3AFB5480" w14:textId="77777777" w:rsidR="00333973" w:rsidRPr="00F861F1" w:rsidRDefault="00333973" w:rsidP="00333973">
      <w:pPr>
        <w:rPr>
          <w:rFonts w:eastAsia="Times"/>
        </w:rPr>
      </w:pPr>
      <w:bookmarkStart w:id="2" w:name="_Hlk37240926"/>
      <w:r w:rsidRPr="00F861F1">
        <w:rPr>
          <w:rFonts w:eastAsia="Times"/>
        </w:rPr>
        <w:t>The importance of engaging in a way that gives young people control (understanding that loss of control is central to the experience of trauma).</w:t>
      </w:r>
    </w:p>
    <w:p w14:paraId="3E74875A" w14:textId="6808E6B2" w:rsidR="00726B5D" w:rsidRDefault="003719B8" w:rsidP="00726B5D">
      <w:pPr>
        <w:pStyle w:val="Heading1"/>
      </w:pPr>
      <w:bookmarkStart w:id="3" w:name="_Toc98846553"/>
      <w:r>
        <w:t>About t</w:t>
      </w:r>
      <w:r w:rsidR="00333973">
        <w:t>his case study</w:t>
      </w:r>
      <w:bookmarkEnd w:id="3"/>
    </w:p>
    <w:p w14:paraId="0DE53F5A" w14:textId="77777777" w:rsidR="00333973" w:rsidRPr="00F861F1" w:rsidRDefault="00333973" w:rsidP="00333973">
      <w:pPr>
        <w:rPr>
          <w:rFonts w:eastAsia="Times"/>
        </w:rPr>
      </w:pPr>
      <w:r w:rsidRPr="00F861F1">
        <w:rPr>
          <w:rFonts w:eastAsia="Times"/>
        </w:rPr>
        <w:t xml:space="preserve">Orphaned refugee children who have recently arrived in Victoria as unaccompanied humanitarian minors can get help through the </w:t>
      </w:r>
      <w:hyperlink r:id="rId15" w:history="1">
        <w:r w:rsidRPr="00F861F1">
          <w:rPr>
            <w:rFonts w:eastAsia="Times"/>
            <w:color w:val="004C97"/>
            <w:u w:val="dotted"/>
          </w:rPr>
          <w:t>Refugee Minor Program</w:t>
        </w:r>
      </w:hyperlink>
      <w:r>
        <w:rPr>
          <w:rFonts w:eastAsia="Times"/>
        </w:rPr>
        <w:t xml:space="preserve"> &lt;</w:t>
      </w:r>
      <w:r w:rsidRPr="00EB3F00">
        <w:t xml:space="preserve"> </w:t>
      </w:r>
      <w:r w:rsidRPr="00CB4179">
        <w:t>https://services.dffh.vic.gov.au/refugee-minor-program</w:t>
      </w:r>
      <w:r>
        <w:t>&gt;</w:t>
      </w:r>
      <w:r w:rsidRPr="00F861F1">
        <w:rPr>
          <w:rFonts w:eastAsia="Times"/>
        </w:rPr>
        <w:t>.</w:t>
      </w:r>
    </w:p>
    <w:p w14:paraId="2EBC1FE9" w14:textId="77777777" w:rsidR="00333973" w:rsidRPr="00F861F1" w:rsidRDefault="00333973" w:rsidP="00333973">
      <w:pPr>
        <w:rPr>
          <w:rFonts w:eastAsia="Times"/>
        </w:rPr>
      </w:pPr>
      <w:r w:rsidRPr="00F861F1">
        <w:rPr>
          <w:rFonts w:eastAsia="Times"/>
        </w:rPr>
        <w:t>The Refugee Minor program has a commitment to incorporating the voices of children and young people in all elements of its service. For example, children and young people:</w:t>
      </w:r>
    </w:p>
    <w:p w14:paraId="0220FAAD" w14:textId="77777777" w:rsidR="00333973" w:rsidRPr="00F861F1" w:rsidRDefault="00333973" w:rsidP="00333973">
      <w:pPr>
        <w:numPr>
          <w:ilvl w:val="0"/>
          <w:numId w:val="8"/>
        </w:numPr>
        <w:spacing w:after="40"/>
        <w:rPr>
          <w:rFonts w:eastAsia="Times"/>
        </w:rPr>
      </w:pPr>
      <w:r w:rsidRPr="00F861F1">
        <w:rPr>
          <w:rFonts w:eastAsia="Times"/>
        </w:rPr>
        <w:t>Must be present at their annual case planning meeting</w:t>
      </w:r>
    </w:p>
    <w:p w14:paraId="463D67D5" w14:textId="77777777" w:rsidR="00333973" w:rsidRPr="00F861F1" w:rsidRDefault="00333973" w:rsidP="00333973">
      <w:pPr>
        <w:numPr>
          <w:ilvl w:val="0"/>
          <w:numId w:val="8"/>
        </w:numPr>
        <w:spacing w:after="40"/>
        <w:rPr>
          <w:rFonts w:eastAsia="Times"/>
        </w:rPr>
      </w:pPr>
      <w:r w:rsidRPr="00F861F1">
        <w:rPr>
          <w:rFonts w:eastAsia="Times"/>
        </w:rPr>
        <w:t>Must sign off their plan before it can progress through the CRIS system</w:t>
      </w:r>
    </w:p>
    <w:p w14:paraId="3CC53DEF" w14:textId="77777777" w:rsidR="00333973" w:rsidRPr="00F861F1" w:rsidRDefault="00333973" w:rsidP="00333973">
      <w:pPr>
        <w:numPr>
          <w:ilvl w:val="0"/>
          <w:numId w:val="8"/>
        </w:numPr>
        <w:spacing w:after="40"/>
        <w:rPr>
          <w:rFonts w:eastAsia="Times"/>
        </w:rPr>
      </w:pPr>
      <w:r w:rsidRPr="00F861F1">
        <w:rPr>
          <w:rFonts w:eastAsia="Times"/>
        </w:rPr>
        <w:t>Can include their thoughts in the ‘My views’ section of the case plan – this must be completed before the case plan can be signed off</w:t>
      </w:r>
    </w:p>
    <w:p w14:paraId="75E5C559" w14:textId="77777777" w:rsidR="00333973" w:rsidRPr="00F861F1" w:rsidRDefault="00333973" w:rsidP="00333973">
      <w:pPr>
        <w:numPr>
          <w:ilvl w:val="0"/>
          <w:numId w:val="8"/>
        </w:numPr>
        <w:spacing w:after="40"/>
        <w:rPr>
          <w:rFonts w:eastAsia="Times"/>
        </w:rPr>
      </w:pPr>
      <w:r w:rsidRPr="00F861F1">
        <w:rPr>
          <w:rFonts w:eastAsia="Times"/>
        </w:rPr>
        <w:t xml:space="preserve">Complete an exit interview when they leave the program. </w:t>
      </w:r>
    </w:p>
    <w:p w14:paraId="0AD0EB22" w14:textId="77777777" w:rsidR="00333973" w:rsidRPr="00F861F1" w:rsidRDefault="00333973" w:rsidP="00333973">
      <w:pPr>
        <w:rPr>
          <w:rFonts w:eastAsia="Times"/>
        </w:rPr>
      </w:pPr>
      <w:r w:rsidRPr="00F861F1">
        <w:rPr>
          <w:rFonts w:eastAsia="Times"/>
        </w:rPr>
        <w:t>As part of a rigorous approach to evaluation and quality, the Refugee Minor program made a commitment that any improvements suggested by children and young people would be implemented.</w:t>
      </w:r>
    </w:p>
    <w:p w14:paraId="0BD93E50" w14:textId="77777777" w:rsidR="00333973" w:rsidRPr="00F861F1" w:rsidRDefault="00333973" w:rsidP="00333973">
      <w:pPr>
        <w:rPr>
          <w:rFonts w:eastAsia="Times"/>
        </w:rPr>
      </w:pPr>
      <w:r w:rsidRPr="00F861F1">
        <w:rPr>
          <w:rFonts w:eastAsia="Times"/>
        </w:rPr>
        <w:t>The New York University School of Public Policy was asked to assess the program’s evaluation criteria and quality improvement materials to see if the voices of children and young people were being heard in the best way. The feedback was positive but identified two key actions that could improve the way program evaluations incorporated their voices and perspectives:</w:t>
      </w:r>
    </w:p>
    <w:p w14:paraId="28383711" w14:textId="77777777" w:rsidR="00333973" w:rsidRPr="00F861F1" w:rsidRDefault="00333973" w:rsidP="00333973">
      <w:pPr>
        <w:numPr>
          <w:ilvl w:val="0"/>
          <w:numId w:val="7"/>
        </w:numPr>
        <w:spacing w:after="40"/>
        <w:rPr>
          <w:rFonts w:eastAsia="Times"/>
        </w:rPr>
      </w:pPr>
      <w:r w:rsidRPr="00F861F1">
        <w:rPr>
          <w:rFonts w:eastAsia="Times"/>
        </w:rPr>
        <w:t>Start by asking children and young people, ‘What do you want to tell us?’</w:t>
      </w:r>
    </w:p>
    <w:p w14:paraId="0FA53CE7" w14:textId="77777777" w:rsidR="00333973" w:rsidRPr="00F861F1" w:rsidRDefault="00333973" w:rsidP="00333973">
      <w:pPr>
        <w:numPr>
          <w:ilvl w:val="0"/>
          <w:numId w:val="7"/>
        </w:numPr>
        <w:spacing w:after="40"/>
        <w:rPr>
          <w:rFonts w:eastAsia="Times"/>
        </w:rPr>
      </w:pPr>
      <w:r w:rsidRPr="00F861F1">
        <w:rPr>
          <w:rFonts w:eastAsia="Times"/>
        </w:rPr>
        <w:t>Run shorter exit interviews with clients – the standard time of 30 minutes was considered too long.</w:t>
      </w:r>
    </w:p>
    <w:p w14:paraId="22F5CCBA" w14:textId="03A17849" w:rsidR="00726B5D" w:rsidRDefault="003719B8" w:rsidP="00726B5D">
      <w:pPr>
        <w:pStyle w:val="Heading1"/>
      </w:pPr>
      <w:bookmarkStart w:id="4" w:name="_Toc98846554"/>
      <w:r>
        <w:lastRenderedPageBreak/>
        <w:t>Benefits</w:t>
      </w:r>
      <w:bookmarkEnd w:id="4"/>
    </w:p>
    <w:p w14:paraId="493D1DF3" w14:textId="77777777" w:rsidR="00333973" w:rsidRPr="00F861F1" w:rsidRDefault="00333973" w:rsidP="00333973">
      <w:pPr>
        <w:rPr>
          <w:rFonts w:eastAsia="Times"/>
        </w:rPr>
      </w:pPr>
      <w:r w:rsidRPr="00F861F1">
        <w:rPr>
          <w:rFonts w:eastAsia="Times"/>
        </w:rPr>
        <w:t>Participation is a human right and this is regularly discussed with the children and young people in the Refugee Minor Program.</w:t>
      </w:r>
    </w:p>
    <w:p w14:paraId="48B2BECE" w14:textId="77777777" w:rsidR="00333973" w:rsidRPr="00F861F1" w:rsidRDefault="00333973" w:rsidP="00333973">
      <w:pPr>
        <w:rPr>
          <w:rFonts w:eastAsia="Times"/>
        </w:rPr>
      </w:pPr>
      <w:r w:rsidRPr="00F861F1">
        <w:rPr>
          <w:rFonts w:eastAsia="Times"/>
        </w:rPr>
        <w:t>Children and young people are helped to regain control of their lives by being allowed to choose:</w:t>
      </w:r>
    </w:p>
    <w:p w14:paraId="0C4EC246" w14:textId="77777777" w:rsidR="00333973" w:rsidRPr="00F861F1" w:rsidRDefault="00333973" w:rsidP="00333973">
      <w:pPr>
        <w:numPr>
          <w:ilvl w:val="0"/>
          <w:numId w:val="7"/>
        </w:numPr>
        <w:spacing w:after="40"/>
        <w:rPr>
          <w:rFonts w:eastAsia="Times"/>
        </w:rPr>
      </w:pPr>
      <w:r w:rsidRPr="00F861F1">
        <w:rPr>
          <w:rFonts w:eastAsia="Times"/>
        </w:rPr>
        <w:t>who is involved in their case planning</w:t>
      </w:r>
    </w:p>
    <w:p w14:paraId="447FBE50" w14:textId="77777777" w:rsidR="00333973" w:rsidRPr="00F861F1" w:rsidRDefault="00333973" w:rsidP="00333973">
      <w:pPr>
        <w:numPr>
          <w:ilvl w:val="0"/>
          <w:numId w:val="7"/>
        </w:numPr>
        <w:spacing w:after="40"/>
        <w:rPr>
          <w:rFonts w:eastAsia="Times"/>
        </w:rPr>
      </w:pPr>
      <w:r w:rsidRPr="00F861F1">
        <w:rPr>
          <w:rFonts w:eastAsia="Times"/>
        </w:rPr>
        <w:t xml:space="preserve">when they are ready to take key steps, such as applying for citizenship </w:t>
      </w:r>
    </w:p>
    <w:p w14:paraId="73B4D674" w14:textId="77777777" w:rsidR="00333973" w:rsidRPr="00F861F1" w:rsidRDefault="00333973" w:rsidP="00333973">
      <w:pPr>
        <w:numPr>
          <w:ilvl w:val="0"/>
          <w:numId w:val="7"/>
        </w:numPr>
        <w:spacing w:after="40"/>
        <w:rPr>
          <w:rFonts w:eastAsia="Times"/>
        </w:rPr>
      </w:pPr>
      <w:r w:rsidRPr="00F861F1">
        <w:rPr>
          <w:rFonts w:eastAsia="Times"/>
        </w:rPr>
        <w:t>where case planning occurs</w:t>
      </w:r>
    </w:p>
    <w:p w14:paraId="7B9426B5" w14:textId="77777777" w:rsidR="00333973" w:rsidRPr="00F861F1" w:rsidRDefault="00333973" w:rsidP="00333973">
      <w:pPr>
        <w:numPr>
          <w:ilvl w:val="0"/>
          <w:numId w:val="7"/>
        </w:numPr>
        <w:spacing w:after="40"/>
        <w:rPr>
          <w:rFonts w:eastAsia="Times"/>
        </w:rPr>
      </w:pPr>
      <w:r w:rsidRPr="00F861F1">
        <w:rPr>
          <w:rFonts w:eastAsia="Times"/>
        </w:rPr>
        <w:t>when they feel ready to leave the program.</w:t>
      </w:r>
    </w:p>
    <w:p w14:paraId="22C678C8" w14:textId="77777777" w:rsidR="00E5634B" w:rsidRDefault="00E5634B" w:rsidP="00333973">
      <w:pPr>
        <w:rPr>
          <w:rFonts w:eastAsia="Times"/>
        </w:rPr>
      </w:pPr>
    </w:p>
    <w:p w14:paraId="7D9DF6A5" w14:textId="4F44F060" w:rsidR="00333973" w:rsidRPr="00F861F1" w:rsidRDefault="00333973" w:rsidP="00333973">
      <w:pPr>
        <w:rPr>
          <w:rFonts w:eastAsia="Times"/>
        </w:rPr>
      </w:pPr>
      <w:r w:rsidRPr="00F861F1">
        <w:rPr>
          <w:rFonts w:eastAsia="Times"/>
        </w:rPr>
        <w:t>Asking ‘What do you want to tell us?’ in exit interviews helps reframe the conversations with children and young people exiting the program, ensuring the feedback that is heard is what children and young people really want to share.</w:t>
      </w:r>
    </w:p>
    <w:p w14:paraId="300C12C0" w14:textId="77777777" w:rsidR="00333973" w:rsidRPr="00F861F1" w:rsidRDefault="00333973" w:rsidP="00333973">
      <w:pPr>
        <w:rPr>
          <w:rFonts w:eastAsia="Times"/>
        </w:rPr>
      </w:pPr>
      <w:r w:rsidRPr="00F861F1">
        <w:rPr>
          <w:rFonts w:eastAsia="Times"/>
        </w:rPr>
        <w:t>Less than 5 per cent of children and young people in the program have a breakdown in the care arrangement they are placed in.</w:t>
      </w:r>
    </w:p>
    <w:p w14:paraId="5A381E80" w14:textId="77777777" w:rsidR="00333973" w:rsidRPr="00F861F1" w:rsidRDefault="00333973" w:rsidP="00333973">
      <w:pPr>
        <w:rPr>
          <w:rFonts w:eastAsia="Times"/>
        </w:rPr>
      </w:pPr>
      <w:r w:rsidRPr="00F861F1">
        <w:rPr>
          <w:rFonts w:eastAsia="Times"/>
        </w:rPr>
        <w:t>Every young person in Year 12 in 2020 passed their Victorian Certificate of Education, with some going on to university.</w:t>
      </w:r>
    </w:p>
    <w:p w14:paraId="1C5FDDAF" w14:textId="6EC78E1B" w:rsidR="00726B5D" w:rsidRDefault="003719B8" w:rsidP="00726B5D">
      <w:pPr>
        <w:pStyle w:val="Heading1"/>
      </w:pPr>
      <w:bookmarkStart w:id="5" w:name="_Toc98846555"/>
      <w:r>
        <w:t>Success factors</w:t>
      </w:r>
      <w:bookmarkEnd w:id="5"/>
    </w:p>
    <w:p w14:paraId="0859A25B" w14:textId="77777777" w:rsidR="00333973" w:rsidRPr="00F861F1" w:rsidRDefault="00333973" w:rsidP="00333973">
      <w:pPr>
        <w:numPr>
          <w:ilvl w:val="0"/>
          <w:numId w:val="7"/>
        </w:numPr>
        <w:spacing w:after="40"/>
        <w:rPr>
          <w:rFonts w:eastAsia="Times"/>
        </w:rPr>
      </w:pPr>
      <w:r w:rsidRPr="00F861F1">
        <w:rPr>
          <w:rFonts w:eastAsia="Times"/>
        </w:rPr>
        <w:t>If children and young people cannot make a scheduled meeting that is about them, the meeting should not go ahead</w:t>
      </w:r>
    </w:p>
    <w:p w14:paraId="71B6248B" w14:textId="77777777" w:rsidR="00333973" w:rsidRPr="00F861F1" w:rsidRDefault="00333973" w:rsidP="00333973">
      <w:pPr>
        <w:numPr>
          <w:ilvl w:val="0"/>
          <w:numId w:val="7"/>
        </w:numPr>
        <w:spacing w:after="40"/>
        <w:rPr>
          <w:rFonts w:eastAsia="Times"/>
        </w:rPr>
      </w:pPr>
      <w:r w:rsidRPr="00F861F1">
        <w:rPr>
          <w:rFonts w:eastAsia="Times"/>
        </w:rPr>
        <w:t>To encourage participation, it is important to have staff from similar backgrounds to the children and young people involved in a program (for example, from Aboriginal, refugee or culturally diverse backgrounds)</w:t>
      </w:r>
    </w:p>
    <w:p w14:paraId="73A4DE21" w14:textId="77777777" w:rsidR="00333973" w:rsidRPr="00F861F1" w:rsidRDefault="00333973" w:rsidP="00333973">
      <w:pPr>
        <w:numPr>
          <w:ilvl w:val="0"/>
          <w:numId w:val="7"/>
        </w:numPr>
        <w:spacing w:after="40"/>
        <w:rPr>
          <w:rFonts w:eastAsia="Times"/>
        </w:rPr>
      </w:pPr>
      <w:r w:rsidRPr="00F861F1">
        <w:rPr>
          <w:rFonts w:eastAsia="Times"/>
        </w:rPr>
        <w:t>Given that loss of control is a significant element in trauma for children and young people, practitioners need to work with children and young people to help restore their sense of control. Giving children and young people a genuine voice in decisions being made with them is key</w:t>
      </w:r>
    </w:p>
    <w:p w14:paraId="16EA9F16" w14:textId="77777777" w:rsidR="00333973" w:rsidRPr="00F861F1" w:rsidRDefault="00333973" w:rsidP="00333973">
      <w:pPr>
        <w:numPr>
          <w:ilvl w:val="0"/>
          <w:numId w:val="7"/>
        </w:numPr>
        <w:spacing w:after="40"/>
        <w:rPr>
          <w:rFonts w:eastAsia="Times"/>
        </w:rPr>
      </w:pPr>
      <w:r w:rsidRPr="00F861F1">
        <w:rPr>
          <w:rFonts w:eastAsia="Times"/>
        </w:rPr>
        <w:t>Participation is acknowledged as a human right, not an optional add-on. Information regarding decision-making processes, the ability to complain and provide feedback during and after a service is encouraged</w:t>
      </w:r>
    </w:p>
    <w:p w14:paraId="41E5D5A6" w14:textId="77777777" w:rsidR="00333973" w:rsidRPr="00F861F1" w:rsidRDefault="00333973" w:rsidP="00333973">
      <w:pPr>
        <w:numPr>
          <w:ilvl w:val="0"/>
          <w:numId w:val="7"/>
        </w:numPr>
        <w:spacing w:after="40"/>
        <w:rPr>
          <w:rFonts w:eastAsia="Times"/>
        </w:rPr>
      </w:pPr>
      <w:r w:rsidRPr="00F861F1">
        <w:rPr>
          <w:rFonts w:eastAsia="Times"/>
        </w:rPr>
        <w:t>Entirely external and impartial review of service parameters and planning.</w:t>
      </w:r>
    </w:p>
    <w:p w14:paraId="7F801F26" w14:textId="77777777" w:rsidR="0021391E" w:rsidRPr="004851BC" w:rsidRDefault="0021391E" w:rsidP="0021391E">
      <w:pPr>
        <w:pStyle w:val="Heading1"/>
      </w:pPr>
      <w:bookmarkStart w:id="6" w:name="_Toc79671073"/>
      <w:bookmarkStart w:id="7" w:name="_Toc98846556"/>
      <w:r w:rsidRPr="004851BC">
        <w:t xml:space="preserve">Learn </w:t>
      </w:r>
      <w:r w:rsidRPr="0076543F">
        <w:t>more</w:t>
      </w:r>
      <w:bookmarkEnd w:id="6"/>
      <w:bookmarkEnd w:id="7"/>
    </w:p>
    <w:p w14:paraId="45FCEBE1" w14:textId="189143DD" w:rsidR="00333973" w:rsidRDefault="00333973" w:rsidP="00333973">
      <w:pPr>
        <w:spacing w:after="40"/>
      </w:pPr>
      <w:r w:rsidRPr="00F861F1">
        <w:rPr>
          <w:rFonts w:eastAsia="Times"/>
        </w:rPr>
        <w:t xml:space="preserve">The department’s </w:t>
      </w:r>
      <w:hyperlink r:id="rId16" w:history="1">
        <w:r w:rsidRPr="00F861F1">
          <w:rPr>
            <w:rFonts w:eastAsia="Times"/>
            <w:color w:val="004C97"/>
            <w:u w:val="dotted"/>
          </w:rPr>
          <w:t>Services website’s Refugee Minor Program</w:t>
        </w:r>
      </w:hyperlink>
      <w:r w:rsidRPr="00EF36CA">
        <w:rPr>
          <w:rFonts w:eastAsia="Times"/>
        </w:rPr>
        <w:t xml:space="preserve"> &lt;</w:t>
      </w:r>
      <w:r>
        <w:rPr>
          <w:rFonts w:eastAsia="Times"/>
        </w:rPr>
        <w:t xml:space="preserve">https://services.dffh.vic.gov.au/refugee-minor-program&gt; </w:t>
      </w:r>
    </w:p>
    <w:tbl>
      <w:tblPr>
        <w:tblStyle w:val="TableGrid"/>
        <w:tblW w:w="0" w:type="auto"/>
        <w:tblCellMar>
          <w:bottom w:w="108" w:type="dxa"/>
        </w:tblCellMar>
        <w:tblLook w:val="0600" w:firstRow="0" w:lastRow="0" w:firstColumn="0" w:lastColumn="0" w:noHBand="1" w:noVBand="1"/>
      </w:tblPr>
      <w:tblGrid>
        <w:gridCol w:w="10194"/>
      </w:tblGrid>
      <w:tr w:rsidR="0055119B" w14:paraId="6659BBB3" w14:textId="77777777" w:rsidTr="00641724">
        <w:tc>
          <w:tcPr>
            <w:tcW w:w="10194" w:type="dxa"/>
          </w:tcPr>
          <w:p w14:paraId="1D9C235A" w14:textId="586846D5" w:rsidR="0055119B" w:rsidRPr="0055119B" w:rsidRDefault="0055119B" w:rsidP="0055119B">
            <w:pPr>
              <w:pStyle w:val="Accessibilitypara"/>
            </w:pPr>
            <w:r w:rsidRPr="0055119B">
              <w:t>To receive this document in another format</w:t>
            </w:r>
            <w:r>
              <w:t>,</w:t>
            </w:r>
            <w:r w:rsidR="00726B5D">
              <w:t xml:space="preserve"> email</w:t>
            </w:r>
            <w:r w:rsidR="00726B5D" w:rsidRPr="00726B5D">
              <w:t xml:space="preserve"> </w:t>
            </w:r>
            <w:hyperlink r:id="rId17" w:history="1">
              <w:r w:rsidR="0021391E" w:rsidRPr="009E3BE4">
                <w:rPr>
                  <w:rStyle w:val="Hyperlink"/>
                </w:rPr>
                <w:t>Community Services Quality and Safety Office</w:t>
              </w:r>
            </w:hyperlink>
            <w:r w:rsidR="00726B5D" w:rsidRPr="00726B5D">
              <w:t xml:space="preserve"> &lt;CSQSO@dhhs.vic.gov.au&gt;</w:t>
            </w:r>
            <w:r w:rsidRPr="0055119B">
              <w:t>.</w:t>
            </w:r>
          </w:p>
          <w:p w14:paraId="0A050226" w14:textId="77777777" w:rsidR="0055119B" w:rsidRPr="0055119B" w:rsidRDefault="0055119B" w:rsidP="00E33237">
            <w:pPr>
              <w:pStyle w:val="Imprint"/>
            </w:pPr>
            <w:r w:rsidRPr="0055119B">
              <w:t>Authorised and published by the Victorian Government, 1 Treasury Place, Melbourne.</w:t>
            </w:r>
          </w:p>
          <w:p w14:paraId="7D302618" w14:textId="4083B28C"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00726B5D">
              <w:t>, March 2022</w:t>
            </w:r>
            <w:r w:rsidRPr="0055119B">
              <w:t>.</w:t>
            </w:r>
          </w:p>
          <w:p w14:paraId="6477E359" w14:textId="63F2B122" w:rsidR="0055119B" w:rsidRDefault="0055119B" w:rsidP="00E33237">
            <w:pPr>
              <w:pStyle w:val="Imprint"/>
            </w:pPr>
            <w:bookmarkStart w:id="8" w:name="_Hlk62746129"/>
            <w:r w:rsidRPr="0055119B">
              <w:t xml:space="preserve">Available at </w:t>
            </w:r>
            <w:hyperlink r:id="rId18" w:history="1">
              <w:r w:rsidR="00726B5D" w:rsidRPr="00726B5D">
                <w:rPr>
                  <w:rStyle w:val="Hyperlink"/>
                </w:rPr>
                <w:t>Young voices</w:t>
              </w:r>
            </w:hyperlink>
            <w:r w:rsidR="00726B5D" w:rsidRPr="00726B5D">
              <w:t xml:space="preserve"> &lt;https://providers.dffh.vic.gov.au/young-voices&gt;</w:t>
            </w:r>
            <w:bookmarkEnd w:id="8"/>
          </w:p>
        </w:tc>
      </w:tr>
      <w:bookmarkEnd w:id="2"/>
    </w:tbl>
    <w:p w14:paraId="1B82B139" w14:textId="77777777" w:rsidR="00162CA9" w:rsidRDefault="00162CA9" w:rsidP="00162CA9">
      <w:pPr>
        <w:pStyle w:val="Body"/>
      </w:pPr>
    </w:p>
    <w:sectPr w:rsidR="00162CA9" w:rsidSect="00B04489">
      <w:headerReference w:type="default" r:id="rId1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907C3" w14:textId="77777777" w:rsidR="001A6BA8" w:rsidRDefault="001A6BA8">
      <w:r>
        <w:separator/>
      </w:r>
    </w:p>
    <w:p w14:paraId="5E4BA70B" w14:textId="77777777" w:rsidR="001A6BA8" w:rsidRDefault="001A6BA8"/>
  </w:endnote>
  <w:endnote w:type="continuationSeparator" w:id="0">
    <w:p w14:paraId="15D084D4" w14:textId="77777777" w:rsidR="001A6BA8" w:rsidRDefault="001A6BA8">
      <w:r>
        <w:continuationSeparator/>
      </w:r>
    </w:p>
    <w:p w14:paraId="7B846957" w14:textId="77777777" w:rsidR="001A6BA8" w:rsidRDefault="001A6B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DB4B7" w14:textId="77777777" w:rsidR="00E5634B" w:rsidRDefault="00E563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9EC5C" w14:textId="77777777" w:rsidR="00E261B3" w:rsidRPr="00F65AA9" w:rsidRDefault="00242378" w:rsidP="00EF2C72">
    <w:pPr>
      <w:pStyle w:val="Footer"/>
    </w:pPr>
    <w:r>
      <w:rPr>
        <w:noProof/>
        <w:lang w:eastAsia="en-AU"/>
      </w:rPr>
      <w:drawing>
        <wp:anchor distT="0" distB="0" distL="114300" distR="114300" simplePos="0" relativeHeight="251674112" behindDoc="1" locked="1" layoutInCell="1" allowOverlap="1" wp14:anchorId="5C1F65F0" wp14:editId="3B96913D">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1A4E9DF7" wp14:editId="550EC72C">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19320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A4E9DF7"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7C193209"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8ABE3"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32FBD6E6" wp14:editId="02700F53">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7A531A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2FBD6E6"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67A531A2"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6ED17" w14:textId="77777777" w:rsidR="001A6BA8" w:rsidRDefault="001A6BA8" w:rsidP="00207717">
      <w:pPr>
        <w:spacing w:before="120"/>
      </w:pPr>
      <w:r>
        <w:separator/>
      </w:r>
    </w:p>
  </w:footnote>
  <w:footnote w:type="continuationSeparator" w:id="0">
    <w:p w14:paraId="37B115A4" w14:textId="77777777" w:rsidR="001A6BA8" w:rsidRDefault="001A6BA8">
      <w:r>
        <w:continuationSeparator/>
      </w:r>
    </w:p>
    <w:p w14:paraId="1F98129E" w14:textId="77777777" w:rsidR="001A6BA8" w:rsidRDefault="001A6B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1419E" w14:textId="77777777" w:rsidR="00E5634B" w:rsidRDefault="00E563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43E11"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3364" w14:textId="77777777" w:rsidR="00E5634B" w:rsidRDefault="00E563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C6B33" w14:textId="284BD282" w:rsidR="00E261B3" w:rsidRPr="0051568D" w:rsidRDefault="00E5634B" w:rsidP="0017674D">
    <w:pPr>
      <w:pStyle w:val="Header"/>
    </w:pPr>
    <w:r>
      <w:t>Refugee minor program</w:t>
    </w:r>
    <w:r w:rsidR="00DB55C3">
      <w:rPr>
        <w:noProof/>
      </w:rPr>
      <w:drawing>
        <wp:anchor distT="0" distB="0" distL="114300" distR="114300" simplePos="0" relativeHeight="251675136" behindDoc="1" locked="1" layoutInCell="1" allowOverlap="1" wp14:anchorId="2008877F" wp14:editId="0242CA4A">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D43DB"/>
    <w:multiLevelType w:val="multilevel"/>
    <w:tmpl w:val="998C2314"/>
    <w:lvl w:ilvl="0">
      <w:start w:val="1"/>
      <w:numFmt w:val="bullet"/>
      <w:lvlText w:val=""/>
      <w:lvlJc w:val="left"/>
      <w:pPr>
        <w:tabs>
          <w:tab w:val="num" w:pos="397"/>
        </w:tabs>
        <w:ind w:left="397" w:hanging="397"/>
      </w:pPr>
      <w:rPr>
        <w:rFonts w:ascii="Symbol" w:hAnsi="Symbol"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 w15:restartNumberingAfterBreak="0">
    <w:nsid w:val="0BED25E0"/>
    <w:multiLevelType w:val="multilevel"/>
    <w:tmpl w:val="998C2314"/>
    <w:lvl w:ilvl="0">
      <w:start w:val="1"/>
      <w:numFmt w:val="bullet"/>
      <w:lvlText w:val=""/>
      <w:lvlJc w:val="left"/>
      <w:pPr>
        <w:tabs>
          <w:tab w:val="num" w:pos="397"/>
        </w:tabs>
        <w:ind w:left="397" w:hanging="397"/>
      </w:pPr>
      <w:rPr>
        <w:rFonts w:ascii="Symbol" w:hAnsi="Symbol"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3"/>
  </w:num>
  <w:num w:numId="2">
    <w:abstractNumId w:val="6"/>
  </w:num>
  <w:num w:numId="3">
    <w:abstractNumId w:val="5"/>
  </w:num>
  <w:num w:numId="4">
    <w:abstractNumId w:val="7"/>
  </w:num>
  <w:num w:numId="5">
    <w:abstractNumId w:val="4"/>
  </w:num>
  <w:num w:numId="6">
    <w:abstractNumId w:val="1"/>
  </w:num>
  <w:num w:numId="7">
    <w:abstractNumId w:val="0"/>
  </w:num>
  <w:num w:numId="8">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819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BA8"/>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3785"/>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A6BA8"/>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391E"/>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3973"/>
    <w:rsid w:val="00337339"/>
    <w:rsid w:val="003406C6"/>
    <w:rsid w:val="003418CC"/>
    <w:rsid w:val="003459BD"/>
    <w:rsid w:val="00350D38"/>
    <w:rsid w:val="00351B36"/>
    <w:rsid w:val="00357B4E"/>
    <w:rsid w:val="003716FD"/>
    <w:rsid w:val="003719B8"/>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358A"/>
    <w:rsid w:val="00424D65"/>
    <w:rsid w:val="00430393"/>
    <w:rsid w:val="00431806"/>
    <w:rsid w:val="00437AC5"/>
    <w:rsid w:val="00442C6C"/>
    <w:rsid w:val="00443CBE"/>
    <w:rsid w:val="00443E8A"/>
    <w:rsid w:val="004441BC"/>
    <w:rsid w:val="004468B4"/>
    <w:rsid w:val="00451663"/>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314D"/>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3CC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6B5D"/>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299C"/>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90729"/>
    <w:rsid w:val="00B907DA"/>
    <w:rsid w:val="00B950BC"/>
    <w:rsid w:val="00B9714C"/>
    <w:rsid w:val="00BA29AD"/>
    <w:rsid w:val="00BA33CF"/>
    <w:rsid w:val="00BA3F8D"/>
    <w:rsid w:val="00BB692A"/>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E7BDC"/>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B55C3"/>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3471"/>
    <w:rsid w:val="00DE6028"/>
    <w:rsid w:val="00DE6C85"/>
    <w:rsid w:val="00DE78A3"/>
    <w:rsid w:val="00DF1A71"/>
    <w:rsid w:val="00DF50FC"/>
    <w:rsid w:val="00DF68C7"/>
    <w:rsid w:val="00DF731A"/>
    <w:rsid w:val="00E0523B"/>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34B"/>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1C77"/>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210FA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9"/>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9"/>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9"/>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9"/>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0C3785"/>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3"/>
      </w:numPr>
    </w:pPr>
  </w:style>
  <w:style w:type="numbering" w:customStyle="1" w:styleId="ZZTablebullets">
    <w:name w:val="ZZ Table bullets"/>
    <w:basedOn w:val="NoList"/>
    <w:rsid w:val="00337339"/>
    <w:pPr>
      <w:numPr>
        <w:numId w:val="3"/>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2"/>
      </w:numPr>
    </w:pPr>
  </w:style>
  <w:style w:type="numbering" w:customStyle="1" w:styleId="ZZNumbersdigit">
    <w:name w:val="ZZ Numbers digit"/>
    <w:rsid w:val="00337339"/>
    <w:pPr>
      <w:numPr>
        <w:numId w:val="1"/>
      </w:numPr>
    </w:pPr>
  </w:style>
  <w:style w:type="numbering" w:customStyle="1" w:styleId="ZZQuotebullets">
    <w:name w:val="ZZ Quote bullets"/>
    <w:basedOn w:val="ZZNumbersdigit"/>
    <w:rsid w:val="00337339"/>
    <w:pPr>
      <w:numPr>
        <w:numId w:val="4"/>
      </w:numPr>
    </w:pPr>
  </w:style>
  <w:style w:type="paragraph" w:customStyle="1" w:styleId="Numberdigit">
    <w:name w:val="Number digit"/>
    <w:basedOn w:val="Body"/>
    <w:uiPriority w:val="2"/>
    <w:rsid w:val="00337339"/>
    <w:pPr>
      <w:numPr>
        <w:numId w:val="1"/>
      </w:numPr>
    </w:pPr>
  </w:style>
  <w:style w:type="paragraph" w:customStyle="1" w:styleId="Numberloweralphaindent">
    <w:name w:val="Number lower alpha indent"/>
    <w:basedOn w:val="Body"/>
    <w:uiPriority w:val="3"/>
    <w:rsid w:val="00337339"/>
    <w:pPr>
      <w:numPr>
        <w:ilvl w:val="1"/>
        <w:numId w:val="6"/>
      </w:numPr>
    </w:pPr>
  </w:style>
  <w:style w:type="paragraph" w:customStyle="1" w:styleId="Numberdigitindent">
    <w:name w:val="Number digit indent"/>
    <w:basedOn w:val="Numberloweralphaindent"/>
    <w:uiPriority w:val="3"/>
    <w:rsid w:val="00337339"/>
    <w:pPr>
      <w:numPr>
        <w:numId w:val="1"/>
      </w:numPr>
    </w:pPr>
  </w:style>
  <w:style w:type="paragraph" w:customStyle="1" w:styleId="Numberloweralpha">
    <w:name w:val="Number lower alpha"/>
    <w:basedOn w:val="Body"/>
    <w:uiPriority w:val="3"/>
    <w:rsid w:val="00337339"/>
    <w:pPr>
      <w:numPr>
        <w:numId w:val="6"/>
      </w:numPr>
    </w:pPr>
  </w:style>
  <w:style w:type="paragraph" w:customStyle="1" w:styleId="Numberlowerroman">
    <w:name w:val="Number lower roman"/>
    <w:basedOn w:val="Body"/>
    <w:uiPriority w:val="3"/>
    <w:rsid w:val="00337339"/>
    <w:pPr>
      <w:numPr>
        <w:numId w:val="5"/>
      </w:numPr>
    </w:pPr>
  </w:style>
  <w:style w:type="paragraph" w:customStyle="1" w:styleId="Numberlowerromanindent">
    <w:name w:val="Number lower roman indent"/>
    <w:basedOn w:val="Body"/>
    <w:uiPriority w:val="3"/>
    <w:rsid w:val="00337339"/>
    <w:pPr>
      <w:numPr>
        <w:ilvl w:val="1"/>
        <w:numId w:val="5"/>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1"/>
      </w:numPr>
    </w:pPr>
  </w:style>
  <w:style w:type="numbering" w:customStyle="1" w:styleId="ZZNumberslowerroman">
    <w:name w:val="ZZ Numbers lower roman"/>
    <w:basedOn w:val="ZZQuotebullets"/>
    <w:rsid w:val="00337339"/>
    <w:pPr>
      <w:numPr>
        <w:numId w:val="5"/>
      </w:numPr>
    </w:pPr>
  </w:style>
  <w:style w:type="numbering" w:customStyle="1" w:styleId="ZZNumbersloweralpha">
    <w:name w:val="ZZ Numbers lower alpha"/>
    <w:basedOn w:val="NoList"/>
    <w:rsid w:val="00337339"/>
    <w:pPr>
      <w:numPr>
        <w:numId w:val="6"/>
      </w:numPr>
    </w:pPr>
  </w:style>
  <w:style w:type="paragraph" w:customStyle="1" w:styleId="Quotebullet1">
    <w:name w:val="Quote bullet 1"/>
    <w:basedOn w:val="Quotetext"/>
    <w:rsid w:val="00337339"/>
    <w:pPr>
      <w:numPr>
        <w:numId w:val="4"/>
      </w:numPr>
    </w:pPr>
  </w:style>
  <w:style w:type="paragraph" w:customStyle="1" w:styleId="Quotebullet2">
    <w:name w:val="Quote bullet 2"/>
    <w:basedOn w:val="Quotetext"/>
    <w:rsid w:val="00337339"/>
    <w:pPr>
      <w:numPr>
        <w:ilvl w:val="1"/>
        <w:numId w:val="4"/>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providers.dffh.vic.gov.au/young-voices"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mailto:Community%20Services%20Quality%20and%20Safety%20Office" TargetMode="External"/><Relationship Id="rId2" Type="http://schemas.openxmlformats.org/officeDocument/2006/relationships/numbering" Target="numbering.xml"/><Relationship Id="rId16" Type="http://schemas.openxmlformats.org/officeDocument/2006/relationships/hyperlink" Target="https://services.dffh.vic.gov.au/refugee-minor-progr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hyperlink" Target="https://services.dffh.vic.gov.au/refugee-minor-program" TargetMode="External"/><Relationship Id="rId23" Type="http://schemas.openxmlformats.org/officeDocument/2006/relationships/customXml" Target="../customXml/item3.xml"/><Relationship Id="rId10" Type="http://schemas.openxmlformats.org/officeDocument/2006/relationships/header" Target="header2.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34AE7E069AEE4FB0313CB30B42D859" ma:contentTypeVersion="12" ma:contentTypeDescription="Create a new document." ma:contentTypeScope="" ma:versionID="1d15de6485535cf1ae964c5a6675b4d2">
  <xsd:schema xmlns:xsd="http://www.w3.org/2001/XMLSchema" xmlns:xs="http://www.w3.org/2001/XMLSchema" xmlns:p="http://schemas.microsoft.com/office/2006/metadata/properties" xmlns:ns2="ec1398ba-5a60-46a3-8146-eb897584b7aa" xmlns:ns3="69a4a4bc-c101-4486-8aee-c67e58ed4746" targetNamespace="http://schemas.microsoft.com/office/2006/metadata/properties" ma:root="true" ma:fieldsID="47f63ccc0c93e8a4f6f1ac844adfea6a" ns2:_="" ns3:_="">
    <xsd:import namespace="ec1398ba-5a60-46a3-8146-eb897584b7aa"/>
    <xsd:import namespace="69a4a4bc-c101-4486-8aee-c67e58ed474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1398ba-5a60-46a3-8146-eb897584b7a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a4a4bc-c101-4486-8aee-c67e58ed47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2.xml><?xml version="1.0" encoding="utf-8"?>
<ds:datastoreItem xmlns:ds="http://schemas.openxmlformats.org/officeDocument/2006/customXml" ds:itemID="{1741A284-5327-450D-A0DE-85EC34A19519}"/>
</file>

<file path=customXml/itemProps3.xml><?xml version="1.0" encoding="utf-8"?>
<ds:datastoreItem xmlns:ds="http://schemas.openxmlformats.org/officeDocument/2006/customXml" ds:itemID="{FBD1E8F2-33C3-4EC8-AD3A-CC861D680500}"/>
</file>

<file path=customXml/itemProps4.xml><?xml version="1.0" encoding="utf-8"?>
<ds:datastoreItem xmlns:ds="http://schemas.openxmlformats.org/officeDocument/2006/customXml" ds:itemID="{1CAB5440-33E1-462B-A652-5A5BB677B478}"/>
</file>

<file path=docProps/app.xml><?xml version="1.0" encoding="utf-8"?>
<Properties xmlns="http://schemas.openxmlformats.org/officeDocument/2006/extended-properties" xmlns:vt="http://schemas.openxmlformats.org/officeDocument/2006/docPropsVTypes">
  <Template>Normal.dotm</Template>
  <TotalTime>0</TotalTime>
  <Pages>2</Pages>
  <Words>627</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What to consider when running a participation activity - Young Voices</vt:lpstr>
    </vt:vector>
  </TitlesOfParts>
  <Company/>
  <LinksUpToDate>false</LinksUpToDate>
  <CharactersWithSpaces>4751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What to consider when running a participation activity - Young Voices</dc:title>
  <dc:subject/>
  <dc:creator/>
  <cp:keywords/>
  <cp:lastModifiedBy/>
  <cp:revision>1</cp:revision>
  <dcterms:created xsi:type="dcterms:W3CDTF">2022-03-22T01:49:00Z</dcterms:created>
  <dcterms:modified xsi:type="dcterms:W3CDTF">2022-03-22T02:03:00Z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2022-03-22T02:03:48Z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8723fd44-6ce9-4d3c-a57c-1f183978b674</vt:lpwstr>
  </property>
  <property fmtid="{D5CDD505-2E9C-101B-9397-08002B2CF9AE}" pid="8" name="MSIP_Label_43e64453-338c-4f93-8a4d-0039a0a41f2a_ContentBits">
    <vt:lpwstr>2</vt:lpwstr>
  </property>
  <property fmtid="{D5CDD505-2E9C-101B-9397-08002B2CF9AE}" pid="9" name="ContentTypeId">
    <vt:lpwstr>0x0101002034AE7E069AEE4FB0313CB30B42D859</vt:lpwstr>
  </property>
</Properties>
</file>