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00E8"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FD5A075" wp14:editId="4179B70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862A1DF"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7E144BF" w14:textId="77777777" w:rsidTr="00CF4148">
        <w:trPr>
          <w:trHeight w:val="1418"/>
        </w:trPr>
        <w:tc>
          <w:tcPr>
            <w:tcW w:w="7825" w:type="dxa"/>
            <w:vAlign w:val="bottom"/>
          </w:tcPr>
          <w:p w14:paraId="1AE89678" w14:textId="003EAEFF" w:rsidR="00AD784C" w:rsidRPr="00161AA0" w:rsidRDefault="00C777C8" w:rsidP="00EC20FF">
            <w:pPr>
              <w:pStyle w:val="Documenttitle"/>
            </w:pPr>
            <w:r>
              <w:t>Better Futures Practice Development Training</w:t>
            </w:r>
          </w:p>
        </w:tc>
      </w:tr>
      <w:tr w:rsidR="000B2117" w14:paraId="3D3FEF75" w14:textId="77777777" w:rsidTr="009C1CB1">
        <w:trPr>
          <w:trHeight w:val="1247"/>
        </w:trPr>
        <w:tc>
          <w:tcPr>
            <w:tcW w:w="7825" w:type="dxa"/>
          </w:tcPr>
          <w:p w14:paraId="48173458" w14:textId="64980C41" w:rsidR="000B2117" w:rsidRPr="00A1389F" w:rsidRDefault="000B2117" w:rsidP="00CF4148">
            <w:pPr>
              <w:pStyle w:val="Documentsubtitle"/>
            </w:pPr>
          </w:p>
        </w:tc>
      </w:tr>
      <w:tr w:rsidR="00CF4148" w14:paraId="12163100" w14:textId="77777777" w:rsidTr="00CF4148">
        <w:trPr>
          <w:trHeight w:val="284"/>
        </w:trPr>
        <w:tc>
          <w:tcPr>
            <w:tcW w:w="7825" w:type="dxa"/>
          </w:tcPr>
          <w:p w14:paraId="58D22D06" w14:textId="77777777" w:rsidR="00CF4148" w:rsidRPr="00250DC4" w:rsidRDefault="00F9187E" w:rsidP="00CF4148">
            <w:pPr>
              <w:pStyle w:val="Bannermarking"/>
            </w:pPr>
            <w:r>
              <w:fldChar w:fldCharType="begin"/>
            </w:r>
            <w:r>
              <w:instrText xml:space="preserve"> FILLIN  "Type the protective marking" \d OFFICIAL \o  \* MERGEFORMAT </w:instrText>
            </w:r>
            <w:r>
              <w:fldChar w:fldCharType="separate"/>
            </w:r>
            <w:r w:rsidR="001A6BA8">
              <w:t>OFFICIAL</w:t>
            </w:r>
            <w:r>
              <w:fldChar w:fldCharType="end"/>
            </w:r>
          </w:p>
        </w:tc>
      </w:tr>
    </w:tbl>
    <w:p w14:paraId="78627D1A" w14:textId="77777777" w:rsidR="00AD784C" w:rsidRPr="00B57329" w:rsidRDefault="00AD784C" w:rsidP="002365B4">
      <w:pPr>
        <w:pStyle w:val="TOCheadingfactsheet"/>
      </w:pPr>
      <w:r w:rsidRPr="00B57329">
        <w:t>Contents</w:t>
      </w:r>
    </w:p>
    <w:p w14:paraId="5978122A" w14:textId="0C1C13AF" w:rsidR="0011618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5412232" w:history="1">
        <w:r w:rsidR="0011618F" w:rsidRPr="00484D06">
          <w:rPr>
            <w:rStyle w:val="Hyperlink"/>
          </w:rPr>
          <w:t>This case study shows</w:t>
        </w:r>
        <w:r w:rsidR="0011618F">
          <w:rPr>
            <w:webHidden/>
          </w:rPr>
          <w:tab/>
        </w:r>
        <w:r w:rsidR="0011618F">
          <w:rPr>
            <w:webHidden/>
          </w:rPr>
          <w:fldChar w:fldCharType="begin"/>
        </w:r>
        <w:r w:rsidR="0011618F">
          <w:rPr>
            <w:webHidden/>
          </w:rPr>
          <w:instrText xml:space="preserve"> PAGEREF _Toc105412232 \h </w:instrText>
        </w:r>
        <w:r w:rsidR="0011618F">
          <w:rPr>
            <w:webHidden/>
          </w:rPr>
        </w:r>
        <w:r w:rsidR="0011618F">
          <w:rPr>
            <w:webHidden/>
          </w:rPr>
          <w:fldChar w:fldCharType="separate"/>
        </w:r>
        <w:r w:rsidR="0011618F">
          <w:rPr>
            <w:webHidden/>
          </w:rPr>
          <w:t>1</w:t>
        </w:r>
        <w:r w:rsidR="0011618F">
          <w:rPr>
            <w:webHidden/>
          </w:rPr>
          <w:fldChar w:fldCharType="end"/>
        </w:r>
      </w:hyperlink>
    </w:p>
    <w:p w14:paraId="6E5DC593" w14:textId="77997F6E" w:rsidR="0011618F" w:rsidRDefault="00F9187E">
      <w:pPr>
        <w:pStyle w:val="TOC1"/>
        <w:rPr>
          <w:rFonts w:asciiTheme="minorHAnsi" w:eastAsiaTheme="minorEastAsia" w:hAnsiTheme="minorHAnsi" w:cstheme="minorBidi"/>
          <w:b w:val="0"/>
          <w:sz w:val="22"/>
          <w:szCs w:val="22"/>
          <w:lang w:eastAsia="en-AU"/>
        </w:rPr>
      </w:pPr>
      <w:hyperlink w:anchor="_Toc105412233" w:history="1">
        <w:r w:rsidR="0011618F" w:rsidRPr="00484D06">
          <w:rPr>
            <w:rStyle w:val="Hyperlink"/>
          </w:rPr>
          <w:t>About this case study</w:t>
        </w:r>
        <w:r w:rsidR="0011618F">
          <w:rPr>
            <w:webHidden/>
          </w:rPr>
          <w:tab/>
        </w:r>
        <w:r w:rsidR="0011618F">
          <w:rPr>
            <w:webHidden/>
          </w:rPr>
          <w:fldChar w:fldCharType="begin"/>
        </w:r>
        <w:r w:rsidR="0011618F">
          <w:rPr>
            <w:webHidden/>
          </w:rPr>
          <w:instrText xml:space="preserve"> PAGEREF _Toc105412233 \h </w:instrText>
        </w:r>
        <w:r w:rsidR="0011618F">
          <w:rPr>
            <w:webHidden/>
          </w:rPr>
        </w:r>
        <w:r w:rsidR="0011618F">
          <w:rPr>
            <w:webHidden/>
          </w:rPr>
          <w:fldChar w:fldCharType="separate"/>
        </w:r>
        <w:r w:rsidR="0011618F">
          <w:rPr>
            <w:webHidden/>
          </w:rPr>
          <w:t>1</w:t>
        </w:r>
        <w:r w:rsidR="0011618F">
          <w:rPr>
            <w:webHidden/>
          </w:rPr>
          <w:fldChar w:fldCharType="end"/>
        </w:r>
      </w:hyperlink>
    </w:p>
    <w:p w14:paraId="1E717CF5" w14:textId="218011A0" w:rsidR="0011618F" w:rsidRDefault="00F9187E">
      <w:pPr>
        <w:pStyle w:val="TOC1"/>
        <w:rPr>
          <w:rFonts w:asciiTheme="minorHAnsi" w:eastAsiaTheme="minorEastAsia" w:hAnsiTheme="minorHAnsi" w:cstheme="minorBidi"/>
          <w:b w:val="0"/>
          <w:sz w:val="22"/>
          <w:szCs w:val="22"/>
          <w:lang w:eastAsia="en-AU"/>
        </w:rPr>
      </w:pPr>
      <w:hyperlink w:anchor="_Toc105412234" w:history="1">
        <w:r w:rsidR="0011618F" w:rsidRPr="00484D06">
          <w:rPr>
            <w:rStyle w:val="Hyperlink"/>
          </w:rPr>
          <w:t>Benefits</w:t>
        </w:r>
        <w:r w:rsidR="0011618F">
          <w:rPr>
            <w:webHidden/>
          </w:rPr>
          <w:tab/>
        </w:r>
        <w:r w:rsidR="0011618F">
          <w:rPr>
            <w:webHidden/>
          </w:rPr>
          <w:fldChar w:fldCharType="begin"/>
        </w:r>
        <w:r w:rsidR="0011618F">
          <w:rPr>
            <w:webHidden/>
          </w:rPr>
          <w:instrText xml:space="preserve"> PAGEREF _Toc105412234 \h </w:instrText>
        </w:r>
        <w:r w:rsidR="0011618F">
          <w:rPr>
            <w:webHidden/>
          </w:rPr>
        </w:r>
        <w:r w:rsidR="0011618F">
          <w:rPr>
            <w:webHidden/>
          </w:rPr>
          <w:fldChar w:fldCharType="separate"/>
        </w:r>
        <w:r w:rsidR="0011618F">
          <w:rPr>
            <w:webHidden/>
          </w:rPr>
          <w:t>1</w:t>
        </w:r>
        <w:r w:rsidR="0011618F">
          <w:rPr>
            <w:webHidden/>
          </w:rPr>
          <w:fldChar w:fldCharType="end"/>
        </w:r>
      </w:hyperlink>
    </w:p>
    <w:p w14:paraId="02D393DB" w14:textId="56DB3C18" w:rsidR="0011618F" w:rsidRDefault="00F9187E">
      <w:pPr>
        <w:pStyle w:val="TOC1"/>
        <w:rPr>
          <w:rFonts w:asciiTheme="minorHAnsi" w:eastAsiaTheme="minorEastAsia" w:hAnsiTheme="minorHAnsi" w:cstheme="minorBidi"/>
          <w:b w:val="0"/>
          <w:sz w:val="22"/>
          <w:szCs w:val="22"/>
          <w:lang w:eastAsia="en-AU"/>
        </w:rPr>
      </w:pPr>
      <w:hyperlink w:anchor="_Toc105412235" w:history="1">
        <w:r w:rsidR="0011618F" w:rsidRPr="00484D06">
          <w:rPr>
            <w:rStyle w:val="Hyperlink"/>
          </w:rPr>
          <w:t>Success factors</w:t>
        </w:r>
        <w:r w:rsidR="0011618F">
          <w:rPr>
            <w:webHidden/>
          </w:rPr>
          <w:tab/>
        </w:r>
        <w:r w:rsidR="0011618F">
          <w:rPr>
            <w:webHidden/>
          </w:rPr>
          <w:fldChar w:fldCharType="begin"/>
        </w:r>
        <w:r w:rsidR="0011618F">
          <w:rPr>
            <w:webHidden/>
          </w:rPr>
          <w:instrText xml:space="preserve"> PAGEREF _Toc105412235 \h </w:instrText>
        </w:r>
        <w:r w:rsidR="0011618F">
          <w:rPr>
            <w:webHidden/>
          </w:rPr>
        </w:r>
        <w:r w:rsidR="0011618F">
          <w:rPr>
            <w:webHidden/>
          </w:rPr>
          <w:fldChar w:fldCharType="separate"/>
        </w:r>
        <w:r w:rsidR="0011618F">
          <w:rPr>
            <w:webHidden/>
          </w:rPr>
          <w:t>2</w:t>
        </w:r>
        <w:r w:rsidR="0011618F">
          <w:rPr>
            <w:webHidden/>
          </w:rPr>
          <w:fldChar w:fldCharType="end"/>
        </w:r>
      </w:hyperlink>
    </w:p>
    <w:p w14:paraId="09DBEBAA" w14:textId="54392F7E" w:rsidR="0011618F" w:rsidRDefault="00F9187E">
      <w:pPr>
        <w:pStyle w:val="TOC1"/>
        <w:rPr>
          <w:rFonts w:asciiTheme="minorHAnsi" w:eastAsiaTheme="minorEastAsia" w:hAnsiTheme="minorHAnsi" w:cstheme="minorBidi"/>
          <w:b w:val="0"/>
          <w:sz w:val="22"/>
          <w:szCs w:val="22"/>
          <w:lang w:eastAsia="en-AU"/>
        </w:rPr>
      </w:pPr>
      <w:hyperlink w:anchor="_Toc105412236" w:history="1">
        <w:r w:rsidR="0011618F" w:rsidRPr="00484D06">
          <w:rPr>
            <w:rStyle w:val="Hyperlink"/>
          </w:rPr>
          <w:t>What participants say</w:t>
        </w:r>
        <w:r w:rsidR="0011618F">
          <w:rPr>
            <w:webHidden/>
          </w:rPr>
          <w:tab/>
        </w:r>
        <w:r w:rsidR="0011618F">
          <w:rPr>
            <w:webHidden/>
          </w:rPr>
          <w:fldChar w:fldCharType="begin"/>
        </w:r>
        <w:r w:rsidR="0011618F">
          <w:rPr>
            <w:webHidden/>
          </w:rPr>
          <w:instrText xml:space="preserve"> PAGEREF _Toc105412236 \h </w:instrText>
        </w:r>
        <w:r w:rsidR="0011618F">
          <w:rPr>
            <w:webHidden/>
          </w:rPr>
        </w:r>
        <w:r w:rsidR="0011618F">
          <w:rPr>
            <w:webHidden/>
          </w:rPr>
          <w:fldChar w:fldCharType="separate"/>
        </w:r>
        <w:r w:rsidR="0011618F">
          <w:rPr>
            <w:webHidden/>
          </w:rPr>
          <w:t>2</w:t>
        </w:r>
        <w:r w:rsidR="0011618F">
          <w:rPr>
            <w:webHidden/>
          </w:rPr>
          <w:fldChar w:fldCharType="end"/>
        </w:r>
      </w:hyperlink>
    </w:p>
    <w:p w14:paraId="54EC8797" w14:textId="129164C6" w:rsidR="0011618F" w:rsidRDefault="00F9187E">
      <w:pPr>
        <w:pStyle w:val="TOC1"/>
        <w:rPr>
          <w:rFonts w:asciiTheme="minorHAnsi" w:eastAsiaTheme="minorEastAsia" w:hAnsiTheme="minorHAnsi" w:cstheme="minorBidi"/>
          <w:b w:val="0"/>
          <w:sz w:val="22"/>
          <w:szCs w:val="22"/>
          <w:lang w:eastAsia="en-AU"/>
        </w:rPr>
      </w:pPr>
      <w:hyperlink w:anchor="_Toc105412237" w:history="1">
        <w:r w:rsidR="0011618F" w:rsidRPr="00484D06">
          <w:rPr>
            <w:rStyle w:val="Hyperlink"/>
          </w:rPr>
          <w:t>Learn more</w:t>
        </w:r>
        <w:r w:rsidR="0011618F">
          <w:rPr>
            <w:webHidden/>
          </w:rPr>
          <w:tab/>
        </w:r>
        <w:r w:rsidR="0011618F">
          <w:rPr>
            <w:webHidden/>
          </w:rPr>
          <w:fldChar w:fldCharType="begin"/>
        </w:r>
        <w:r w:rsidR="0011618F">
          <w:rPr>
            <w:webHidden/>
          </w:rPr>
          <w:instrText xml:space="preserve"> PAGEREF _Toc105412237 \h </w:instrText>
        </w:r>
        <w:r w:rsidR="0011618F">
          <w:rPr>
            <w:webHidden/>
          </w:rPr>
        </w:r>
        <w:r w:rsidR="0011618F">
          <w:rPr>
            <w:webHidden/>
          </w:rPr>
          <w:fldChar w:fldCharType="separate"/>
        </w:r>
        <w:r w:rsidR="0011618F">
          <w:rPr>
            <w:webHidden/>
          </w:rPr>
          <w:t>2</w:t>
        </w:r>
        <w:r w:rsidR="0011618F">
          <w:rPr>
            <w:webHidden/>
          </w:rPr>
          <w:fldChar w:fldCharType="end"/>
        </w:r>
      </w:hyperlink>
    </w:p>
    <w:p w14:paraId="2B6E5520" w14:textId="111A8A7C" w:rsidR="007173CA" w:rsidRDefault="00AD784C" w:rsidP="00D079AA">
      <w:pPr>
        <w:pStyle w:val="Body"/>
      </w:pPr>
      <w:r>
        <w:fldChar w:fldCharType="end"/>
      </w:r>
    </w:p>
    <w:p w14:paraId="0ACC06B9" w14:textId="5D6ED20C" w:rsidR="001A202A" w:rsidRDefault="003719B8" w:rsidP="001A202A">
      <w:pPr>
        <w:pStyle w:val="Heading1"/>
      </w:pPr>
      <w:bookmarkStart w:id="0" w:name="_Toc105412232"/>
      <w:bookmarkStart w:id="1" w:name="_Toc63257285"/>
      <w:r>
        <w:t>This case study shows</w:t>
      </w:r>
      <w:bookmarkEnd w:id="0"/>
      <w:r>
        <w:t xml:space="preserve"> </w:t>
      </w:r>
      <w:bookmarkEnd w:id="1"/>
    </w:p>
    <w:p w14:paraId="66BE55A7" w14:textId="77777777" w:rsidR="00FC2582" w:rsidRPr="0023672C" w:rsidRDefault="00FC2582" w:rsidP="00FC2582">
      <w:pPr>
        <w:rPr>
          <w:rFonts w:eastAsia="Times"/>
        </w:rPr>
      </w:pPr>
      <w:bookmarkStart w:id="2" w:name="_Hlk37240926"/>
      <w:r>
        <w:rPr>
          <w:rFonts w:eastAsia="Times"/>
        </w:rPr>
        <w:t>Y</w:t>
      </w:r>
      <w:r w:rsidRPr="0023672C">
        <w:rPr>
          <w:rFonts w:eastAsia="Times"/>
        </w:rPr>
        <w:t>oung people have valuable experience and expertise to share.</w:t>
      </w:r>
    </w:p>
    <w:p w14:paraId="65106BAC" w14:textId="57B232A0" w:rsidR="006235F9" w:rsidRDefault="006235F9" w:rsidP="006235F9">
      <w:pPr>
        <w:pStyle w:val="Heading1"/>
      </w:pPr>
      <w:bookmarkStart w:id="3" w:name="_Toc105412233"/>
      <w:r>
        <w:t>About this case study</w:t>
      </w:r>
      <w:bookmarkEnd w:id="3"/>
    </w:p>
    <w:p w14:paraId="0DAAC38D" w14:textId="77777777" w:rsidR="00DF5CF6" w:rsidRPr="0023672C" w:rsidRDefault="00DF5CF6" w:rsidP="00DF5CF6">
      <w:pPr>
        <w:rPr>
          <w:rFonts w:eastAsia="Times"/>
        </w:rPr>
      </w:pPr>
      <w:bookmarkStart w:id="4" w:name="_Toc79674976"/>
      <w:r w:rsidRPr="6096C0B0">
        <w:rPr>
          <w:rFonts w:eastAsia="Times"/>
        </w:rPr>
        <w:t xml:space="preserve">The Better Futures practice development training is co-produced and presented by members of the Transitions from Care Youth Expert Advisory Group (YEAG) and staff from the Brotherhood of St Laurence (BSL). The training is given to Better Futures practitioners working with young people transitioning from care in Victoria. </w:t>
      </w:r>
    </w:p>
    <w:p w14:paraId="6B1CA600" w14:textId="77777777" w:rsidR="00DF5CF6" w:rsidRPr="0023672C" w:rsidRDefault="00DF5CF6" w:rsidP="00DF5CF6">
      <w:pPr>
        <w:rPr>
          <w:rFonts w:eastAsia="Times"/>
        </w:rPr>
      </w:pPr>
      <w:r w:rsidRPr="6096C0B0">
        <w:rPr>
          <w:rFonts w:eastAsia="Times"/>
        </w:rPr>
        <w:t xml:space="preserve">The YEAG, which is made up of young people with care experience, was established to ensure the voice and expertise of young people with lived experience informed the Better Futures and Home Stretch initiatives. </w:t>
      </w:r>
    </w:p>
    <w:p w14:paraId="45194D87" w14:textId="77777777" w:rsidR="00DF5CF6" w:rsidRPr="0023672C" w:rsidRDefault="00DF5CF6" w:rsidP="00DF5CF6">
      <w:pPr>
        <w:rPr>
          <w:rFonts w:eastAsia="Times"/>
        </w:rPr>
      </w:pPr>
      <w:r w:rsidRPr="0023672C">
        <w:rPr>
          <w:rFonts w:eastAsia="Times"/>
        </w:rPr>
        <w:t>The YEAG gives government advice, feedback and recommendations to inform policy and program development. YEAG members are also involved in co-producing and presenting at the Better Futures state-wide induction training, Better Futures communities of practice and sector forums. The YEAG is supported by CREATE Foundation.</w:t>
      </w:r>
    </w:p>
    <w:p w14:paraId="34159996" w14:textId="77777777" w:rsidR="00155964" w:rsidRDefault="00155964" w:rsidP="00155964">
      <w:pPr>
        <w:pStyle w:val="Heading1"/>
      </w:pPr>
      <w:bookmarkStart w:id="5" w:name="_Toc105412234"/>
      <w:r>
        <w:t>Benefits</w:t>
      </w:r>
      <w:bookmarkEnd w:id="4"/>
      <w:bookmarkEnd w:id="5"/>
    </w:p>
    <w:p w14:paraId="584D54D1" w14:textId="77777777" w:rsidR="00AA701A" w:rsidRPr="0023672C" w:rsidRDefault="00AA701A" w:rsidP="00AA701A">
      <w:pPr>
        <w:rPr>
          <w:rFonts w:eastAsia="Times"/>
        </w:rPr>
      </w:pPr>
      <w:bookmarkStart w:id="6" w:name="_Toc79674977"/>
      <w:r w:rsidRPr="0023672C">
        <w:rPr>
          <w:rFonts w:eastAsia="Times"/>
        </w:rPr>
        <w:t>Having the training co-produced and delivered by young people (YEAG members) and BSL meant that:</w:t>
      </w:r>
    </w:p>
    <w:p w14:paraId="29BBB95B" w14:textId="77777777" w:rsidR="00AA701A" w:rsidRPr="0023672C" w:rsidRDefault="00AA701A" w:rsidP="00AA701A">
      <w:pPr>
        <w:numPr>
          <w:ilvl w:val="0"/>
          <w:numId w:val="12"/>
        </w:numPr>
        <w:spacing w:after="40"/>
        <w:rPr>
          <w:rFonts w:eastAsia="Times"/>
        </w:rPr>
      </w:pPr>
      <w:r w:rsidRPr="0023672C">
        <w:rPr>
          <w:rFonts w:eastAsia="Times"/>
        </w:rPr>
        <w:t>The design and delivery of the training was strongly shaped by the lived experience of young people</w:t>
      </w:r>
    </w:p>
    <w:p w14:paraId="21C2B353" w14:textId="77777777" w:rsidR="00AA701A" w:rsidRPr="0023672C" w:rsidRDefault="00AA701A" w:rsidP="00AA701A">
      <w:pPr>
        <w:numPr>
          <w:ilvl w:val="0"/>
          <w:numId w:val="12"/>
        </w:numPr>
        <w:spacing w:after="40"/>
        <w:rPr>
          <w:rFonts w:eastAsia="Times"/>
        </w:rPr>
      </w:pPr>
      <w:r w:rsidRPr="0023672C">
        <w:rPr>
          <w:rFonts w:eastAsia="Times"/>
        </w:rPr>
        <w:t>YEAG members advocated for the topics they wanted included in the training</w:t>
      </w:r>
    </w:p>
    <w:p w14:paraId="456633C5" w14:textId="77777777" w:rsidR="00AA701A" w:rsidRPr="0023672C" w:rsidRDefault="00AA701A" w:rsidP="00AA701A">
      <w:pPr>
        <w:numPr>
          <w:ilvl w:val="0"/>
          <w:numId w:val="12"/>
        </w:numPr>
        <w:spacing w:after="40"/>
        <w:rPr>
          <w:rFonts w:eastAsia="Times"/>
        </w:rPr>
      </w:pPr>
      <w:r w:rsidRPr="0023672C">
        <w:rPr>
          <w:rFonts w:eastAsia="Times"/>
        </w:rPr>
        <w:t>YEAG members nominated the topics they wanted to co-present</w:t>
      </w:r>
    </w:p>
    <w:p w14:paraId="7CDCE461" w14:textId="77777777" w:rsidR="00AA701A" w:rsidRPr="0023672C" w:rsidRDefault="00AA701A" w:rsidP="00AA701A">
      <w:pPr>
        <w:numPr>
          <w:ilvl w:val="0"/>
          <w:numId w:val="12"/>
        </w:numPr>
        <w:spacing w:after="40"/>
        <w:rPr>
          <w:rFonts w:eastAsia="Times"/>
        </w:rPr>
      </w:pPr>
      <w:r w:rsidRPr="0023672C">
        <w:rPr>
          <w:rFonts w:eastAsia="Times"/>
        </w:rPr>
        <w:t>BSL gave advice on safe delivery of topics, such as boundaries during personal experience storytelling</w:t>
      </w:r>
    </w:p>
    <w:p w14:paraId="413258F2" w14:textId="77777777" w:rsidR="00AA701A" w:rsidRPr="0023672C" w:rsidRDefault="00AA701A" w:rsidP="00AA701A">
      <w:pPr>
        <w:numPr>
          <w:ilvl w:val="0"/>
          <w:numId w:val="12"/>
        </w:numPr>
        <w:spacing w:after="40"/>
        <w:rPr>
          <w:rFonts w:eastAsia="Times"/>
        </w:rPr>
      </w:pPr>
      <w:r w:rsidRPr="0023672C">
        <w:rPr>
          <w:rFonts w:eastAsia="Times"/>
        </w:rPr>
        <w:lastRenderedPageBreak/>
        <w:t>YEAG members could draw on the experience for future employment opportunities and use BSL staff as referees.</w:t>
      </w:r>
    </w:p>
    <w:p w14:paraId="0CD63947" w14:textId="77777777" w:rsidR="00155964" w:rsidRPr="00353C84" w:rsidRDefault="00155964" w:rsidP="00155964">
      <w:pPr>
        <w:pStyle w:val="Heading1"/>
        <w:rPr>
          <w:rStyle w:val="Heading3Char"/>
          <w:b w:val="0"/>
          <w:sz w:val="40"/>
          <w:szCs w:val="40"/>
        </w:rPr>
      </w:pPr>
      <w:bookmarkStart w:id="7" w:name="_Toc105412235"/>
      <w:r w:rsidRPr="00353C84">
        <w:rPr>
          <w:rStyle w:val="Heading3Char"/>
          <w:b w:val="0"/>
          <w:bCs/>
          <w:sz w:val="40"/>
          <w:szCs w:val="40"/>
        </w:rPr>
        <w:t>Success factors</w:t>
      </w:r>
      <w:bookmarkEnd w:id="6"/>
      <w:bookmarkEnd w:id="7"/>
    </w:p>
    <w:p w14:paraId="0BE9304D" w14:textId="77777777" w:rsidR="0049654C" w:rsidRPr="0023672C" w:rsidRDefault="0049654C" w:rsidP="0049654C">
      <w:pPr>
        <w:rPr>
          <w:rFonts w:eastAsia="Times"/>
        </w:rPr>
      </w:pPr>
      <w:bookmarkStart w:id="8" w:name="_Toc79674979"/>
      <w:r w:rsidRPr="0023672C">
        <w:rPr>
          <w:rFonts w:eastAsia="Times"/>
        </w:rPr>
        <w:t xml:space="preserve">YEAG members participated in all planning meetings, contributed ideas and materials to include in the training and were part of the decision-making at every stage from design and development to delivery. </w:t>
      </w:r>
    </w:p>
    <w:p w14:paraId="0BEEBDC9" w14:textId="77777777" w:rsidR="0049654C" w:rsidRDefault="0049654C" w:rsidP="0049654C">
      <w:pPr>
        <w:rPr>
          <w:rFonts w:eastAsia="Times"/>
        </w:rPr>
      </w:pPr>
      <w:r w:rsidRPr="0023672C">
        <w:rPr>
          <w:rFonts w:eastAsia="Times"/>
        </w:rPr>
        <w:t>YEAG members took on valued roles, addressed issues that were relevant to them and influenced real outcomes. Meaningful involvement of young people has set a new standard in training and showcases Advantaged Thinking Better Futures practice framework in action.</w:t>
      </w:r>
    </w:p>
    <w:p w14:paraId="60F38A41" w14:textId="77777777" w:rsidR="0049654C" w:rsidRDefault="0049654C" w:rsidP="0049654C">
      <w:pPr>
        <w:rPr>
          <w:rFonts w:eastAsia="Times"/>
        </w:rPr>
      </w:pPr>
      <w:r>
        <w:rPr>
          <w:rFonts w:eastAsia="Times"/>
        </w:rPr>
        <w:t xml:space="preserve">To ensure young people were adequately and appropriately prepared to co-produce and deliver the training, YEAG members completed CREATE Foundation’s Speak Up (SUP) program. Through the SUP program, YEAG members were supported to develop their advocacy, leadership and public speaking skills and learn more about the broader care system. </w:t>
      </w:r>
    </w:p>
    <w:p w14:paraId="3AD0952D" w14:textId="77777777" w:rsidR="0049654C" w:rsidRPr="0023672C" w:rsidRDefault="0049654C" w:rsidP="0049654C">
      <w:pPr>
        <w:rPr>
          <w:rFonts w:eastAsia="Times"/>
        </w:rPr>
      </w:pPr>
      <w:r w:rsidRPr="0023672C">
        <w:rPr>
          <w:rFonts w:eastAsia="Times"/>
        </w:rPr>
        <w:t>BSL</w:t>
      </w:r>
      <w:r>
        <w:rPr>
          <w:rFonts w:eastAsia="Times"/>
        </w:rPr>
        <w:t xml:space="preserve"> and CREATE Foundation</w:t>
      </w:r>
      <w:r w:rsidRPr="0023672C">
        <w:rPr>
          <w:rFonts w:eastAsia="Times"/>
        </w:rPr>
        <w:t xml:space="preserve"> helped negotiate clear boundaries and expectations with all involved before training to ensure:</w:t>
      </w:r>
    </w:p>
    <w:p w14:paraId="6EF7B5D0" w14:textId="77777777" w:rsidR="0049654C" w:rsidRPr="0023672C" w:rsidRDefault="0049654C" w:rsidP="0049654C">
      <w:pPr>
        <w:numPr>
          <w:ilvl w:val="0"/>
          <w:numId w:val="7"/>
        </w:numPr>
        <w:spacing w:after="40"/>
        <w:rPr>
          <w:rFonts w:eastAsia="Times"/>
        </w:rPr>
      </w:pPr>
      <w:r w:rsidRPr="0023672C">
        <w:rPr>
          <w:rFonts w:eastAsia="Times"/>
        </w:rPr>
        <w:t>Confidentiality of young people’s stories and non-personal questions from participants</w:t>
      </w:r>
    </w:p>
    <w:p w14:paraId="3006DDEE" w14:textId="77777777" w:rsidR="0049654C" w:rsidRPr="0023672C" w:rsidRDefault="0049654C" w:rsidP="0049654C">
      <w:pPr>
        <w:numPr>
          <w:ilvl w:val="0"/>
          <w:numId w:val="7"/>
        </w:numPr>
        <w:spacing w:after="40"/>
        <w:rPr>
          <w:rFonts w:eastAsia="Times"/>
        </w:rPr>
      </w:pPr>
      <w:r w:rsidRPr="0023672C">
        <w:rPr>
          <w:rFonts w:eastAsia="Times"/>
        </w:rPr>
        <w:t xml:space="preserve">Appropriate handling of disclosure of traumatic events and understanding of how to sensitively move a discussion along </w:t>
      </w:r>
    </w:p>
    <w:p w14:paraId="127CC68F" w14:textId="77777777" w:rsidR="0049654C" w:rsidRPr="0023672C" w:rsidRDefault="0049654C" w:rsidP="0049654C">
      <w:pPr>
        <w:numPr>
          <w:ilvl w:val="0"/>
          <w:numId w:val="7"/>
        </w:numPr>
        <w:spacing w:after="40"/>
        <w:rPr>
          <w:rFonts w:eastAsia="Times"/>
        </w:rPr>
      </w:pPr>
      <w:r w:rsidRPr="0023672C">
        <w:rPr>
          <w:rFonts w:eastAsia="Times"/>
        </w:rPr>
        <w:t>Understanding that one person’s traumatic story could trigger others.</w:t>
      </w:r>
    </w:p>
    <w:p w14:paraId="16713864" w14:textId="7479B105" w:rsidR="00155964" w:rsidRPr="00353C84" w:rsidRDefault="00155964" w:rsidP="00155964">
      <w:pPr>
        <w:pStyle w:val="Heading1"/>
      </w:pPr>
      <w:bookmarkStart w:id="9" w:name="_Toc105412236"/>
      <w:r w:rsidRPr="00353C84">
        <w:t xml:space="preserve">What </w:t>
      </w:r>
      <w:bookmarkEnd w:id="8"/>
      <w:r w:rsidR="00572264">
        <w:t>participants say</w:t>
      </w:r>
      <w:bookmarkEnd w:id="9"/>
    </w:p>
    <w:p w14:paraId="6266B5D0" w14:textId="77777777" w:rsidR="00572264" w:rsidRPr="0023672C" w:rsidRDefault="00572264" w:rsidP="00572264">
      <w:pPr>
        <w:rPr>
          <w:rFonts w:eastAsia="Times"/>
        </w:rPr>
      </w:pPr>
      <w:bookmarkStart w:id="10" w:name="_Toc79674980"/>
      <w:r w:rsidRPr="0023672C">
        <w:rPr>
          <w:rFonts w:eastAsia="Times"/>
        </w:rPr>
        <w:t>‘Love hearing the lived experiences of A and T and getting their insight. Thank you.’</w:t>
      </w:r>
    </w:p>
    <w:p w14:paraId="1959DD1C" w14:textId="77777777" w:rsidR="00572264" w:rsidRPr="0023672C" w:rsidRDefault="00572264" w:rsidP="00572264">
      <w:pPr>
        <w:rPr>
          <w:rFonts w:eastAsia="Times"/>
        </w:rPr>
      </w:pPr>
      <w:r w:rsidRPr="0023672C">
        <w:rPr>
          <w:rFonts w:eastAsia="Times"/>
        </w:rPr>
        <w:t>‘Would have loved some more experiences from young people about what works and what doesn't’</w:t>
      </w:r>
    </w:p>
    <w:p w14:paraId="278427E8" w14:textId="676BDAB3" w:rsidR="00572264" w:rsidRPr="0023672C" w:rsidRDefault="00572264" w:rsidP="00572264">
      <w:pPr>
        <w:rPr>
          <w:rFonts w:eastAsia="Times"/>
        </w:rPr>
      </w:pPr>
      <w:r w:rsidRPr="0023672C">
        <w:rPr>
          <w:rFonts w:eastAsia="Times"/>
        </w:rPr>
        <w:t>‘Love that T and A were able to facilitate.‘</w:t>
      </w:r>
    </w:p>
    <w:p w14:paraId="13FBB39E" w14:textId="77777777" w:rsidR="00572264" w:rsidRPr="0023672C" w:rsidRDefault="00572264" w:rsidP="00572264">
      <w:pPr>
        <w:rPr>
          <w:rFonts w:eastAsia="Times"/>
        </w:rPr>
      </w:pPr>
      <w:r w:rsidRPr="0023672C">
        <w:rPr>
          <w:rFonts w:eastAsia="Times"/>
        </w:rPr>
        <w:t>‘It was great to hear from A, having someone there to put a lived experience lens was helpful to how we can improve our practice.’</w:t>
      </w:r>
    </w:p>
    <w:p w14:paraId="7EED4A8E" w14:textId="77777777" w:rsidR="00155964" w:rsidRPr="00912A39" w:rsidRDefault="00155964" w:rsidP="00155964">
      <w:pPr>
        <w:pStyle w:val="Heading1"/>
      </w:pPr>
      <w:bookmarkStart w:id="11" w:name="_Toc105412237"/>
      <w:r w:rsidRPr="00912A39">
        <w:t>Learn more</w:t>
      </w:r>
      <w:bookmarkEnd w:id="10"/>
      <w:bookmarkEnd w:id="11"/>
    </w:p>
    <w:p w14:paraId="4B146141" w14:textId="77777777" w:rsidR="0011618F" w:rsidRDefault="0011618F" w:rsidP="0011618F">
      <w:pPr>
        <w:pStyle w:val="CommentText"/>
      </w:pPr>
      <w:r w:rsidRPr="00BF3967">
        <w:rPr>
          <w:rFonts w:eastAsia="Times"/>
        </w:rPr>
        <w:t xml:space="preserve">Download a copy of the Better Futures practice framework from </w:t>
      </w:r>
      <w:hyperlink r:id="rId18" w:history="1">
        <w:r w:rsidRPr="00BF3967">
          <w:rPr>
            <w:rFonts w:eastAsia="Times"/>
            <w:color w:val="004C97"/>
            <w:u w:val="dotted"/>
          </w:rPr>
          <w:t>Brotherhood of St Laurence’s Better Futures page</w:t>
        </w:r>
      </w:hyperlink>
      <w:r>
        <w:rPr>
          <w:rFonts w:eastAsia="Times"/>
        </w:rPr>
        <w:t xml:space="preserve"> &lt;</w:t>
      </w:r>
      <w:r w:rsidRPr="00807400">
        <w:t>https://www.bsl.org.au/services/youth/better-futures</w:t>
      </w:r>
      <w:r>
        <w:t>&gt;</w:t>
      </w:r>
    </w:p>
    <w:p w14:paraId="67E3DC8B" w14:textId="77777777" w:rsidR="0011618F" w:rsidRPr="00912A39" w:rsidRDefault="0011618F" w:rsidP="0011618F">
      <w:pPr>
        <w:pStyle w:val="Body"/>
      </w:pPr>
      <w:r>
        <w:t xml:space="preserve">See YEAG member </w:t>
      </w:r>
      <w:hyperlink r:id="rId19" w:history="1">
        <w:r w:rsidRPr="00E95048">
          <w:rPr>
            <w:rStyle w:val="Hyperlink"/>
          </w:rPr>
          <w:t>Tobias Lindholm’s story</w:t>
        </w:r>
      </w:hyperlink>
      <w:r>
        <w:t xml:space="preserve"> at &lt;</w:t>
      </w:r>
      <w:r w:rsidRPr="00E95048">
        <w:t>https://www.youtube.com/watch?v=E7SBkQtFvXo</w:t>
      </w:r>
      <w:r>
        <w:t>&gt;</w:t>
      </w:r>
    </w:p>
    <w:p w14:paraId="2CF94463" w14:textId="77777777" w:rsidR="006235F9" w:rsidRPr="006235F9" w:rsidRDefault="006235F9" w:rsidP="006235F9">
      <w:pPr>
        <w:pStyle w:val="Bullet1"/>
        <w:numPr>
          <w:ilvl w:val="0"/>
          <w:numId w:val="0"/>
        </w:numPr>
        <w:ind w:left="360"/>
      </w:pPr>
    </w:p>
    <w:tbl>
      <w:tblPr>
        <w:tblStyle w:val="TableGrid"/>
        <w:tblW w:w="0" w:type="auto"/>
        <w:tblCellMar>
          <w:bottom w:w="108" w:type="dxa"/>
        </w:tblCellMar>
        <w:tblLook w:val="0600" w:firstRow="0" w:lastRow="0" w:firstColumn="0" w:lastColumn="0" w:noHBand="1" w:noVBand="1"/>
      </w:tblPr>
      <w:tblGrid>
        <w:gridCol w:w="10194"/>
      </w:tblGrid>
      <w:tr w:rsidR="0055119B" w14:paraId="6659BBB3" w14:textId="77777777" w:rsidTr="00641724">
        <w:tc>
          <w:tcPr>
            <w:tcW w:w="10194" w:type="dxa"/>
          </w:tcPr>
          <w:p w14:paraId="1D9C235A" w14:textId="373AE2E9" w:rsidR="0055119B" w:rsidRPr="0055119B" w:rsidRDefault="0055119B" w:rsidP="0055119B">
            <w:pPr>
              <w:pStyle w:val="Accessibilitypara"/>
            </w:pPr>
            <w:r w:rsidRPr="0055119B">
              <w:t>To receive this document in another format</w:t>
            </w:r>
            <w:r>
              <w:t>,</w:t>
            </w:r>
            <w:r w:rsidR="00726B5D">
              <w:t xml:space="preserve"> email</w:t>
            </w:r>
            <w:r w:rsidR="00726B5D" w:rsidRPr="00726B5D">
              <w:t xml:space="preserve"> </w:t>
            </w:r>
            <w:hyperlink r:id="rId20" w:history="1">
              <w:r w:rsidR="0021391E" w:rsidRPr="009E3BE4">
                <w:rPr>
                  <w:rStyle w:val="Hyperlink"/>
                </w:rPr>
                <w:t>Community Services Quality and Safety Office</w:t>
              </w:r>
            </w:hyperlink>
            <w:r w:rsidR="00726B5D" w:rsidRPr="00726B5D">
              <w:t xml:space="preserve"> &lt;CSQSO@dhhs.vic.gov.au&gt;</w:t>
            </w:r>
            <w:r w:rsidRPr="0055119B">
              <w:t>.</w:t>
            </w:r>
          </w:p>
          <w:p w14:paraId="0A050226" w14:textId="77777777" w:rsidR="0055119B" w:rsidRPr="0055119B" w:rsidRDefault="0055119B" w:rsidP="00E33237">
            <w:pPr>
              <w:pStyle w:val="Imprint"/>
            </w:pPr>
            <w:r w:rsidRPr="0055119B">
              <w:t>Authorised and published by the Victorian Government, 1 Treasury Place, Melbourne.</w:t>
            </w:r>
          </w:p>
          <w:p w14:paraId="7D302618" w14:textId="4083B28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726B5D">
              <w:t>, March 2022</w:t>
            </w:r>
            <w:r w:rsidRPr="0055119B">
              <w:t>.</w:t>
            </w:r>
          </w:p>
          <w:p w14:paraId="6477E359" w14:textId="2012DC92" w:rsidR="0055119B" w:rsidRDefault="0055119B" w:rsidP="00E33237">
            <w:pPr>
              <w:pStyle w:val="Imprint"/>
            </w:pPr>
            <w:bookmarkStart w:id="12" w:name="_Hlk62746129"/>
            <w:r w:rsidRPr="0055119B">
              <w:t xml:space="preserve">Available at </w:t>
            </w:r>
            <w:hyperlink r:id="rId21" w:history="1">
              <w:r w:rsidR="00726B5D" w:rsidRPr="00726B5D">
                <w:rPr>
                  <w:rStyle w:val="Hyperlink"/>
                </w:rPr>
                <w:t>Young voices</w:t>
              </w:r>
            </w:hyperlink>
            <w:r w:rsidR="00726B5D" w:rsidRPr="00726B5D">
              <w:t xml:space="preserve"> &lt;https://</w:t>
            </w:r>
            <w:r w:rsidR="00CB04AA">
              <w:t>www.vic.gov.au/young-voices</w:t>
            </w:r>
            <w:r w:rsidR="00726B5D" w:rsidRPr="00726B5D">
              <w:t>&gt;</w:t>
            </w:r>
            <w:bookmarkEnd w:id="12"/>
          </w:p>
        </w:tc>
      </w:tr>
      <w:bookmarkEnd w:id="2"/>
    </w:tbl>
    <w:p w14:paraId="1B82B139" w14:textId="77777777" w:rsidR="00162CA9" w:rsidRDefault="00162CA9" w:rsidP="00162CA9">
      <w:pPr>
        <w:pStyle w:val="Body"/>
      </w:pPr>
    </w:p>
    <w:sectPr w:rsidR="00162CA9" w:rsidSect="00B04489">
      <w:head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E340" w14:textId="77777777" w:rsidR="00F9187E" w:rsidRDefault="00F9187E">
      <w:r>
        <w:separator/>
      </w:r>
    </w:p>
    <w:p w14:paraId="23FBD7D5" w14:textId="77777777" w:rsidR="00F9187E" w:rsidRDefault="00F9187E"/>
  </w:endnote>
  <w:endnote w:type="continuationSeparator" w:id="0">
    <w:p w14:paraId="336FFFA9" w14:textId="77777777" w:rsidR="00F9187E" w:rsidRDefault="00F9187E">
      <w:r>
        <w:continuationSeparator/>
      </w:r>
    </w:p>
    <w:p w14:paraId="6AAFC00C" w14:textId="77777777" w:rsidR="00F9187E" w:rsidRDefault="00F9187E"/>
  </w:endnote>
  <w:endnote w:type="continuationNotice" w:id="1">
    <w:p w14:paraId="63F5FF99" w14:textId="77777777" w:rsidR="00F9187E" w:rsidRDefault="00F91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AAAD" w14:textId="77777777" w:rsidR="005858D5" w:rsidRDefault="00585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EC5C" w14:textId="77777777" w:rsidR="00E261B3" w:rsidRPr="00F65AA9" w:rsidRDefault="00242378" w:rsidP="00EF2C72">
    <w:pPr>
      <w:pStyle w:val="Footer"/>
    </w:pPr>
    <w:r>
      <w:rPr>
        <w:noProof/>
        <w:lang w:eastAsia="en-AU"/>
      </w:rPr>
      <w:drawing>
        <wp:anchor distT="0" distB="0" distL="114300" distR="114300" simplePos="0" relativeHeight="251661824" behindDoc="1" locked="1" layoutInCell="1" allowOverlap="1" wp14:anchorId="5C1F65F0" wp14:editId="3B96913D">
          <wp:simplePos x="539750" y="9290050"/>
          <wp:positionH relativeFrom="page">
            <wp:align>right</wp:align>
          </wp:positionH>
          <wp:positionV relativeFrom="page">
            <wp:align>bottom</wp:align>
          </wp:positionV>
          <wp:extent cx="7560000" cy="1008000"/>
          <wp:effectExtent l="0" t="0" r="3175" b="1905"/>
          <wp:wrapNone/>
          <wp:docPr id="8" name="Picture 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680" behindDoc="0" locked="0" layoutInCell="0" allowOverlap="1" wp14:anchorId="1A4E9DF7" wp14:editId="550EC72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E9DF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ABE3" w14:textId="77777777" w:rsidR="00E261B3" w:rsidRDefault="00E261B3">
    <w:pPr>
      <w:pStyle w:val="Footer"/>
    </w:pPr>
    <w:r>
      <w:rPr>
        <w:noProof/>
      </w:rPr>
      <mc:AlternateContent>
        <mc:Choice Requires="wps">
          <w:drawing>
            <wp:anchor distT="0" distB="0" distL="114300" distR="114300" simplePos="0" relativeHeight="251658752" behindDoc="0" locked="0" layoutInCell="0" allowOverlap="1" wp14:anchorId="32FBD6E6" wp14:editId="02700F5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FBD6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A8A0" w14:textId="77777777" w:rsidR="00F9187E" w:rsidRDefault="00F9187E" w:rsidP="00207717">
      <w:pPr>
        <w:spacing w:before="120"/>
      </w:pPr>
      <w:r>
        <w:separator/>
      </w:r>
    </w:p>
  </w:footnote>
  <w:footnote w:type="continuationSeparator" w:id="0">
    <w:p w14:paraId="3AA37C50" w14:textId="77777777" w:rsidR="00F9187E" w:rsidRDefault="00F9187E">
      <w:r>
        <w:continuationSeparator/>
      </w:r>
    </w:p>
    <w:p w14:paraId="2CE4D6EA" w14:textId="77777777" w:rsidR="00F9187E" w:rsidRDefault="00F9187E"/>
  </w:footnote>
  <w:footnote w:type="continuationNotice" w:id="1">
    <w:p w14:paraId="726610BC" w14:textId="77777777" w:rsidR="00F9187E" w:rsidRDefault="00F91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5E2" w14:textId="77777777" w:rsidR="005858D5" w:rsidRDefault="00585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3E11"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F3D8" w14:textId="77777777" w:rsidR="005858D5" w:rsidRDefault="00585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B33" w14:textId="7B91AEDD" w:rsidR="00E261B3" w:rsidRPr="0051568D" w:rsidRDefault="00DB55C3" w:rsidP="0017674D">
    <w:pPr>
      <w:pStyle w:val="Header"/>
    </w:pPr>
    <w:r>
      <w:rPr>
        <w:noProof/>
      </w:rPr>
      <w:drawing>
        <wp:anchor distT="0" distB="0" distL="114300" distR="114300" simplePos="0" relativeHeight="251658243" behindDoc="1" locked="1" layoutInCell="1" allowOverlap="1" wp14:anchorId="2008877F" wp14:editId="0242CA4A">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B5BA6">
      <w:t>Victorian Youth Congress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998C2314"/>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ED25E0"/>
    <w:multiLevelType w:val="multilevel"/>
    <w:tmpl w:val="998C2314"/>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6991A63"/>
    <w:multiLevelType w:val="multilevel"/>
    <w:tmpl w:val="11A8AD02"/>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E3B63CD"/>
    <w:multiLevelType w:val="hybridMultilevel"/>
    <w:tmpl w:val="9C783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8"/>
  </w:num>
  <w:num w:numId="3">
    <w:abstractNumId w:val="7"/>
  </w:num>
  <w:num w:numId="4">
    <w:abstractNumId w:val="9"/>
  </w:num>
  <w:num w:numId="5">
    <w:abstractNumId w:val="4"/>
  </w:num>
  <w:num w:numId="6">
    <w:abstractNumId w:val="1"/>
  </w:num>
  <w:num w:numId="7">
    <w:abstractNumId w:val="0"/>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lvlOverride w:ilvl="0">
      <w:lvl w:ilvl="0">
        <w:start w:val="1"/>
        <w:numFmt w:val="bullet"/>
        <w:pStyle w:val="Bullet1"/>
        <w:lvlText w:val="•"/>
        <w:lvlJc w:val="left"/>
        <w:pPr>
          <w:ind w:left="284" w:hanging="284"/>
        </w:pPr>
        <w:rPr>
          <w:rFonts w:ascii="Calibri" w:hAnsi="Calibri" w:hint="default"/>
        </w:rPr>
      </w:lvl>
    </w:lvlOverride>
    <w:lvlOverride w:ilvl="1">
      <w:lvl w:ilvl="1">
        <w:start w:val="1"/>
        <w:numFmt w:val="bullet"/>
        <w:lvlRestart w:val="0"/>
        <w:pStyle w:val="Bullet2"/>
        <w:lvlText w:val="–"/>
        <w:lvlJc w:val="left"/>
        <w:pPr>
          <w:ind w:left="567" w:hanging="283"/>
        </w:pPr>
        <w:rPr>
          <w:rFonts w:ascii="Calibri" w:hAnsi="Calibri" w:hint="default"/>
        </w:rPr>
      </w:lvl>
    </w:lvlOverride>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1341"/>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18F"/>
    <w:rsid w:val="00120BD3"/>
    <w:rsid w:val="00122FEA"/>
    <w:rsid w:val="001232BD"/>
    <w:rsid w:val="00124ED5"/>
    <w:rsid w:val="001276FA"/>
    <w:rsid w:val="001447B3"/>
    <w:rsid w:val="00152073"/>
    <w:rsid w:val="00155964"/>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870"/>
    <w:rsid w:val="001A1950"/>
    <w:rsid w:val="001A1C54"/>
    <w:rsid w:val="001A202A"/>
    <w:rsid w:val="001A3ACE"/>
    <w:rsid w:val="001A6BA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CCF"/>
    <w:rsid w:val="001F3826"/>
    <w:rsid w:val="001F6E46"/>
    <w:rsid w:val="001F7C91"/>
    <w:rsid w:val="002033B7"/>
    <w:rsid w:val="00203AF4"/>
    <w:rsid w:val="00206463"/>
    <w:rsid w:val="00206F2F"/>
    <w:rsid w:val="00207717"/>
    <w:rsid w:val="0021053D"/>
    <w:rsid w:val="00210A92"/>
    <w:rsid w:val="002139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3A86"/>
    <w:rsid w:val="00314054"/>
    <w:rsid w:val="00316885"/>
    <w:rsid w:val="00316F27"/>
    <w:rsid w:val="003214F1"/>
    <w:rsid w:val="00322E4B"/>
    <w:rsid w:val="00327870"/>
    <w:rsid w:val="0033259D"/>
    <w:rsid w:val="003333D2"/>
    <w:rsid w:val="00333973"/>
    <w:rsid w:val="003346A3"/>
    <w:rsid w:val="00337339"/>
    <w:rsid w:val="003406C6"/>
    <w:rsid w:val="003418CC"/>
    <w:rsid w:val="003459BD"/>
    <w:rsid w:val="00350D38"/>
    <w:rsid w:val="00351B36"/>
    <w:rsid w:val="00357B4E"/>
    <w:rsid w:val="003716FD"/>
    <w:rsid w:val="003719B8"/>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283"/>
    <w:rsid w:val="00431806"/>
    <w:rsid w:val="00437AC5"/>
    <w:rsid w:val="00442C6C"/>
    <w:rsid w:val="00443CBE"/>
    <w:rsid w:val="00443E8A"/>
    <w:rsid w:val="004441BC"/>
    <w:rsid w:val="004468B4"/>
    <w:rsid w:val="00451663"/>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654C"/>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14D"/>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3702"/>
    <w:rsid w:val="00572031"/>
    <w:rsid w:val="00572264"/>
    <w:rsid w:val="00572282"/>
    <w:rsid w:val="00573CE3"/>
    <w:rsid w:val="00576E84"/>
    <w:rsid w:val="00580394"/>
    <w:rsid w:val="005809CD"/>
    <w:rsid w:val="00582B8C"/>
    <w:rsid w:val="005858D5"/>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703"/>
    <w:rsid w:val="006235F9"/>
    <w:rsid w:val="0062408D"/>
    <w:rsid w:val="006240CC"/>
    <w:rsid w:val="00624940"/>
    <w:rsid w:val="006254F8"/>
    <w:rsid w:val="00627DA7"/>
    <w:rsid w:val="00630DA4"/>
    <w:rsid w:val="00631CD4"/>
    <w:rsid w:val="00632597"/>
    <w:rsid w:val="00634D13"/>
    <w:rsid w:val="006358B4"/>
    <w:rsid w:val="006376E8"/>
    <w:rsid w:val="00641724"/>
    <w:rsid w:val="006419AA"/>
    <w:rsid w:val="00643CCA"/>
    <w:rsid w:val="00644B1F"/>
    <w:rsid w:val="00644B7E"/>
    <w:rsid w:val="006454E6"/>
    <w:rsid w:val="00646235"/>
    <w:rsid w:val="00646A68"/>
    <w:rsid w:val="006505BD"/>
    <w:rsid w:val="006508EA"/>
    <w:rsid w:val="0065092E"/>
    <w:rsid w:val="00653BD8"/>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B5D"/>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128C"/>
    <w:rsid w:val="00763139"/>
    <w:rsid w:val="00765A82"/>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99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09E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5661"/>
    <w:rsid w:val="009B0A6F"/>
    <w:rsid w:val="009B0A94"/>
    <w:rsid w:val="009B2AE8"/>
    <w:rsid w:val="009B5622"/>
    <w:rsid w:val="009B59E9"/>
    <w:rsid w:val="009B70AA"/>
    <w:rsid w:val="009C1CB1"/>
    <w:rsid w:val="009C5E77"/>
    <w:rsid w:val="009C7A7E"/>
    <w:rsid w:val="009D02E8"/>
    <w:rsid w:val="009D34D2"/>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A701A"/>
    <w:rsid w:val="00AB06E8"/>
    <w:rsid w:val="00AB1CD3"/>
    <w:rsid w:val="00AB352F"/>
    <w:rsid w:val="00AC274B"/>
    <w:rsid w:val="00AC4764"/>
    <w:rsid w:val="00AC6D36"/>
    <w:rsid w:val="00AD0CBA"/>
    <w:rsid w:val="00AD192E"/>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0D8A"/>
    <w:rsid w:val="00C61174"/>
    <w:rsid w:val="00C6148F"/>
    <w:rsid w:val="00C621B1"/>
    <w:rsid w:val="00C62F7A"/>
    <w:rsid w:val="00C63B9C"/>
    <w:rsid w:val="00C6682F"/>
    <w:rsid w:val="00C67BF4"/>
    <w:rsid w:val="00C7275E"/>
    <w:rsid w:val="00C74C5D"/>
    <w:rsid w:val="00C777C8"/>
    <w:rsid w:val="00C863C4"/>
    <w:rsid w:val="00C920EA"/>
    <w:rsid w:val="00C93C3E"/>
    <w:rsid w:val="00CA12E3"/>
    <w:rsid w:val="00CA1476"/>
    <w:rsid w:val="00CA6611"/>
    <w:rsid w:val="00CA6AE6"/>
    <w:rsid w:val="00CA782F"/>
    <w:rsid w:val="00CB04AA"/>
    <w:rsid w:val="00CB187B"/>
    <w:rsid w:val="00CB2835"/>
    <w:rsid w:val="00CB3285"/>
    <w:rsid w:val="00CB4500"/>
    <w:rsid w:val="00CB5BA6"/>
    <w:rsid w:val="00CC0C72"/>
    <w:rsid w:val="00CC2BFD"/>
    <w:rsid w:val="00CD3476"/>
    <w:rsid w:val="00CD64DF"/>
    <w:rsid w:val="00CE225F"/>
    <w:rsid w:val="00CE7BDC"/>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76FD6"/>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5CF6"/>
    <w:rsid w:val="00DF68C7"/>
    <w:rsid w:val="00DF731A"/>
    <w:rsid w:val="00E0523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34B"/>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87E"/>
    <w:rsid w:val="00F938BA"/>
    <w:rsid w:val="00F97919"/>
    <w:rsid w:val="00FA2C46"/>
    <w:rsid w:val="00FA3525"/>
    <w:rsid w:val="00FA5A53"/>
    <w:rsid w:val="00FB3501"/>
    <w:rsid w:val="00FB4769"/>
    <w:rsid w:val="00FB4CDA"/>
    <w:rsid w:val="00FB6481"/>
    <w:rsid w:val="00FB6D36"/>
    <w:rsid w:val="00FC0965"/>
    <w:rsid w:val="00FC0F81"/>
    <w:rsid w:val="00FC252F"/>
    <w:rsid w:val="00FC2582"/>
    <w:rsid w:val="00FC395C"/>
    <w:rsid w:val="00FC5E8E"/>
    <w:rsid w:val="00FD1C77"/>
    <w:rsid w:val="00FD3766"/>
    <w:rsid w:val="00FD47C4"/>
    <w:rsid w:val="00FD4FE9"/>
    <w:rsid w:val="00FE2DCF"/>
    <w:rsid w:val="00FE3FA7"/>
    <w:rsid w:val="00FF2A4E"/>
    <w:rsid w:val="00FF2FCE"/>
    <w:rsid w:val="00FF4F7D"/>
    <w:rsid w:val="00FF6D9D"/>
    <w:rsid w:val="00FF7DD5"/>
    <w:rsid w:val="50BC65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72"/>
    <w:semiHidden/>
    <w:qFormat/>
    <w:rsid w:val="00637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217546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sl.org.au/services/youth/better-futures/" TargetMode="External"/><Relationship Id="rId3" Type="http://schemas.openxmlformats.org/officeDocument/2006/relationships/customXml" Target="../customXml/item3.xml"/><Relationship Id="rId21" Type="http://schemas.openxmlformats.org/officeDocument/2006/relationships/hyperlink" Target="https://providers.dffh.vic.gov.au/young-vo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mmunity%20Services%20Quality%20and%20Safety%20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E7SBkQtFvX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d15de6485535cf1ae964c5a6675b4d2">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47f63ccc0c93e8a4f6f1ac844adfea6a"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DFB9D68-428E-4B10-8EB3-F386D3A7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07D0D-99DD-4977-B24D-AB86DB77D37C}">
  <ds:schemaRefs>
    <ds:schemaRef ds:uri="http://schemas.microsoft.com/sharepoint/v3/contenttype/forms"/>
  </ds:schemaRefs>
</ds:datastoreItem>
</file>

<file path=customXml/itemProps4.xml><?xml version="1.0" encoding="utf-8"?>
<ds:datastoreItem xmlns:ds="http://schemas.openxmlformats.org/officeDocument/2006/customXml" ds:itemID="{E48EFE86-CB79-4947-85E3-C1D6B90A2B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Better Futures Practice Development Training</vt:lpstr>
    </vt:vector>
  </TitlesOfParts>
  <Company/>
  <LinksUpToDate>false</LinksUpToDate>
  <CharactersWithSpaces>4682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Futures Practice Development Training</dc:title>
  <dc:subject/>
  <dc:creator/>
  <cp:keywords/>
  <cp:lastModifiedBy/>
  <cp:revision>1</cp:revision>
  <dcterms:created xsi:type="dcterms:W3CDTF">2022-06-15T01:49:00Z</dcterms:created>
  <dcterms:modified xsi:type="dcterms:W3CDTF">2022-06-15T23:11:00Z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0x0101002034AE7E069AEE4FB0313CB30B42D859</vt:lpwstr>
  </property>
  <property fmtid="{D5CDD505-2E9C-101B-9397-08002B2CF9AE}" pid="3" name="MSIP_Label_43e64453-338c-4f93-8a4d-0039a0a41f2a_Enabled">
    <vt:lpwstr>true</vt:lpwstr>
  </property>
  <property fmtid="{D5CDD505-2E9C-101B-9397-08002B2CF9AE}" pid="4" name="MSIP_Label_43e64453-338c-4f93-8a4d-0039a0a41f2a_SetDate">
    <vt:lpwstr>2022-06-15T23:11:50Z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c95600e3-0bdd-40b8-94d7-7edd6eabccbd</vt:lpwstr>
  </property>
  <property fmtid="{D5CDD505-2E9C-101B-9397-08002B2CF9AE}" pid="9" name="MSIP_Label_43e64453-338c-4f93-8a4d-0039a0a41f2a_ContentBits">
    <vt:lpwstr>2</vt:lpwstr>
  </property>
</Properties>
</file>