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04B6C" w14:textId="7E79418B" w:rsidR="008B565E" w:rsidRPr="00EB12ED" w:rsidRDefault="00C92639" w:rsidP="002C0CE7">
      <w:pPr>
        <w:pStyle w:val="Title"/>
        <w:rPr>
          <w:rStyle w:val="SubtitleChar"/>
          <w:rFonts w:eastAsiaTheme="majorEastAsia"/>
          <w:b w:val="0"/>
          <w:sz w:val="72"/>
          <w:szCs w:val="72"/>
        </w:rPr>
      </w:pPr>
      <w:r w:rsidRPr="00EB12ED">
        <w:rPr>
          <w:sz w:val="72"/>
          <w:szCs w:val="72"/>
        </w:rPr>
        <w:t>Rental</w:t>
      </w:r>
      <w:r w:rsidR="003270AD" w:rsidRPr="00EB12ED">
        <w:rPr>
          <w:sz w:val="72"/>
          <w:szCs w:val="72"/>
        </w:rPr>
        <w:t xml:space="preserve">, </w:t>
      </w:r>
      <w:r w:rsidR="00B21ED5" w:rsidRPr="00EB12ED">
        <w:rPr>
          <w:sz w:val="72"/>
          <w:szCs w:val="72"/>
        </w:rPr>
        <w:t>H</w:t>
      </w:r>
      <w:r w:rsidRPr="00EB12ED">
        <w:rPr>
          <w:sz w:val="72"/>
          <w:szCs w:val="72"/>
        </w:rPr>
        <w:t xml:space="preserve">iring and </w:t>
      </w:r>
      <w:r w:rsidR="00B21ED5" w:rsidRPr="00EB12ED">
        <w:rPr>
          <w:sz w:val="72"/>
          <w:szCs w:val="72"/>
        </w:rPr>
        <w:br/>
        <w:t>R</w:t>
      </w:r>
      <w:r w:rsidRPr="00EB12ED">
        <w:rPr>
          <w:sz w:val="72"/>
          <w:szCs w:val="72"/>
        </w:rPr>
        <w:t xml:space="preserve">eal </w:t>
      </w:r>
      <w:r w:rsidR="00B21ED5" w:rsidRPr="00EB12ED">
        <w:rPr>
          <w:sz w:val="72"/>
          <w:szCs w:val="72"/>
        </w:rPr>
        <w:t>E</w:t>
      </w:r>
      <w:r w:rsidRPr="00EB12ED">
        <w:rPr>
          <w:sz w:val="72"/>
          <w:szCs w:val="72"/>
        </w:rPr>
        <w:t xml:space="preserve">state </w:t>
      </w:r>
      <w:r w:rsidR="00B21ED5" w:rsidRPr="00EB12ED">
        <w:rPr>
          <w:sz w:val="72"/>
          <w:szCs w:val="72"/>
        </w:rPr>
        <w:t>S</w:t>
      </w:r>
      <w:r w:rsidRPr="00EB12ED">
        <w:rPr>
          <w:sz w:val="72"/>
          <w:szCs w:val="72"/>
        </w:rPr>
        <w:t>ervices</w:t>
      </w:r>
      <w:r w:rsidR="008B565E" w:rsidRPr="00EB12ED">
        <w:rPr>
          <w:sz w:val="72"/>
          <w:szCs w:val="72"/>
        </w:rPr>
        <w:t xml:space="preserve"> </w:t>
      </w:r>
      <w:r w:rsidR="00B21ED5" w:rsidRPr="00EB12ED">
        <w:rPr>
          <w:sz w:val="72"/>
          <w:szCs w:val="72"/>
        </w:rPr>
        <w:br/>
        <w:t>I</w:t>
      </w:r>
      <w:r w:rsidR="008B565E" w:rsidRPr="00EB12ED">
        <w:rPr>
          <w:sz w:val="72"/>
          <w:szCs w:val="72"/>
        </w:rPr>
        <w:t xml:space="preserve">ndustry </w:t>
      </w:r>
      <w:r w:rsidR="00B21ED5" w:rsidRPr="00EB12ED">
        <w:rPr>
          <w:sz w:val="72"/>
          <w:szCs w:val="72"/>
        </w:rPr>
        <w:t>I</w:t>
      </w:r>
      <w:r w:rsidR="00B54768" w:rsidRPr="00EB12ED">
        <w:rPr>
          <w:sz w:val="72"/>
          <w:szCs w:val="72"/>
        </w:rPr>
        <w:t>nsight</w:t>
      </w:r>
      <w:r w:rsidR="008B565E" w:rsidRPr="00EB12ED">
        <w:rPr>
          <w:sz w:val="72"/>
          <w:szCs w:val="72"/>
        </w:rPr>
        <w:t xml:space="preserve"> </w:t>
      </w:r>
    </w:p>
    <w:p w14:paraId="4D1326AC" w14:textId="2792C733" w:rsidR="002627EF" w:rsidRPr="00FB6B6F" w:rsidRDefault="002627EF" w:rsidP="00B259EA">
      <w:pPr>
        <w:rPr>
          <w:color w:val="000000" w:themeColor="text1"/>
        </w:rPr>
        <w:sectPr w:rsidR="002627EF" w:rsidRPr="00FB6B6F" w:rsidSect="00743D90">
          <w:headerReference w:type="default" r:id="rId11"/>
          <w:footerReference w:type="even" r:id="rId12"/>
          <w:footerReference w:type="default" r:id="rId13"/>
          <w:pgSz w:w="11900" w:h="16840"/>
          <w:pgMar w:top="7088" w:right="1418" w:bottom="1701" w:left="1418" w:header="709" w:footer="709" w:gutter="0"/>
          <w:cols w:space="708"/>
          <w:docGrid w:linePitch="360"/>
        </w:sectPr>
      </w:pPr>
      <w:r w:rsidRPr="00FB6B6F">
        <w:rPr>
          <w:color w:val="000000" w:themeColor="text1"/>
        </w:rPr>
        <w:br/>
      </w:r>
      <w:r w:rsidR="006E0EE6">
        <w:rPr>
          <w:rStyle w:val="DateChar"/>
        </w:rPr>
        <w:t>October</w:t>
      </w:r>
      <w:r w:rsidR="00FB6259">
        <w:rPr>
          <w:rStyle w:val="DateChar"/>
        </w:rPr>
        <w:t xml:space="preserve"> </w:t>
      </w:r>
      <w:r w:rsidR="008B565E">
        <w:rPr>
          <w:rStyle w:val="DateChar"/>
        </w:rPr>
        <w:t>2022</w:t>
      </w:r>
    </w:p>
    <w:p w14:paraId="72BF63C2" w14:textId="77777777" w:rsidR="00E66B30" w:rsidRDefault="00E66B30" w:rsidP="00B259EA">
      <w:pPr>
        <w:pStyle w:val="TOCHeading"/>
        <w:rPr>
          <w:lang w:val="en-AU"/>
        </w:rPr>
      </w:pPr>
      <w:r>
        <w:rPr>
          <w:lang w:val="en-AU"/>
        </w:rPr>
        <w:lastRenderedPageBreak/>
        <w:t>Contents</w:t>
      </w:r>
    </w:p>
    <w:p w14:paraId="40438AB5" w14:textId="7BF48C31" w:rsidR="00CF3FAF" w:rsidRPr="00661BD5" w:rsidRDefault="00F85278" w:rsidP="00CB645B">
      <w:pPr>
        <w:pStyle w:val="TOC1"/>
        <w:rPr>
          <w:rFonts w:asciiTheme="minorHAnsi" w:eastAsiaTheme="minorEastAsia" w:hAnsiTheme="minorHAnsi"/>
          <w:b w:val="0"/>
          <w:bCs/>
          <w:noProof/>
          <w:sz w:val="22"/>
          <w:szCs w:val="22"/>
          <w:lang w:val="en-AU" w:eastAsia="en-AU"/>
        </w:rPr>
      </w:pPr>
      <w:r w:rsidRPr="00CF3FAF">
        <w:rPr>
          <w:lang w:val="en-AU"/>
        </w:rPr>
        <w:fldChar w:fldCharType="begin"/>
      </w:r>
      <w:r w:rsidRPr="00CF3FAF">
        <w:rPr>
          <w:lang w:val="en-AU"/>
        </w:rPr>
        <w:instrText xml:space="preserve"> TOC \o "1-2" \h \z \u \t "Heading 8,1" </w:instrText>
      </w:r>
      <w:r w:rsidRPr="00CF3FAF">
        <w:rPr>
          <w:lang w:val="en-AU"/>
        </w:rPr>
        <w:fldChar w:fldCharType="separate"/>
      </w:r>
      <w:hyperlink w:anchor="_Toc111118552" w:history="1">
        <w:r w:rsidR="00CF3FAF" w:rsidRPr="00661BD5">
          <w:rPr>
            <w:rStyle w:val="Hyperlink"/>
            <w:b w:val="0"/>
            <w:bCs/>
            <w:noProof/>
          </w:rPr>
          <w:t>Introduction</w:t>
        </w:r>
        <w:r w:rsidR="00CF3FAF" w:rsidRPr="00661BD5">
          <w:rPr>
            <w:b w:val="0"/>
            <w:bCs/>
            <w:noProof/>
            <w:webHidden/>
          </w:rPr>
          <w:tab/>
        </w:r>
        <w:r w:rsidR="00CF3FAF" w:rsidRPr="00661BD5">
          <w:rPr>
            <w:b w:val="0"/>
            <w:bCs/>
            <w:noProof/>
            <w:webHidden/>
          </w:rPr>
          <w:fldChar w:fldCharType="begin"/>
        </w:r>
        <w:r w:rsidR="00CF3FAF" w:rsidRPr="00661BD5">
          <w:rPr>
            <w:b w:val="0"/>
            <w:bCs/>
            <w:noProof/>
            <w:webHidden/>
          </w:rPr>
          <w:instrText xml:space="preserve"> PAGEREF _Toc111118552 \h </w:instrText>
        </w:r>
        <w:r w:rsidR="00CF3FAF" w:rsidRPr="00661BD5">
          <w:rPr>
            <w:b w:val="0"/>
            <w:bCs/>
            <w:noProof/>
            <w:webHidden/>
          </w:rPr>
        </w:r>
        <w:r w:rsidR="00CF3FAF" w:rsidRPr="00661BD5">
          <w:rPr>
            <w:b w:val="0"/>
            <w:bCs/>
            <w:noProof/>
            <w:webHidden/>
          </w:rPr>
          <w:fldChar w:fldCharType="separate"/>
        </w:r>
        <w:r w:rsidR="00A849BD">
          <w:rPr>
            <w:b w:val="0"/>
            <w:bCs/>
            <w:noProof/>
            <w:webHidden/>
          </w:rPr>
          <w:t>3</w:t>
        </w:r>
        <w:r w:rsidR="00CF3FAF" w:rsidRPr="00661BD5">
          <w:rPr>
            <w:b w:val="0"/>
            <w:bCs/>
            <w:noProof/>
            <w:webHidden/>
          </w:rPr>
          <w:fldChar w:fldCharType="end"/>
        </w:r>
      </w:hyperlink>
    </w:p>
    <w:p w14:paraId="7A2D2A0D" w14:textId="3C0E5EB2" w:rsidR="00CF3FAF" w:rsidRPr="00661BD5" w:rsidRDefault="00A849BD" w:rsidP="00CB645B">
      <w:pPr>
        <w:pStyle w:val="TOC1"/>
        <w:rPr>
          <w:rFonts w:asciiTheme="minorHAnsi" w:eastAsiaTheme="minorEastAsia" w:hAnsiTheme="minorHAnsi"/>
          <w:b w:val="0"/>
          <w:bCs/>
          <w:noProof/>
          <w:sz w:val="22"/>
          <w:szCs w:val="22"/>
          <w:lang w:val="en-AU" w:eastAsia="en-AU"/>
        </w:rPr>
      </w:pPr>
      <w:hyperlink w:anchor="_Toc111118553" w:history="1">
        <w:r w:rsidR="00CF3FAF" w:rsidRPr="00661BD5">
          <w:rPr>
            <w:rStyle w:val="Hyperlink"/>
            <w:b w:val="0"/>
            <w:bCs/>
            <w:noProof/>
          </w:rPr>
          <w:t>Report coverage</w:t>
        </w:r>
        <w:r w:rsidR="00CF3FAF" w:rsidRPr="00661BD5">
          <w:rPr>
            <w:b w:val="0"/>
            <w:bCs/>
            <w:noProof/>
            <w:webHidden/>
          </w:rPr>
          <w:tab/>
        </w:r>
        <w:r w:rsidR="00CF3FAF" w:rsidRPr="00661BD5">
          <w:rPr>
            <w:b w:val="0"/>
            <w:bCs/>
            <w:noProof/>
            <w:webHidden/>
          </w:rPr>
          <w:fldChar w:fldCharType="begin"/>
        </w:r>
        <w:r w:rsidR="00CF3FAF" w:rsidRPr="00661BD5">
          <w:rPr>
            <w:b w:val="0"/>
            <w:bCs/>
            <w:noProof/>
            <w:webHidden/>
          </w:rPr>
          <w:instrText xml:space="preserve"> PAGEREF _Toc111118553 \h </w:instrText>
        </w:r>
        <w:r w:rsidR="00CF3FAF" w:rsidRPr="00661BD5">
          <w:rPr>
            <w:b w:val="0"/>
            <w:bCs/>
            <w:noProof/>
            <w:webHidden/>
          </w:rPr>
        </w:r>
        <w:r w:rsidR="00CF3FAF" w:rsidRPr="00661BD5">
          <w:rPr>
            <w:b w:val="0"/>
            <w:bCs/>
            <w:noProof/>
            <w:webHidden/>
          </w:rPr>
          <w:fldChar w:fldCharType="separate"/>
        </w:r>
        <w:r>
          <w:rPr>
            <w:b w:val="0"/>
            <w:bCs/>
            <w:noProof/>
            <w:webHidden/>
          </w:rPr>
          <w:t>5</w:t>
        </w:r>
        <w:r w:rsidR="00CF3FAF" w:rsidRPr="00661BD5">
          <w:rPr>
            <w:b w:val="0"/>
            <w:bCs/>
            <w:noProof/>
            <w:webHidden/>
          </w:rPr>
          <w:fldChar w:fldCharType="end"/>
        </w:r>
      </w:hyperlink>
    </w:p>
    <w:p w14:paraId="31B32EEF" w14:textId="275745B3" w:rsidR="00CF3FAF" w:rsidRPr="00661BD5" w:rsidRDefault="00A849BD" w:rsidP="00CB645B">
      <w:pPr>
        <w:pStyle w:val="TOC1"/>
        <w:rPr>
          <w:rFonts w:asciiTheme="minorHAnsi" w:eastAsiaTheme="minorEastAsia" w:hAnsiTheme="minorHAnsi"/>
          <w:b w:val="0"/>
          <w:bCs/>
          <w:noProof/>
          <w:sz w:val="22"/>
          <w:szCs w:val="22"/>
          <w:lang w:val="en-AU" w:eastAsia="en-AU"/>
        </w:rPr>
      </w:pPr>
      <w:hyperlink w:anchor="_Toc111118554" w:history="1">
        <w:r w:rsidR="00CF3FAF" w:rsidRPr="00661BD5">
          <w:rPr>
            <w:rStyle w:val="Hyperlink"/>
            <w:b w:val="0"/>
            <w:bCs/>
            <w:noProof/>
            <w:lang w:eastAsia="en-AU"/>
          </w:rPr>
          <w:t>Executive summary</w:t>
        </w:r>
        <w:r w:rsidR="00CF3FAF" w:rsidRPr="00661BD5">
          <w:rPr>
            <w:b w:val="0"/>
            <w:bCs/>
            <w:noProof/>
            <w:webHidden/>
          </w:rPr>
          <w:tab/>
        </w:r>
        <w:r w:rsidR="00CF3FAF" w:rsidRPr="00661BD5">
          <w:rPr>
            <w:b w:val="0"/>
            <w:bCs/>
            <w:noProof/>
            <w:webHidden/>
          </w:rPr>
          <w:fldChar w:fldCharType="begin"/>
        </w:r>
        <w:r w:rsidR="00CF3FAF" w:rsidRPr="00661BD5">
          <w:rPr>
            <w:b w:val="0"/>
            <w:bCs/>
            <w:noProof/>
            <w:webHidden/>
          </w:rPr>
          <w:instrText xml:space="preserve"> PAGEREF _Toc111118554 \h </w:instrText>
        </w:r>
        <w:r w:rsidR="00CF3FAF" w:rsidRPr="00661BD5">
          <w:rPr>
            <w:b w:val="0"/>
            <w:bCs/>
            <w:noProof/>
            <w:webHidden/>
          </w:rPr>
        </w:r>
        <w:r w:rsidR="00CF3FAF" w:rsidRPr="00661BD5">
          <w:rPr>
            <w:b w:val="0"/>
            <w:bCs/>
            <w:noProof/>
            <w:webHidden/>
          </w:rPr>
          <w:fldChar w:fldCharType="separate"/>
        </w:r>
        <w:r>
          <w:rPr>
            <w:b w:val="0"/>
            <w:bCs/>
            <w:noProof/>
            <w:webHidden/>
          </w:rPr>
          <w:t>6</w:t>
        </w:r>
        <w:r w:rsidR="00CF3FAF" w:rsidRPr="00661BD5">
          <w:rPr>
            <w:b w:val="0"/>
            <w:bCs/>
            <w:noProof/>
            <w:webHidden/>
          </w:rPr>
          <w:fldChar w:fldCharType="end"/>
        </w:r>
      </w:hyperlink>
    </w:p>
    <w:p w14:paraId="421C4431" w14:textId="43ED2DD9" w:rsidR="00CF3FAF" w:rsidRPr="00661BD5" w:rsidRDefault="00A849BD" w:rsidP="00CB645B">
      <w:pPr>
        <w:pStyle w:val="TOC1"/>
        <w:rPr>
          <w:rFonts w:asciiTheme="minorHAnsi" w:eastAsiaTheme="minorEastAsia" w:hAnsiTheme="minorHAnsi"/>
          <w:b w:val="0"/>
          <w:bCs/>
          <w:noProof/>
          <w:sz w:val="22"/>
          <w:szCs w:val="22"/>
          <w:lang w:val="en-AU" w:eastAsia="en-AU"/>
        </w:rPr>
      </w:pPr>
      <w:hyperlink w:anchor="_Toc111118555" w:history="1">
        <w:r w:rsidR="00CF3FAF" w:rsidRPr="00661BD5">
          <w:rPr>
            <w:rStyle w:val="Hyperlink"/>
            <w:b w:val="0"/>
            <w:bCs/>
            <w:noProof/>
          </w:rPr>
          <w:t>Industry outlook</w:t>
        </w:r>
        <w:r w:rsidR="00CF3FAF" w:rsidRPr="00661BD5">
          <w:rPr>
            <w:b w:val="0"/>
            <w:bCs/>
            <w:noProof/>
            <w:webHidden/>
          </w:rPr>
          <w:tab/>
        </w:r>
        <w:r w:rsidR="00CF3FAF" w:rsidRPr="00661BD5">
          <w:rPr>
            <w:b w:val="0"/>
            <w:bCs/>
            <w:noProof/>
            <w:webHidden/>
          </w:rPr>
          <w:fldChar w:fldCharType="begin"/>
        </w:r>
        <w:r w:rsidR="00CF3FAF" w:rsidRPr="00661BD5">
          <w:rPr>
            <w:b w:val="0"/>
            <w:bCs/>
            <w:noProof/>
            <w:webHidden/>
          </w:rPr>
          <w:instrText xml:space="preserve"> PAGEREF _Toc111118555 \h </w:instrText>
        </w:r>
        <w:r w:rsidR="00CF3FAF" w:rsidRPr="00661BD5">
          <w:rPr>
            <w:b w:val="0"/>
            <w:bCs/>
            <w:noProof/>
            <w:webHidden/>
          </w:rPr>
        </w:r>
        <w:r w:rsidR="00CF3FAF" w:rsidRPr="00661BD5">
          <w:rPr>
            <w:b w:val="0"/>
            <w:bCs/>
            <w:noProof/>
            <w:webHidden/>
          </w:rPr>
          <w:fldChar w:fldCharType="separate"/>
        </w:r>
        <w:r>
          <w:rPr>
            <w:b w:val="0"/>
            <w:bCs/>
            <w:noProof/>
            <w:webHidden/>
          </w:rPr>
          <w:t>9</w:t>
        </w:r>
        <w:r w:rsidR="00CF3FAF" w:rsidRPr="00661BD5">
          <w:rPr>
            <w:b w:val="0"/>
            <w:bCs/>
            <w:noProof/>
            <w:webHidden/>
          </w:rPr>
          <w:fldChar w:fldCharType="end"/>
        </w:r>
      </w:hyperlink>
    </w:p>
    <w:p w14:paraId="0B16E1DF" w14:textId="4B59D065" w:rsidR="00CF3FAF" w:rsidRPr="00661BD5" w:rsidRDefault="00A849BD" w:rsidP="00CB645B">
      <w:pPr>
        <w:pStyle w:val="TOC1"/>
        <w:rPr>
          <w:rFonts w:asciiTheme="minorHAnsi" w:eastAsiaTheme="minorEastAsia" w:hAnsiTheme="minorHAnsi"/>
          <w:b w:val="0"/>
          <w:bCs/>
          <w:noProof/>
          <w:sz w:val="22"/>
          <w:szCs w:val="22"/>
          <w:lang w:val="en-AU" w:eastAsia="en-AU"/>
        </w:rPr>
      </w:pPr>
      <w:hyperlink w:anchor="_Toc111118558" w:history="1">
        <w:r w:rsidR="00CF3FAF" w:rsidRPr="00661BD5">
          <w:rPr>
            <w:rStyle w:val="Hyperlink"/>
            <w:b w:val="0"/>
            <w:bCs/>
            <w:noProof/>
          </w:rPr>
          <w:t>Workforce and skilling implications</w:t>
        </w:r>
        <w:r w:rsidR="00CF3FAF" w:rsidRPr="00661BD5">
          <w:rPr>
            <w:b w:val="0"/>
            <w:bCs/>
            <w:noProof/>
            <w:webHidden/>
          </w:rPr>
          <w:tab/>
        </w:r>
        <w:r w:rsidR="00CF3FAF" w:rsidRPr="00661BD5">
          <w:rPr>
            <w:b w:val="0"/>
            <w:bCs/>
            <w:noProof/>
            <w:webHidden/>
          </w:rPr>
          <w:fldChar w:fldCharType="begin"/>
        </w:r>
        <w:r w:rsidR="00CF3FAF" w:rsidRPr="00661BD5">
          <w:rPr>
            <w:b w:val="0"/>
            <w:bCs/>
            <w:noProof/>
            <w:webHidden/>
          </w:rPr>
          <w:instrText xml:space="preserve"> PAGEREF _Toc111118558 \h </w:instrText>
        </w:r>
        <w:r w:rsidR="00CF3FAF" w:rsidRPr="00661BD5">
          <w:rPr>
            <w:b w:val="0"/>
            <w:bCs/>
            <w:noProof/>
            <w:webHidden/>
          </w:rPr>
        </w:r>
        <w:r w:rsidR="00CF3FAF" w:rsidRPr="00661BD5">
          <w:rPr>
            <w:b w:val="0"/>
            <w:bCs/>
            <w:noProof/>
            <w:webHidden/>
          </w:rPr>
          <w:fldChar w:fldCharType="separate"/>
        </w:r>
        <w:r>
          <w:rPr>
            <w:b w:val="0"/>
            <w:bCs/>
            <w:noProof/>
            <w:webHidden/>
          </w:rPr>
          <w:t>14</w:t>
        </w:r>
        <w:r w:rsidR="00CF3FAF" w:rsidRPr="00661BD5">
          <w:rPr>
            <w:b w:val="0"/>
            <w:bCs/>
            <w:noProof/>
            <w:webHidden/>
          </w:rPr>
          <w:fldChar w:fldCharType="end"/>
        </w:r>
      </w:hyperlink>
    </w:p>
    <w:p w14:paraId="2CA75E28" w14:textId="39B16D64" w:rsidR="00CF3FAF" w:rsidRPr="00661BD5" w:rsidRDefault="00A849BD" w:rsidP="00CB645B">
      <w:pPr>
        <w:pStyle w:val="TOC1"/>
        <w:rPr>
          <w:rFonts w:asciiTheme="minorHAnsi" w:eastAsiaTheme="minorEastAsia" w:hAnsiTheme="minorHAnsi"/>
          <w:b w:val="0"/>
          <w:bCs/>
          <w:noProof/>
          <w:sz w:val="22"/>
          <w:szCs w:val="22"/>
          <w:lang w:val="en-AU" w:eastAsia="en-AU"/>
        </w:rPr>
      </w:pPr>
      <w:hyperlink w:anchor="_Toc111118561" w:history="1">
        <w:r w:rsidR="00CF3FAF" w:rsidRPr="00661BD5">
          <w:rPr>
            <w:rStyle w:val="Hyperlink"/>
            <w:b w:val="0"/>
            <w:bCs/>
            <w:noProof/>
          </w:rPr>
          <w:t>Education and training pipeline</w:t>
        </w:r>
        <w:r w:rsidR="00CF3FAF" w:rsidRPr="00661BD5">
          <w:rPr>
            <w:b w:val="0"/>
            <w:bCs/>
            <w:noProof/>
            <w:webHidden/>
          </w:rPr>
          <w:tab/>
        </w:r>
        <w:r w:rsidR="00CF3FAF" w:rsidRPr="00661BD5">
          <w:rPr>
            <w:b w:val="0"/>
            <w:bCs/>
            <w:noProof/>
            <w:webHidden/>
          </w:rPr>
          <w:fldChar w:fldCharType="begin"/>
        </w:r>
        <w:r w:rsidR="00CF3FAF" w:rsidRPr="00661BD5">
          <w:rPr>
            <w:b w:val="0"/>
            <w:bCs/>
            <w:noProof/>
            <w:webHidden/>
          </w:rPr>
          <w:instrText xml:space="preserve"> PAGEREF _Toc111118561 \h </w:instrText>
        </w:r>
        <w:r w:rsidR="00CF3FAF" w:rsidRPr="00661BD5">
          <w:rPr>
            <w:b w:val="0"/>
            <w:bCs/>
            <w:noProof/>
            <w:webHidden/>
          </w:rPr>
        </w:r>
        <w:r w:rsidR="00CF3FAF" w:rsidRPr="00661BD5">
          <w:rPr>
            <w:b w:val="0"/>
            <w:bCs/>
            <w:noProof/>
            <w:webHidden/>
          </w:rPr>
          <w:fldChar w:fldCharType="separate"/>
        </w:r>
        <w:r>
          <w:rPr>
            <w:b w:val="0"/>
            <w:bCs/>
            <w:noProof/>
            <w:webHidden/>
          </w:rPr>
          <w:t>17</w:t>
        </w:r>
        <w:r w:rsidR="00CF3FAF" w:rsidRPr="00661BD5">
          <w:rPr>
            <w:b w:val="0"/>
            <w:bCs/>
            <w:noProof/>
            <w:webHidden/>
          </w:rPr>
          <w:fldChar w:fldCharType="end"/>
        </w:r>
      </w:hyperlink>
    </w:p>
    <w:p w14:paraId="15E8F308" w14:textId="1C822044" w:rsidR="00CF3FAF" w:rsidRPr="00661BD5" w:rsidRDefault="00A849BD" w:rsidP="00CB645B">
      <w:pPr>
        <w:pStyle w:val="TOC1"/>
        <w:rPr>
          <w:rFonts w:asciiTheme="minorHAnsi" w:eastAsiaTheme="minorEastAsia" w:hAnsiTheme="minorHAnsi"/>
          <w:b w:val="0"/>
          <w:bCs/>
          <w:noProof/>
          <w:sz w:val="22"/>
          <w:szCs w:val="22"/>
          <w:lang w:val="en-AU" w:eastAsia="en-AU"/>
        </w:rPr>
      </w:pPr>
      <w:hyperlink w:anchor="_Toc111118564" w:history="1">
        <w:r w:rsidR="00CF3FAF" w:rsidRPr="00661BD5">
          <w:rPr>
            <w:rStyle w:val="Hyperlink"/>
            <w:b w:val="0"/>
            <w:bCs/>
            <w:noProof/>
          </w:rPr>
          <w:t>Workforce priorities</w:t>
        </w:r>
        <w:r w:rsidR="00CF3FAF" w:rsidRPr="00661BD5">
          <w:rPr>
            <w:b w:val="0"/>
            <w:bCs/>
            <w:noProof/>
            <w:webHidden/>
          </w:rPr>
          <w:tab/>
        </w:r>
        <w:r w:rsidR="00CF3FAF" w:rsidRPr="00661BD5">
          <w:rPr>
            <w:b w:val="0"/>
            <w:bCs/>
            <w:noProof/>
            <w:webHidden/>
          </w:rPr>
          <w:fldChar w:fldCharType="begin"/>
        </w:r>
        <w:r w:rsidR="00CF3FAF" w:rsidRPr="00661BD5">
          <w:rPr>
            <w:b w:val="0"/>
            <w:bCs/>
            <w:noProof/>
            <w:webHidden/>
          </w:rPr>
          <w:instrText xml:space="preserve"> PAGEREF _Toc111118564 \h </w:instrText>
        </w:r>
        <w:r w:rsidR="00CF3FAF" w:rsidRPr="00661BD5">
          <w:rPr>
            <w:b w:val="0"/>
            <w:bCs/>
            <w:noProof/>
            <w:webHidden/>
          </w:rPr>
        </w:r>
        <w:r w:rsidR="00CF3FAF" w:rsidRPr="00661BD5">
          <w:rPr>
            <w:b w:val="0"/>
            <w:bCs/>
            <w:noProof/>
            <w:webHidden/>
          </w:rPr>
          <w:fldChar w:fldCharType="separate"/>
        </w:r>
        <w:r>
          <w:rPr>
            <w:b w:val="0"/>
            <w:bCs/>
            <w:noProof/>
            <w:webHidden/>
          </w:rPr>
          <w:t>20</w:t>
        </w:r>
        <w:r w:rsidR="00CF3FAF" w:rsidRPr="00661BD5">
          <w:rPr>
            <w:b w:val="0"/>
            <w:bCs/>
            <w:noProof/>
            <w:webHidden/>
          </w:rPr>
          <w:fldChar w:fldCharType="end"/>
        </w:r>
      </w:hyperlink>
    </w:p>
    <w:p w14:paraId="7C0CD519" w14:textId="1F80E813" w:rsidR="00CF3FAF" w:rsidRPr="00661BD5" w:rsidRDefault="00A849BD" w:rsidP="00CB645B">
      <w:pPr>
        <w:pStyle w:val="TOC1"/>
        <w:rPr>
          <w:rFonts w:asciiTheme="minorHAnsi" w:eastAsiaTheme="minorEastAsia" w:hAnsiTheme="minorHAnsi"/>
          <w:b w:val="0"/>
          <w:bCs/>
          <w:noProof/>
          <w:sz w:val="22"/>
          <w:szCs w:val="22"/>
          <w:lang w:val="en-AU" w:eastAsia="en-AU"/>
        </w:rPr>
      </w:pPr>
      <w:hyperlink w:anchor="_Toc111118566" w:history="1">
        <w:r w:rsidR="00CF3FAF" w:rsidRPr="00661BD5">
          <w:rPr>
            <w:rStyle w:val="Hyperlink"/>
            <w:b w:val="0"/>
            <w:bCs/>
            <w:noProof/>
            <w:lang w:val="en-AU"/>
          </w:rPr>
          <w:t>Collaborative response</w:t>
        </w:r>
        <w:r w:rsidR="00CF3FAF" w:rsidRPr="00661BD5">
          <w:rPr>
            <w:b w:val="0"/>
            <w:bCs/>
            <w:noProof/>
            <w:webHidden/>
          </w:rPr>
          <w:tab/>
        </w:r>
        <w:r w:rsidR="00CF3FAF" w:rsidRPr="00661BD5">
          <w:rPr>
            <w:b w:val="0"/>
            <w:bCs/>
            <w:noProof/>
            <w:webHidden/>
          </w:rPr>
          <w:fldChar w:fldCharType="begin"/>
        </w:r>
        <w:r w:rsidR="00CF3FAF" w:rsidRPr="00661BD5">
          <w:rPr>
            <w:b w:val="0"/>
            <w:bCs/>
            <w:noProof/>
            <w:webHidden/>
          </w:rPr>
          <w:instrText xml:space="preserve"> PAGEREF _Toc111118566 \h </w:instrText>
        </w:r>
        <w:r w:rsidR="00CF3FAF" w:rsidRPr="00661BD5">
          <w:rPr>
            <w:b w:val="0"/>
            <w:bCs/>
            <w:noProof/>
            <w:webHidden/>
          </w:rPr>
        </w:r>
        <w:r w:rsidR="00CF3FAF" w:rsidRPr="00661BD5">
          <w:rPr>
            <w:b w:val="0"/>
            <w:bCs/>
            <w:noProof/>
            <w:webHidden/>
          </w:rPr>
          <w:fldChar w:fldCharType="separate"/>
        </w:r>
        <w:r>
          <w:rPr>
            <w:b w:val="0"/>
            <w:bCs/>
            <w:noProof/>
            <w:webHidden/>
          </w:rPr>
          <w:t>22</w:t>
        </w:r>
        <w:r w:rsidR="00CF3FAF" w:rsidRPr="00661BD5">
          <w:rPr>
            <w:b w:val="0"/>
            <w:bCs/>
            <w:noProof/>
            <w:webHidden/>
          </w:rPr>
          <w:fldChar w:fldCharType="end"/>
        </w:r>
      </w:hyperlink>
    </w:p>
    <w:p w14:paraId="09E05057" w14:textId="6311DE61" w:rsidR="00CF3FAF" w:rsidRPr="00661BD5" w:rsidRDefault="00A849BD" w:rsidP="00CB645B">
      <w:pPr>
        <w:pStyle w:val="TOC1"/>
        <w:rPr>
          <w:rFonts w:asciiTheme="minorHAnsi" w:eastAsiaTheme="minorEastAsia" w:hAnsiTheme="minorHAnsi"/>
          <w:b w:val="0"/>
          <w:bCs/>
          <w:noProof/>
          <w:sz w:val="22"/>
          <w:szCs w:val="22"/>
          <w:lang w:val="en-AU" w:eastAsia="en-AU"/>
        </w:rPr>
      </w:pPr>
      <w:hyperlink w:anchor="_Toc111118569" w:history="1">
        <w:r w:rsidR="00CF3FAF" w:rsidRPr="00661BD5">
          <w:rPr>
            <w:rStyle w:val="Hyperlink"/>
            <w:b w:val="0"/>
            <w:bCs/>
            <w:noProof/>
            <w:lang w:val="en-AU" w:eastAsia="en-AU"/>
          </w:rPr>
          <w:t>Appendix A: Data methodology</w:t>
        </w:r>
        <w:r w:rsidR="00CF3FAF" w:rsidRPr="00661BD5">
          <w:rPr>
            <w:b w:val="0"/>
            <w:bCs/>
            <w:noProof/>
            <w:webHidden/>
          </w:rPr>
          <w:tab/>
        </w:r>
        <w:r w:rsidR="00CF3FAF" w:rsidRPr="00661BD5">
          <w:rPr>
            <w:b w:val="0"/>
            <w:bCs/>
            <w:noProof/>
            <w:webHidden/>
          </w:rPr>
          <w:fldChar w:fldCharType="begin"/>
        </w:r>
        <w:r w:rsidR="00CF3FAF" w:rsidRPr="00661BD5">
          <w:rPr>
            <w:b w:val="0"/>
            <w:bCs/>
            <w:noProof/>
            <w:webHidden/>
          </w:rPr>
          <w:instrText xml:space="preserve"> PAGEREF _Toc111118569 \h </w:instrText>
        </w:r>
        <w:r w:rsidR="00CF3FAF" w:rsidRPr="00661BD5">
          <w:rPr>
            <w:b w:val="0"/>
            <w:bCs/>
            <w:noProof/>
            <w:webHidden/>
          </w:rPr>
        </w:r>
        <w:r w:rsidR="00CF3FAF" w:rsidRPr="00661BD5">
          <w:rPr>
            <w:b w:val="0"/>
            <w:bCs/>
            <w:noProof/>
            <w:webHidden/>
          </w:rPr>
          <w:fldChar w:fldCharType="separate"/>
        </w:r>
        <w:r>
          <w:rPr>
            <w:b w:val="0"/>
            <w:bCs/>
            <w:noProof/>
            <w:webHidden/>
          </w:rPr>
          <w:t>24</w:t>
        </w:r>
        <w:r w:rsidR="00CF3FAF" w:rsidRPr="00661BD5">
          <w:rPr>
            <w:b w:val="0"/>
            <w:bCs/>
            <w:noProof/>
            <w:webHidden/>
          </w:rPr>
          <w:fldChar w:fldCharType="end"/>
        </w:r>
      </w:hyperlink>
    </w:p>
    <w:p w14:paraId="4FC900E3" w14:textId="04D31A43" w:rsidR="00CF3FAF" w:rsidRPr="00661BD5" w:rsidRDefault="00A849BD" w:rsidP="00CB645B">
      <w:pPr>
        <w:pStyle w:val="TOC1"/>
        <w:rPr>
          <w:rFonts w:asciiTheme="minorHAnsi" w:eastAsiaTheme="minorEastAsia" w:hAnsiTheme="minorHAnsi"/>
          <w:b w:val="0"/>
          <w:bCs/>
          <w:noProof/>
          <w:sz w:val="22"/>
          <w:szCs w:val="22"/>
          <w:lang w:val="en-AU" w:eastAsia="en-AU"/>
        </w:rPr>
      </w:pPr>
      <w:hyperlink w:anchor="_Toc111118572" w:history="1">
        <w:r w:rsidR="00CF3FAF" w:rsidRPr="00661BD5">
          <w:rPr>
            <w:rStyle w:val="Hyperlink"/>
            <w:b w:val="0"/>
            <w:bCs/>
            <w:noProof/>
            <w:lang w:val="en-AU"/>
          </w:rPr>
          <w:t>Appendix B: Victorian VET pipeline methodology</w:t>
        </w:r>
        <w:r w:rsidR="00CF3FAF" w:rsidRPr="00661BD5">
          <w:rPr>
            <w:b w:val="0"/>
            <w:bCs/>
            <w:noProof/>
            <w:webHidden/>
          </w:rPr>
          <w:tab/>
        </w:r>
        <w:r w:rsidR="00CF3FAF" w:rsidRPr="00661BD5">
          <w:rPr>
            <w:b w:val="0"/>
            <w:bCs/>
            <w:noProof/>
            <w:webHidden/>
          </w:rPr>
          <w:fldChar w:fldCharType="begin"/>
        </w:r>
        <w:r w:rsidR="00CF3FAF" w:rsidRPr="00661BD5">
          <w:rPr>
            <w:b w:val="0"/>
            <w:bCs/>
            <w:noProof/>
            <w:webHidden/>
          </w:rPr>
          <w:instrText xml:space="preserve"> PAGEREF _Toc111118572 \h </w:instrText>
        </w:r>
        <w:r w:rsidR="00CF3FAF" w:rsidRPr="00661BD5">
          <w:rPr>
            <w:b w:val="0"/>
            <w:bCs/>
            <w:noProof/>
            <w:webHidden/>
          </w:rPr>
        </w:r>
        <w:r w:rsidR="00CF3FAF" w:rsidRPr="00661BD5">
          <w:rPr>
            <w:b w:val="0"/>
            <w:bCs/>
            <w:noProof/>
            <w:webHidden/>
          </w:rPr>
          <w:fldChar w:fldCharType="separate"/>
        </w:r>
        <w:r>
          <w:rPr>
            <w:b w:val="0"/>
            <w:bCs/>
            <w:noProof/>
            <w:webHidden/>
          </w:rPr>
          <w:t>27</w:t>
        </w:r>
        <w:r w:rsidR="00CF3FAF" w:rsidRPr="00661BD5">
          <w:rPr>
            <w:b w:val="0"/>
            <w:bCs/>
            <w:noProof/>
            <w:webHidden/>
          </w:rPr>
          <w:fldChar w:fldCharType="end"/>
        </w:r>
      </w:hyperlink>
    </w:p>
    <w:p w14:paraId="7B96347A" w14:textId="2B150347" w:rsidR="00CF3FAF" w:rsidRPr="00661BD5" w:rsidRDefault="00A849BD" w:rsidP="00CB645B">
      <w:pPr>
        <w:pStyle w:val="TOC1"/>
        <w:rPr>
          <w:rFonts w:asciiTheme="minorHAnsi" w:eastAsiaTheme="minorEastAsia" w:hAnsiTheme="minorHAnsi"/>
          <w:b w:val="0"/>
          <w:bCs/>
          <w:noProof/>
          <w:sz w:val="22"/>
          <w:szCs w:val="22"/>
          <w:lang w:val="en-AU" w:eastAsia="en-AU"/>
        </w:rPr>
      </w:pPr>
      <w:hyperlink w:anchor="_Toc111118574" w:history="1">
        <w:r w:rsidR="00CF3FAF" w:rsidRPr="00661BD5">
          <w:rPr>
            <w:rStyle w:val="Hyperlink"/>
            <w:b w:val="0"/>
            <w:bCs/>
            <w:noProof/>
          </w:rPr>
          <w:t>Appendix C: Stakeholder engagement process</w:t>
        </w:r>
        <w:r w:rsidR="00CF3FAF" w:rsidRPr="00661BD5">
          <w:rPr>
            <w:b w:val="0"/>
            <w:bCs/>
            <w:noProof/>
            <w:webHidden/>
          </w:rPr>
          <w:tab/>
        </w:r>
        <w:r w:rsidR="00CF3FAF" w:rsidRPr="00661BD5">
          <w:rPr>
            <w:b w:val="0"/>
            <w:bCs/>
            <w:noProof/>
            <w:webHidden/>
          </w:rPr>
          <w:fldChar w:fldCharType="begin"/>
        </w:r>
        <w:r w:rsidR="00CF3FAF" w:rsidRPr="00661BD5">
          <w:rPr>
            <w:b w:val="0"/>
            <w:bCs/>
            <w:noProof/>
            <w:webHidden/>
          </w:rPr>
          <w:instrText xml:space="preserve"> PAGEREF _Toc111118574 \h </w:instrText>
        </w:r>
        <w:r w:rsidR="00CF3FAF" w:rsidRPr="00661BD5">
          <w:rPr>
            <w:b w:val="0"/>
            <w:bCs/>
            <w:noProof/>
            <w:webHidden/>
          </w:rPr>
        </w:r>
        <w:r w:rsidR="00CF3FAF" w:rsidRPr="00661BD5">
          <w:rPr>
            <w:b w:val="0"/>
            <w:bCs/>
            <w:noProof/>
            <w:webHidden/>
          </w:rPr>
          <w:fldChar w:fldCharType="separate"/>
        </w:r>
        <w:r>
          <w:rPr>
            <w:b w:val="0"/>
            <w:bCs/>
            <w:noProof/>
            <w:webHidden/>
          </w:rPr>
          <w:t>28</w:t>
        </w:r>
        <w:r w:rsidR="00CF3FAF" w:rsidRPr="00661BD5">
          <w:rPr>
            <w:b w:val="0"/>
            <w:bCs/>
            <w:noProof/>
            <w:webHidden/>
          </w:rPr>
          <w:fldChar w:fldCharType="end"/>
        </w:r>
      </w:hyperlink>
    </w:p>
    <w:p w14:paraId="4C6823AE" w14:textId="081D6495" w:rsidR="00CF3FAF" w:rsidRPr="00CF3FAF" w:rsidRDefault="00A849BD" w:rsidP="00CB645B">
      <w:pPr>
        <w:pStyle w:val="TOC1"/>
        <w:rPr>
          <w:rFonts w:asciiTheme="minorHAnsi" w:eastAsiaTheme="minorEastAsia" w:hAnsiTheme="minorHAnsi"/>
          <w:noProof/>
          <w:sz w:val="22"/>
          <w:szCs w:val="22"/>
          <w:lang w:val="en-AU" w:eastAsia="en-AU"/>
        </w:rPr>
      </w:pPr>
      <w:hyperlink w:anchor="_Toc111118575" w:history="1">
        <w:r w:rsidR="00CF3FAF" w:rsidRPr="00661BD5">
          <w:rPr>
            <w:rStyle w:val="Hyperlink"/>
            <w:b w:val="0"/>
            <w:bCs/>
            <w:noProof/>
            <w:lang w:val="en-AU"/>
          </w:rPr>
          <w:t>References</w:t>
        </w:r>
        <w:r w:rsidR="00CF3FAF" w:rsidRPr="00661BD5">
          <w:rPr>
            <w:b w:val="0"/>
            <w:bCs/>
            <w:noProof/>
            <w:webHidden/>
          </w:rPr>
          <w:tab/>
        </w:r>
        <w:r w:rsidR="00CF3FAF" w:rsidRPr="00661BD5">
          <w:rPr>
            <w:b w:val="0"/>
            <w:bCs/>
            <w:noProof/>
            <w:webHidden/>
          </w:rPr>
          <w:fldChar w:fldCharType="begin"/>
        </w:r>
        <w:r w:rsidR="00CF3FAF" w:rsidRPr="00661BD5">
          <w:rPr>
            <w:b w:val="0"/>
            <w:bCs/>
            <w:noProof/>
            <w:webHidden/>
          </w:rPr>
          <w:instrText xml:space="preserve"> PAGEREF _Toc111118575 \h </w:instrText>
        </w:r>
        <w:r w:rsidR="00CF3FAF" w:rsidRPr="00661BD5">
          <w:rPr>
            <w:b w:val="0"/>
            <w:bCs/>
            <w:noProof/>
            <w:webHidden/>
          </w:rPr>
        </w:r>
        <w:r w:rsidR="00CF3FAF" w:rsidRPr="00661BD5">
          <w:rPr>
            <w:b w:val="0"/>
            <w:bCs/>
            <w:noProof/>
            <w:webHidden/>
          </w:rPr>
          <w:fldChar w:fldCharType="separate"/>
        </w:r>
        <w:r>
          <w:rPr>
            <w:b w:val="0"/>
            <w:bCs/>
            <w:noProof/>
            <w:webHidden/>
          </w:rPr>
          <w:t>29</w:t>
        </w:r>
        <w:r w:rsidR="00CF3FAF" w:rsidRPr="00661BD5">
          <w:rPr>
            <w:b w:val="0"/>
            <w:bCs/>
            <w:noProof/>
            <w:webHidden/>
          </w:rPr>
          <w:fldChar w:fldCharType="end"/>
        </w:r>
      </w:hyperlink>
    </w:p>
    <w:p w14:paraId="3B688A40" w14:textId="4B63025F" w:rsidR="00E66B30" w:rsidRPr="00E66B30" w:rsidRDefault="00F85278" w:rsidP="00B259EA">
      <w:pPr>
        <w:rPr>
          <w:lang w:val="en-AU"/>
        </w:rPr>
      </w:pPr>
      <w:r w:rsidRPr="00CF3FAF">
        <w:rPr>
          <w:lang w:val="en-AU"/>
        </w:rPr>
        <w:fldChar w:fldCharType="end"/>
      </w:r>
    </w:p>
    <w:p w14:paraId="6C3F368D" w14:textId="364004FC" w:rsidR="00B3582F" w:rsidRDefault="00B3582F" w:rsidP="00B3582F">
      <w:pPr>
        <w:pStyle w:val="Heading1"/>
      </w:pPr>
      <w:bookmarkStart w:id="1" w:name="_Toc111118552"/>
      <w:r w:rsidRPr="005C1956">
        <w:lastRenderedPageBreak/>
        <w:t>Introduction</w:t>
      </w:r>
      <w:bookmarkEnd w:id="1"/>
    </w:p>
    <w:p w14:paraId="372635FE" w14:textId="412C88A8" w:rsidR="00871C74" w:rsidRPr="00B61DEC" w:rsidRDefault="00871C74" w:rsidP="00871C74">
      <w:pPr>
        <w:spacing w:line="240" w:lineRule="auto"/>
        <w:rPr>
          <w:color w:val="000000" w:themeColor="text1"/>
          <w:szCs w:val="20"/>
          <w:lang w:eastAsia="en-AU"/>
        </w:rPr>
      </w:pPr>
      <w:r w:rsidRPr="00B61DEC">
        <w:rPr>
          <w:color w:val="000000" w:themeColor="text1"/>
          <w:szCs w:val="20"/>
          <w:lang w:eastAsia="en-AU"/>
        </w:rPr>
        <w:t xml:space="preserve">This report on the </w:t>
      </w:r>
      <w:r>
        <w:rPr>
          <w:lang w:eastAsia="en-AU"/>
        </w:rPr>
        <w:t xml:space="preserve">Rental, Hiring and Real Estate Services </w:t>
      </w:r>
      <w:r w:rsidRPr="00B61DEC">
        <w:rPr>
          <w:color w:val="000000" w:themeColor="text1"/>
          <w:szCs w:val="20"/>
          <w:lang w:eastAsia="en-AU"/>
        </w:rPr>
        <w:t xml:space="preserve">industry forms part of the 2022 Victorian Skills Plan and outlines demand for occupations, education and training directed to meeting the demand and current workforce issues facing the industry. </w:t>
      </w:r>
    </w:p>
    <w:p w14:paraId="4FF23561" w14:textId="77777777" w:rsidR="00871C74" w:rsidRPr="00B61DEC" w:rsidRDefault="00871C74" w:rsidP="00871C74">
      <w:pPr>
        <w:spacing w:line="240" w:lineRule="auto"/>
        <w:rPr>
          <w:color w:val="000000" w:themeColor="text1"/>
          <w:szCs w:val="20"/>
          <w:lang w:eastAsia="en-AU"/>
        </w:rPr>
      </w:pPr>
      <w:r w:rsidRPr="00B61DEC">
        <w:rPr>
          <w:color w:val="000000" w:themeColor="text1"/>
          <w:szCs w:val="20"/>
          <w:lang w:eastAsia="en-AU"/>
        </w:rPr>
        <w:t xml:space="preserve">This report has been prepared by the Victorian Skills Authority (VSA). The VSA was formed in July 2021 in response to the review </w:t>
      </w:r>
      <w:r w:rsidRPr="00BA32C4">
        <w:rPr>
          <w:b/>
          <w:bCs/>
          <w:iCs/>
          <w:color w:val="000000" w:themeColor="text1"/>
          <w:szCs w:val="20"/>
          <w:lang w:eastAsia="en-AU"/>
        </w:rPr>
        <w:t>Future Skills for Victoria: Driving collaboration and innovation in post-secondary education and training</w:t>
      </w:r>
      <w:r w:rsidRPr="00B61DEC">
        <w:rPr>
          <w:color w:val="000000" w:themeColor="text1"/>
          <w:szCs w:val="20"/>
          <w:lang w:eastAsia="en-AU"/>
        </w:rPr>
        <w:t xml:space="preserve"> (known as the Macklin Review). The VSA is charged with preparing an annual Victorian Skills Plan (the Skills Plan) to guide decision-making on skills and training, by the Government, education and training providers, industry and communities.</w:t>
      </w:r>
    </w:p>
    <w:p w14:paraId="70D5022E" w14:textId="77777777" w:rsidR="00E92F44" w:rsidRPr="00FA5A34" w:rsidRDefault="00E92F44" w:rsidP="00E92F44">
      <w:pPr>
        <w:pStyle w:val="Heading4"/>
        <w:tabs>
          <w:tab w:val="clear" w:pos="0"/>
        </w:tabs>
      </w:pPr>
      <w:r w:rsidRPr="00FA5A34">
        <w:t>The Victorian Skills Plan</w:t>
      </w:r>
    </w:p>
    <w:p w14:paraId="36C18FEE" w14:textId="77777777" w:rsidR="00E92F44" w:rsidRPr="00FA5A34" w:rsidRDefault="00E92F44" w:rsidP="00E92F44">
      <w:pPr>
        <w:rPr>
          <w:lang w:eastAsia="en-AU"/>
        </w:rPr>
      </w:pPr>
      <w:r w:rsidRPr="00FA5A34">
        <w:rPr>
          <w:lang w:eastAsia="en-AU"/>
        </w:rPr>
        <w:t xml:space="preserve">The annual Skills Plan sets out Victoria’s skills needs for 2022 to 2025 by drawing on data, evidence and insights from a range of system-wide and local sources. </w:t>
      </w:r>
    </w:p>
    <w:p w14:paraId="3ABB629F" w14:textId="77777777" w:rsidR="00E92F44" w:rsidRPr="00FA5A34" w:rsidRDefault="00E92F44" w:rsidP="00E92F44">
      <w:pPr>
        <w:rPr>
          <w:lang w:eastAsia="en-AU"/>
        </w:rPr>
      </w:pPr>
      <w:r>
        <w:rPr>
          <w:lang w:eastAsia="en-AU"/>
        </w:rPr>
        <w:t>The</w:t>
      </w:r>
      <w:r w:rsidRPr="00FA5A34">
        <w:rPr>
          <w:lang w:eastAsia="en-AU"/>
        </w:rPr>
        <w:t xml:space="preserve"> Government in conjunction with industry, communities and education and training partners brings collaborative action through the Skills Plan which:</w:t>
      </w:r>
    </w:p>
    <w:p w14:paraId="41C33A57" w14:textId="77777777" w:rsidR="00E92F44" w:rsidRPr="00FA5A34" w:rsidRDefault="00E92F44" w:rsidP="00E92F44">
      <w:pPr>
        <w:pStyle w:val="NormalTablesListBullet"/>
        <w:rPr>
          <w:lang w:eastAsia="en-AU"/>
        </w:rPr>
      </w:pPr>
      <w:r>
        <w:rPr>
          <w:b/>
          <w:lang w:eastAsia="en-AU"/>
        </w:rPr>
        <w:t>d</w:t>
      </w:r>
      <w:r w:rsidRPr="00FA5A34">
        <w:rPr>
          <w:b/>
          <w:lang w:eastAsia="en-AU"/>
        </w:rPr>
        <w:t>efines skill needs</w:t>
      </w:r>
      <w:r w:rsidRPr="00FA5A34">
        <w:rPr>
          <w:lang w:eastAsia="en-AU"/>
        </w:rPr>
        <w:t xml:space="preserve"> with clear statements of required skills and capabilities (current and emerging)</w:t>
      </w:r>
    </w:p>
    <w:p w14:paraId="79A1E781" w14:textId="77777777" w:rsidR="00E92F44" w:rsidRPr="00FA5A34" w:rsidRDefault="00E92F44" w:rsidP="00E92F44">
      <w:pPr>
        <w:pStyle w:val="NormalTablesListBullet"/>
        <w:rPr>
          <w:lang w:eastAsia="en-AU"/>
        </w:rPr>
      </w:pPr>
      <w:r>
        <w:rPr>
          <w:b/>
          <w:lang w:eastAsia="en-AU"/>
        </w:rPr>
        <w:t>s</w:t>
      </w:r>
      <w:r w:rsidRPr="00FA5A34">
        <w:rPr>
          <w:b/>
          <w:lang w:eastAsia="en-AU"/>
        </w:rPr>
        <w:t>ets priorities</w:t>
      </w:r>
      <w:r w:rsidRPr="00FA5A34">
        <w:rPr>
          <w:lang w:eastAsia="en-AU"/>
        </w:rPr>
        <w:t xml:space="preserve"> for post-school education and training in Victoria</w:t>
      </w:r>
    </w:p>
    <w:p w14:paraId="533B4024" w14:textId="77777777" w:rsidR="00E92F44" w:rsidRPr="00FA5A34" w:rsidRDefault="00E92F44" w:rsidP="00E92F44">
      <w:pPr>
        <w:pStyle w:val="NormalTablesListBullet"/>
        <w:rPr>
          <w:lang w:eastAsia="en-AU"/>
        </w:rPr>
      </w:pPr>
      <w:r>
        <w:rPr>
          <w:b/>
          <w:lang w:eastAsia="en-AU"/>
        </w:rPr>
        <w:t>c</w:t>
      </w:r>
      <w:r w:rsidRPr="00FA5A34">
        <w:rPr>
          <w:b/>
          <w:lang w:eastAsia="en-AU"/>
        </w:rPr>
        <w:t>ommunicates to the community</w:t>
      </w:r>
      <w:r w:rsidRPr="00FA5A34">
        <w:rPr>
          <w:lang w:eastAsia="en-AU"/>
        </w:rPr>
        <w:t xml:space="preserve"> the opportunities education and training can provide to offer careers for individuals that also meet the workforce needs of industry</w:t>
      </w:r>
    </w:p>
    <w:p w14:paraId="23187DB8" w14:textId="77777777" w:rsidR="00E92F44" w:rsidRPr="00FA5A34" w:rsidRDefault="00E92F44" w:rsidP="00E92F44">
      <w:pPr>
        <w:pStyle w:val="NormalTablesListBullet"/>
        <w:spacing w:after="240"/>
        <w:rPr>
          <w:lang w:eastAsia="en-AU"/>
        </w:rPr>
      </w:pPr>
      <w:r>
        <w:rPr>
          <w:b/>
          <w:lang w:eastAsia="en-AU"/>
        </w:rPr>
        <w:t>a</w:t>
      </w:r>
      <w:r w:rsidRPr="00FA5A34">
        <w:rPr>
          <w:b/>
          <w:lang w:eastAsia="en-AU"/>
        </w:rPr>
        <w:t>ligns action</w:t>
      </w:r>
      <w:r w:rsidRPr="00FA5A34">
        <w:rPr>
          <w:lang w:eastAsia="en-AU"/>
        </w:rPr>
        <w:t xml:space="preserve"> across industry and government to support improved outcomes for all Victorians.</w:t>
      </w:r>
    </w:p>
    <w:p w14:paraId="7D9BD11C" w14:textId="77777777" w:rsidR="00E92F44" w:rsidRPr="00FA5A34" w:rsidRDefault="00E92F44" w:rsidP="00E92F44">
      <w:pPr>
        <w:pStyle w:val="NormalTablesListBullet"/>
        <w:numPr>
          <w:ilvl w:val="0"/>
          <w:numId w:val="0"/>
        </w:numPr>
        <w:rPr>
          <w:rFonts w:eastAsia="Times New Roman" w:cs="Times New Roman"/>
          <w:color w:val="000000" w:themeColor="text1"/>
          <w:szCs w:val="19"/>
          <w:lang w:eastAsia="en-AU"/>
        </w:rPr>
      </w:pPr>
      <w:r w:rsidRPr="00FA5A34">
        <w:rPr>
          <w:rFonts w:eastAsia="Times New Roman" w:cs="Times New Roman"/>
          <w:color w:val="000000" w:themeColor="text1"/>
          <w:szCs w:val="19"/>
          <w:lang w:eastAsia="en-AU"/>
        </w:rPr>
        <w:t>The Skills Plan consists of:</w:t>
      </w:r>
    </w:p>
    <w:p w14:paraId="5DB21422" w14:textId="77777777" w:rsidR="00E92F44" w:rsidRPr="00FA5A34" w:rsidRDefault="00E92F44" w:rsidP="00E92F44">
      <w:pPr>
        <w:pStyle w:val="NormalTablesListBullet"/>
        <w:numPr>
          <w:ilvl w:val="0"/>
          <w:numId w:val="39"/>
        </w:numPr>
        <w:rPr>
          <w:lang w:eastAsia="en-AU"/>
        </w:rPr>
      </w:pPr>
      <w:r>
        <w:rPr>
          <w:lang w:eastAsia="en-AU"/>
        </w:rPr>
        <w:t>a</w:t>
      </w:r>
      <w:r w:rsidRPr="00FA5A34">
        <w:rPr>
          <w:lang w:eastAsia="en-AU"/>
        </w:rPr>
        <w:t xml:space="preserve"> summary report – the Victorian Skills Plan</w:t>
      </w:r>
    </w:p>
    <w:p w14:paraId="13BB4B06" w14:textId="77777777" w:rsidR="00E92F44" w:rsidRPr="00FA5A34" w:rsidRDefault="00E92F44" w:rsidP="00E92F44">
      <w:pPr>
        <w:pStyle w:val="NormalTablesListBullet"/>
        <w:numPr>
          <w:ilvl w:val="0"/>
          <w:numId w:val="39"/>
        </w:numPr>
        <w:rPr>
          <w:lang w:eastAsia="en-AU"/>
        </w:rPr>
      </w:pPr>
      <w:r>
        <w:rPr>
          <w:lang w:eastAsia="en-AU"/>
        </w:rPr>
        <w:t>t</w:t>
      </w:r>
      <w:r w:rsidRPr="00FA5A34">
        <w:rPr>
          <w:lang w:eastAsia="en-AU"/>
        </w:rPr>
        <w:t>he industry needs of the Victorian economy segmented into 13 insight reports, each comprising like industries – of which this report is one</w:t>
      </w:r>
    </w:p>
    <w:p w14:paraId="1339E386" w14:textId="77777777" w:rsidR="00E92F44" w:rsidRPr="00FA5A34" w:rsidRDefault="00E92F44" w:rsidP="00E92F44">
      <w:pPr>
        <w:pStyle w:val="NormalTablesListBullet"/>
        <w:numPr>
          <w:ilvl w:val="0"/>
          <w:numId w:val="39"/>
        </w:numPr>
        <w:rPr>
          <w:lang w:eastAsia="en-AU"/>
        </w:rPr>
      </w:pPr>
      <w:r>
        <w:rPr>
          <w:lang w:eastAsia="en-AU"/>
        </w:rPr>
        <w:t>p</w:t>
      </w:r>
      <w:r w:rsidRPr="00FA5A34">
        <w:rPr>
          <w:lang w:eastAsia="en-AU"/>
        </w:rPr>
        <w:t>rofiles of industry and occupations in the regional areas of Victoria which outline priorities for skills development – either as snapshots or Regional Skills Demand Profiles</w:t>
      </w:r>
    </w:p>
    <w:p w14:paraId="2EDA43F4" w14:textId="77777777" w:rsidR="00E92F44" w:rsidRPr="00FA5A34" w:rsidRDefault="00E92F44" w:rsidP="00E92F44">
      <w:pPr>
        <w:pStyle w:val="NormalTablesListBullet"/>
        <w:numPr>
          <w:ilvl w:val="0"/>
          <w:numId w:val="39"/>
        </w:numPr>
        <w:spacing w:after="240"/>
        <w:ind w:left="357" w:hanging="357"/>
        <w:rPr>
          <w:lang w:eastAsia="en-AU"/>
        </w:rPr>
      </w:pPr>
      <w:r>
        <w:rPr>
          <w:lang w:eastAsia="en-AU"/>
        </w:rPr>
        <w:t>c</w:t>
      </w:r>
      <w:r w:rsidRPr="00FA5A34">
        <w:rPr>
          <w:lang w:eastAsia="en-AU"/>
        </w:rPr>
        <w:t>urrent employment and forecast demand to 2025 across Victoria – a user-driven dashboard</w:t>
      </w:r>
      <w:r>
        <w:rPr>
          <w:lang w:eastAsia="en-AU"/>
        </w:rPr>
        <w:t>.</w:t>
      </w:r>
    </w:p>
    <w:p w14:paraId="066DAAEE" w14:textId="77777777" w:rsidR="00E92F44" w:rsidRPr="00FA5A34" w:rsidRDefault="00E92F44" w:rsidP="00E92F44">
      <w:pPr>
        <w:pStyle w:val="Heading4"/>
        <w:tabs>
          <w:tab w:val="clear" w:pos="0"/>
        </w:tabs>
      </w:pPr>
      <w:r w:rsidRPr="00FA5A34">
        <w:t>About Industry Insight Reports</w:t>
      </w:r>
    </w:p>
    <w:p w14:paraId="38432449" w14:textId="77777777" w:rsidR="00E92F44" w:rsidRPr="00FA5A34" w:rsidRDefault="00E92F44" w:rsidP="00E92F44">
      <w:pPr>
        <w:spacing w:line="240" w:lineRule="auto"/>
        <w:rPr>
          <w:color w:val="000000" w:themeColor="text1"/>
          <w:szCs w:val="20"/>
          <w:lang w:eastAsia="en-AU"/>
        </w:rPr>
      </w:pPr>
      <w:r w:rsidRPr="00FA5A34">
        <w:rPr>
          <w:color w:val="000000" w:themeColor="text1"/>
          <w:szCs w:val="20"/>
          <w:lang w:eastAsia="en-AU"/>
        </w:rPr>
        <w:t>Each industry insight is based on robust research, qualitative and quantitative data collection and analysis and extensive consultation with the Government’s Industry Advisory Groups, partners and stakeholders over a period of six months.  Each report sets out to:</w:t>
      </w:r>
    </w:p>
    <w:p w14:paraId="02D3C45D" w14:textId="77777777" w:rsidR="00E92F44" w:rsidRPr="00FA5A34" w:rsidRDefault="00E92F44" w:rsidP="00E92F44">
      <w:pPr>
        <w:pStyle w:val="NormalTablesListBullet"/>
        <w:rPr>
          <w:lang w:eastAsia="en-AU"/>
        </w:rPr>
      </w:pPr>
      <w:r w:rsidRPr="00FA5A34">
        <w:rPr>
          <w:lang w:eastAsia="en-AU"/>
        </w:rPr>
        <w:t xml:space="preserve">profile the </w:t>
      </w:r>
      <w:r w:rsidRPr="00FA5A34">
        <w:rPr>
          <w:b/>
          <w:bCs/>
          <w:lang w:eastAsia="en-AU"/>
        </w:rPr>
        <w:t>industry</w:t>
      </w:r>
      <w:r w:rsidRPr="00FA5A34">
        <w:rPr>
          <w:lang w:eastAsia="en-AU"/>
        </w:rPr>
        <w:t xml:space="preserve"> </w:t>
      </w:r>
      <w:r w:rsidRPr="00FA5A34">
        <w:rPr>
          <w:b/>
          <w:bCs/>
          <w:lang w:eastAsia="en-AU"/>
        </w:rPr>
        <w:t>outlook</w:t>
      </w:r>
      <w:r w:rsidRPr="00FA5A34">
        <w:rPr>
          <w:lang w:eastAsia="en-AU"/>
        </w:rPr>
        <w:t xml:space="preserve">, </w:t>
      </w:r>
      <w:proofErr w:type="gramStart"/>
      <w:r w:rsidRPr="00FA5A34">
        <w:rPr>
          <w:lang w:eastAsia="en-AU"/>
        </w:rPr>
        <w:t>taking into account</w:t>
      </w:r>
      <w:proofErr w:type="gramEnd"/>
      <w:r w:rsidRPr="00FA5A34">
        <w:rPr>
          <w:lang w:eastAsia="en-AU"/>
        </w:rPr>
        <w:t xml:space="preserve"> sector trends and key drivers of demand</w:t>
      </w:r>
    </w:p>
    <w:p w14:paraId="1120CDF9" w14:textId="77777777" w:rsidR="00E92F44" w:rsidRPr="00FA5A34" w:rsidRDefault="00E92F44" w:rsidP="00E92F44">
      <w:pPr>
        <w:pStyle w:val="NormalTablesListBullet"/>
        <w:rPr>
          <w:lang w:eastAsia="en-AU"/>
        </w:rPr>
      </w:pPr>
      <w:r w:rsidRPr="00FA5A34">
        <w:rPr>
          <w:lang w:eastAsia="en-AU"/>
        </w:rPr>
        <w:t xml:space="preserve">detail the </w:t>
      </w:r>
      <w:r w:rsidRPr="00FA5A34">
        <w:rPr>
          <w:b/>
          <w:bCs/>
          <w:lang w:eastAsia="en-AU"/>
        </w:rPr>
        <w:t>workforce and skilling implications</w:t>
      </w:r>
      <w:r w:rsidRPr="00FA5A34">
        <w:rPr>
          <w:lang w:eastAsia="en-AU"/>
        </w:rPr>
        <w:t xml:space="preserve"> of the industry based on forecasting</w:t>
      </w:r>
    </w:p>
    <w:p w14:paraId="328A870D" w14:textId="77777777" w:rsidR="00E92F44" w:rsidRPr="00FA5A34" w:rsidRDefault="00E92F44" w:rsidP="00E92F44">
      <w:pPr>
        <w:pStyle w:val="NormalTablesListBullet"/>
        <w:rPr>
          <w:lang w:eastAsia="en-AU"/>
        </w:rPr>
      </w:pPr>
      <w:r w:rsidRPr="00FA5A34">
        <w:rPr>
          <w:lang w:eastAsia="en-AU"/>
        </w:rPr>
        <w:t xml:space="preserve">set </w:t>
      </w:r>
      <w:r w:rsidRPr="00FA5A34">
        <w:rPr>
          <w:b/>
          <w:bCs/>
          <w:lang w:eastAsia="en-AU"/>
        </w:rPr>
        <w:t>industry</w:t>
      </w:r>
      <w:r w:rsidRPr="00FA5A34">
        <w:rPr>
          <w:lang w:eastAsia="en-AU"/>
        </w:rPr>
        <w:t xml:space="preserve"> </w:t>
      </w:r>
      <w:r w:rsidRPr="00FA5A34">
        <w:rPr>
          <w:b/>
          <w:bCs/>
          <w:lang w:eastAsia="en-AU"/>
        </w:rPr>
        <w:t>priorities</w:t>
      </w:r>
      <w:r w:rsidRPr="00FA5A34">
        <w:rPr>
          <w:lang w:eastAsia="en-AU"/>
        </w:rPr>
        <w:t xml:space="preserve"> in responding to current and future workforce challenges</w:t>
      </w:r>
    </w:p>
    <w:p w14:paraId="076BD40B" w14:textId="77777777" w:rsidR="00E92F44" w:rsidRPr="00FA5A34" w:rsidRDefault="00E92F44" w:rsidP="00E92F44">
      <w:pPr>
        <w:pStyle w:val="NormalTablesListBullet"/>
        <w:spacing w:after="160"/>
        <w:rPr>
          <w:lang w:eastAsia="en-AU"/>
        </w:rPr>
      </w:pPr>
      <w:r w:rsidRPr="00FA5A34">
        <w:rPr>
          <w:lang w:eastAsia="en-AU"/>
        </w:rPr>
        <w:t xml:space="preserve">provide initial guidance for an </w:t>
      </w:r>
      <w:r w:rsidRPr="00FA5A34">
        <w:rPr>
          <w:b/>
          <w:bCs/>
          <w:lang w:eastAsia="en-AU"/>
        </w:rPr>
        <w:t>education and training response</w:t>
      </w:r>
      <w:r w:rsidRPr="00FA5A34">
        <w:rPr>
          <w:lang w:eastAsia="en-AU"/>
        </w:rPr>
        <w:t xml:space="preserve"> to these challenges.</w:t>
      </w:r>
    </w:p>
    <w:p w14:paraId="4EB26710" w14:textId="77777777" w:rsidR="00E92F44" w:rsidRPr="00FA5A34" w:rsidRDefault="00E92F44" w:rsidP="00E92F44">
      <w:pPr>
        <w:rPr>
          <w:lang w:eastAsia="en-AU"/>
        </w:rPr>
      </w:pPr>
      <w:r w:rsidRPr="00FA5A34">
        <w:rPr>
          <w:lang w:eastAsia="en-AU"/>
        </w:rPr>
        <w:t xml:space="preserve">The industries reflected in each report are defined according to their classification within </w:t>
      </w:r>
      <w:r w:rsidRPr="00BA32C4">
        <w:rPr>
          <w:b/>
          <w:bCs/>
          <w:lang w:eastAsia="en-AU"/>
        </w:rPr>
        <w:t>1292.0 - Australian and New Zealand Standard Industrial Classification (ANZSIC) 2006</w:t>
      </w:r>
      <w:r w:rsidRPr="00FA5A34">
        <w:rPr>
          <w:lang w:eastAsia="en-AU"/>
        </w:rPr>
        <w:t xml:space="preserve">, prepared by the Australian Bureau of Statistics. Occupations within industries have been defined using the </w:t>
      </w:r>
      <w:r w:rsidRPr="00BA32C4">
        <w:rPr>
          <w:b/>
          <w:bCs/>
          <w:lang w:eastAsia="en-AU"/>
        </w:rPr>
        <w:t>Australian and New Zealand Standard Classification of Occupations (ANZSCO)</w:t>
      </w:r>
      <w:r w:rsidRPr="00FA5A34">
        <w:rPr>
          <w:lang w:eastAsia="en-AU"/>
        </w:rPr>
        <w:t>.</w:t>
      </w:r>
    </w:p>
    <w:p w14:paraId="2D28AC14" w14:textId="3F21373F" w:rsidR="00E92F44" w:rsidRPr="00FA5A34" w:rsidRDefault="00E92F44" w:rsidP="00E92F44">
      <w:pPr>
        <w:rPr>
          <w:lang w:eastAsia="en-AU"/>
        </w:rPr>
      </w:pPr>
      <w:r w:rsidRPr="00FA5A34">
        <w:rPr>
          <w:lang w:eastAsia="en-AU"/>
        </w:rPr>
        <w:t>Each industry insight contribute</w:t>
      </w:r>
      <w:r w:rsidR="004A69F5">
        <w:rPr>
          <w:lang w:eastAsia="en-AU"/>
        </w:rPr>
        <w:t>s</w:t>
      </w:r>
      <w:r w:rsidRPr="00FA5A34">
        <w:rPr>
          <w:lang w:eastAsia="en-AU"/>
        </w:rPr>
        <w:t xml:space="preserve"> to the conclusions and recommendations of the Skills Plan, focusing on actions for implementation over a three-year period. </w:t>
      </w:r>
    </w:p>
    <w:p w14:paraId="0C5E37E3" w14:textId="77777777" w:rsidR="00E92F44" w:rsidRPr="00FA5A34" w:rsidRDefault="00E92F44" w:rsidP="00E92F44">
      <w:pPr>
        <w:rPr>
          <w:lang w:eastAsia="en-AU"/>
        </w:rPr>
      </w:pPr>
      <w:r w:rsidRPr="00FA5A34">
        <w:rPr>
          <w:lang w:eastAsia="en-AU"/>
        </w:rPr>
        <w:t xml:space="preserve">The VSA acknowledges and extends sincere thanks to the individuals and </w:t>
      </w:r>
      <w:proofErr w:type="spellStart"/>
      <w:r w:rsidRPr="00FA5A34">
        <w:rPr>
          <w:lang w:eastAsia="en-AU"/>
        </w:rPr>
        <w:t>organisations</w:t>
      </w:r>
      <w:proofErr w:type="spellEnd"/>
      <w:r w:rsidRPr="00FA5A34">
        <w:rPr>
          <w:lang w:eastAsia="en-AU"/>
        </w:rPr>
        <w:t xml:space="preserve"> that participated in the consultations and contributed to these materials. </w:t>
      </w:r>
    </w:p>
    <w:p w14:paraId="4B1CCF70" w14:textId="77777777" w:rsidR="00871C74" w:rsidRPr="00B61DEC" w:rsidRDefault="00871C74" w:rsidP="00871C74">
      <w:pPr>
        <w:pStyle w:val="Heading4"/>
        <w:numPr>
          <w:ilvl w:val="0"/>
          <w:numId w:val="0"/>
        </w:numPr>
      </w:pPr>
      <w:r w:rsidRPr="00B61DEC">
        <w:lastRenderedPageBreak/>
        <w:t>Using this report</w:t>
      </w:r>
    </w:p>
    <w:p w14:paraId="2B4ED6F4" w14:textId="40CF0029" w:rsidR="00871C74" w:rsidRPr="00B61DEC" w:rsidRDefault="00871C74" w:rsidP="00871C74">
      <w:pPr>
        <w:rPr>
          <w:lang w:eastAsia="en-AU"/>
        </w:rPr>
      </w:pPr>
      <w:r w:rsidRPr="00B61DEC">
        <w:rPr>
          <w:lang w:eastAsia="en-AU"/>
        </w:rPr>
        <w:t xml:space="preserve">This is a point-in-time report on the </w:t>
      </w:r>
      <w:r w:rsidR="00E92F44">
        <w:rPr>
          <w:lang w:eastAsia="en-AU"/>
        </w:rPr>
        <w:t>r</w:t>
      </w:r>
      <w:r>
        <w:rPr>
          <w:lang w:eastAsia="en-AU"/>
        </w:rPr>
        <w:t xml:space="preserve">ental, </w:t>
      </w:r>
      <w:r w:rsidR="00E92F44">
        <w:rPr>
          <w:lang w:eastAsia="en-AU"/>
        </w:rPr>
        <w:t>h</w:t>
      </w:r>
      <w:r>
        <w:rPr>
          <w:lang w:eastAsia="en-AU"/>
        </w:rPr>
        <w:t xml:space="preserve">iring and </w:t>
      </w:r>
      <w:r w:rsidR="00F82775">
        <w:rPr>
          <w:lang w:eastAsia="en-AU"/>
        </w:rPr>
        <w:t>r</w:t>
      </w:r>
      <w:r>
        <w:rPr>
          <w:lang w:eastAsia="en-AU"/>
        </w:rPr>
        <w:t xml:space="preserve">eal </w:t>
      </w:r>
      <w:r w:rsidR="00F82775">
        <w:rPr>
          <w:lang w:eastAsia="en-AU"/>
        </w:rPr>
        <w:t>e</w:t>
      </w:r>
      <w:r>
        <w:rPr>
          <w:lang w:eastAsia="en-AU"/>
        </w:rPr>
        <w:t xml:space="preserve">state Services </w:t>
      </w:r>
      <w:r w:rsidRPr="00B61DEC">
        <w:rPr>
          <w:lang w:eastAsia="en-AU"/>
        </w:rPr>
        <w:t>industry in Victoria and the associated skills and workforce issues.</w:t>
      </w:r>
    </w:p>
    <w:p w14:paraId="0A990B43" w14:textId="313BC96A" w:rsidR="00871C74" w:rsidRPr="00B61DEC" w:rsidRDefault="00871C74" w:rsidP="00871C74">
      <w:pPr>
        <w:rPr>
          <w:lang w:eastAsia="en-AU"/>
        </w:rPr>
      </w:pPr>
      <w:r w:rsidRPr="00B61DEC">
        <w:rPr>
          <w:lang w:eastAsia="en-AU"/>
        </w:rPr>
        <w:t>This report, along with the Skills Plan, has been prepared for industry and provider partners as a summary of demand for occupations and workforce issues. In addition to being used by the Victorian Government to consider responses</w:t>
      </w:r>
      <w:r w:rsidR="006566AC">
        <w:rPr>
          <w:lang w:eastAsia="en-AU"/>
        </w:rPr>
        <w:t>,</w:t>
      </w:r>
      <w:r w:rsidRPr="00B61DEC">
        <w:rPr>
          <w:lang w:eastAsia="en-AU"/>
        </w:rPr>
        <w:t xml:space="preserve"> as a public document it is available to industry and education and training partners to form actions and responses.</w:t>
      </w:r>
    </w:p>
    <w:p w14:paraId="2C51BACB" w14:textId="77777777" w:rsidR="00871C74" w:rsidRPr="00B61DEC" w:rsidRDefault="00871C74" w:rsidP="00871C74">
      <w:pPr>
        <w:rPr>
          <w:lang w:eastAsia="en-AU"/>
        </w:rPr>
      </w:pPr>
      <w:r w:rsidRPr="00B61DEC">
        <w:rPr>
          <w:lang w:eastAsia="en-AU"/>
        </w:rPr>
        <w:t>The report does not represent the full picture of workforce issues in the industry. Opportunities associated with skills and workforce are longstanding. The information in the report, however, provides the basis for ongoing work on skills demand and responses, including by the VSA and through the Industry Advisory Groups.</w:t>
      </w:r>
    </w:p>
    <w:p w14:paraId="4DE9EEEC" w14:textId="77777777" w:rsidR="00871C74" w:rsidRPr="00B61DEC" w:rsidRDefault="00871C74" w:rsidP="00871C74">
      <w:pPr>
        <w:pStyle w:val="Heading4"/>
        <w:numPr>
          <w:ilvl w:val="0"/>
          <w:numId w:val="0"/>
        </w:numPr>
      </w:pPr>
      <w:r w:rsidRPr="00B61DEC">
        <w:t>Feedback</w:t>
      </w:r>
    </w:p>
    <w:p w14:paraId="227FBE36" w14:textId="77777777" w:rsidR="00871C74" w:rsidRPr="00F62472" w:rsidRDefault="00871C74" w:rsidP="00871C74">
      <w:pPr>
        <w:rPr>
          <w:lang w:eastAsia="en-AU"/>
        </w:rPr>
      </w:pPr>
      <w:r w:rsidRPr="00B61DEC">
        <w:rPr>
          <w:lang w:eastAsia="en-AU"/>
        </w:rPr>
        <w:t xml:space="preserve">Feedback on this report, and others, is welcome and can be provided to </w:t>
      </w:r>
      <w:r w:rsidRPr="00280F91">
        <w:rPr>
          <w:u w:val="single"/>
          <w:lang w:eastAsia="en-AU"/>
        </w:rPr>
        <w:t>SkillsPlan@education.vic.gov.au</w:t>
      </w:r>
      <w:r w:rsidRPr="003A7CD5">
        <w:rPr>
          <w:rFonts w:eastAsia="Times New Roman" w:cs="Times New Roman"/>
          <w:color w:val="000000" w:themeColor="text1"/>
          <w:lang w:eastAsia="en-AU"/>
        </w:rPr>
        <w:t>.</w:t>
      </w:r>
      <w:r w:rsidRPr="00B61DEC">
        <w:rPr>
          <w:rFonts w:eastAsia="Times New Roman" w:cs="Times New Roman"/>
          <w:color w:val="000000" w:themeColor="text1"/>
          <w:lang w:eastAsia="en-AU"/>
        </w:rPr>
        <w:t xml:space="preserve"> Feedback will contribute to developing insights and actions.</w:t>
      </w:r>
    </w:p>
    <w:p w14:paraId="3B38BD59" w14:textId="351108BC" w:rsidR="00B3582F" w:rsidRPr="00534B04" w:rsidRDefault="00B3582F" w:rsidP="00B3582F">
      <w:pPr>
        <w:pStyle w:val="Heading1"/>
      </w:pPr>
      <w:bookmarkStart w:id="2" w:name="_Toc111118553"/>
      <w:r w:rsidRPr="00534B04">
        <w:lastRenderedPageBreak/>
        <w:t xml:space="preserve">Report </w:t>
      </w:r>
      <w:r w:rsidR="00724E99">
        <w:t>c</w:t>
      </w:r>
      <w:r w:rsidRPr="00534B04">
        <w:t>overage</w:t>
      </w:r>
      <w:bookmarkEnd w:id="2"/>
    </w:p>
    <w:p w14:paraId="2F9CC2C6" w14:textId="3B6E44B7" w:rsidR="00744F1D" w:rsidRDefault="000255BC" w:rsidP="00564DDE">
      <w:pPr>
        <w:pStyle w:val="CommentText"/>
      </w:pPr>
      <w:r w:rsidRPr="006D74DC">
        <w:t xml:space="preserve">This </w:t>
      </w:r>
      <w:r w:rsidR="00DA6626" w:rsidRPr="006D74DC">
        <w:t xml:space="preserve">industry insight focuses on the </w:t>
      </w:r>
      <w:r w:rsidR="00B72DC6">
        <w:t>rental, hiring and real estate services</w:t>
      </w:r>
      <w:r w:rsidR="00DA6626" w:rsidRPr="006D74DC">
        <w:t xml:space="preserve"> industry </w:t>
      </w:r>
      <w:r w:rsidR="00F82775">
        <w:t xml:space="preserve">as defined under ANZSIC and the occupations </w:t>
      </w:r>
      <w:r w:rsidR="009B7B55" w:rsidRPr="006D74DC">
        <w:t>relevant to the industry, classified according to ANZSCO</w:t>
      </w:r>
      <w:r w:rsidR="00DA6626" w:rsidRPr="006D74DC">
        <w:t>.</w:t>
      </w:r>
      <w:r w:rsidR="00565AE2" w:rsidRPr="006D74DC">
        <w:t xml:space="preserve"> </w:t>
      </w:r>
      <w:r w:rsidR="00F82775">
        <w:t>It cover</w:t>
      </w:r>
      <w:r w:rsidR="0093551C">
        <w:t>s</w:t>
      </w:r>
      <w:r w:rsidR="00A37FAE">
        <w:t xml:space="preserve"> the</w:t>
      </w:r>
      <w:r w:rsidR="00564DDE">
        <w:t xml:space="preserve"> selling, renting, managing and buying </w:t>
      </w:r>
      <w:r w:rsidR="001C6472">
        <w:t xml:space="preserve">of </w:t>
      </w:r>
      <w:r w:rsidR="00564DDE">
        <w:t>real estate. It also includes</w:t>
      </w:r>
      <w:r w:rsidR="00744F1D">
        <w:t xml:space="preserve"> </w:t>
      </w:r>
      <w:r w:rsidR="00C930CC">
        <w:t>the rent and hiring of tangible and intangible property</w:t>
      </w:r>
      <w:r w:rsidR="001F1F34">
        <w:t xml:space="preserve"> such as bloodstock, </w:t>
      </w:r>
      <w:r w:rsidR="00BE0D46">
        <w:t>car</w:t>
      </w:r>
      <w:r w:rsidR="0051147B">
        <w:t>s</w:t>
      </w:r>
      <w:r w:rsidR="00BE0D46">
        <w:t xml:space="preserve"> and patents</w:t>
      </w:r>
      <w:r w:rsidR="00C930CC">
        <w:t>.</w:t>
      </w:r>
      <w:r w:rsidR="00744F1D">
        <w:t xml:space="preserve"> </w:t>
      </w:r>
    </w:p>
    <w:p w14:paraId="16DC1CDD" w14:textId="77777777" w:rsidR="00C90C53" w:rsidRPr="00FA5A34" w:rsidRDefault="00C90C53" w:rsidP="00C90C53">
      <w:pPr>
        <w:rPr>
          <w:color w:val="000000" w:themeColor="text1"/>
          <w:lang w:val="en-AU" w:eastAsia="en-US"/>
        </w:rPr>
      </w:pPr>
      <w:bookmarkStart w:id="3" w:name="_Ref105162242"/>
      <w:r w:rsidRPr="00FA5A34">
        <w:rPr>
          <w:color w:val="000000" w:themeColor="text1"/>
          <w:lang w:val="en-AU" w:eastAsia="en-US"/>
        </w:rPr>
        <w:t xml:space="preserve">Statistics about an industry and its sub-sectors are collated by the Australian Bureau of Statistics (ABS) from the activity of businesses. Each business is classified to an industry based on their primary activities. Where an individual works for multiple businesses, their main job is used. </w:t>
      </w:r>
    </w:p>
    <w:p w14:paraId="0E2864D8" w14:textId="0A4B8843" w:rsidR="00E2493B" w:rsidRPr="005E4F52" w:rsidRDefault="00E2493B" w:rsidP="00E2493B">
      <w:pPr>
        <w:rPr>
          <w:color w:val="000000" w:themeColor="text1"/>
          <w:szCs w:val="20"/>
          <w:lang w:val="en-AU" w:eastAsia="en-US"/>
        </w:rPr>
      </w:pPr>
      <w:r w:rsidRPr="005E4F52">
        <w:rPr>
          <w:color w:val="000000" w:themeColor="text1"/>
          <w:szCs w:val="20"/>
          <w:lang w:val="en-AU" w:eastAsia="en-US"/>
        </w:rPr>
        <w:t>Industry classifications rarely encompass the full nature of the work</w:t>
      </w:r>
      <w:r w:rsidR="002D5526">
        <w:rPr>
          <w:color w:val="000000" w:themeColor="text1"/>
          <w:szCs w:val="20"/>
          <w:lang w:val="en-AU" w:eastAsia="en-US"/>
        </w:rPr>
        <w:t xml:space="preserve"> (and therefore skills)</w:t>
      </w:r>
      <w:r w:rsidRPr="005E4F52">
        <w:rPr>
          <w:color w:val="000000" w:themeColor="text1"/>
          <w:szCs w:val="20"/>
          <w:lang w:val="en-AU" w:eastAsia="en-US"/>
        </w:rPr>
        <w:t xml:space="preserve"> associated with a given industry. ABS definitions of industries or sectors may not align with the definitions used by an industry association, while the allocation of businesses on primary activity can result in businesses that perform similar services but with a different emphasis being classified across different industries. </w:t>
      </w:r>
    </w:p>
    <w:p w14:paraId="3EB15C81" w14:textId="1657BD12" w:rsidR="00E2493B" w:rsidRPr="005E4F52" w:rsidRDefault="002D5526" w:rsidP="00E2493B">
      <w:pPr>
        <w:rPr>
          <w:color w:val="000000" w:themeColor="text1"/>
          <w:szCs w:val="20"/>
          <w:lang w:val="en-AU" w:eastAsia="en-US"/>
        </w:rPr>
      </w:pPr>
      <w:r>
        <w:rPr>
          <w:color w:val="000000" w:themeColor="text1"/>
          <w:szCs w:val="20"/>
          <w:lang w:val="en-AU" w:eastAsia="en-US"/>
        </w:rPr>
        <w:t>Coverage in this report</w:t>
      </w:r>
      <w:r w:rsidR="00E2493B" w:rsidRPr="005E4F52">
        <w:rPr>
          <w:color w:val="000000" w:themeColor="text1"/>
          <w:szCs w:val="20"/>
          <w:lang w:val="en-AU" w:eastAsia="en-US"/>
        </w:rPr>
        <w:t xml:space="preserve"> is limited to employment in the industry and sectors as defined by ABS, noting some occupations are almost exclusively associated with an industry, such </w:t>
      </w:r>
      <w:r w:rsidR="00E2493B">
        <w:rPr>
          <w:color w:val="000000" w:themeColor="text1"/>
          <w:szCs w:val="20"/>
          <w:lang w:val="en-AU" w:eastAsia="en-US"/>
        </w:rPr>
        <w:t xml:space="preserve">as </w:t>
      </w:r>
      <w:r w:rsidR="00855675">
        <w:rPr>
          <w:color w:val="000000" w:themeColor="text1"/>
          <w:szCs w:val="20"/>
          <w:lang w:val="en-AU" w:eastAsia="en-US"/>
        </w:rPr>
        <w:t>real estate agents in the rental, hiring and real estate services</w:t>
      </w:r>
      <w:r w:rsidR="00E2493B" w:rsidRPr="005E4F52">
        <w:rPr>
          <w:color w:val="000000" w:themeColor="text1"/>
          <w:szCs w:val="20"/>
          <w:lang w:val="en-AU" w:eastAsia="en-US"/>
        </w:rPr>
        <w:t>, while others, such as accountants and electricians, are associated with many industries.</w:t>
      </w:r>
      <w:r w:rsidR="002D0BD8">
        <w:rPr>
          <w:color w:val="000000" w:themeColor="text1"/>
          <w:szCs w:val="20"/>
          <w:lang w:val="en-AU" w:eastAsia="en-US"/>
        </w:rPr>
        <w:t xml:space="preserve"> Note, however, that o</w:t>
      </w:r>
      <w:r w:rsidR="00E2493B" w:rsidRPr="005E4F52">
        <w:rPr>
          <w:color w:val="000000" w:themeColor="text1"/>
          <w:szCs w:val="20"/>
          <w:lang w:val="en-AU" w:eastAsia="en-US"/>
        </w:rPr>
        <w:t>ccupational demand for Victoria</w:t>
      </w:r>
      <w:r w:rsidR="002D0BD8">
        <w:rPr>
          <w:color w:val="000000" w:themeColor="text1"/>
          <w:szCs w:val="20"/>
          <w:lang w:val="en-AU" w:eastAsia="en-US"/>
        </w:rPr>
        <w:t xml:space="preserve"> as reflected in the dashboard</w:t>
      </w:r>
      <w:r w:rsidR="00E2493B" w:rsidRPr="005E4F52">
        <w:rPr>
          <w:color w:val="000000" w:themeColor="text1"/>
          <w:szCs w:val="20"/>
          <w:lang w:val="en-AU" w:eastAsia="en-US"/>
        </w:rPr>
        <w:t xml:space="preserve"> is the total of occupational demand for all industries. </w:t>
      </w:r>
    </w:p>
    <w:p w14:paraId="353696E2" w14:textId="777BEF4C" w:rsidR="00E2493B" w:rsidRPr="005E4F52" w:rsidRDefault="00C01468" w:rsidP="00E2493B">
      <w:pPr>
        <w:rPr>
          <w:color w:val="000000" w:themeColor="text1"/>
          <w:szCs w:val="20"/>
          <w:lang w:val="en-AU" w:eastAsia="en-US"/>
        </w:rPr>
      </w:pPr>
      <w:r>
        <w:rPr>
          <w:color w:val="000000" w:themeColor="text1"/>
          <w:szCs w:val="20"/>
          <w:lang w:val="en-AU" w:eastAsia="en-US"/>
        </w:rPr>
        <w:t xml:space="preserve">Table 1 </w:t>
      </w:r>
      <w:r w:rsidR="00E2493B" w:rsidRPr="005E4F52">
        <w:rPr>
          <w:color w:val="000000" w:themeColor="text1"/>
          <w:szCs w:val="20"/>
          <w:lang w:val="en-AU" w:eastAsia="en-US"/>
        </w:rPr>
        <w:t xml:space="preserve">sets out related activities </w:t>
      </w:r>
      <w:r w:rsidR="002D0BD8">
        <w:rPr>
          <w:color w:val="000000" w:themeColor="text1"/>
          <w:szCs w:val="20"/>
          <w:lang w:val="en-AU" w:eastAsia="en-US"/>
        </w:rPr>
        <w:t xml:space="preserve">that may occur within the </w:t>
      </w:r>
      <w:r w:rsidR="00634CBD">
        <w:rPr>
          <w:color w:val="000000" w:themeColor="text1"/>
          <w:szCs w:val="20"/>
          <w:lang w:val="en-AU" w:eastAsia="en-US"/>
        </w:rPr>
        <w:t xml:space="preserve">rental, hiring and real estate services </w:t>
      </w:r>
      <w:r w:rsidR="002D0BD8">
        <w:rPr>
          <w:color w:val="000000" w:themeColor="text1"/>
          <w:szCs w:val="20"/>
          <w:lang w:val="en-AU" w:eastAsia="en-US"/>
        </w:rPr>
        <w:t xml:space="preserve">industry but are reported formally under other industries. The relevant Industry Insight report is listed. </w:t>
      </w:r>
    </w:p>
    <w:p w14:paraId="0A2D34B6" w14:textId="6547E794" w:rsidR="00CE0CCC" w:rsidRPr="00F654EC" w:rsidRDefault="005D7E1B" w:rsidP="00C53B3C">
      <w:pPr>
        <w:pStyle w:val="Caption"/>
        <w:rPr>
          <w:lang w:val="en-AU"/>
        </w:rPr>
      </w:pPr>
      <w:r w:rsidRPr="00F654EC">
        <w:rPr>
          <w:lang w:val="en-AU"/>
        </w:rPr>
        <w:t xml:space="preserve">Table </w:t>
      </w:r>
      <w:r w:rsidRPr="00F654EC">
        <w:rPr>
          <w:lang w:val="en-AU"/>
        </w:rPr>
        <w:fldChar w:fldCharType="begin"/>
      </w:r>
      <w:r w:rsidRPr="00F654EC">
        <w:rPr>
          <w:lang w:val="en-AU"/>
        </w:rPr>
        <w:instrText xml:space="preserve"> SEQ Table \* ARABIC </w:instrText>
      </w:r>
      <w:r w:rsidRPr="00F654EC">
        <w:rPr>
          <w:lang w:val="en-AU"/>
        </w:rPr>
        <w:fldChar w:fldCharType="separate"/>
      </w:r>
      <w:r w:rsidR="00C435CB">
        <w:rPr>
          <w:noProof/>
          <w:lang w:val="en-AU"/>
        </w:rPr>
        <w:t>1</w:t>
      </w:r>
      <w:r w:rsidRPr="00F654EC">
        <w:rPr>
          <w:lang w:val="en-AU"/>
        </w:rPr>
        <w:fldChar w:fldCharType="end"/>
      </w:r>
      <w:bookmarkEnd w:id="3"/>
      <w:r w:rsidRPr="00F654EC">
        <w:rPr>
          <w:lang w:val="en-AU"/>
        </w:rPr>
        <w:t xml:space="preserve"> | Scope of </w:t>
      </w:r>
      <w:r w:rsidR="00BC4B01" w:rsidRPr="00F654EC">
        <w:rPr>
          <w:lang w:val="en-AU"/>
        </w:rPr>
        <w:t xml:space="preserve">related </w:t>
      </w:r>
      <w:r w:rsidRPr="00F654EC">
        <w:rPr>
          <w:lang w:val="en-AU"/>
        </w:rPr>
        <w:t xml:space="preserve">industry </w:t>
      </w:r>
      <w:r w:rsidR="00BC4B01" w:rsidRPr="00F654EC">
        <w:rPr>
          <w:lang w:val="en-AU"/>
        </w:rPr>
        <w:t xml:space="preserve">activities and </w:t>
      </w:r>
      <w:r w:rsidRPr="00F654EC">
        <w:rPr>
          <w:lang w:val="en-AU"/>
        </w:rPr>
        <w:t>insight</w:t>
      </w:r>
      <w:r w:rsidR="00BC4B01" w:rsidRPr="00F654EC">
        <w:rPr>
          <w:lang w:val="en-AU"/>
        </w:rPr>
        <w:t xml:space="preserve">s </w:t>
      </w:r>
      <w:r w:rsidR="00834DA3" w:rsidRPr="00F654EC">
        <w:rPr>
          <w:lang w:val="en-AU"/>
        </w:rPr>
        <w:t>related industries</w:t>
      </w:r>
      <w:r w:rsidR="00A27E78" w:rsidRPr="00A43463">
        <w:rPr>
          <w:u w:val="single"/>
          <w:lang w:eastAsia="en-AU"/>
        </w:rPr>
        <w:t xml:space="preserve"> </w:t>
      </w:r>
    </w:p>
    <w:tbl>
      <w:tblPr>
        <w:tblStyle w:val="NOUSSideHeader2"/>
        <w:tblW w:w="9174" w:type="dxa"/>
        <w:tblLook w:val="04A0" w:firstRow="1" w:lastRow="0" w:firstColumn="1" w:lastColumn="0" w:noHBand="0" w:noVBand="1"/>
      </w:tblPr>
      <w:tblGrid>
        <w:gridCol w:w="5973"/>
        <w:gridCol w:w="3201"/>
      </w:tblGrid>
      <w:tr w:rsidR="00D4719F" w:rsidRPr="00001815" w14:paraId="71FDF32E" w14:textId="77777777" w:rsidTr="00C53B3C">
        <w:trPr>
          <w:cnfStyle w:val="100000000000" w:firstRow="1" w:lastRow="0" w:firstColumn="0" w:lastColumn="0" w:oddVBand="0" w:evenVBand="0" w:oddHBand="0" w:evenHBand="0" w:firstRowFirstColumn="0" w:firstRowLastColumn="0" w:lastRowFirstColumn="0" w:lastRowLastColumn="0"/>
          <w:cantSplit w:val="0"/>
          <w:trHeight w:val="69"/>
        </w:trPr>
        <w:tc>
          <w:tcPr>
            <w:tcW w:w="5973" w:type="dxa"/>
            <w:tcBorders>
              <w:top w:val="single" w:sz="4" w:space="0" w:color="949494"/>
              <w:bottom w:val="single" w:sz="4" w:space="0" w:color="949494"/>
              <w:right w:val="single" w:sz="4" w:space="0" w:color="949494"/>
            </w:tcBorders>
            <w:shd w:val="clear" w:color="auto" w:fill="000000" w:themeFill="text1"/>
          </w:tcPr>
          <w:p w14:paraId="034BF38D" w14:textId="77777777" w:rsidR="00CE0CCC" w:rsidRPr="00001815" w:rsidRDefault="00CE0CCC" w:rsidP="002965A1">
            <w:pPr>
              <w:pStyle w:val="NormalTablesQuote"/>
              <w:rPr>
                <w:color w:val="FFFFFF" w:themeColor="background1"/>
                <w:sz w:val="20"/>
              </w:rPr>
            </w:pPr>
            <w:r w:rsidRPr="00001815">
              <w:rPr>
                <w:color w:val="FFFFFF" w:themeColor="background1"/>
                <w:sz w:val="20"/>
              </w:rPr>
              <w:t>Activities</w:t>
            </w:r>
          </w:p>
        </w:tc>
        <w:tc>
          <w:tcPr>
            <w:tcW w:w="3201" w:type="dxa"/>
            <w:tcBorders>
              <w:top w:val="single" w:sz="4" w:space="0" w:color="949494"/>
              <w:left w:val="single" w:sz="4" w:space="0" w:color="949494"/>
              <w:bottom w:val="single" w:sz="4" w:space="0" w:color="949494"/>
            </w:tcBorders>
            <w:shd w:val="clear" w:color="auto" w:fill="000000" w:themeFill="text1"/>
          </w:tcPr>
          <w:p w14:paraId="13CB1C00" w14:textId="77777777" w:rsidR="00CE0CCC" w:rsidRPr="00001815" w:rsidRDefault="00CE0CCC" w:rsidP="002965A1">
            <w:pPr>
              <w:pStyle w:val="NormalTablesQuote"/>
              <w:rPr>
                <w:color w:val="FFFFFF" w:themeColor="background1"/>
                <w:sz w:val="20"/>
              </w:rPr>
            </w:pPr>
            <w:r w:rsidRPr="00001815">
              <w:rPr>
                <w:color w:val="FFFFFF" w:themeColor="background1"/>
                <w:sz w:val="20"/>
              </w:rPr>
              <w:t>Industry insight</w:t>
            </w:r>
          </w:p>
        </w:tc>
      </w:tr>
      <w:tr w:rsidR="00CE0CCC" w:rsidRPr="00001815" w14:paraId="721F4ABE" w14:textId="77777777" w:rsidTr="00B8732E">
        <w:trPr>
          <w:cnfStyle w:val="000000100000" w:firstRow="0" w:lastRow="0" w:firstColumn="0" w:lastColumn="0" w:oddVBand="0" w:evenVBand="0" w:oddHBand="1" w:evenHBand="0" w:firstRowFirstColumn="0" w:firstRowLastColumn="0" w:lastRowFirstColumn="0" w:lastRowLastColumn="0"/>
          <w:trHeight w:val="767"/>
        </w:trPr>
        <w:tc>
          <w:tcPr>
            <w:tcW w:w="5973" w:type="dxa"/>
            <w:tcBorders>
              <w:top w:val="single" w:sz="4" w:space="0" w:color="949494"/>
              <w:bottom w:val="single" w:sz="4" w:space="0" w:color="949494"/>
              <w:right w:val="single" w:sz="4" w:space="0" w:color="949494"/>
            </w:tcBorders>
          </w:tcPr>
          <w:p w14:paraId="366731FC" w14:textId="27D00591" w:rsidR="00CE0CCC" w:rsidRPr="00001815" w:rsidRDefault="00CE0CCC" w:rsidP="00CE0CCC">
            <w:pPr>
              <w:pStyle w:val="Bullet"/>
              <w:numPr>
                <w:ilvl w:val="0"/>
                <w:numId w:val="0"/>
              </w:numPr>
              <w:rPr>
                <w:szCs w:val="20"/>
              </w:rPr>
            </w:pPr>
            <w:r w:rsidRPr="00001815">
              <w:rPr>
                <w:szCs w:val="20"/>
              </w:rPr>
              <w:t>Automotive sales</w:t>
            </w:r>
          </w:p>
        </w:tc>
        <w:tc>
          <w:tcPr>
            <w:tcW w:w="3201" w:type="dxa"/>
            <w:tcBorders>
              <w:top w:val="single" w:sz="4" w:space="0" w:color="949494"/>
              <w:left w:val="single" w:sz="4" w:space="0" w:color="949494"/>
              <w:bottom w:val="single" w:sz="4" w:space="0" w:color="949494"/>
            </w:tcBorders>
          </w:tcPr>
          <w:p w14:paraId="2FF55735" w14:textId="163CFB66" w:rsidR="00CE0CCC" w:rsidRPr="00001815" w:rsidRDefault="001563A2" w:rsidP="00CE0CCC">
            <w:pPr>
              <w:pStyle w:val="Bullet"/>
              <w:numPr>
                <w:ilvl w:val="0"/>
                <w:numId w:val="0"/>
              </w:numPr>
              <w:rPr>
                <w:szCs w:val="20"/>
              </w:rPr>
            </w:pPr>
            <w:r w:rsidRPr="00001815">
              <w:rPr>
                <w:szCs w:val="20"/>
              </w:rPr>
              <w:t>Services</w:t>
            </w:r>
          </w:p>
        </w:tc>
      </w:tr>
      <w:tr w:rsidR="00817F55" w:rsidRPr="00001815" w14:paraId="61005EBF" w14:textId="77777777" w:rsidTr="00B8732E">
        <w:trPr>
          <w:cnfStyle w:val="000000010000" w:firstRow="0" w:lastRow="0" w:firstColumn="0" w:lastColumn="0" w:oddVBand="0" w:evenVBand="0" w:oddHBand="0" w:evenHBand="1" w:firstRowFirstColumn="0" w:firstRowLastColumn="0" w:lastRowFirstColumn="0" w:lastRowLastColumn="0"/>
          <w:trHeight w:val="767"/>
        </w:trPr>
        <w:tc>
          <w:tcPr>
            <w:tcW w:w="5973" w:type="dxa"/>
            <w:tcBorders>
              <w:top w:val="single" w:sz="4" w:space="0" w:color="949494"/>
              <w:bottom w:val="single" w:sz="4" w:space="0" w:color="949494"/>
              <w:right w:val="single" w:sz="4" w:space="0" w:color="949494"/>
            </w:tcBorders>
          </w:tcPr>
          <w:p w14:paraId="458015D3" w14:textId="1B5F2193" w:rsidR="00817F55" w:rsidRPr="00001815" w:rsidRDefault="005028DC" w:rsidP="00CE0CCC">
            <w:pPr>
              <w:pStyle w:val="Bullet"/>
              <w:numPr>
                <w:ilvl w:val="0"/>
                <w:numId w:val="0"/>
              </w:numPr>
              <w:rPr>
                <w:szCs w:val="20"/>
              </w:rPr>
            </w:pPr>
            <w:r w:rsidRPr="00001815">
              <w:rPr>
                <w:szCs w:val="20"/>
              </w:rPr>
              <w:t>Streaming services</w:t>
            </w:r>
          </w:p>
        </w:tc>
        <w:tc>
          <w:tcPr>
            <w:tcW w:w="3201" w:type="dxa"/>
            <w:tcBorders>
              <w:top w:val="single" w:sz="4" w:space="0" w:color="949494"/>
              <w:left w:val="single" w:sz="4" w:space="0" w:color="949494"/>
              <w:bottom w:val="single" w:sz="4" w:space="0" w:color="949494"/>
            </w:tcBorders>
          </w:tcPr>
          <w:p w14:paraId="5DD21F1C" w14:textId="3A963CB7" w:rsidR="00817F55" w:rsidRPr="00001815" w:rsidRDefault="00975770" w:rsidP="00CE0CCC">
            <w:pPr>
              <w:pStyle w:val="Bullet"/>
              <w:numPr>
                <w:ilvl w:val="0"/>
                <w:numId w:val="0"/>
              </w:numPr>
              <w:rPr>
                <w:szCs w:val="20"/>
              </w:rPr>
            </w:pPr>
            <w:r w:rsidRPr="00001815">
              <w:rPr>
                <w:szCs w:val="20"/>
              </w:rPr>
              <w:t xml:space="preserve">Professional, </w:t>
            </w:r>
            <w:r w:rsidR="004F094F" w:rsidRPr="00001815">
              <w:rPr>
                <w:szCs w:val="20"/>
              </w:rPr>
              <w:t>Financial and Information Services</w:t>
            </w:r>
          </w:p>
        </w:tc>
      </w:tr>
      <w:tr w:rsidR="00CE0CCC" w:rsidRPr="00001815" w14:paraId="2A897FEE" w14:textId="77777777" w:rsidTr="00B8732E">
        <w:trPr>
          <w:cnfStyle w:val="000000100000" w:firstRow="0" w:lastRow="0" w:firstColumn="0" w:lastColumn="0" w:oddVBand="0" w:evenVBand="0" w:oddHBand="1" w:evenHBand="0" w:firstRowFirstColumn="0" w:firstRowLastColumn="0" w:lastRowFirstColumn="0" w:lastRowLastColumn="0"/>
          <w:trHeight w:val="642"/>
        </w:trPr>
        <w:tc>
          <w:tcPr>
            <w:tcW w:w="5973" w:type="dxa"/>
            <w:tcBorders>
              <w:top w:val="single" w:sz="4" w:space="0" w:color="949494"/>
              <w:bottom w:val="single" w:sz="4" w:space="0" w:color="949494"/>
              <w:right w:val="single" w:sz="4" w:space="0" w:color="949494"/>
            </w:tcBorders>
          </w:tcPr>
          <w:p w14:paraId="35834798" w14:textId="34C2FE80" w:rsidR="00CE0CCC" w:rsidRPr="00001815" w:rsidRDefault="00847039" w:rsidP="00CE0CCC">
            <w:pPr>
              <w:pStyle w:val="Bullet"/>
              <w:numPr>
                <w:ilvl w:val="0"/>
                <w:numId w:val="0"/>
              </w:numPr>
              <w:rPr>
                <w:szCs w:val="20"/>
              </w:rPr>
            </w:pPr>
            <w:r w:rsidRPr="00001815">
              <w:rPr>
                <w:szCs w:val="20"/>
              </w:rPr>
              <w:t>Farming of cattle and livestock</w:t>
            </w:r>
          </w:p>
        </w:tc>
        <w:tc>
          <w:tcPr>
            <w:tcW w:w="3201" w:type="dxa"/>
            <w:tcBorders>
              <w:top w:val="single" w:sz="4" w:space="0" w:color="949494"/>
              <w:left w:val="single" w:sz="4" w:space="0" w:color="949494"/>
              <w:bottom w:val="single" w:sz="4" w:space="0" w:color="949494"/>
            </w:tcBorders>
          </w:tcPr>
          <w:p w14:paraId="085E73B4" w14:textId="6FF6B812" w:rsidR="00CE0CCC" w:rsidRPr="00001815" w:rsidRDefault="007D28F4" w:rsidP="00CE0CCC">
            <w:pPr>
              <w:pStyle w:val="Bullet"/>
              <w:numPr>
                <w:ilvl w:val="0"/>
                <w:numId w:val="0"/>
              </w:numPr>
              <w:rPr>
                <w:szCs w:val="20"/>
              </w:rPr>
            </w:pPr>
            <w:r w:rsidRPr="00001815">
              <w:rPr>
                <w:szCs w:val="20"/>
              </w:rPr>
              <w:t>Agriculture, Forestry and Fishing</w:t>
            </w:r>
          </w:p>
        </w:tc>
      </w:tr>
    </w:tbl>
    <w:p w14:paraId="45D41C99" w14:textId="5762F3BB" w:rsidR="00847CE1" w:rsidRPr="00A01662" w:rsidRDefault="00847CE1" w:rsidP="00B3582F">
      <w:pPr>
        <w:rPr>
          <w:u w:val="single"/>
          <w:lang w:eastAsia="en-AU"/>
        </w:rPr>
      </w:pPr>
    </w:p>
    <w:p w14:paraId="424D471B" w14:textId="77777777" w:rsidR="00CD3DCF" w:rsidRDefault="00CD3DCF" w:rsidP="00B3582F">
      <w:pPr>
        <w:rPr>
          <w:lang w:eastAsia="en-AU"/>
        </w:rPr>
      </w:pPr>
    </w:p>
    <w:p w14:paraId="51BC0014" w14:textId="77777777" w:rsidR="00724E99" w:rsidRDefault="00724E99" w:rsidP="00B3582F">
      <w:pPr>
        <w:rPr>
          <w:lang w:eastAsia="en-AU"/>
        </w:rPr>
      </w:pPr>
    </w:p>
    <w:p w14:paraId="41AD7D9A" w14:textId="77777777" w:rsidR="00724E99" w:rsidRDefault="00724E99" w:rsidP="00B3582F">
      <w:pPr>
        <w:rPr>
          <w:lang w:eastAsia="en-AU"/>
        </w:rPr>
      </w:pPr>
    </w:p>
    <w:p w14:paraId="37339FB1" w14:textId="77777777" w:rsidR="00724E99" w:rsidRDefault="00724E99" w:rsidP="00B3582F">
      <w:pPr>
        <w:rPr>
          <w:lang w:eastAsia="en-AU"/>
        </w:rPr>
      </w:pPr>
    </w:p>
    <w:p w14:paraId="0110C05B" w14:textId="77777777" w:rsidR="00724E99" w:rsidRDefault="00724E99" w:rsidP="00B3582F">
      <w:pPr>
        <w:rPr>
          <w:lang w:eastAsia="en-AU"/>
        </w:rPr>
      </w:pPr>
    </w:p>
    <w:p w14:paraId="0F89CC65" w14:textId="77777777" w:rsidR="00724E99" w:rsidRDefault="00724E99" w:rsidP="00724E99">
      <w:pPr>
        <w:pStyle w:val="Heading1"/>
        <w:rPr>
          <w:lang w:eastAsia="en-AU"/>
        </w:rPr>
      </w:pPr>
      <w:bookmarkStart w:id="4" w:name="_Toc111118554"/>
      <w:r>
        <w:rPr>
          <w:lang w:eastAsia="en-AU"/>
        </w:rPr>
        <w:lastRenderedPageBreak/>
        <w:t>Executive summary</w:t>
      </w:r>
      <w:bookmarkEnd w:id="4"/>
    </w:p>
    <w:p w14:paraId="56BE4448" w14:textId="77777777" w:rsidR="007D000A" w:rsidRPr="007306E8" w:rsidRDefault="007D000A" w:rsidP="007D000A">
      <w:pPr>
        <w:pStyle w:val="Heading4"/>
        <w:rPr>
          <w:lang w:val="en-AU" w:eastAsia="en-AU"/>
        </w:rPr>
      </w:pPr>
      <w:r w:rsidRPr="007306E8">
        <w:rPr>
          <w:lang w:val="en-AU" w:eastAsia="en-AU"/>
        </w:rPr>
        <w:t>Industry outlook</w:t>
      </w:r>
    </w:p>
    <w:p w14:paraId="44A6C267" w14:textId="36A56A26" w:rsidR="007D000A" w:rsidRPr="007306E8" w:rsidRDefault="007D000A" w:rsidP="007D000A">
      <w:pPr>
        <w:rPr>
          <w:lang w:val="en-AU" w:eastAsia="en-AU"/>
        </w:rPr>
      </w:pPr>
      <w:r w:rsidRPr="007306E8">
        <w:rPr>
          <w:lang w:val="en-AU" w:eastAsia="en-AU"/>
        </w:rPr>
        <w:t xml:space="preserve">The rental, hiring and real estate services industry impacts </w:t>
      </w:r>
      <w:r w:rsidR="006069E3">
        <w:rPr>
          <w:lang w:val="en-AU" w:eastAsia="en-AU"/>
        </w:rPr>
        <w:t xml:space="preserve">the livelihoods of </w:t>
      </w:r>
      <w:r w:rsidR="00565CDF">
        <w:rPr>
          <w:lang w:val="en-AU" w:eastAsia="en-AU"/>
        </w:rPr>
        <w:t>most</w:t>
      </w:r>
      <w:r w:rsidRPr="007306E8">
        <w:rPr>
          <w:lang w:val="en-AU" w:eastAsia="en-AU"/>
        </w:rPr>
        <w:t xml:space="preserve"> Victorians</w:t>
      </w:r>
      <w:r w:rsidR="006069E3">
        <w:rPr>
          <w:lang w:val="en-AU" w:eastAsia="en-AU"/>
        </w:rPr>
        <w:t xml:space="preserve"> </w:t>
      </w:r>
      <w:r w:rsidR="00AE1D73">
        <w:rPr>
          <w:lang w:val="en-AU" w:eastAsia="en-AU"/>
        </w:rPr>
        <w:t>throu</w:t>
      </w:r>
      <w:r w:rsidR="006069E3">
        <w:rPr>
          <w:lang w:val="en-AU" w:eastAsia="en-AU"/>
        </w:rPr>
        <w:t>gh the</w:t>
      </w:r>
      <w:r w:rsidR="00ED10B7" w:rsidRPr="007306E8">
        <w:rPr>
          <w:lang w:val="en-AU" w:eastAsia="en-AU"/>
        </w:rPr>
        <w:t xml:space="preserve"> </w:t>
      </w:r>
      <w:r w:rsidR="008D7E1F">
        <w:rPr>
          <w:lang w:val="en-AU" w:eastAsia="en-AU"/>
        </w:rPr>
        <w:t>buying, selling or hiring</w:t>
      </w:r>
      <w:r w:rsidR="00ED10B7" w:rsidRPr="007306E8">
        <w:rPr>
          <w:lang w:val="en-AU" w:eastAsia="en-AU"/>
        </w:rPr>
        <w:t xml:space="preserve"> </w:t>
      </w:r>
      <w:r w:rsidR="006069E3">
        <w:rPr>
          <w:lang w:val="en-AU" w:eastAsia="en-AU"/>
        </w:rPr>
        <w:t xml:space="preserve">of </w:t>
      </w:r>
      <w:r w:rsidR="00ED10B7" w:rsidRPr="007306E8">
        <w:rPr>
          <w:lang w:val="en-AU" w:eastAsia="en-AU"/>
        </w:rPr>
        <w:t xml:space="preserve">property </w:t>
      </w:r>
      <w:r w:rsidR="006069E3">
        <w:rPr>
          <w:lang w:val="en-AU" w:eastAsia="en-AU"/>
        </w:rPr>
        <w:t>and</w:t>
      </w:r>
      <w:r w:rsidR="00ED10B7" w:rsidRPr="007306E8">
        <w:rPr>
          <w:lang w:val="en-AU" w:eastAsia="en-AU"/>
        </w:rPr>
        <w:t xml:space="preserve"> equipment</w:t>
      </w:r>
      <w:r w:rsidR="000D4DBC">
        <w:rPr>
          <w:lang w:val="en-AU" w:eastAsia="en-AU"/>
        </w:rPr>
        <w:t xml:space="preserve"> for personal and commercial purposes</w:t>
      </w:r>
      <w:r w:rsidRPr="007306E8">
        <w:rPr>
          <w:lang w:val="en-AU" w:eastAsia="en-AU"/>
        </w:rPr>
        <w:t>. Over 52,</w:t>
      </w:r>
      <w:r w:rsidR="0092688C">
        <w:rPr>
          <w:lang w:val="en-AU" w:eastAsia="en-AU"/>
        </w:rPr>
        <w:t>7</w:t>
      </w:r>
      <w:r w:rsidRPr="007306E8">
        <w:rPr>
          <w:lang w:val="en-AU" w:eastAsia="en-AU"/>
        </w:rPr>
        <w:t xml:space="preserve">00 workers are employed </w:t>
      </w:r>
      <w:r w:rsidR="00323174">
        <w:rPr>
          <w:lang w:val="en-AU" w:eastAsia="en-AU"/>
        </w:rPr>
        <w:t xml:space="preserve">in Victoria </w:t>
      </w:r>
      <w:r w:rsidRPr="007306E8">
        <w:rPr>
          <w:lang w:val="en-AU" w:eastAsia="en-AU"/>
        </w:rPr>
        <w:t>across real estate and other rental and leasing services.</w:t>
      </w:r>
      <w:r w:rsidR="005700A1">
        <w:rPr>
          <w:rStyle w:val="EndnoteReference"/>
          <w:lang w:val="en-AU" w:eastAsia="en-AU"/>
        </w:rPr>
        <w:endnoteReference w:id="2"/>
      </w:r>
    </w:p>
    <w:p w14:paraId="4C7CCC53" w14:textId="5A896D7A" w:rsidR="007D000A" w:rsidRPr="007306E8" w:rsidRDefault="00323174" w:rsidP="007D000A">
      <w:r>
        <w:t>Significant</w:t>
      </w:r>
      <w:r w:rsidR="007D000A" w:rsidRPr="007306E8">
        <w:t xml:space="preserve"> growth in </w:t>
      </w:r>
      <w:r w:rsidR="00661FB4">
        <w:t xml:space="preserve">the </w:t>
      </w:r>
      <w:r w:rsidR="007D000A" w:rsidRPr="007306E8">
        <w:t>real estate market</w:t>
      </w:r>
      <w:r w:rsidR="00661FB4">
        <w:t xml:space="preserve"> has </w:t>
      </w:r>
      <w:r w:rsidR="000F7AF6">
        <w:t>occurred over the last few years</w:t>
      </w:r>
      <w:r w:rsidR="007D000A" w:rsidRPr="007306E8">
        <w:t>, particularly for residential properties</w:t>
      </w:r>
      <w:r w:rsidR="000F7AF6">
        <w:t>.</w:t>
      </w:r>
      <w:r w:rsidR="007D000A" w:rsidRPr="007306E8">
        <w:t xml:space="preserve"> </w:t>
      </w:r>
      <w:r w:rsidR="00FA5788">
        <w:t xml:space="preserve">Despite </w:t>
      </w:r>
      <w:r w:rsidR="0060195C">
        <w:t xml:space="preserve">COVID-19 impacting business operations, </w:t>
      </w:r>
      <w:r w:rsidR="00473189">
        <w:t xml:space="preserve">the industry is expected to experience </w:t>
      </w:r>
      <w:r w:rsidR="0060195C">
        <w:t>c</w:t>
      </w:r>
      <w:r w:rsidR="004C375B">
        <w:t>ontinued growth</w:t>
      </w:r>
      <w:r w:rsidR="00D9069C">
        <w:t>, albeit</w:t>
      </w:r>
      <w:r w:rsidR="00F74B5C">
        <w:t xml:space="preserve"> </w:t>
      </w:r>
      <w:r w:rsidR="00F723F8">
        <w:t>subject t</w:t>
      </w:r>
      <w:r w:rsidR="006D2E67">
        <w:t>o</w:t>
      </w:r>
      <w:r w:rsidR="00F74B5C">
        <w:t xml:space="preserve"> market volatility</w:t>
      </w:r>
      <w:r w:rsidR="0060195C">
        <w:t xml:space="preserve">. </w:t>
      </w:r>
      <w:r w:rsidR="00C55B42">
        <w:t xml:space="preserve">Key drivers include </w:t>
      </w:r>
      <w:r w:rsidR="00300CF2">
        <w:t>o</w:t>
      </w:r>
      <w:r w:rsidR="004C375B">
        <w:t>ngoing demand for residential property</w:t>
      </w:r>
      <w:r w:rsidR="007D000A" w:rsidRPr="007306E8">
        <w:t xml:space="preserve"> </w:t>
      </w:r>
      <w:r w:rsidR="00CC7251">
        <w:t>underpinned by</w:t>
      </w:r>
      <w:r w:rsidR="00CF73C0">
        <w:t xml:space="preserve"> </w:t>
      </w:r>
      <w:r w:rsidR="007919B9">
        <w:t xml:space="preserve">anticipated return to </w:t>
      </w:r>
      <w:r w:rsidR="007D000A" w:rsidRPr="007306E8">
        <w:t>population growth</w:t>
      </w:r>
      <w:r w:rsidR="00CF73C0">
        <w:t>,</w:t>
      </w:r>
      <w:r w:rsidR="007D000A" w:rsidRPr="007306E8">
        <w:t xml:space="preserve"> particularly in regional areas</w:t>
      </w:r>
      <w:r w:rsidR="0060195C">
        <w:t>.</w:t>
      </w:r>
      <w:r w:rsidR="007D000A" w:rsidRPr="007306E8">
        <w:t xml:space="preserve"> </w:t>
      </w:r>
    </w:p>
    <w:p w14:paraId="6AB75CFF" w14:textId="77777777" w:rsidR="007D000A" w:rsidRDefault="007D000A" w:rsidP="007D000A">
      <w:pPr>
        <w:pStyle w:val="Heading4"/>
        <w:rPr>
          <w:lang w:val="en-AU" w:eastAsia="en-AU"/>
        </w:rPr>
      </w:pPr>
      <w:r>
        <w:rPr>
          <w:lang w:val="en-AU" w:eastAsia="en-AU"/>
        </w:rPr>
        <w:t>Workforce and skilling implications</w:t>
      </w:r>
    </w:p>
    <w:p w14:paraId="41886DA5" w14:textId="77777777" w:rsidR="00FD4BC2" w:rsidRPr="00021F78" w:rsidRDefault="00FD4BC2" w:rsidP="00FD4BC2">
      <w:pPr>
        <w:rPr>
          <w:rFonts w:eastAsia="Arial" w:cs="Arial"/>
        </w:rPr>
      </w:pPr>
      <w:r w:rsidRPr="00021F78">
        <w:rPr>
          <w:rFonts w:eastAsia="Arial" w:cs="Arial"/>
        </w:rPr>
        <w:t xml:space="preserve">On average, across all industries total employment is expected to grow by an additional </w:t>
      </w:r>
      <w:r w:rsidRPr="00C66246">
        <w:rPr>
          <w:rFonts w:eastAsia="Arial" w:cs="Arial"/>
        </w:rPr>
        <w:t>211,900</w:t>
      </w:r>
      <w:r w:rsidRPr="00021F78">
        <w:rPr>
          <w:rFonts w:eastAsia="Arial" w:cs="Arial"/>
        </w:rPr>
        <w:t xml:space="preserve"> workers to 2025, from </w:t>
      </w:r>
      <w:r w:rsidRPr="00C66246">
        <w:rPr>
          <w:rFonts w:eastAsia="Arial" w:cs="Arial"/>
        </w:rPr>
        <w:t>3,538,900</w:t>
      </w:r>
      <w:r w:rsidRPr="00021F78">
        <w:rPr>
          <w:rFonts w:eastAsia="Arial" w:cs="Arial"/>
        </w:rPr>
        <w:t xml:space="preserve"> workers in 2022, a</w:t>
      </w:r>
      <w:r>
        <w:rPr>
          <w:rFonts w:eastAsia="Arial" w:cs="Arial"/>
        </w:rPr>
        <w:t>n annual</w:t>
      </w:r>
      <w:r w:rsidRPr="00021F78">
        <w:rPr>
          <w:rFonts w:eastAsia="Arial" w:cs="Arial"/>
        </w:rPr>
        <w:t xml:space="preserve"> growth rate of </w:t>
      </w:r>
      <w:r w:rsidRPr="00C66246">
        <w:rPr>
          <w:rFonts w:eastAsia="Arial" w:cs="Arial"/>
        </w:rPr>
        <w:t>1.97 per cent</w:t>
      </w:r>
      <w:r>
        <w:rPr>
          <w:rStyle w:val="FootnoteReference"/>
          <w:rFonts w:eastAsia="Arial" w:cs="Arial"/>
        </w:rPr>
        <w:footnoteReference w:id="2"/>
      </w:r>
      <w:r>
        <w:rPr>
          <w:rFonts w:eastAsia="Arial" w:cs="Arial"/>
        </w:rPr>
        <w:t>.</w:t>
      </w:r>
      <w:r>
        <w:rPr>
          <w:rStyle w:val="EndnoteReference"/>
          <w:rFonts w:eastAsia="Arial" w:cs="Arial"/>
        </w:rPr>
        <w:endnoteReference w:id="3"/>
      </w:r>
      <w:r>
        <w:rPr>
          <w:rFonts w:eastAsia="Arial" w:cs="Arial"/>
          <w:vertAlign w:val="superscript"/>
        </w:rPr>
        <w:t>,</w:t>
      </w:r>
      <w:r>
        <w:rPr>
          <w:rStyle w:val="EndnoteReference"/>
          <w:rFonts w:eastAsia="Arial" w:cs="Arial"/>
        </w:rPr>
        <w:endnoteReference w:id="4"/>
      </w:r>
      <w:r w:rsidRPr="00021F78">
        <w:rPr>
          <w:rFonts w:eastAsia="Arial" w:cs="Arial"/>
        </w:rPr>
        <w:t xml:space="preserve"> In comparison between 2017 and 2020 employment grew by </w:t>
      </w:r>
      <w:r w:rsidRPr="00C66246">
        <w:rPr>
          <w:rFonts w:eastAsia="Arial" w:cs="Arial"/>
        </w:rPr>
        <w:t>2.68 per cent</w:t>
      </w:r>
      <w:r>
        <w:rPr>
          <w:rStyle w:val="FootnoteReference"/>
          <w:rFonts w:eastAsia="Arial" w:cs="Arial"/>
        </w:rPr>
        <w:footnoteReference w:id="3"/>
      </w:r>
      <w:r>
        <w:rPr>
          <w:rFonts w:eastAsia="Arial" w:cs="Arial"/>
        </w:rPr>
        <w:t xml:space="preserve"> annually.</w:t>
      </w:r>
      <w:r>
        <w:rPr>
          <w:rStyle w:val="EndnoteReference"/>
          <w:rFonts w:eastAsia="Arial" w:cs="Arial"/>
        </w:rPr>
        <w:endnoteReference w:id="5"/>
      </w:r>
    </w:p>
    <w:p w14:paraId="29E337F2" w14:textId="0C5D2BB9" w:rsidR="00FD4BC2" w:rsidRDefault="00FD4BC2" w:rsidP="00FD4BC2">
      <w:pPr>
        <w:rPr>
          <w:rFonts w:eastAsia="Arial" w:cs="Arial"/>
          <w:color w:val="000000"/>
        </w:rPr>
      </w:pPr>
      <w:r w:rsidRPr="00021F78">
        <w:rPr>
          <w:rFonts w:eastAsia="Arial" w:cs="Arial"/>
        </w:rPr>
        <w:t xml:space="preserve">In the </w:t>
      </w:r>
      <w:r>
        <w:rPr>
          <w:rFonts w:eastAsia="Arial" w:cs="Arial"/>
        </w:rPr>
        <w:t xml:space="preserve">rental, hiring and real estate services </w:t>
      </w:r>
      <w:r w:rsidRPr="00021F78">
        <w:rPr>
          <w:rFonts w:eastAsia="Arial" w:cs="Arial"/>
        </w:rPr>
        <w:t>industry, employment is expected to grow by an additional</w:t>
      </w:r>
      <w:r>
        <w:rPr>
          <w:rFonts w:eastAsia="Arial" w:cs="Arial"/>
        </w:rPr>
        <w:t xml:space="preserve"> </w:t>
      </w:r>
      <w:r w:rsidRPr="00900FF9">
        <w:rPr>
          <w:rFonts w:eastAsia="Arial" w:cs="Arial"/>
        </w:rPr>
        <w:t>3,700 workers</w:t>
      </w:r>
      <w:r w:rsidRPr="00021F78">
        <w:rPr>
          <w:rFonts w:eastAsia="Arial" w:cs="Arial"/>
        </w:rPr>
        <w:t xml:space="preserve"> to 2025, from </w:t>
      </w:r>
      <w:r w:rsidRPr="00900FF9">
        <w:rPr>
          <w:rFonts w:eastAsia="Arial" w:cs="Arial"/>
        </w:rPr>
        <w:t>52,700 workers</w:t>
      </w:r>
      <w:r w:rsidRPr="00021F78">
        <w:rPr>
          <w:rFonts w:eastAsia="Arial" w:cs="Arial"/>
        </w:rPr>
        <w:t xml:space="preserve"> in 2022, a</w:t>
      </w:r>
      <w:r>
        <w:rPr>
          <w:rFonts w:eastAsia="Arial" w:cs="Arial"/>
        </w:rPr>
        <w:t>n annual</w:t>
      </w:r>
      <w:r w:rsidRPr="00021F78">
        <w:rPr>
          <w:rFonts w:eastAsia="Arial" w:cs="Arial"/>
        </w:rPr>
        <w:t xml:space="preserve"> growth rate of </w:t>
      </w:r>
      <w:r w:rsidRPr="00900FF9">
        <w:rPr>
          <w:rFonts w:eastAsia="Arial" w:cs="Arial"/>
        </w:rPr>
        <w:t>2.43 per cent</w:t>
      </w:r>
      <w:r>
        <w:rPr>
          <w:rStyle w:val="FootnoteReference"/>
          <w:rFonts w:eastAsia="Arial" w:cs="Arial"/>
        </w:rPr>
        <w:footnoteReference w:id="4"/>
      </w:r>
      <w:r>
        <w:rPr>
          <w:rFonts w:eastAsia="Arial" w:cs="Arial"/>
        </w:rPr>
        <w:t xml:space="preserve"> which is higher than the overall Victorian average across all industries.</w:t>
      </w:r>
      <w:r>
        <w:rPr>
          <w:rStyle w:val="EndnoteReference"/>
          <w:rFonts w:eastAsia="Arial" w:cs="Arial"/>
        </w:rPr>
        <w:endnoteReference w:id="6"/>
      </w:r>
      <w:r>
        <w:rPr>
          <w:rFonts w:eastAsia="Arial" w:cs="Arial"/>
          <w:vertAlign w:val="superscript"/>
        </w:rPr>
        <w:t>,</w:t>
      </w:r>
      <w:r>
        <w:rPr>
          <w:rStyle w:val="EndnoteReference"/>
          <w:rFonts w:eastAsia="Arial" w:cs="Arial"/>
        </w:rPr>
        <w:endnoteReference w:id="7"/>
      </w:r>
      <w:r w:rsidRPr="00021F78">
        <w:rPr>
          <w:rFonts w:eastAsia="Arial" w:cs="Arial"/>
          <w:color w:val="000000"/>
          <w:vertAlign w:val="superscript"/>
        </w:rPr>
        <w:t xml:space="preserve"> </w:t>
      </w:r>
      <w:r w:rsidRPr="00021F78">
        <w:rPr>
          <w:rFonts w:eastAsia="Arial" w:cs="Arial"/>
        </w:rPr>
        <w:t>In comparison between 2017 and 2020 employment across this</w:t>
      </w:r>
      <w:r>
        <w:rPr>
          <w:rFonts w:eastAsia="Arial" w:cs="Arial"/>
        </w:rPr>
        <w:t xml:space="preserve"> industry experienced a decline of 0.31 per cent</w:t>
      </w:r>
      <w:r w:rsidRPr="00900FF9">
        <w:rPr>
          <w:rStyle w:val="FootnoteReference"/>
          <w:rFonts w:eastAsia="Arial" w:cs="Arial"/>
        </w:rPr>
        <w:footnoteReference w:id="5"/>
      </w:r>
      <w:r w:rsidRPr="00900FF9">
        <w:rPr>
          <w:rFonts w:eastAsia="Arial" w:cs="Arial"/>
          <w:color w:val="000000"/>
        </w:rPr>
        <w:t>.</w:t>
      </w:r>
      <w:r w:rsidRPr="00900FF9">
        <w:rPr>
          <w:rStyle w:val="EndnoteReference"/>
          <w:rFonts w:eastAsia="Arial" w:cs="Arial"/>
        </w:rPr>
        <w:endnoteReference w:id="8"/>
      </w:r>
    </w:p>
    <w:p w14:paraId="1777A278" w14:textId="194D2912" w:rsidR="007D000A" w:rsidRDefault="007D000A" w:rsidP="007D000A">
      <w:pPr>
        <w:rPr>
          <w:lang w:val="en-AU" w:eastAsia="en-AU"/>
        </w:rPr>
      </w:pPr>
      <w:r>
        <w:rPr>
          <w:lang w:val="en-AU" w:eastAsia="en-AU"/>
        </w:rPr>
        <w:t xml:space="preserve">Moderate workforce growth will be required to meet expected demand. By 2025, an estimated </w:t>
      </w:r>
      <w:r w:rsidR="0016409A">
        <w:rPr>
          <w:lang w:val="en-AU" w:eastAsia="en-AU"/>
        </w:rPr>
        <w:t>5</w:t>
      </w:r>
      <w:r>
        <w:rPr>
          <w:lang w:val="en-AU" w:eastAsia="en-AU"/>
        </w:rPr>
        <w:t>,</w:t>
      </w:r>
      <w:r w:rsidR="0016409A">
        <w:rPr>
          <w:lang w:val="en-AU" w:eastAsia="en-AU"/>
        </w:rPr>
        <w:t>6</w:t>
      </w:r>
      <w:r>
        <w:rPr>
          <w:lang w:val="en-AU" w:eastAsia="en-AU"/>
        </w:rPr>
        <w:t>00</w:t>
      </w:r>
      <w:r w:rsidR="002955B5">
        <w:rPr>
          <w:lang w:val="en-AU" w:eastAsia="en-AU"/>
        </w:rPr>
        <w:t xml:space="preserve"> new </w:t>
      </w:r>
      <w:r w:rsidR="00D6510F">
        <w:rPr>
          <w:lang w:val="en-AU" w:eastAsia="en-AU"/>
        </w:rPr>
        <w:t>workers</w:t>
      </w:r>
      <w:r>
        <w:rPr>
          <w:lang w:val="en-AU" w:eastAsia="en-AU"/>
        </w:rPr>
        <w:t xml:space="preserve"> are needed.</w:t>
      </w:r>
      <w:r w:rsidR="008E5542">
        <w:rPr>
          <w:rStyle w:val="EndnoteReference"/>
          <w:lang w:val="en-AU" w:eastAsia="en-AU"/>
        </w:rPr>
        <w:endnoteReference w:id="9"/>
      </w:r>
      <w:r>
        <w:rPr>
          <w:lang w:val="en-AU" w:eastAsia="en-AU"/>
        </w:rPr>
        <w:t xml:space="preserve"> This includes </w:t>
      </w:r>
      <w:r w:rsidR="004A4C57">
        <w:rPr>
          <w:lang w:val="en-AU" w:eastAsia="en-AU"/>
        </w:rPr>
        <w:t>approximately</w:t>
      </w:r>
      <w:r>
        <w:rPr>
          <w:lang w:val="en-AU" w:eastAsia="en-AU"/>
        </w:rPr>
        <w:t xml:space="preserve"> </w:t>
      </w:r>
      <w:r w:rsidR="00DA2BBE">
        <w:rPr>
          <w:lang w:val="en-AU" w:eastAsia="en-AU"/>
        </w:rPr>
        <w:t>3,7</w:t>
      </w:r>
      <w:r>
        <w:rPr>
          <w:lang w:val="en-AU" w:eastAsia="en-AU"/>
        </w:rPr>
        <w:t xml:space="preserve">00 </w:t>
      </w:r>
      <w:r w:rsidR="00B40F86">
        <w:rPr>
          <w:lang w:val="en-AU" w:eastAsia="en-AU"/>
        </w:rPr>
        <w:t>employment</w:t>
      </w:r>
      <w:r w:rsidR="00DA2BBE">
        <w:rPr>
          <w:lang w:val="en-AU" w:eastAsia="en-AU"/>
        </w:rPr>
        <w:t xml:space="preserve"> growth</w:t>
      </w:r>
      <w:r>
        <w:rPr>
          <w:lang w:val="en-AU" w:eastAsia="en-AU"/>
        </w:rPr>
        <w:t xml:space="preserve"> </w:t>
      </w:r>
      <w:r w:rsidR="00D559C9">
        <w:rPr>
          <w:lang w:val="en-AU" w:eastAsia="en-AU"/>
        </w:rPr>
        <w:t>and</w:t>
      </w:r>
      <w:r w:rsidR="00D6510F">
        <w:rPr>
          <w:lang w:val="en-AU" w:eastAsia="en-AU"/>
        </w:rPr>
        <w:t xml:space="preserve"> replacement of</w:t>
      </w:r>
      <w:r>
        <w:rPr>
          <w:lang w:val="en-AU" w:eastAsia="en-AU"/>
        </w:rPr>
        <w:t xml:space="preserve"> </w:t>
      </w:r>
      <w:r w:rsidR="00322474">
        <w:rPr>
          <w:lang w:val="en-AU" w:eastAsia="en-AU"/>
        </w:rPr>
        <w:t>1,9</w:t>
      </w:r>
      <w:r>
        <w:rPr>
          <w:lang w:val="en-AU" w:eastAsia="en-AU"/>
        </w:rPr>
        <w:t>00</w:t>
      </w:r>
      <w:r w:rsidR="001051E0">
        <w:rPr>
          <w:lang w:val="en-AU" w:eastAsia="en-AU"/>
        </w:rPr>
        <w:t xml:space="preserve"> </w:t>
      </w:r>
      <w:r>
        <w:rPr>
          <w:lang w:val="en-AU" w:eastAsia="en-AU"/>
        </w:rPr>
        <w:t>retire</w:t>
      </w:r>
      <w:r w:rsidR="00D87D21">
        <w:rPr>
          <w:lang w:val="en-AU" w:eastAsia="en-AU"/>
        </w:rPr>
        <w:t>es</w:t>
      </w:r>
      <w:r>
        <w:rPr>
          <w:lang w:val="en-AU" w:eastAsia="en-AU"/>
        </w:rPr>
        <w:t>.</w:t>
      </w:r>
      <w:r w:rsidR="00FE752E">
        <w:rPr>
          <w:rStyle w:val="EndnoteReference"/>
          <w:lang w:val="en-AU" w:eastAsia="en-AU"/>
        </w:rPr>
        <w:endnoteReference w:id="10"/>
      </w:r>
      <w:r w:rsidR="00FE752E" w:rsidRPr="000F1EFC">
        <w:rPr>
          <w:vertAlign w:val="superscript"/>
          <w:lang w:val="en-AU" w:eastAsia="en-AU"/>
        </w:rPr>
        <w:t>,</w:t>
      </w:r>
      <w:r w:rsidR="00FE752E">
        <w:rPr>
          <w:rStyle w:val="EndnoteReference"/>
          <w:lang w:val="en-AU" w:eastAsia="en-AU"/>
        </w:rPr>
        <w:endnoteReference w:id="11"/>
      </w:r>
    </w:p>
    <w:p w14:paraId="3CADDCE7" w14:textId="2CB48371" w:rsidR="00CE0209" w:rsidRPr="008225D4" w:rsidRDefault="0022493D" w:rsidP="00CE0209">
      <w:pPr>
        <w:rPr>
          <w:rFonts w:eastAsia="Calibri" w:cs="Arial"/>
          <w:color w:val="000000"/>
          <w:szCs w:val="20"/>
          <w:lang w:val="en-AU" w:eastAsia="en-AU"/>
        </w:rPr>
      </w:pPr>
      <w:r>
        <w:rPr>
          <w:rFonts w:eastAsia="Calibri" w:cs="Arial"/>
          <w:color w:val="000000"/>
          <w:szCs w:val="22"/>
          <w:lang w:val="en-AU" w:eastAsia="en-AU"/>
        </w:rPr>
        <w:t>Table 2</w:t>
      </w:r>
      <w:r w:rsidR="007D000A" w:rsidRPr="00296C1E">
        <w:rPr>
          <w:rFonts w:eastAsia="Calibri" w:cs="Arial"/>
          <w:color w:val="000000"/>
          <w:szCs w:val="22"/>
          <w:lang w:val="en-AU" w:eastAsia="en-AU"/>
        </w:rPr>
        <w:t xml:space="preserve"> identifies the top ten occupations in demand</w:t>
      </w:r>
      <w:r w:rsidR="007D000A">
        <w:rPr>
          <w:rFonts w:eastAsia="Calibri" w:cs="Arial"/>
          <w:color w:val="000000"/>
          <w:szCs w:val="22"/>
          <w:lang w:val="en-AU" w:eastAsia="en-AU"/>
        </w:rPr>
        <w:t xml:space="preserve"> across the industry by 2025</w:t>
      </w:r>
      <w:r w:rsidR="007D000A" w:rsidRPr="00296C1E">
        <w:rPr>
          <w:rFonts w:eastAsia="Calibri" w:cs="Arial"/>
          <w:color w:val="000000"/>
          <w:szCs w:val="22"/>
          <w:lang w:val="en-AU" w:eastAsia="en-AU"/>
        </w:rPr>
        <w:t>.</w:t>
      </w:r>
      <w:r w:rsidR="00932C13">
        <w:rPr>
          <w:rStyle w:val="EndnoteReference"/>
          <w:rFonts w:eastAsia="Calibri" w:cs="Arial"/>
          <w:szCs w:val="22"/>
          <w:lang w:val="en-AU" w:eastAsia="en-AU"/>
        </w:rPr>
        <w:endnoteReference w:id="12"/>
      </w:r>
      <w:r w:rsidR="007D000A">
        <w:rPr>
          <w:rFonts w:eastAsia="Calibri" w:cs="Arial"/>
          <w:color w:val="000000"/>
          <w:szCs w:val="22"/>
          <w:lang w:val="en-AU" w:eastAsia="en-AU"/>
        </w:rPr>
        <w:t xml:space="preserve"> </w:t>
      </w:r>
      <w:r w:rsidR="007E31FE" w:rsidRPr="00021F78">
        <w:rPr>
          <w:rFonts w:eastAsia="Arial" w:cs="Arial"/>
          <w:shd w:val="clear" w:color="auto" w:fill="FFFFFF"/>
        </w:rPr>
        <w:t>Of these, </w:t>
      </w:r>
      <w:r w:rsidR="007E31FE">
        <w:rPr>
          <w:rFonts w:eastAsia="Arial" w:cs="Arial"/>
          <w:shd w:val="clear" w:color="auto" w:fill="FFFFFF"/>
        </w:rPr>
        <w:t>seven occupations (highlighted in table)</w:t>
      </w:r>
      <w:r w:rsidR="007E31FE" w:rsidRPr="00021F78">
        <w:rPr>
          <w:rFonts w:eastAsia="Arial" w:cs="Arial"/>
          <w:shd w:val="clear" w:color="auto" w:fill="FFFFFF"/>
        </w:rPr>
        <w:t xml:space="preserve"> are expected to experience employment growth at a rate above the overall Victorian average between 2022 and 2025.  </w:t>
      </w:r>
    </w:p>
    <w:p w14:paraId="07A9CA77" w14:textId="5F893D28" w:rsidR="008225D4" w:rsidRPr="00F654EC" w:rsidRDefault="008225D4" w:rsidP="008225D4">
      <w:pPr>
        <w:pStyle w:val="Caption"/>
        <w:keepNext/>
        <w:rPr>
          <w:sz w:val="20"/>
          <w:szCs w:val="20"/>
        </w:rPr>
      </w:pPr>
      <w:r w:rsidRPr="00F654EC">
        <w:rPr>
          <w:sz w:val="20"/>
          <w:szCs w:val="20"/>
        </w:rPr>
        <w:t xml:space="preserve">Table </w:t>
      </w:r>
      <w:r w:rsidR="009D7386" w:rsidRPr="00F654EC">
        <w:rPr>
          <w:sz w:val="20"/>
          <w:szCs w:val="20"/>
        </w:rPr>
        <w:fldChar w:fldCharType="begin"/>
      </w:r>
      <w:r w:rsidR="009D7386" w:rsidRPr="00F654EC">
        <w:rPr>
          <w:sz w:val="20"/>
          <w:szCs w:val="20"/>
        </w:rPr>
        <w:instrText xml:space="preserve"> SEQ Table \* ARABIC </w:instrText>
      </w:r>
      <w:r w:rsidR="009D7386" w:rsidRPr="00F654EC">
        <w:rPr>
          <w:sz w:val="20"/>
          <w:szCs w:val="20"/>
        </w:rPr>
        <w:fldChar w:fldCharType="separate"/>
      </w:r>
      <w:r w:rsidR="00C435CB">
        <w:rPr>
          <w:noProof/>
          <w:sz w:val="20"/>
          <w:szCs w:val="20"/>
        </w:rPr>
        <w:t>2</w:t>
      </w:r>
      <w:r w:rsidR="009D7386" w:rsidRPr="00F654EC">
        <w:rPr>
          <w:sz w:val="20"/>
          <w:szCs w:val="20"/>
        </w:rPr>
        <w:fldChar w:fldCharType="end"/>
      </w:r>
      <w:r w:rsidRPr="00F654EC">
        <w:rPr>
          <w:sz w:val="20"/>
          <w:szCs w:val="20"/>
        </w:rPr>
        <w:t xml:space="preserve"> | Occupations in demand in the rental, hiring and real estate services industry by 2025</w:t>
      </w:r>
      <w:r w:rsidR="00DF306F">
        <w:rPr>
          <w:rStyle w:val="FootnoteReference"/>
          <w:rFonts w:eastAsia="Arial" w:cs="Arial"/>
          <w:sz w:val="20"/>
          <w:szCs w:val="20"/>
        </w:rPr>
        <w:footnoteReference w:id="6"/>
      </w:r>
      <w:r w:rsidR="00767A18">
        <w:rPr>
          <w:rFonts w:eastAsia="Arial" w:cs="Arial"/>
          <w:color w:val="000000"/>
          <w:sz w:val="20"/>
          <w:szCs w:val="20"/>
          <w:vertAlign w:val="superscript"/>
        </w:rPr>
        <w:t>,</w:t>
      </w:r>
      <w:r w:rsidR="00767A18">
        <w:rPr>
          <w:rStyle w:val="EndnoteReference"/>
          <w:rFonts w:eastAsia="Arial" w:cs="Arial"/>
          <w:sz w:val="20"/>
          <w:szCs w:val="20"/>
        </w:rPr>
        <w:endnoteReference w:id="13"/>
      </w:r>
      <w:r w:rsidR="00767A18">
        <w:rPr>
          <w:rFonts w:eastAsia="Arial" w:cs="Arial"/>
          <w:color w:val="000000"/>
          <w:sz w:val="20"/>
          <w:szCs w:val="20"/>
          <w:vertAlign w:val="superscript"/>
        </w:rPr>
        <w:t>,</w:t>
      </w:r>
      <w:r w:rsidR="00767A18">
        <w:rPr>
          <w:rStyle w:val="EndnoteReference"/>
          <w:rFonts w:eastAsia="Arial" w:cs="Arial"/>
          <w:sz w:val="20"/>
          <w:szCs w:val="20"/>
        </w:rPr>
        <w:endnoteReference w:id="14"/>
      </w:r>
    </w:p>
    <w:tbl>
      <w:tblPr>
        <w:tblStyle w:val="TableGrid-Header"/>
        <w:tblW w:w="0" w:type="auto"/>
        <w:tblLook w:val="04A0" w:firstRow="1" w:lastRow="0" w:firstColumn="1" w:lastColumn="0" w:noHBand="0" w:noVBand="1"/>
      </w:tblPr>
      <w:tblGrid>
        <w:gridCol w:w="970"/>
        <w:gridCol w:w="1222"/>
        <w:gridCol w:w="1395"/>
        <w:gridCol w:w="1417"/>
        <w:gridCol w:w="1417"/>
        <w:gridCol w:w="1420"/>
        <w:gridCol w:w="1184"/>
      </w:tblGrid>
      <w:tr w:rsidR="006A214D" w:rsidRPr="00001815" w14:paraId="362DDCBE" w14:textId="77777777" w:rsidTr="00150C9E">
        <w:trPr>
          <w:cnfStyle w:val="100000000000" w:firstRow="1" w:lastRow="0" w:firstColumn="0" w:lastColumn="0" w:oddVBand="0" w:evenVBand="0" w:oddHBand="0" w:evenHBand="0" w:firstRowFirstColumn="0" w:firstRowLastColumn="0" w:lastRowFirstColumn="0" w:lastRowLastColumn="0"/>
          <w:trHeight w:val="60"/>
        </w:trPr>
        <w:tc>
          <w:tcPr>
            <w:tcW w:w="2192" w:type="dxa"/>
            <w:gridSpan w:val="2"/>
            <w:tcBorders>
              <w:top w:val="single" w:sz="18" w:space="0" w:color="auto"/>
              <w:left w:val="single" w:sz="18" w:space="0" w:color="auto"/>
              <w:bottom w:val="single" w:sz="18" w:space="0" w:color="auto"/>
            </w:tcBorders>
            <w:shd w:val="clear" w:color="auto" w:fill="000000" w:themeFill="text1"/>
          </w:tcPr>
          <w:p w14:paraId="677F5433" w14:textId="19AC0D68" w:rsidR="006A214D" w:rsidRPr="00001815" w:rsidRDefault="006A214D" w:rsidP="006A214D">
            <w:pPr>
              <w:spacing w:before="80" w:after="80"/>
              <w:rPr>
                <w:rFonts w:eastAsia="SimHei" w:cs="Arial"/>
                <w:szCs w:val="20"/>
                <w:lang w:eastAsia="en-AU"/>
              </w:rPr>
            </w:pPr>
            <w:r w:rsidRPr="00001815">
              <w:rPr>
                <w:rFonts w:eastAsia="SimHei" w:cs="Arial"/>
                <w:szCs w:val="20"/>
                <w:lang w:eastAsia="en-AU"/>
              </w:rPr>
              <w:t xml:space="preserve">Occupation </w:t>
            </w:r>
          </w:p>
        </w:tc>
        <w:tc>
          <w:tcPr>
            <w:tcW w:w="1395" w:type="dxa"/>
            <w:tcBorders>
              <w:top w:val="single" w:sz="18" w:space="0" w:color="auto"/>
              <w:bottom w:val="single" w:sz="18" w:space="0" w:color="auto"/>
            </w:tcBorders>
            <w:shd w:val="clear" w:color="auto" w:fill="000000" w:themeFill="text1"/>
          </w:tcPr>
          <w:p w14:paraId="1ACE1E8B" w14:textId="788B173C" w:rsidR="006A214D" w:rsidRPr="00001815" w:rsidRDefault="006A214D" w:rsidP="006A214D">
            <w:pPr>
              <w:spacing w:before="80" w:after="80"/>
              <w:rPr>
                <w:rFonts w:eastAsia="SimHei" w:cs="Arial"/>
                <w:szCs w:val="20"/>
              </w:rPr>
            </w:pPr>
            <w:r w:rsidRPr="00001815">
              <w:rPr>
                <w:rFonts w:eastAsia="SimHei" w:cs="Arial"/>
                <w:szCs w:val="20"/>
              </w:rPr>
              <w:t>Current employment</w:t>
            </w:r>
          </w:p>
        </w:tc>
        <w:tc>
          <w:tcPr>
            <w:tcW w:w="1417" w:type="dxa"/>
            <w:tcBorders>
              <w:top w:val="single" w:sz="18" w:space="0" w:color="auto"/>
              <w:bottom w:val="single" w:sz="18" w:space="0" w:color="auto"/>
            </w:tcBorders>
            <w:shd w:val="clear" w:color="auto" w:fill="000000" w:themeFill="text1"/>
          </w:tcPr>
          <w:p w14:paraId="70767131" w14:textId="316F3DE7" w:rsidR="006A214D" w:rsidRPr="00001815" w:rsidRDefault="006A214D" w:rsidP="006A214D">
            <w:pPr>
              <w:spacing w:before="80" w:after="80"/>
              <w:rPr>
                <w:rFonts w:eastAsia="SimHei" w:cs="Arial"/>
                <w:szCs w:val="20"/>
                <w:lang w:eastAsia="en-AU"/>
              </w:rPr>
            </w:pPr>
            <w:r w:rsidRPr="00001815">
              <w:rPr>
                <w:rFonts w:eastAsia="SimHei" w:cs="Arial"/>
                <w:szCs w:val="20"/>
              </w:rPr>
              <w:t>Employment growth (2022</w:t>
            </w:r>
            <w:r w:rsidRPr="00001815">
              <w:rPr>
                <w:rFonts w:eastAsia="SimHei" w:cs="Arial"/>
                <w:szCs w:val="20"/>
              </w:rPr>
              <w:sym w:font="Symbol" w:char="F02D"/>
            </w:r>
            <w:r w:rsidRPr="00001815">
              <w:rPr>
                <w:rFonts w:eastAsia="SimHei" w:cs="Arial"/>
                <w:szCs w:val="20"/>
              </w:rPr>
              <w:t>25) number</w:t>
            </w:r>
          </w:p>
        </w:tc>
        <w:tc>
          <w:tcPr>
            <w:tcW w:w="1417" w:type="dxa"/>
            <w:tcBorders>
              <w:top w:val="single" w:sz="18" w:space="0" w:color="auto"/>
              <w:bottom w:val="single" w:sz="18" w:space="0" w:color="auto"/>
            </w:tcBorders>
            <w:shd w:val="clear" w:color="auto" w:fill="000000" w:themeFill="text1"/>
          </w:tcPr>
          <w:p w14:paraId="0AE15592" w14:textId="061BA288" w:rsidR="006A214D" w:rsidRPr="00001815" w:rsidRDefault="006A214D" w:rsidP="006A214D">
            <w:pPr>
              <w:spacing w:before="80" w:after="80"/>
              <w:rPr>
                <w:rFonts w:eastAsia="SimHei" w:cs="Arial"/>
                <w:szCs w:val="20"/>
              </w:rPr>
            </w:pPr>
            <w:r w:rsidRPr="00001815">
              <w:rPr>
                <w:rFonts w:eastAsia="SimHei" w:cs="Arial"/>
                <w:szCs w:val="20"/>
              </w:rPr>
              <w:t>Employment growth (2022</w:t>
            </w:r>
            <w:r w:rsidRPr="00001815">
              <w:rPr>
                <w:rFonts w:eastAsia="SimHei" w:cs="Arial"/>
                <w:szCs w:val="20"/>
              </w:rPr>
              <w:sym w:font="Symbol" w:char="F02D"/>
            </w:r>
            <w:r w:rsidRPr="00001815">
              <w:rPr>
                <w:rFonts w:eastAsia="SimHei" w:cs="Arial"/>
                <w:szCs w:val="20"/>
              </w:rPr>
              <w:t>25) per cent</w:t>
            </w:r>
          </w:p>
        </w:tc>
        <w:tc>
          <w:tcPr>
            <w:tcW w:w="1420" w:type="dxa"/>
            <w:tcBorders>
              <w:top w:val="single" w:sz="18" w:space="0" w:color="auto"/>
              <w:bottom w:val="single" w:sz="18" w:space="0" w:color="auto"/>
            </w:tcBorders>
            <w:shd w:val="clear" w:color="auto" w:fill="000000" w:themeFill="text1"/>
          </w:tcPr>
          <w:p w14:paraId="019C83C1" w14:textId="1CA1E6D4" w:rsidR="006A214D" w:rsidRPr="00001815" w:rsidRDefault="006A214D" w:rsidP="006A214D">
            <w:pPr>
              <w:spacing w:before="80" w:after="80"/>
              <w:rPr>
                <w:rFonts w:eastAsia="SimHei" w:cs="Arial"/>
                <w:szCs w:val="20"/>
              </w:rPr>
            </w:pPr>
            <w:r w:rsidRPr="00001815">
              <w:rPr>
                <w:rFonts w:eastAsia="SimHei" w:cs="Arial"/>
                <w:szCs w:val="20"/>
              </w:rPr>
              <w:t xml:space="preserve">Retirements </w:t>
            </w:r>
            <w:r w:rsidRPr="00001815">
              <w:rPr>
                <w:rFonts w:eastAsia="SimHei" w:cs="Arial"/>
                <w:szCs w:val="20"/>
              </w:rPr>
              <w:br/>
              <w:t>(2022</w:t>
            </w:r>
            <w:r w:rsidRPr="00001815">
              <w:rPr>
                <w:rFonts w:eastAsia="SimHei" w:cs="Arial"/>
                <w:szCs w:val="20"/>
              </w:rPr>
              <w:sym w:font="Symbol" w:char="F02D"/>
            </w:r>
            <w:r w:rsidRPr="00001815">
              <w:rPr>
                <w:rFonts w:eastAsia="SimHei" w:cs="Arial"/>
                <w:szCs w:val="20"/>
              </w:rPr>
              <w:t>25)</w:t>
            </w:r>
          </w:p>
        </w:tc>
        <w:tc>
          <w:tcPr>
            <w:tcW w:w="1184" w:type="dxa"/>
            <w:tcBorders>
              <w:top w:val="single" w:sz="18" w:space="0" w:color="auto"/>
              <w:bottom w:val="single" w:sz="18" w:space="0" w:color="auto"/>
              <w:right w:val="single" w:sz="18" w:space="0" w:color="auto"/>
            </w:tcBorders>
            <w:shd w:val="clear" w:color="auto" w:fill="000000" w:themeFill="text1"/>
          </w:tcPr>
          <w:p w14:paraId="6C77420D" w14:textId="0A210B4A" w:rsidR="006A214D" w:rsidRPr="00001815" w:rsidRDefault="006A214D" w:rsidP="006A214D">
            <w:pPr>
              <w:spacing w:before="80" w:after="80"/>
              <w:rPr>
                <w:rFonts w:eastAsia="SimHei" w:cs="Arial"/>
                <w:szCs w:val="20"/>
              </w:rPr>
            </w:pPr>
            <w:r w:rsidRPr="00001815">
              <w:rPr>
                <w:rFonts w:eastAsia="SimHei" w:cs="Arial"/>
                <w:szCs w:val="20"/>
              </w:rPr>
              <w:t>New workers needed (2022</w:t>
            </w:r>
            <w:r w:rsidRPr="00001815">
              <w:rPr>
                <w:rFonts w:eastAsia="SimHei" w:cs="Arial"/>
                <w:szCs w:val="20"/>
              </w:rPr>
              <w:sym w:font="Symbol" w:char="F02D"/>
            </w:r>
            <w:r w:rsidRPr="00001815">
              <w:rPr>
                <w:rFonts w:eastAsia="SimHei" w:cs="Arial"/>
                <w:szCs w:val="20"/>
              </w:rPr>
              <w:t>25)</w:t>
            </w:r>
          </w:p>
        </w:tc>
      </w:tr>
      <w:tr w:rsidR="006A214D" w:rsidRPr="00001815" w14:paraId="1EC0CB99" w14:textId="77777777" w:rsidTr="00150C9E">
        <w:trPr>
          <w:trHeight w:val="151"/>
        </w:trPr>
        <w:tc>
          <w:tcPr>
            <w:tcW w:w="2192" w:type="dxa"/>
            <w:gridSpan w:val="2"/>
            <w:tcBorders>
              <w:top w:val="single" w:sz="18" w:space="0" w:color="auto"/>
              <w:left w:val="single" w:sz="18" w:space="0" w:color="auto"/>
            </w:tcBorders>
            <w:shd w:val="clear" w:color="auto" w:fill="FFFFFF" w:themeFill="background1"/>
          </w:tcPr>
          <w:p w14:paraId="360089BB" w14:textId="77777777" w:rsidR="006A214D" w:rsidRPr="00001815" w:rsidRDefault="006A214D" w:rsidP="006A214D">
            <w:pPr>
              <w:spacing w:before="80" w:after="80"/>
              <w:rPr>
                <w:rFonts w:eastAsia="SimHei" w:cs="Arial"/>
                <w:b/>
                <w:bCs/>
                <w:szCs w:val="20"/>
              </w:rPr>
            </w:pPr>
            <w:r w:rsidRPr="00001815">
              <w:rPr>
                <w:rFonts w:cs="Arial"/>
                <w:b/>
                <w:bCs/>
                <w:szCs w:val="20"/>
              </w:rPr>
              <w:t>Real estate sales agents</w:t>
            </w:r>
          </w:p>
        </w:tc>
        <w:tc>
          <w:tcPr>
            <w:tcW w:w="1395" w:type="dxa"/>
            <w:tcBorders>
              <w:top w:val="single" w:sz="18" w:space="0" w:color="auto"/>
            </w:tcBorders>
            <w:shd w:val="clear" w:color="auto" w:fill="FFFFFF" w:themeFill="background1"/>
          </w:tcPr>
          <w:p w14:paraId="4DB09A22" w14:textId="77777777" w:rsidR="006A214D" w:rsidRPr="00001815" w:rsidRDefault="006A214D" w:rsidP="006A214D">
            <w:pPr>
              <w:spacing w:before="80" w:after="80"/>
              <w:jc w:val="right"/>
              <w:rPr>
                <w:rFonts w:eastAsia="SimHei" w:cs="Arial"/>
                <w:b/>
                <w:bCs/>
                <w:szCs w:val="20"/>
              </w:rPr>
            </w:pPr>
            <w:r w:rsidRPr="00001815">
              <w:rPr>
                <w:rFonts w:cs="Arial"/>
                <w:b/>
                <w:bCs/>
                <w:szCs w:val="20"/>
              </w:rPr>
              <w:t>17,850</w:t>
            </w:r>
          </w:p>
        </w:tc>
        <w:tc>
          <w:tcPr>
            <w:tcW w:w="1417" w:type="dxa"/>
            <w:tcBorders>
              <w:top w:val="single" w:sz="18" w:space="0" w:color="auto"/>
            </w:tcBorders>
            <w:shd w:val="clear" w:color="auto" w:fill="FFFFFF" w:themeFill="background1"/>
          </w:tcPr>
          <w:p w14:paraId="0B15E3F8" w14:textId="77777777" w:rsidR="006A214D" w:rsidRPr="00001815" w:rsidRDefault="006A214D" w:rsidP="006A214D">
            <w:pPr>
              <w:spacing w:before="80" w:after="80"/>
              <w:jc w:val="right"/>
              <w:rPr>
                <w:rFonts w:eastAsia="SimHei" w:cs="Arial"/>
                <w:b/>
                <w:bCs/>
                <w:szCs w:val="20"/>
              </w:rPr>
            </w:pPr>
            <w:r w:rsidRPr="00001815">
              <w:rPr>
                <w:rFonts w:cs="Arial"/>
                <w:b/>
                <w:bCs/>
                <w:szCs w:val="20"/>
              </w:rPr>
              <w:t>1,800</w:t>
            </w:r>
          </w:p>
        </w:tc>
        <w:tc>
          <w:tcPr>
            <w:tcW w:w="1417" w:type="dxa"/>
            <w:tcBorders>
              <w:top w:val="single" w:sz="18" w:space="0" w:color="auto"/>
            </w:tcBorders>
            <w:shd w:val="clear" w:color="auto" w:fill="FFFFFF" w:themeFill="background1"/>
          </w:tcPr>
          <w:p w14:paraId="61D75DDC" w14:textId="77777777" w:rsidR="006A214D" w:rsidRPr="00001815" w:rsidRDefault="006A214D" w:rsidP="006A214D">
            <w:pPr>
              <w:spacing w:before="80" w:after="80"/>
              <w:jc w:val="right"/>
              <w:rPr>
                <w:rFonts w:eastAsia="SimHei" w:cs="Arial"/>
                <w:b/>
                <w:bCs/>
                <w:szCs w:val="20"/>
              </w:rPr>
            </w:pPr>
            <w:r w:rsidRPr="00001815">
              <w:rPr>
                <w:rFonts w:cs="Arial"/>
                <w:b/>
                <w:bCs/>
                <w:szCs w:val="20"/>
              </w:rPr>
              <w:t>2.6%</w:t>
            </w:r>
          </w:p>
        </w:tc>
        <w:tc>
          <w:tcPr>
            <w:tcW w:w="1420" w:type="dxa"/>
            <w:tcBorders>
              <w:top w:val="single" w:sz="18" w:space="0" w:color="auto"/>
            </w:tcBorders>
            <w:shd w:val="clear" w:color="auto" w:fill="FFFFFF" w:themeFill="background1"/>
          </w:tcPr>
          <w:p w14:paraId="1E38A6AD" w14:textId="77777777" w:rsidR="006A214D" w:rsidRPr="00001815" w:rsidRDefault="006A214D" w:rsidP="006A214D">
            <w:pPr>
              <w:spacing w:before="80" w:after="80"/>
              <w:jc w:val="right"/>
              <w:rPr>
                <w:rFonts w:eastAsia="SimHei" w:cs="Arial"/>
                <w:b/>
                <w:bCs/>
                <w:szCs w:val="20"/>
              </w:rPr>
            </w:pPr>
            <w:r w:rsidRPr="00001815">
              <w:rPr>
                <w:rFonts w:cs="Arial"/>
                <w:b/>
                <w:bCs/>
                <w:szCs w:val="20"/>
              </w:rPr>
              <w:t>600</w:t>
            </w:r>
          </w:p>
        </w:tc>
        <w:tc>
          <w:tcPr>
            <w:tcW w:w="1184" w:type="dxa"/>
            <w:tcBorders>
              <w:top w:val="single" w:sz="18" w:space="0" w:color="auto"/>
              <w:right w:val="single" w:sz="18" w:space="0" w:color="auto"/>
            </w:tcBorders>
            <w:shd w:val="clear" w:color="auto" w:fill="FFFFFF" w:themeFill="background1"/>
          </w:tcPr>
          <w:p w14:paraId="7E5F07F2" w14:textId="77777777" w:rsidR="006A214D" w:rsidRPr="00001815" w:rsidRDefault="006A214D" w:rsidP="006A214D">
            <w:pPr>
              <w:spacing w:before="80" w:after="80"/>
              <w:jc w:val="right"/>
              <w:rPr>
                <w:rFonts w:eastAsia="SimHei" w:cs="Arial"/>
                <w:b/>
                <w:bCs/>
                <w:szCs w:val="20"/>
              </w:rPr>
            </w:pPr>
            <w:r w:rsidRPr="00001815">
              <w:rPr>
                <w:rFonts w:cs="Arial"/>
                <w:b/>
                <w:bCs/>
                <w:szCs w:val="20"/>
              </w:rPr>
              <w:t>2,350</w:t>
            </w:r>
          </w:p>
        </w:tc>
      </w:tr>
      <w:tr w:rsidR="006A214D" w:rsidRPr="00001815" w14:paraId="74CAAD7A" w14:textId="77777777" w:rsidTr="00150C9E">
        <w:trPr>
          <w:trHeight w:val="151"/>
        </w:trPr>
        <w:tc>
          <w:tcPr>
            <w:tcW w:w="2192" w:type="dxa"/>
            <w:gridSpan w:val="2"/>
            <w:tcBorders>
              <w:left w:val="single" w:sz="18" w:space="0" w:color="auto"/>
            </w:tcBorders>
            <w:shd w:val="clear" w:color="auto" w:fill="FFFFFF" w:themeFill="background1"/>
          </w:tcPr>
          <w:p w14:paraId="654F69A6" w14:textId="77777777" w:rsidR="006A214D" w:rsidRPr="00001815" w:rsidRDefault="006A214D" w:rsidP="006A214D">
            <w:pPr>
              <w:spacing w:before="80" w:after="80"/>
              <w:rPr>
                <w:rFonts w:eastAsia="SimHei" w:cs="Arial"/>
                <w:b/>
                <w:bCs/>
                <w:szCs w:val="20"/>
              </w:rPr>
            </w:pPr>
            <w:r w:rsidRPr="00001815">
              <w:rPr>
                <w:rFonts w:cs="Arial"/>
                <w:b/>
                <w:bCs/>
                <w:szCs w:val="20"/>
              </w:rPr>
              <w:t>General clerks</w:t>
            </w:r>
          </w:p>
        </w:tc>
        <w:tc>
          <w:tcPr>
            <w:tcW w:w="1395" w:type="dxa"/>
            <w:shd w:val="clear" w:color="auto" w:fill="FFFFFF" w:themeFill="background1"/>
          </w:tcPr>
          <w:p w14:paraId="3294E092" w14:textId="77777777" w:rsidR="006A214D" w:rsidRPr="00001815" w:rsidRDefault="006A214D" w:rsidP="006A214D">
            <w:pPr>
              <w:spacing w:before="80" w:after="80"/>
              <w:jc w:val="right"/>
              <w:rPr>
                <w:rFonts w:eastAsia="SimHei" w:cs="Arial"/>
                <w:b/>
                <w:bCs/>
                <w:szCs w:val="20"/>
              </w:rPr>
            </w:pPr>
            <w:r w:rsidRPr="00001815">
              <w:rPr>
                <w:rFonts w:cs="Arial"/>
                <w:b/>
                <w:bCs/>
                <w:szCs w:val="20"/>
              </w:rPr>
              <w:t>3,200</w:t>
            </w:r>
          </w:p>
        </w:tc>
        <w:tc>
          <w:tcPr>
            <w:tcW w:w="1417" w:type="dxa"/>
            <w:shd w:val="clear" w:color="auto" w:fill="FFFFFF" w:themeFill="background1"/>
          </w:tcPr>
          <w:p w14:paraId="1477FDA9" w14:textId="77777777" w:rsidR="006A214D" w:rsidRPr="00001815" w:rsidRDefault="006A214D" w:rsidP="006A214D">
            <w:pPr>
              <w:spacing w:before="80" w:after="80"/>
              <w:jc w:val="right"/>
              <w:rPr>
                <w:rFonts w:eastAsia="SimHei" w:cs="Arial"/>
                <w:b/>
                <w:bCs/>
                <w:szCs w:val="20"/>
              </w:rPr>
            </w:pPr>
            <w:r w:rsidRPr="00001815">
              <w:rPr>
                <w:rFonts w:cs="Arial"/>
                <w:b/>
                <w:bCs/>
                <w:szCs w:val="20"/>
              </w:rPr>
              <w:t>200</w:t>
            </w:r>
          </w:p>
        </w:tc>
        <w:tc>
          <w:tcPr>
            <w:tcW w:w="1417" w:type="dxa"/>
            <w:shd w:val="clear" w:color="auto" w:fill="FFFFFF" w:themeFill="background1"/>
          </w:tcPr>
          <w:p w14:paraId="5A4AEDD9" w14:textId="77777777" w:rsidR="006A214D" w:rsidRPr="00001815" w:rsidRDefault="006A214D" w:rsidP="006A214D">
            <w:pPr>
              <w:spacing w:before="80" w:after="80"/>
              <w:jc w:val="right"/>
              <w:rPr>
                <w:rFonts w:eastAsia="SimHei" w:cs="Arial"/>
                <w:b/>
                <w:bCs/>
                <w:szCs w:val="20"/>
              </w:rPr>
            </w:pPr>
            <w:r w:rsidRPr="00001815">
              <w:rPr>
                <w:rFonts w:cs="Arial"/>
                <w:b/>
                <w:bCs/>
                <w:szCs w:val="20"/>
              </w:rPr>
              <w:t>3.4%</w:t>
            </w:r>
          </w:p>
        </w:tc>
        <w:tc>
          <w:tcPr>
            <w:tcW w:w="1420" w:type="dxa"/>
            <w:shd w:val="clear" w:color="auto" w:fill="FFFFFF" w:themeFill="background1"/>
          </w:tcPr>
          <w:p w14:paraId="0793732E" w14:textId="77777777" w:rsidR="006A214D" w:rsidRPr="00001815" w:rsidRDefault="006A214D" w:rsidP="006A214D">
            <w:pPr>
              <w:spacing w:before="80" w:after="80"/>
              <w:jc w:val="right"/>
              <w:rPr>
                <w:rFonts w:eastAsia="SimHei" w:cs="Arial"/>
                <w:b/>
                <w:bCs/>
                <w:szCs w:val="20"/>
              </w:rPr>
            </w:pPr>
            <w:r w:rsidRPr="00001815">
              <w:rPr>
                <w:rFonts w:cs="Arial"/>
                <w:b/>
                <w:bCs/>
                <w:szCs w:val="20"/>
              </w:rPr>
              <w:t>100</w:t>
            </w:r>
          </w:p>
        </w:tc>
        <w:tc>
          <w:tcPr>
            <w:tcW w:w="1184" w:type="dxa"/>
            <w:tcBorders>
              <w:right w:val="single" w:sz="18" w:space="0" w:color="auto"/>
            </w:tcBorders>
            <w:shd w:val="clear" w:color="auto" w:fill="FFFFFF" w:themeFill="background1"/>
          </w:tcPr>
          <w:p w14:paraId="3EB65AEB" w14:textId="77777777" w:rsidR="006A214D" w:rsidRPr="00001815" w:rsidRDefault="006A214D" w:rsidP="006A214D">
            <w:pPr>
              <w:spacing w:before="80" w:after="80"/>
              <w:jc w:val="right"/>
              <w:rPr>
                <w:rFonts w:eastAsia="SimHei" w:cs="Arial"/>
                <w:b/>
                <w:bCs/>
                <w:szCs w:val="20"/>
              </w:rPr>
            </w:pPr>
            <w:r w:rsidRPr="00001815">
              <w:rPr>
                <w:rFonts w:cs="Arial"/>
                <w:b/>
                <w:bCs/>
                <w:szCs w:val="20"/>
              </w:rPr>
              <w:t>300</w:t>
            </w:r>
          </w:p>
        </w:tc>
      </w:tr>
      <w:tr w:rsidR="006A214D" w:rsidRPr="00001815" w14:paraId="787EF391" w14:textId="77777777" w:rsidTr="00150C9E">
        <w:trPr>
          <w:trHeight w:val="145"/>
        </w:trPr>
        <w:tc>
          <w:tcPr>
            <w:tcW w:w="2192" w:type="dxa"/>
            <w:gridSpan w:val="2"/>
            <w:tcBorders>
              <w:left w:val="single" w:sz="18" w:space="0" w:color="auto"/>
            </w:tcBorders>
            <w:shd w:val="clear" w:color="auto" w:fill="FFFFFF" w:themeFill="background1"/>
          </w:tcPr>
          <w:p w14:paraId="1E6E25CC" w14:textId="77777777" w:rsidR="006A214D" w:rsidRPr="00001815" w:rsidRDefault="006A214D" w:rsidP="006A214D">
            <w:pPr>
              <w:spacing w:before="80" w:after="80"/>
              <w:rPr>
                <w:rFonts w:eastAsia="SimHei" w:cs="Arial"/>
                <w:b/>
                <w:bCs/>
                <w:szCs w:val="20"/>
              </w:rPr>
            </w:pPr>
            <w:r w:rsidRPr="00001815">
              <w:rPr>
                <w:rFonts w:cs="Arial"/>
                <w:b/>
                <w:bCs/>
                <w:szCs w:val="20"/>
              </w:rPr>
              <w:t>Land economists and valuers</w:t>
            </w:r>
          </w:p>
        </w:tc>
        <w:tc>
          <w:tcPr>
            <w:tcW w:w="1395" w:type="dxa"/>
            <w:shd w:val="clear" w:color="auto" w:fill="FFFFFF" w:themeFill="background1"/>
          </w:tcPr>
          <w:p w14:paraId="02ACBBFC" w14:textId="77777777" w:rsidR="006A214D" w:rsidRPr="00001815" w:rsidRDefault="006A214D" w:rsidP="006A214D">
            <w:pPr>
              <w:spacing w:before="80" w:after="80"/>
              <w:jc w:val="right"/>
              <w:rPr>
                <w:rFonts w:eastAsia="SimHei" w:cs="Arial"/>
                <w:b/>
                <w:bCs/>
                <w:szCs w:val="20"/>
              </w:rPr>
            </w:pPr>
            <w:r w:rsidRPr="00001815">
              <w:rPr>
                <w:rFonts w:cs="Arial"/>
                <w:b/>
                <w:bCs/>
                <w:szCs w:val="20"/>
              </w:rPr>
              <w:t>2,100</w:t>
            </w:r>
          </w:p>
        </w:tc>
        <w:tc>
          <w:tcPr>
            <w:tcW w:w="1417" w:type="dxa"/>
            <w:shd w:val="clear" w:color="auto" w:fill="FFFFFF" w:themeFill="background1"/>
          </w:tcPr>
          <w:p w14:paraId="37B460DA" w14:textId="77777777" w:rsidR="006A214D" w:rsidRPr="00001815" w:rsidRDefault="006A214D" w:rsidP="006A214D">
            <w:pPr>
              <w:spacing w:before="80" w:after="80"/>
              <w:jc w:val="right"/>
              <w:rPr>
                <w:rFonts w:eastAsia="SimHei" w:cs="Arial"/>
                <w:b/>
                <w:bCs/>
                <w:szCs w:val="20"/>
              </w:rPr>
            </w:pPr>
            <w:r w:rsidRPr="00001815">
              <w:rPr>
                <w:rFonts w:cs="Arial"/>
                <w:b/>
                <w:bCs/>
                <w:szCs w:val="20"/>
              </w:rPr>
              <w:t>150</w:t>
            </w:r>
          </w:p>
        </w:tc>
        <w:tc>
          <w:tcPr>
            <w:tcW w:w="1417" w:type="dxa"/>
            <w:shd w:val="clear" w:color="auto" w:fill="FFFFFF" w:themeFill="background1"/>
          </w:tcPr>
          <w:p w14:paraId="1DF46EC8" w14:textId="77777777" w:rsidR="006A214D" w:rsidRPr="00001815" w:rsidRDefault="006A214D" w:rsidP="006A214D">
            <w:pPr>
              <w:spacing w:before="80" w:after="80"/>
              <w:jc w:val="right"/>
              <w:rPr>
                <w:rFonts w:eastAsia="SimHei" w:cs="Arial"/>
                <w:b/>
                <w:bCs/>
                <w:szCs w:val="20"/>
              </w:rPr>
            </w:pPr>
            <w:r w:rsidRPr="00001815">
              <w:rPr>
                <w:rFonts w:cs="Arial"/>
                <w:b/>
                <w:bCs/>
                <w:szCs w:val="20"/>
              </w:rPr>
              <w:t>3.2%</w:t>
            </w:r>
          </w:p>
        </w:tc>
        <w:tc>
          <w:tcPr>
            <w:tcW w:w="1420" w:type="dxa"/>
            <w:shd w:val="clear" w:color="auto" w:fill="FFFFFF" w:themeFill="background1"/>
          </w:tcPr>
          <w:p w14:paraId="454AA222" w14:textId="77777777" w:rsidR="006A214D" w:rsidRPr="00001815" w:rsidRDefault="006A214D" w:rsidP="006A214D">
            <w:pPr>
              <w:spacing w:before="80" w:after="80"/>
              <w:jc w:val="right"/>
              <w:rPr>
                <w:rFonts w:eastAsia="SimHei" w:cs="Arial"/>
                <w:b/>
                <w:bCs/>
                <w:szCs w:val="20"/>
              </w:rPr>
            </w:pPr>
            <w:r w:rsidRPr="00001815">
              <w:rPr>
                <w:rFonts w:cs="Arial"/>
                <w:b/>
                <w:bCs/>
                <w:szCs w:val="20"/>
              </w:rPr>
              <w:t>50</w:t>
            </w:r>
          </w:p>
        </w:tc>
        <w:tc>
          <w:tcPr>
            <w:tcW w:w="1184" w:type="dxa"/>
            <w:tcBorders>
              <w:right w:val="single" w:sz="18" w:space="0" w:color="auto"/>
            </w:tcBorders>
            <w:shd w:val="clear" w:color="auto" w:fill="FFFFFF" w:themeFill="background1"/>
          </w:tcPr>
          <w:p w14:paraId="5B3AC406" w14:textId="77777777" w:rsidR="006A214D" w:rsidRPr="00001815" w:rsidRDefault="006A214D" w:rsidP="006A214D">
            <w:pPr>
              <w:spacing w:before="80" w:after="80"/>
              <w:jc w:val="right"/>
              <w:rPr>
                <w:rFonts w:eastAsia="SimHei" w:cs="Arial"/>
                <w:b/>
                <w:bCs/>
                <w:szCs w:val="20"/>
              </w:rPr>
            </w:pPr>
            <w:r w:rsidRPr="00001815">
              <w:rPr>
                <w:rFonts w:cs="Arial"/>
                <w:b/>
                <w:bCs/>
                <w:szCs w:val="20"/>
              </w:rPr>
              <w:t>200</w:t>
            </w:r>
          </w:p>
        </w:tc>
      </w:tr>
      <w:tr w:rsidR="006A214D" w:rsidRPr="00001815" w14:paraId="76C9AF46" w14:textId="77777777" w:rsidTr="00150C9E">
        <w:trPr>
          <w:trHeight w:val="145"/>
        </w:trPr>
        <w:tc>
          <w:tcPr>
            <w:tcW w:w="2192" w:type="dxa"/>
            <w:gridSpan w:val="2"/>
            <w:tcBorders>
              <w:left w:val="single" w:sz="18" w:space="0" w:color="auto"/>
              <w:bottom w:val="single" w:sz="18" w:space="0" w:color="auto"/>
            </w:tcBorders>
            <w:shd w:val="clear" w:color="auto" w:fill="FFFFFF" w:themeFill="background1"/>
          </w:tcPr>
          <w:p w14:paraId="3952F644" w14:textId="77777777" w:rsidR="006A214D" w:rsidRPr="00001815" w:rsidRDefault="006A214D" w:rsidP="006A214D">
            <w:pPr>
              <w:spacing w:before="80" w:after="80"/>
              <w:rPr>
                <w:rFonts w:eastAsia="SimHei" w:cs="Arial"/>
                <w:b/>
                <w:bCs/>
                <w:szCs w:val="20"/>
              </w:rPr>
            </w:pPr>
            <w:r w:rsidRPr="00001815">
              <w:rPr>
                <w:rFonts w:cs="Arial"/>
                <w:b/>
                <w:bCs/>
                <w:szCs w:val="20"/>
              </w:rPr>
              <w:lastRenderedPageBreak/>
              <w:t>Other sales assistants and salespersons</w:t>
            </w:r>
          </w:p>
        </w:tc>
        <w:tc>
          <w:tcPr>
            <w:tcW w:w="1395" w:type="dxa"/>
            <w:tcBorders>
              <w:bottom w:val="single" w:sz="18" w:space="0" w:color="auto"/>
            </w:tcBorders>
            <w:shd w:val="clear" w:color="auto" w:fill="FFFFFF" w:themeFill="background1"/>
          </w:tcPr>
          <w:p w14:paraId="3EBE5A75" w14:textId="77777777" w:rsidR="006A214D" w:rsidRPr="00001815" w:rsidRDefault="006A214D" w:rsidP="006A214D">
            <w:pPr>
              <w:spacing w:before="80" w:after="80"/>
              <w:jc w:val="right"/>
              <w:rPr>
                <w:rFonts w:eastAsia="SimHei" w:cs="Arial"/>
                <w:b/>
                <w:bCs/>
                <w:szCs w:val="20"/>
              </w:rPr>
            </w:pPr>
            <w:r w:rsidRPr="00001815">
              <w:rPr>
                <w:rFonts w:cs="Arial"/>
                <w:b/>
                <w:bCs/>
                <w:szCs w:val="20"/>
              </w:rPr>
              <w:t>450</w:t>
            </w:r>
          </w:p>
        </w:tc>
        <w:tc>
          <w:tcPr>
            <w:tcW w:w="1417" w:type="dxa"/>
            <w:tcBorders>
              <w:bottom w:val="single" w:sz="18" w:space="0" w:color="auto"/>
            </w:tcBorders>
            <w:shd w:val="clear" w:color="auto" w:fill="FFFFFF" w:themeFill="background1"/>
          </w:tcPr>
          <w:p w14:paraId="27A1067C" w14:textId="77777777" w:rsidR="006A214D" w:rsidRPr="00001815" w:rsidRDefault="006A214D" w:rsidP="006A214D">
            <w:pPr>
              <w:spacing w:before="80" w:after="80"/>
              <w:jc w:val="right"/>
              <w:rPr>
                <w:rFonts w:eastAsia="SimHei" w:cs="Arial"/>
                <w:b/>
                <w:bCs/>
                <w:szCs w:val="20"/>
              </w:rPr>
            </w:pPr>
            <w:r w:rsidRPr="00001815">
              <w:rPr>
                <w:rFonts w:cs="Arial"/>
                <w:b/>
                <w:bCs/>
                <w:szCs w:val="20"/>
              </w:rPr>
              <w:t>100</w:t>
            </w:r>
          </w:p>
        </w:tc>
        <w:tc>
          <w:tcPr>
            <w:tcW w:w="1417" w:type="dxa"/>
            <w:tcBorders>
              <w:bottom w:val="single" w:sz="18" w:space="0" w:color="auto"/>
            </w:tcBorders>
            <w:shd w:val="clear" w:color="auto" w:fill="FFFFFF" w:themeFill="background1"/>
          </w:tcPr>
          <w:p w14:paraId="67827D90" w14:textId="77777777" w:rsidR="006A214D" w:rsidRPr="00001815" w:rsidRDefault="006A214D" w:rsidP="006A214D">
            <w:pPr>
              <w:spacing w:before="80" w:after="80"/>
              <w:jc w:val="right"/>
              <w:rPr>
                <w:rFonts w:eastAsia="SimHei" w:cs="Arial"/>
                <w:b/>
                <w:bCs/>
                <w:szCs w:val="20"/>
              </w:rPr>
            </w:pPr>
            <w:r w:rsidRPr="00001815">
              <w:rPr>
                <w:rFonts w:cs="Arial"/>
                <w:b/>
                <w:bCs/>
                <w:szCs w:val="20"/>
              </w:rPr>
              <w:t>2.4%</w:t>
            </w:r>
          </w:p>
        </w:tc>
        <w:tc>
          <w:tcPr>
            <w:tcW w:w="1420" w:type="dxa"/>
            <w:tcBorders>
              <w:bottom w:val="single" w:sz="18" w:space="0" w:color="auto"/>
            </w:tcBorders>
            <w:shd w:val="clear" w:color="auto" w:fill="FFFFFF" w:themeFill="background1"/>
          </w:tcPr>
          <w:p w14:paraId="1417F833" w14:textId="77777777" w:rsidR="006A214D" w:rsidRPr="00001815" w:rsidRDefault="006A214D" w:rsidP="006A214D">
            <w:pPr>
              <w:spacing w:before="80" w:after="80"/>
              <w:jc w:val="right"/>
              <w:rPr>
                <w:rFonts w:eastAsia="SimHei" w:cs="Arial"/>
                <w:b/>
                <w:bCs/>
                <w:szCs w:val="20"/>
              </w:rPr>
            </w:pPr>
            <w:r w:rsidRPr="00001815">
              <w:rPr>
                <w:rFonts w:cs="Arial"/>
                <w:b/>
                <w:bCs/>
                <w:szCs w:val="20"/>
              </w:rPr>
              <w:t>50</w:t>
            </w:r>
          </w:p>
        </w:tc>
        <w:tc>
          <w:tcPr>
            <w:tcW w:w="1184" w:type="dxa"/>
            <w:tcBorders>
              <w:bottom w:val="single" w:sz="18" w:space="0" w:color="auto"/>
              <w:right w:val="single" w:sz="18" w:space="0" w:color="auto"/>
            </w:tcBorders>
            <w:shd w:val="clear" w:color="auto" w:fill="FFFFFF" w:themeFill="background1"/>
          </w:tcPr>
          <w:p w14:paraId="76996BCE" w14:textId="77777777" w:rsidR="006A214D" w:rsidRPr="00001815" w:rsidRDefault="006A214D" w:rsidP="006A214D">
            <w:pPr>
              <w:spacing w:before="80" w:after="80"/>
              <w:jc w:val="right"/>
              <w:rPr>
                <w:rFonts w:eastAsia="SimHei" w:cs="Arial"/>
                <w:b/>
                <w:bCs/>
                <w:szCs w:val="20"/>
              </w:rPr>
            </w:pPr>
            <w:r w:rsidRPr="00001815">
              <w:rPr>
                <w:rFonts w:cs="Arial"/>
                <w:b/>
                <w:bCs/>
                <w:szCs w:val="20"/>
              </w:rPr>
              <w:t>150</w:t>
            </w:r>
          </w:p>
        </w:tc>
      </w:tr>
      <w:tr w:rsidR="006A214D" w:rsidRPr="00001815" w14:paraId="74A18B96" w14:textId="77777777" w:rsidTr="00150C9E">
        <w:trPr>
          <w:trHeight w:val="303"/>
        </w:trPr>
        <w:tc>
          <w:tcPr>
            <w:tcW w:w="2192" w:type="dxa"/>
            <w:gridSpan w:val="2"/>
            <w:tcBorders>
              <w:top w:val="single" w:sz="18" w:space="0" w:color="auto"/>
            </w:tcBorders>
          </w:tcPr>
          <w:p w14:paraId="325610EF" w14:textId="77777777" w:rsidR="006A214D" w:rsidRPr="00001815" w:rsidRDefault="006A214D" w:rsidP="006A214D">
            <w:pPr>
              <w:spacing w:before="80" w:after="80"/>
              <w:rPr>
                <w:rFonts w:eastAsia="SimHei" w:cs="Arial"/>
                <w:b/>
                <w:bCs/>
                <w:szCs w:val="20"/>
              </w:rPr>
            </w:pPr>
            <w:r w:rsidRPr="00001815">
              <w:rPr>
                <w:rFonts w:cs="Arial"/>
                <w:szCs w:val="20"/>
              </w:rPr>
              <w:t>Advertising and sales managers</w:t>
            </w:r>
          </w:p>
        </w:tc>
        <w:tc>
          <w:tcPr>
            <w:tcW w:w="1395" w:type="dxa"/>
            <w:tcBorders>
              <w:top w:val="single" w:sz="18" w:space="0" w:color="auto"/>
            </w:tcBorders>
          </w:tcPr>
          <w:p w14:paraId="2AD46815" w14:textId="77777777" w:rsidR="006A214D" w:rsidRPr="00001815" w:rsidRDefault="006A214D" w:rsidP="006A214D">
            <w:pPr>
              <w:spacing w:before="80" w:after="80"/>
              <w:jc w:val="right"/>
              <w:rPr>
                <w:rFonts w:eastAsia="SimHei" w:cs="Arial"/>
                <w:szCs w:val="20"/>
              </w:rPr>
            </w:pPr>
            <w:r w:rsidRPr="00001815">
              <w:rPr>
                <w:rFonts w:cs="Arial"/>
                <w:szCs w:val="20"/>
              </w:rPr>
              <w:t>2,300</w:t>
            </w:r>
          </w:p>
        </w:tc>
        <w:tc>
          <w:tcPr>
            <w:tcW w:w="1417" w:type="dxa"/>
            <w:tcBorders>
              <w:top w:val="single" w:sz="18" w:space="0" w:color="auto"/>
            </w:tcBorders>
          </w:tcPr>
          <w:p w14:paraId="31A9BD81" w14:textId="77777777" w:rsidR="006A214D" w:rsidRPr="00001815" w:rsidRDefault="006A214D" w:rsidP="006A214D">
            <w:pPr>
              <w:spacing w:before="80" w:after="80"/>
              <w:jc w:val="right"/>
              <w:rPr>
                <w:rFonts w:eastAsia="SimHei" w:cs="Arial"/>
                <w:szCs w:val="20"/>
              </w:rPr>
            </w:pPr>
            <w:r w:rsidRPr="00001815">
              <w:rPr>
                <w:rFonts w:cs="Arial"/>
                <w:szCs w:val="20"/>
              </w:rPr>
              <w:t>50</w:t>
            </w:r>
          </w:p>
        </w:tc>
        <w:tc>
          <w:tcPr>
            <w:tcW w:w="1417" w:type="dxa"/>
            <w:tcBorders>
              <w:top w:val="single" w:sz="18" w:space="0" w:color="auto"/>
            </w:tcBorders>
          </w:tcPr>
          <w:p w14:paraId="57D7C977" w14:textId="77777777" w:rsidR="006A214D" w:rsidRPr="00001815" w:rsidRDefault="006A214D" w:rsidP="006A214D">
            <w:pPr>
              <w:spacing w:before="80" w:after="80"/>
              <w:jc w:val="right"/>
              <w:rPr>
                <w:rFonts w:eastAsia="SimHei" w:cs="Arial"/>
                <w:szCs w:val="20"/>
              </w:rPr>
            </w:pPr>
            <w:r w:rsidRPr="00001815">
              <w:rPr>
                <w:rFonts w:cs="Arial"/>
                <w:szCs w:val="20"/>
              </w:rPr>
              <w:t>1.9%</w:t>
            </w:r>
          </w:p>
        </w:tc>
        <w:tc>
          <w:tcPr>
            <w:tcW w:w="1420" w:type="dxa"/>
            <w:tcBorders>
              <w:top w:val="single" w:sz="18" w:space="0" w:color="auto"/>
            </w:tcBorders>
          </w:tcPr>
          <w:p w14:paraId="0C58BEA3" w14:textId="77777777" w:rsidR="006A214D" w:rsidRPr="00001815" w:rsidRDefault="006A214D" w:rsidP="006A214D">
            <w:pPr>
              <w:spacing w:before="80" w:after="80"/>
              <w:jc w:val="right"/>
              <w:rPr>
                <w:rFonts w:eastAsia="SimHei" w:cs="Arial"/>
                <w:szCs w:val="20"/>
              </w:rPr>
            </w:pPr>
            <w:r w:rsidRPr="00001815">
              <w:rPr>
                <w:rFonts w:cs="Arial"/>
                <w:szCs w:val="20"/>
              </w:rPr>
              <w:t>50</w:t>
            </w:r>
          </w:p>
        </w:tc>
        <w:tc>
          <w:tcPr>
            <w:tcW w:w="1184" w:type="dxa"/>
            <w:tcBorders>
              <w:top w:val="single" w:sz="18" w:space="0" w:color="auto"/>
            </w:tcBorders>
          </w:tcPr>
          <w:p w14:paraId="439635FA" w14:textId="77777777" w:rsidR="006A214D" w:rsidRPr="00001815" w:rsidRDefault="006A214D" w:rsidP="006A214D">
            <w:pPr>
              <w:spacing w:before="80" w:after="80"/>
              <w:jc w:val="right"/>
              <w:rPr>
                <w:rFonts w:eastAsia="SimHei" w:cs="Arial"/>
                <w:szCs w:val="20"/>
              </w:rPr>
            </w:pPr>
            <w:r w:rsidRPr="00001815">
              <w:rPr>
                <w:rFonts w:cs="Arial"/>
                <w:szCs w:val="20"/>
              </w:rPr>
              <w:t>100</w:t>
            </w:r>
          </w:p>
        </w:tc>
      </w:tr>
      <w:tr w:rsidR="006A214D" w:rsidRPr="00001815" w14:paraId="3BB5AAEC" w14:textId="77777777" w:rsidTr="00150C9E">
        <w:trPr>
          <w:trHeight w:val="449"/>
        </w:trPr>
        <w:tc>
          <w:tcPr>
            <w:tcW w:w="2192" w:type="dxa"/>
            <w:gridSpan w:val="2"/>
          </w:tcPr>
          <w:p w14:paraId="7474FC8A" w14:textId="77777777" w:rsidR="006A214D" w:rsidRPr="00001815" w:rsidRDefault="006A214D" w:rsidP="006A214D">
            <w:pPr>
              <w:spacing w:before="80" w:after="80"/>
              <w:rPr>
                <w:rFonts w:eastAsia="SimHei" w:cs="Arial"/>
                <w:b/>
                <w:bCs/>
                <w:szCs w:val="20"/>
              </w:rPr>
            </w:pPr>
            <w:r w:rsidRPr="00001815">
              <w:rPr>
                <w:rFonts w:cs="Arial"/>
                <w:szCs w:val="20"/>
              </w:rPr>
              <w:t>Office managers</w:t>
            </w:r>
          </w:p>
        </w:tc>
        <w:tc>
          <w:tcPr>
            <w:tcW w:w="1395" w:type="dxa"/>
          </w:tcPr>
          <w:p w14:paraId="47092E7F" w14:textId="77777777" w:rsidR="006A214D" w:rsidRPr="00001815" w:rsidRDefault="006A214D" w:rsidP="006A214D">
            <w:pPr>
              <w:spacing w:before="80" w:after="80"/>
              <w:jc w:val="right"/>
              <w:rPr>
                <w:rFonts w:eastAsia="SimHei" w:cs="Arial"/>
                <w:szCs w:val="20"/>
              </w:rPr>
            </w:pPr>
            <w:r w:rsidRPr="00001815">
              <w:rPr>
                <w:rFonts w:cs="Arial"/>
                <w:szCs w:val="20"/>
              </w:rPr>
              <w:t>2,350</w:t>
            </w:r>
          </w:p>
        </w:tc>
        <w:tc>
          <w:tcPr>
            <w:tcW w:w="1417" w:type="dxa"/>
          </w:tcPr>
          <w:p w14:paraId="46499B6C" w14:textId="77777777" w:rsidR="006A214D" w:rsidRPr="00001815" w:rsidRDefault="006A214D" w:rsidP="006A214D">
            <w:pPr>
              <w:spacing w:before="80" w:after="80"/>
              <w:jc w:val="right"/>
              <w:rPr>
                <w:rFonts w:eastAsia="SimHei" w:cs="Arial"/>
                <w:szCs w:val="20"/>
              </w:rPr>
            </w:pPr>
            <w:r w:rsidRPr="00001815">
              <w:rPr>
                <w:rFonts w:cs="Arial"/>
                <w:szCs w:val="20"/>
              </w:rPr>
              <w:t>50</w:t>
            </w:r>
          </w:p>
        </w:tc>
        <w:tc>
          <w:tcPr>
            <w:tcW w:w="1417" w:type="dxa"/>
          </w:tcPr>
          <w:p w14:paraId="10DC5D8C" w14:textId="77777777" w:rsidR="006A214D" w:rsidRPr="00001815" w:rsidRDefault="006A214D" w:rsidP="006A214D">
            <w:pPr>
              <w:spacing w:before="80" w:after="80"/>
              <w:jc w:val="right"/>
              <w:rPr>
                <w:rFonts w:eastAsia="SimHei" w:cs="Arial"/>
                <w:szCs w:val="20"/>
              </w:rPr>
            </w:pPr>
            <w:r w:rsidRPr="00001815">
              <w:rPr>
                <w:rFonts w:cs="Arial"/>
                <w:szCs w:val="20"/>
              </w:rPr>
              <w:t>1.8%</w:t>
            </w:r>
          </w:p>
        </w:tc>
        <w:tc>
          <w:tcPr>
            <w:tcW w:w="1420" w:type="dxa"/>
          </w:tcPr>
          <w:p w14:paraId="70FD7921" w14:textId="77777777" w:rsidR="006A214D" w:rsidRPr="00001815" w:rsidRDefault="006A214D" w:rsidP="006A214D">
            <w:pPr>
              <w:spacing w:before="80" w:after="80"/>
              <w:jc w:val="right"/>
              <w:rPr>
                <w:rFonts w:eastAsia="SimHei" w:cs="Arial"/>
                <w:szCs w:val="20"/>
              </w:rPr>
            </w:pPr>
            <w:r w:rsidRPr="00001815">
              <w:rPr>
                <w:rFonts w:cs="Arial"/>
                <w:szCs w:val="20"/>
              </w:rPr>
              <w:t>50</w:t>
            </w:r>
          </w:p>
        </w:tc>
        <w:tc>
          <w:tcPr>
            <w:tcW w:w="1184" w:type="dxa"/>
          </w:tcPr>
          <w:p w14:paraId="471CECCF" w14:textId="77777777" w:rsidR="006A214D" w:rsidRPr="00001815" w:rsidRDefault="006A214D" w:rsidP="006A214D">
            <w:pPr>
              <w:spacing w:before="80" w:after="80"/>
              <w:jc w:val="right"/>
              <w:rPr>
                <w:rFonts w:eastAsia="SimHei" w:cs="Arial"/>
                <w:szCs w:val="20"/>
              </w:rPr>
            </w:pPr>
            <w:r w:rsidRPr="00001815">
              <w:rPr>
                <w:rFonts w:cs="Arial"/>
                <w:szCs w:val="20"/>
              </w:rPr>
              <w:t>100</w:t>
            </w:r>
          </w:p>
        </w:tc>
      </w:tr>
      <w:tr w:rsidR="006A214D" w:rsidRPr="00001815" w14:paraId="12A92EED" w14:textId="77777777" w:rsidTr="00150C9E">
        <w:trPr>
          <w:trHeight w:val="297"/>
        </w:trPr>
        <w:tc>
          <w:tcPr>
            <w:tcW w:w="2192" w:type="dxa"/>
            <w:gridSpan w:val="2"/>
            <w:tcBorders>
              <w:bottom w:val="single" w:sz="18" w:space="0" w:color="auto"/>
            </w:tcBorders>
          </w:tcPr>
          <w:p w14:paraId="436B04E3" w14:textId="77777777" w:rsidR="006A214D" w:rsidRPr="00001815" w:rsidRDefault="006A214D" w:rsidP="006A214D">
            <w:pPr>
              <w:spacing w:before="80" w:after="80"/>
              <w:rPr>
                <w:rFonts w:eastAsia="SimHei" w:cs="Arial"/>
                <w:b/>
                <w:bCs/>
                <w:szCs w:val="20"/>
              </w:rPr>
            </w:pPr>
            <w:r w:rsidRPr="00001815">
              <w:rPr>
                <w:rFonts w:cs="Arial"/>
                <w:szCs w:val="20"/>
              </w:rPr>
              <w:t>Receptionists</w:t>
            </w:r>
          </w:p>
        </w:tc>
        <w:tc>
          <w:tcPr>
            <w:tcW w:w="1395" w:type="dxa"/>
            <w:tcBorders>
              <w:bottom w:val="single" w:sz="18" w:space="0" w:color="auto"/>
            </w:tcBorders>
          </w:tcPr>
          <w:p w14:paraId="7BA75A8B" w14:textId="77777777" w:rsidR="006A214D" w:rsidRPr="00001815" w:rsidRDefault="006A214D" w:rsidP="006A214D">
            <w:pPr>
              <w:spacing w:before="80" w:after="80"/>
              <w:jc w:val="right"/>
              <w:rPr>
                <w:rFonts w:eastAsia="SimHei" w:cs="Arial"/>
                <w:szCs w:val="20"/>
              </w:rPr>
            </w:pPr>
            <w:r w:rsidRPr="00001815">
              <w:rPr>
                <w:rFonts w:cs="Arial"/>
                <w:szCs w:val="20"/>
              </w:rPr>
              <w:t>2,900</w:t>
            </w:r>
          </w:p>
        </w:tc>
        <w:tc>
          <w:tcPr>
            <w:tcW w:w="1417" w:type="dxa"/>
            <w:tcBorders>
              <w:bottom w:val="single" w:sz="18" w:space="0" w:color="auto"/>
            </w:tcBorders>
          </w:tcPr>
          <w:p w14:paraId="5E497DC8" w14:textId="77777777" w:rsidR="006A214D" w:rsidRPr="00001815" w:rsidRDefault="006A214D" w:rsidP="006A214D">
            <w:pPr>
              <w:spacing w:before="80" w:after="80"/>
              <w:jc w:val="right"/>
              <w:rPr>
                <w:rFonts w:eastAsia="SimHei" w:cs="Arial"/>
                <w:szCs w:val="20"/>
              </w:rPr>
            </w:pPr>
            <w:r w:rsidRPr="00001815">
              <w:rPr>
                <w:rFonts w:cs="Arial"/>
                <w:szCs w:val="20"/>
              </w:rPr>
              <w:t>Less than 50</w:t>
            </w:r>
          </w:p>
        </w:tc>
        <w:tc>
          <w:tcPr>
            <w:tcW w:w="1417" w:type="dxa"/>
            <w:tcBorders>
              <w:bottom w:val="single" w:sz="18" w:space="0" w:color="auto"/>
            </w:tcBorders>
          </w:tcPr>
          <w:p w14:paraId="446B4217" w14:textId="77777777" w:rsidR="006A214D" w:rsidRPr="00001815" w:rsidRDefault="006A214D" w:rsidP="006A214D">
            <w:pPr>
              <w:spacing w:before="80" w:after="80"/>
              <w:jc w:val="right"/>
              <w:rPr>
                <w:rFonts w:eastAsia="SimHei" w:cs="Arial"/>
                <w:szCs w:val="20"/>
              </w:rPr>
            </w:pPr>
            <w:r w:rsidRPr="00001815">
              <w:rPr>
                <w:rFonts w:cs="Arial"/>
                <w:szCs w:val="20"/>
              </w:rPr>
              <w:t>0.5%</w:t>
            </w:r>
          </w:p>
        </w:tc>
        <w:tc>
          <w:tcPr>
            <w:tcW w:w="1420" w:type="dxa"/>
            <w:tcBorders>
              <w:bottom w:val="single" w:sz="18" w:space="0" w:color="auto"/>
            </w:tcBorders>
          </w:tcPr>
          <w:p w14:paraId="61D33D6D" w14:textId="77777777" w:rsidR="006A214D" w:rsidRPr="00001815" w:rsidRDefault="006A214D" w:rsidP="006A214D">
            <w:pPr>
              <w:spacing w:before="80" w:after="80"/>
              <w:jc w:val="right"/>
              <w:rPr>
                <w:rFonts w:eastAsia="SimHei" w:cs="Arial"/>
                <w:szCs w:val="20"/>
              </w:rPr>
            </w:pPr>
            <w:r w:rsidRPr="00001815">
              <w:rPr>
                <w:rFonts w:cs="Arial"/>
                <w:szCs w:val="20"/>
              </w:rPr>
              <w:t>50</w:t>
            </w:r>
          </w:p>
        </w:tc>
        <w:tc>
          <w:tcPr>
            <w:tcW w:w="1184" w:type="dxa"/>
            <w:tcBorders>
              <w:bottom w:val="single" w:sz="18" w:space="0" w:color="auto"/>
            </w:tcBorders>
          </w:tcPr>
          <w:p w14:paraId="7FE86CF7" w14:textId="77777777" w:rsidR="006A214D" w:rsidRPr="00001815" w:rsidRDefault="006A214D" w:rsidP="006A214D">
            <w:pPr>
              <w:spacing w:before="80" w:after="80"/>
              <w:jc w:val="right"/>
              <w:rPr>
                <w:rFonts w:eastAsia="SimHei" w:cs="Arial"/>
                <w:szCs w:val="20"/>
              </w:rPr>
            </w:pPr>
            <w:r w:rsidRPr="00001815">
              <w:rPr>
                <w:rFonts w:cs="Arial"/>
                <w:szCs w:val="20"/>
              </w:rPr>
              <w:t>100</w:t>
            </w:r>
          </w:p>
        </w:tc>
      </w:tr>
      <w:tr w:rsidR="006A214D" w:rsidRPr="00001815" w14:paraId="596B6613" w14:textId="77777777" w:rsidTr="00150C9E">
        <w:trPr>
          <w:trHeight w:val="297"/>
        </w:trPr>
        <w:tc>
          <w:tcPr>
            <w:tcW w:w="2192" w:type="dxa"/>
            <w:gridSpan w:val="2"/>
            <w:tcBorders>
              <w:top w:val="single" w:sz="18" w:space="0" w:color="auto"/>
              <w:left w:val="single" w:sz="18" w:space="0" w:color="auto"/>
            </w:tcBorders>
            <w:shd w:val="clear" w:color="auto" w:fill="FFFFFF" w:themeFill="background1"/>
          </w:tcPr>
          <w:p w14:paraId="7F7A02D9" w14:textId="77777777" w:rsidR="006A214D" w:rsidRPr="00001815" w:rsidRDefault="006A214D" w:rsidP="006A214D">
            <w:pPr>
              <w:spacing w:before="80" w:after="80"/>
              <w:rPr>
                <w:rFonts w:eastAsia="SimHei" w:cs="Arial"/>
                <w:b/>
                <w:bCs/>
                <w:szCs w:val="20"/>
              </w:rPr>
            </w:pPr>
            <w:r w:rsidRPr="00001815">
              <w:rPr>
                <w:rFonts w:cs="Arial"/>
                <w:b/>
                <w:bCs/>
                <w:szCs w:val="20"/>
              </w:rPr>
              <w:t>Contract, program and project administrators</w:t>
            </w:r>
          </w:p>
        </w:tc>
        <w:tc>
          <w:tcPr>
            <w:tcW w:w="1395" w:type="dxa"/>
            <w:tcBorders>
              <w:top w:val="single" w:sz="18" w:space="0" w:color="auto"/>
            </w:tcBorders>
            <w:shd w:val="clear" w:color="auto" w:fill="FFFFFF" w:themeFill="background1"/>
          </w:tcPr>
          <w:p w14:paraId="06CC4D59" w14:textId="77777777" w:rsidR="006A214D" w:rsidRPr="00001815" w:rsidRDefault="006A214D" w:rsidP="006A214D">
            <w:pPr>
              <w:spacing w:before="80" w:after="80"/>
              <w:jc w:val="right"/>
              <w:rPr>
                <w:rFonts w:eastAsia="SimHei" w:cs="Arial"/>
                <w:b/>
                <w:bCs/>
                <w:szCs w:val="20"/>
              </w:rPr>
            </w:pPr>
            <w:r w:rsidRPr="00001815">
              <w:rPr>
                <w:rFonts w:cs="Arial"/>
                <w:b/>
                <w:bCs/>
                <w:szCs w:val="20"/>
              </w:rPr>
              <w:t>650</w:t>
            </w:r>
          </w:p>
        </w:tc>
        <w:tc>
          <w:tcPr>
            <w:tcW w:w="1417" w:type="dxa"/>
            <w:tcBorders>
              <w:top w:val="single" w:sz="18" w:space="0" w:color="auto"/>
            </w:tcBorders>
            <w:shd w:val="clear" w:color="auto" w:fill="FFFFFF" w:themeFill="background1"/>
          </w:tcPr>
          <w:p w14:paraId="66C01563" w14:textId="77777777" w:rsidR="006A214D" w:rsidRPr="00001815" w:rsidRDefault="006A214D" w:rsidP="006A214D">
            <w:pPr>
              <w:spacing w:before="80" w:after="80"/>
              <w:jc w:val="right"/>
              <w:rPr>
                <w:rFonts w:eastAsia="SimHei" w:cs="Arial"/>
                <w:b/>
                <w:bCs/>
                <w:szCs w:val="20"/>
              </w:rPr>
            </w:pPr>
            <w:r w:rsidRPr="00001815">
              <w:rPr>
                <w:rFonts w:cs="Arial"/>
                <w:b/>
                <w:bCs/>
                <w:szCs w:val="20"/>
              </w:rPr>
              <w:t>50</w:t>
            </w:r>
          </w:p>
        </w:tc>
        <w:tc>
          <w:tcPr>
            <w:tcW w:w="1417" w:type="dxa"/>
            <w:tcBorders>
              <w:top w:val="single" w:sz="18" w:space="0" w:color="auto"/>
            </w:tcBorders>
            <w:shd w:val="clear" w:color="auto" w:fill="FFFFFF" w:themeFill="background1"/>
          </w:tcPr>
          <w:p w14:paraId="720170CC" w14:textId="77777777" w:rsidR="006A214D" w:rsidRPr="00001815" w:rsidRDefault="006A214D" w:rsidP="006A214D">
            <w:pPr>
              <w:spacing w:before="80" w:after="80"/>
              <w:jc w:val="right"/>
              <w:rPr>
                <w:rFonts w:eastAsia="SimHei" w:cs="Arial"/>
                <w:b/>
                <w:bCs/>
                <w:szCs w:val="20"/>
              </w:rPr>
            </w:pPr>
            <w:r w:rsidRPr="00001815">
              <w:rPr>
                <w:rFonts w:cs="Arial"/>
                <w:b/>
                <w:bCs/>
                <w:szCs w:val="20"/>
              </w:rPr>
              <w:t>3.0%</w:t>
            </w:r>
          </w:p>
        </w:tc>
        <w:tc>
          <w:tcPr>
            <w:tcW w:w="1420" w:type="dxa"/>
            <w:tcBorders>
              <w:top w:val="single" w:sz="18" w:space="0" w:color="auto"/>
            </w:tcBorders>
            <w:shd w:val="clear" w:color="auto" w:fill="FFFFFF" w:themeFill="background1"/>
          </w:tcPr>
          <w:p w14:paraId="3C512949" w14:textId="77777777" w:rsidR="006A214D" w:rsidRPr="00001815" w:rsidRDefault="006A214D" w:rsidP="006A214D">
            <w:pPr>
              <w:spacing w:before="80" w:after="80"/>
              <w:jc w:val="right"/>
              <w:rPr>
                <w:rFonts w:eastAsia="SimHei" w:cs="Arial"/>
                <w:b/>
                <w:bCs/>
                <w:szCs w:val="20"/>
              </w:rPr>
            </w:pPr>
            <w:r w:rsidRPr="00001815">
              <w:rPr>
                <w:rFonts w:cs="Arial"/>
                <w:b/>
                <w:bCs/>
                <w:szCs w:val="20"/>
              </w:rPr>
              <w:t>Less than 50</w:t>
            </w:r>
          </w:p>
        </w:tc>
        <w:tc>
          <w:tcPr>
            <w:tcW w:w="1184" w:type="dxa"/>
            <w:tcBorders>
              <w:top w:val="single" w:sz="18" w:space="0" w:color="auto"/>
              <w:right w:val="single" w:sz="18" w:space="0" w:color="auto"/>
            </w:tcBorders>
            <w:shd w:val="clear" w:color="auto" w:fill="FFFFFF" w:themeFill="background1"/>
          </w:tcPr>
          <w:p w14:paraId="10A9B402" w14:textId="77777777" w:rsidR="006A214D" w:rsidRPr="00001815" w:rsidRDefault="006A214D" w:rsidP="006A214D">
            <w:pPr>
              <w:spacing w:before="80" w:after="80"/>
              <w:jc w:val="right"/>
              <w:rPr>
                <w:rFonts w:eastAsia="SimHei" w:cs="Arial"/>
                <w:b/>
                <w:bCs/>
                <w:szCs w:val="20"/>
              </w:rPr>
            </w:pPr>
            <w:r w:rsidRPr="00001815">
              <w:rPr>
                <w:rFonts w:cs="Arial"/>
                <w:b/>
                <w:bCs/>
                <w:szCs w:val="20"/>
              </w:rPr>
              <w:t>50</w:t>
            </w:r>
          </w:p>
        </w:tc>
      </w:tr>
      <w:tr w:rsidR="006A214D" w:rsidRPr="00001815" w14:paraId="1636349F" w14:textId="77777777" w:rsidTr="00150C9E">
        <w:trPr>
          <w:trHeight w:val="297"/>
        </w:trPr>
        <w:tc>
          <w:tcPr>
            <w:tcW w:w="2192" w:type="dxa"/>
            <w:gridSpan w:val="2"/>
            <w:tcBorders>
              <w:left w:val="single" w:sz="18" w:space="0" w:color="auto"/>
            </w:tcBorders>
            <w:shd w:val="clear" w:color="auto" w:fill="FFFFFF" w:themeFill="background1"/>
          </w:tcPr>
          <w:p w14:paraId="0837CD55" w14:textId="77777777" w:rsidR="006A214D" w:rsidRPr="00001815" w:rsidRDefault="006A214D" w:rsidP="006A214D">
            <w:pPr>
              <w:spacing w:before="80" w:after="80"/>
              <w:rPr>
                <w:rFonts w:eastAsia="SimHei" w:cs="Arial"/>
                <w:b/>
                <w:bCs/>
                <w:szCs w:val="20"/>
              </w:rPr>
            </w:pPr>
            <w:r w:rsidRPr="00001815">
              <w:rPr>
                <w:rFonts w:cs="Arial"/>
                <w:b/>
                <w:bCs/>
                <w:szCs w:val="20"/>
              </w:rPr>
              <w:t>Finance managers</w:t>
            </w:r>
          </w:p>
        </w:tc>
        <w:tc>
          <w:tcPr>
            <w:tcW w:w="1395" w:type="dxa"/>
            <w:shd w:val="clear" w:color="auto" w:fill="FFFFFF" w:themeFill="background1"/>
          </w:tcPr>
          <w:p w14:paraId="5FCCF4F8" w14:textId="77777777" w:rsidR="006A214D" w:rsidRPr="00001815" w:rsidRDefault="006A214D" w:rsidP="006A214D">
            <w:pPr>
              <w:spacing w:before="80" w:after="80"/>
              <w:jc w:val="right"/>
              <w:rPr>
                <w:rFonts w:eastAsia="SimHei" w:cs="Arial"/>
                <w:b/>
                <w:bCs/>
                <w:szCs w:val="20"/>
              </w:rPr>
            </w:pPr>
            <w:r w:rsidRPr="00001815">
              <w:rPr>
                <w:rFonts w:cs="Arial"/>
                <w:b/>
                <w:bCs/>
                <w:szCs w:val="20"/>
              </w:rPr>
              <w:t>1,200</w:t>
            </w:r>
          </w:p>
        </w:tc>
        <w:tc>
          <w:tcPr>
            <w:tcW w:w="1417" w:type="dxa"/>
            <w:shd w:val="clear" w:color="auto" w:fill="FFFFFF" w:themeFill="background1"/>
          </w:tcPr>
          <w:p w14:paraId="54DEA5AF" w14:textId="77777777" w:rsidR="006A214D" w:rsidRPr="00001815" w:rsidRDefault="006A214D" w:rsidP="006A214D">
            <w:pPr>
              <w:spacing w:before="80" w:after="80"/>
              <w:jc w:val="right"/>
              <w:rPr>
                <w:rFonts w:eastAsia="SimHei" w:cs="Arial"/>
                <w:b/>
                <w:bCs/>
                <w:szCs w:val="20"/>
              </w:rPr>
            </w:pPr>
            <w:r w:rsidRPr="00001815">
              <w:rPr>
                <w:rFonts w:cs="Arial"/>
                <w:b/>
                <w:bCs/>
                <w:szCs w:val="20"/>
              </w:rPr>
              <w:t>50</w:t>
            </w:r>
          </w:p>
        </w:tc>
        <w:tc>
          <w:tcPr>
            <w:tcW w:w="1417" w:type="dxa"/>
            <w:shd w:val="clear" w:color="auto" w:fill="FFFFFF" w:themeFill="background1"/>
          </w:tcPr>
          <w:p w14:paraId="7C87115F" w14:textId="77777777" w:rsidR="006A214D" w:rsidRPr="00001815" w:rsidRDefault="006A214D" w:rsidP="006A214D">
            <w:pPr>
              <w:spacing w:before="80" w:after="80"/>
              <w:jc w:val="right"/>
              <w:rPr>
                <w:rFonts w:eastAsia="SimHei" w:cs="Arial"/>
                <w:b/>
                <w:bCs/>
                <w:szCs w:val="20"/>
              </w:rPr>
            </w:pPr>
            <w:r w:rsidRPr="00001815">
              <w:rPr>
                <w:rFonts w:cs="Arial"/>
                <w:b/>
                <w:bCs/>
                <w:szCs w:val="20"/>
              </w:rPr>
              <w:t>3.3%</w:t>
            </w:r>
          </w:p>
        </w:tc>
        <w:tc>
          <w:tcPr>
            <w:tcW w:w="1420" w:type="dxa"/>
            <w:shd w:val="clear" w:color="auto" w:fill="FFFFFF" w:themeFill="background1"/>
          </w:tcPr>
          <w:p w14:paraId="64B271CE" w14:textId="77777777" w:rsidR="006A214D" w:rsidRPr="00001815" w:rsidRDefault="006A214D" w:rsidP="006A214D">
            <w:pPr>
              <w:spacing w:before="80" w:after="80"/>
              <w:jc w:val="right"/>
              <w:rPr>
                <w:rFonts w:eastAsia="SimHei" w:cs="Arial"/>
                <w:b/>
                <w:bCs/>
                <w:szCs w:val="20"/>
              </w:rPr>
            </w:pPr>
            <w:r w:rsidRPr="00001815">
              <w:rPr>
                <w:rFonts w:cs="Arial"/>
                <w:b/>
                <w:bCs/>
                <w:szCs w:val="20"/>
              </w:rPr>
              <w:t>Less than 50</w:t>
            </w:r>
          </w:p>
        </w:tc>
        <w:tc>
          <w:tcPr>
            <w:tcW w:w="1184" w:type="dxa"/>
            <w:tcBorders>
              <w:right w:val="single" w:sz="18" w:space="0" w:color="auto"/>
            </w:tcBorders>
            <w:shd w:val="clear" w:color="auto" w:fill="FFFFFF" w:themeFill="background1"/>
          </w:tcPr>
          <w:p w14:paraId="2CC4D543" w14:textId="77777777" w:rsidR="006A214D" w:rsidRPr="00001815" w:rsidRDefault="006A214D" w:rsidP="006A214D">
            <w:pPr>
              <w:spacing w:before="80" w:after="80"/>
              <w:jc w:val="right"/>
              <w:rPr>
                <w:rFonts w:eastAsia="SimHei" w:cs="Arial"/>
                <w:b/>
                <w:bCs/>
                <w:szCs w:val="20"/>
              </w:rPr>
            </w:pPr>
            <w:r w:rsidRPr="00001815">
              <w:rPr>
                <w:rFonts w:cs="Arial"/>
                <w:b/>
                <w:bCs/>
                <w:szCs w:val="20"/>
              </w:rPr>
              <w:t>50</w:t>
            </w:r>
          </w:p>
        </w:tc>
      </w:tr>
      <w:tr w:rsidR="006A214D" w:rsidRPr="00001815" w14:paraId="70C477E6" w14:textId="77777777" w:rsidTr="00150C9E">
        <w:trPr>
          <w:trHeight w:val="297"/>
        </w:trPr>
        <w:tc>
          <w:tcPr>
            <w:tcW w:w="2192" w:type="dxa"/>
            <w:gridSpan w:val="2"/>
            <w:tcBorders>
              <w:left w:val="single" w:sz="18" w:space="0" w:color="auto"/>
              <w:bottom w:val="single" w:sz="18" w:space="0" w:color="auto"/>
            </w:tcBorders>
            <w:shd w:val="clear" w:color="auto" w:fill="FFFFFF" w:themeFill="background1"/>
          </w:tcPr>
          <w:p w14:paraId="388D83F7" w14:textId="77777777" w:rsidR="006A214D" w:rsidRPr="00001815" w:rsidRDefault="006A214D" w:rsidP="006A214D">
            <w:pPr>
              <w:spacing w:before="80" w:after="80"/>
              <w:rPr>
                <w:rFonts w:eastAsia="SimHei" w:cs="Arial"/>
                <w:b/>
                <w:bCs/>
                <w:szCs w:val="20"/>
              </w:rPr>
            </w:pPr>
            <w:r w:rsidRPr="00001815">
              <w:rPr>
                <w:rFonts w:cs="Arial"/>
                <w:b/>
                <w:bCs/>
                <w:szCs w:val="20"/>
              </w:rPr>
              <w:t>Financial investment advisers and managers</w:t>
            </w:r>
          </w:p>
        </w:tc>
        <w:tc>
          <w:tcPr>
            <w:tcW w:w="1395" w:type="dxa"/>
            <w:tcBorders>
              <w:bottom w:val="single" w:sz="18" w:space="0" w:color="auto"/>
            </w:tcBorders>
            <w:shd w:val="clear" w:color="auto" w:fill="FFFFFF" w:themeFill="background1"/>
          </w:tcPr>
          <w:p w14:paraId="280C6A28" w14:textId="77777777" w:rsidR="006A214D" w:rsidRPr="00001815" w:rsidRDefault="006A214D" w:rsidP="006A214D">
            <w:pPr>
              <w:spacing w:before="80" w:after="80"/>
              <w:jc w:val="right"/>
              <w:rPr>
                <w:rFonts w:eastAsia="SimHei" w:cs="Arial"/>
                <w:b/>
                <w:bCs/>
                <w:szCs w:val="20"/>
              </w:rPr>
            </w:pPr>
            <w:r w:rsidRPr="00001815">
              <w:rPr>
                <w:rFonts w:cs="Arial"/>
                <w:b/>
                <w:bCs/>
                <w:szCs w:val="20"/>
              </w:rPr>
              <w:t>650</w:t>
            </w:r>
          </w:p>
        </w:tc>
        <w:tc>
          <w:tcPr>
            <w:tcW w:w="1417" w:type="dxa"/>
            <w:tcBorders>
              <w:bottom w:val="single" w:sz="18" w:space="0" w:color="auto"/>
            </w:tcBorders>
            <w:shd w:val="clear" w:color="auto" w:fill="FFFFFF" w:themeFill="background1"/>
          </w:tcPr>
          <w:p w14:paraId="7F5148AF" w14:textId="77777777" w:rsidR="006A214D" w:rsidRPr="00001815" w:rsidRDefault="006A214D" w:rsidP="006A214D">
            <w:pPr>
              <w:spacing w:before="80" w:after="80"/>
              <w:jc w:val="right"/>
              <w:rPr>
                <w:rFonts w:eastAsia="SimHei" w:cs="Arial"/>
                <w:b/>
                <w:bCs/>
                <w:szCs w:val="20"/>
              </w:rPr>
            </w:pPr>
            <w:r w:rsidRPr="00001815">
              <w:rPr>
                <w:rFonts w:cs="Arial"/>
                <w:b/>
                <w:bCs/>
                <w:szCs w:val="20"/>
              </w:rPr>
              <w:t>50</w:t>
            </w:r>
          </w:p>
        </w:tc>
        <w:tc>
          <w:tcPr>
            <w:tcW w:w="1417" w:type="dxa"/>
            <w:tcBorders>
              <w:bottom w:val="single" w:sz="18" w:space="0" w:color="auto"/>
            </w:tcBorders>
            <w:shd w:val="clear" w:color="auto" w:fill="FFFFFF" w:themeFill="background1"/>
          </w:tcPr>
          <w:p w14:paraId="6C5E5EB4" w14:textId="77777777" w:rsidR="006A214D" w:rsidRPr="00001815" w:rsidRDefault="006A214D" w:rsidP="006A214D">
            <w:pPr>
              <w:spacing w:before="80" w:after="80"/>
              <w:jc w:val="right"/>
              <w:rPr>
                <w:rFonts w:eastAsia="SimHei" w:cs="Arial"/>
                <w:b/>
                <w:bCs/>
                <w:szCs w:val="20"/>
              </w:rPr>
            </w:pPr>
            <w:r w:rsidRPr="00001815">
              <w:rPr>
                <w:rFonts w:cs="Arial"/>
                <w:b/>
                <w:bCs/>
                <w:szCs w:val="20"/>
              </w:rPr>
              <w:t>3.7%</w:t>
            </w:r>
          </w:p>
        </w:tc>
        <w:tc>
          <w:tcPr>
            <w:tcW w:w="1420" w:type="dxa"/>
            <w:tcBorders>
              <w:bottom w:val="single" w:sz="18" w:space="0" w:color="auto"/>
            </w:tcBorders>
            <w:shd w:val="clear" w:color="auto" w:fill="FFFFFF" w:themeFill="background1"/>
          </w:tcPr>
          <w:p w14:paraId="7B64066A" w14:textId="77777777" w:rsidR="006A214D" w:rsidRPr="00001815" w:rsidRDefault="006A214D" w:rsidP="006A214D">
            <w:pPr>
              <w:spacing w:before="80" w:after="80"/>
              <w:jc w:val="right"/>
              <w:rPr>
                <w:rFonts w:eastAsia="SimHei" w:cs="Arial"/>
                <w:b/>
                <w:bCs/>
                <w:szCs w:val="20"/>
              </w:rPr>
            </w:pPr>
            <w:r w:rsidRPr="00001815">
              <w:rPr>
                <w:rFonts w:cs="Arial"/>
                <w:b/>
                <w:bCs/>
                <w:szCs w:val="20"/>
              </w:rPr>
              <w:t>Less than 50</w:t>
            </w:r>
          </w:p>
        </w:tc>
        <w:tc>
          <w:tcPr>
            <w:tcW w:w="1184" w:type="dxa"/>
            <w:tcBorders>
              <w:bottom w:val="single" w:sz="18" w:space="0" w:color="auto"/>
              <w:right w:val="single" w:sz="18" w:space="0" w:color="auto"/>
            </w:tcBorders>
            <w:shd w:val="clear" w:color="auto" w:fill="FFFFFF" w:themeFill="background1"/>
          </w:tcPr>
          <w:p w14:paraId="4757076B" w14:textId="77777777" w:rsidR="006A214D" w:rsidRPr="00001815" w:rsidRDefault="006A214D" w:rsidP="006A214D">
            <w:pPr>
              <w:spacing w:before="80" w:after="80"/>
              <w:jc w:val="right"/>
              <w:rPr>
                <w:rFonts w:eastAsia="SimHei" w:cs="Arial"/>
                <w:b/>
                <w:bCs/>
                <w:szCs w:val="20"/>
              </w:rPr>
            </w:pPr>
            <w:r w:rsidRPr="00001815">
              <w:rPr>
                <w:rFonts w:cs="Arial"/>
                <w:b/>
                <w:bCs/>
                <w:szCs w:val="20"/>
              </w:rPr>
              <w:t>50</w:t>
            </w:r>
          </w:p>
        </w:tc>
      </w:tr>
      <w:tr w:rsidR="006A214D" w:rsidRPr="00001815" w14:paraId="2BEEE8B3" w14:textId="77777777" w:rsidTr="00150C9E">
        <w:trPr>
          <w:trHeight w:val="297"/>
        </w:trPr>
        <w:tc>
          <w:tcPr>
            <w:tcW w:w="2192" w:type="dxa"/>
            <w:gridSpan w:val="2"/>
            <w:tcBorders>
              <w:top w:val="single" w:sz="18" w:space="0" w:color="auto"/>
              <w:bottom w:val="nil"/>
              <w:right w:val="nil"/>
            </w:tcBorders>
            <w:shd w:val="clear" w:color="auto" w:fill="auto"/>
          </w:tcPr>
          <w:p w14:paraId="3C389F34" w14:textId="77777777" w:rsidR="006A214D" w:rsidRPr="00001815" w:rsidRDefault="006A214D" w:rsidP="006A214D">
            <w:pPr>
              <w:spacing w:before="80" w:after="80"/>
              <w:rPr>
                <w:rFonts w:cs="Arial"/>
                <w:b/>
                <w:szCs w:val="20"/>
              </w:rPr>
            </w:pPr>
          </w:p>
          <w:p w14:paraId="6340500D" w14:textId="77777777" w:rsidR="006A214D" w:rsidRPr="00001815" w:rsidRDefault="006A214D" w:rsidP="006A214D">
            <w:pPr>
              <w:spacing w:before="80" w:after="80"/>
              <w:rPr>
                <w:rFonts w:cs="Arial"/>
                <w:b/>
                <w:bCs/>
                <w:szCs w:val="20"/>
              </w:rPr>
            </w:pPr>
            <w:r w:rsidRPr="00001815">
              <w:rPr>
                <w:rFonts w:cs="Arial"/>
                <w:b/>
                <w:bCs/>
                <w:szCs w:val="20"/>
              </w:rPr>
              <w:t>Legend</w:t>
            </w:r>
          </w:p>
        </w:tc>
        <w:tc>
          <w:tcPr>
            <w:tcW w:w="1395" w:type="dxa"/>
            <w:tcBorders>
              <w:top w:val="single" w:sz="18" w:space="0" w:color="auto"/>
              <w:left w:val="nil"/>
              <w:bottom w:val="nil"/>
              <w:right w:val="nil"/>
            </w:tcBorders>
            <w:shd w:val="clear" w:color="auto" w:fill="auto"/>
          </w:tcPr>
          <w:p w14:paraId="354BEB79" w14:textId="77777777" w:rsidR="006A214D" w:rsidRPr="00001815" w:rsidRDefault="006A214D" w:rsidP="006A214D">
            <w:pPr>
              <w:spacing w:before="80" w:after="80"/>
              <w:jc w:val="right"/>
              <w:rPr>
                <w:rFonts w:cs="Arial"/>
                <w:szCs w:val="20"/>
              </w:rPr>
            </w:pPr>
          </w:p>
        </w:tc>
        <w:tc>
          <w:tcPr>
            <w:tcW w:w="1417" w:type="dxa"/>
            <w:tcBorders>
              <w:top w:val="single" w:sz="18" w:space="0" w:color="auto"/>
              <w:left w:val="nil"/>
              <w:bottom w:val="nil"/>
              <w:right w:val="nil"/>
            </w:tcBorders>
            <w:shd w:val="clear" w:color="auto" w:fill="auto"/>
          </w:tcPr>
          <w:p w14:paraId="3C955840" w14:textId="77777777" w:rsidR="006A214D" w:rsidRPr="00001815" w:rsidRDefault="006A214D" w:rsidP="006A214D">
            <w:pPr>
              <w:spacing w:before="80" w:after="80"/>
              <w:jc w:val="right"/>
              <w:rPr>
                <w:rFonts w:cs="Arial"/>
                <w:szCs w:val="20"/>
              </w:rPr>
            </w:pPr>
          </w:p>
        </w:tc>
        <w:tc>
          <w:tcPr>
            <w:tcW w:w="1417" w:type="dxa"/>
            <w:tcBorders>
              <w:top w:val="single" w:sz="18" w:space="0" w:color="auto"/>
              <w:left w:val="nil"/>
              <w:bottom w:val="nil"/>
              <w:right w:val="nil"/>
            </w:tcBorders>
            <w:shd w:val="clear" w:color="auto" w:fill="auto"/>
          </w:tcPr>
          <w:p w14:paraId="48675A2E" w14:textId="77777777" w:rsidR="006A214D" w:rsidRPr="00001815" w:rsidRDefault="006A214D" w:rsidP="006A214D">
            <w:pPr>
              <w:spacing w:before="80" w:after="80"/>
              <w:jc w:val="right"/>
              <w:rPr>
                <w:rFonts w:cs="Arial"/>
                <w:szCs w:val="20"/>
              </w:rPr>
            </w:pPr>
          </w:p>
        </w:tc>
        <w:tc>
          <w:tcPr>
            <w:tcW w:w="1420" w:type="dxa"/>
            <w:tcBorders>
              <w:top w:val="single" w:sz="18" w:space="0" w:color="auto"/>
              <w:left w:val="nil"/>
              <w:bottom w:val="nil"/>
              <w:right w:val="nil"/>
            </w:tcBorders>
            <w:shd w:val="clear" w:color="auto" w:fill="auto"/>
          </w:tcPr>
          <w:p w14:paraId="3FFB62C3" w14:textId="77777777" w:rsidR="006A214D" w:rsidRPr="00001815" w:rsidRDefault="006A214D" w:rsidP="006A214D">
            <w:pPr>
              <w:spacing w:before="80" w:after="80"/>
              <w:jc w:val="right"/>
              <w:rPr>
                <w:rFonts w:cs="Arial"/>
                <w:szCs w:val="20"/>
              </w:rPr>
            </w:pPr>
          </w:p>
        </w:tc>
        <w:tc>
          <w:tcPr>
            <w:tcW w:w="1184" w:type="dxa"/>
            <w:tcBorders>
              <w:top w:val="single" w:sz="18" w:space="0" w:color="auto"/>
              <w:left w:val="nil"/>
              <w:bottom w:val="nil"/>
            </w:tcBorders>
            <w:shd w:val="clear" w:color="auto" w:fill="auto"/>
          </w:tcPr>
          <w:p w14:paraId="2A08BAB1" w14:textId="77777777" w:rsidR="006A214D" w:rsidRPr="00001815" w:rsidRDefault="006A214D" w:rsidP="006A214D">
            <w:pPr>
              <w:spacing w:before="80" w:after="80"/>
              <w:jc w:val="right"/>
              <w:rPr>
                <w:rFonts w:cs="Arial"/>
                <w:szCs w:val="20"/>
              </w:rPr>
            </w:pPr>
          </w:p>
        </w:tc>
      </w:tr>
      <w:tr w:rsidR="006A214D" w:rsidRPr="00001815" w14:paraId="03209CC2" w14:textId="77777777" w:rsidTr="00150C9E">
        <w:trPr>
          <w:trHeight w:val="235"/>
        </w:trPr>
        <w:tc>
          <w:tcPr>
            <w:tcW w:w="970" w:type="dxa"/>
            <w:tcBorders>
              <w:top w:val="single" w:sz="18" w:space="0" w:color="auto"/>
              <w:left w:val="single" w:sz="18" w:space="0" w:color="auto"/>
              <w:bottom w:val="single" w:sz="18" w:space="0" w:color="auto"/>
              <w:right w:val="single" w:sz="18" w:space="0" w:color="auto"/>
            </w:tcBorders>
            <w:shd w:val="clear" w:color="auto" w:fill="auto"/>
          </w:tcPr>
          <w:p w14:paraId="0761F10C" w14:textId="77777777" w:rsidR="006A214D" w:rsidRPr="00001815" w:rsidRDefault="006A214D" w:rsidP="006A214D">
            <w:pPr>
              <w:spacing w:before="80" w:after="80"/>
              <w:rPr>
                <w:rFonts w:cs="Arial"/>
                <w:szCs w:val="20"/>
              </w:rPr>
            </w:pPr>
          </w:p>
        </w:tc>
        <w:tc>
          <w:tcPr>
            <w:tcW w:w="8055" w:type="dxa"/>
            <w:gridSpan w:val="6"/>
            <w:tcBorders>
              <w:top w:val="nil"/>
              <w:left w:val="single" w:sz="18" w:space="0" w:color="auto"/>
              <w:bottom w:val="nil"/>
            </w:tcBorders>
          </w:tcPr>
          <w:p w14:paraId="536920EA" w14:textId="3C7E7B92" w:rsidR="006A214D" w:rsidRPr="00001815" w:rsidRDefault="00EE7C50" w:rsidP="006A214D">
            <w:pPr>
              <w:spacing w:before="80" w:after="80"/>
              <w:rPr>
                <w:rFonts w:cs="Arial"/>
                <w:szCs w:val="20"/>
              </w:rPr>
            </w:pPr>
            <w:r w:rsidRPr="00001815">
              <w:rPr>
                <w:rFonts w:cs="Arial"/>
                <w:szCs w:val="20"/>
              </w:rPr>
              <w:t>Bold text reflect</w:t>
            </w:r>
            <w:r w:rsidR="00150C9E">
              <w:rPr>
                <w:rFonts w:cs="Arial"/>
                <w:szCs w:val="20"/>
              </w:rPr>
              <w:t>s</w:t>
            </w:r>
            <w:r w:rsidRPr="00001815">
              <w:rPr>
                <w:rFonts w:cs="Arial"/>
                <w:szCs w:val="20"/>
              </w:rPr>
              <w:t xml:space="preserve"> occupations with above average forecast Victorian employment growth between 2022 and 2025</w:t>
            </w:r>
          </w:p>
        </w:tc>
      </w:tr>
    </w:tbl>
    <w:p w14:paraId="29A40ACC" w14:textId="77777777" w:rsidR="00CE0209" w:rsidRPr="00CE0209" w:rsidRDefault="00CE0209" w:rsidP="00CE0209"/>
    <w:p w14:paraId="019F8F2E" w14:textId="305D6FDC" w:rsidR="007D000A" w:rsidRDefault="00D90940" w:rsidP="00335009">
      <w:r>
        <w:t>T</w:t>
      </w:r>
      <w:r w:rsidR="007D000A">
        <w:t>echnological advancement</w:t>
      </w:r>
      <w:r w:rsidR="00704F05">
        <w:t>s</w:t>
      </w:r>
      <w:r w:rsidR="007D000A">
        <w:t xml:space="preserve"> that enable online inspections are driving demand for new jobs, including online buyer’s advocates, data analysts and pricing analysts. In addition, regula</w:t>
      </w:r>
      <w:r w:rsidR="003D0408">
        <w:t>tory</w:t>
      </w:r>
      <w:r w:rsidR="007D000A">
        <w:t xml:space="preserve"> reforms across the industry </w:t>
      </w:r>
      <w:r w:rsidR="00EE6898">
        <w:t>drive</w:t>
      </w:r>
      <w:r w:rsidR="007D000A">
        <w:t xml:space="preserve"> </w:t>
      </w:r>
      <w:r w:rsidR="005D3304">
        <w:t>a</w:t>
      </w:r>
      <w:r w:rsidR="007D000A">
        <w:t xml:space="preserve"> need for regulatory affairs specialists and regulatory compliance officers. </w:t>
      </w:r>
    </w:p>
    <w:p w14:paraId="61447994" w14:textId="77777777" w:rsidR="007D000A" w:rsidRDefault="007D000A" w:rsidP="007D000A">
      <w:r>
        <w:t xml:space="preserve">Industry has also identified changing skill needs. Workers will increasingly need to demonstrate an understanding of ethics, compliance, and digital literacy. Property managers who work with vulnerable clients will also need skills in empathy and engagement. </w:t>
      </w:r>
    </w:p>
    <w:p w14:paraId="1AF90081" w14:textId="77777777" w:rsidR="007D000A" w:rsidRPr="007453A4" w:rsidRDefault="007D000A" w:rsidP="007D000A">
      <w:r>
        <w:t xml:space="preserve">Meeting this demand will be challenging. Industry reports the need to upskill a large proportion of its workforce to keep pace with regulatory reform, difficulty attracting workers to the industry and challenges with retaining existing staff as all contributing to this challenge. </w:t>
      </w:r>
    </w:p>
    <w:p w14:paraId="5D951CB8" w14:textId="77777777" w:rsidR="007D000A" w:rsidRDefault="007D000A" w:rsidP="007D000A">
      <w:pPr>
        <w:pStyle w:val="Heading4"/>
      </w:pPr>
      <w:r>
        <w:t>Workforce priorities</w:t>
      </w:r>
    </w:p>
    <w:p w14:paraId="3C7BA01A" w14:textId="0B991FAB" w:rsidR="007D000A" w:rsidRDefault="007D000A" w:rsidP="007D000A">
      <w:r>
        <w:t xml:space="preserve">Two priorities are identified to address </w:t>
      </w:r>
      <w:r w:rsidR="008A26AC">
        <w:t>workforce and skilling needs for</w:t>
      </w:r>
      <w:r>
        <w:t xml:space="preserve"> the rental hiring and real estate services industr</w:t>
      </w:r>
      <w:r w:rsidR="008A26AC">
        <w:t>y</w:t>
      </w:r>
      <w:r>
        <w:t xml:space="preserve">: </w:t>
      </w:r>
    </w:p>
    <w:p w14:paraId="6DB9D671" w14:textId="2A8D4511" w:rsidR="007D000A" w:rsidRDefault="007D000A" w:rsidP="00C47070">
      <w:pPr>
        <w:pStyle w:val="NormalTablesListNumber"/>
      </w:pPr>
      <w:r>
        <w:t xml:space="preserve">Adapt employment and education practices to align with </w:t>
      </w:r>
      <w:r w:rsidR="00BF7638">
        <w:t>the new minimum qualificatio</w:t>
      </w:r>
      <w:r w:rsidR="00614D4B">
        <w:t>n for real estate agents</w:t>
      </w:r>
      <w:r w:rsidR="00386E31">
        <w:t xml:space="preserve"> </w:t>
      </w:r>
      <w:r w:rsidR="002778DD">
        <w:t>–</w:t>
      </w:r>
      <w:r w:rsidR="00386E31">
        <w:t xml:space="preserve"> </w:t>
      </w:r>
      <w:r w:rsidR="00614D4B">
        <w:t xml:space="preserve">to ensure workers are </w:t>
      </w:r>
      <w:r w:rsidR="000D576B">
        <w:t>appropriately trained</w:t>
      </w:r>
      <w:r w:rsidR="00EA2F21">
        <w:t xml:space="preserve"> </w:t>
      </w:r>
      <w:r w:rsidR="00C64DF2">
        <w:t xml:space="preserve">in emerging issues (such as changes to rental laws) </w:t>
      </w:r>
      <w:r w:rsidR="006A2ED0">
        <w:t>with</w:t>
      </w:r>
      <w:r w:rsidR="00EA2F21">
        <w:t xml:space="preserve"> sufficient practical experience. </w:t>
      </w:r>
    </w:p>
    <w:p w14:paraId="0D649475" w14:textId="0D9F3A20" w:rsidR="007D000A" w:rsidRDefault="005D1178" w:rsidP="00C47070">
      <w:pPr>
        <w:pStyle w:val="NormalTablesListNumber"/>
      </w:pPr>
      <w:r>
        <w:t>Provide career advancement opportunities by developing specialised skills in the real estate sector</w:t>
      </w:r>
      <w:r w:rsidR="00C64DF2">
        <w:t>, such as auctioneering or valuation through further study</w:t>
      </w:r>
      <w:r w:rsidR="007D000A">
        <w:t xml:space="preserve"> </w:t>
      </w:r>
      <w:r w:rsidR="00F17669">
        <w:t xml:space="preserve">– </w:t>
      </w:r>
      <w:r w:rsidR="00FF16A6">
        <w:t>f</w:t>
      </w:r>
      <w:r w:rsidR="00F17669">
        <w:t xml:space="preserve">ocus is required to </w:t>
      </w:r>
      <w:r w:rsidR="008C6D1E">
        <w:t>upskill</w:t>
      </w:r>
      <w:r w:rsidR="00C84D75">
        <w:t xml:space="preserve"> workers to meet current and future demand</w:t>
      </w:r>
      <w:r w:rsidR="003D4E3A">
        <w:t xml:space="preserve"> in technical and leadership roles.</w:t>
      </w:r>
    </w:p>
    <w:p w14:paraId="669FF317" w14:textId="77777777" w:rsidR="007D000A" w:rsidRDefault="007D000A" w:rsidP="007D000A">
      <w:pPr>
        <w:pStyle w:val="Heading4"/>
      </w:pPr>
      <w:r>
        <w:t>Education and training pipeline and workforce response</w:t>
      </w:r>
    </w:p>
    <w:p w14:paraId="213DA81A" w14:textId="6D286C18" w:rsidR="007D000A" w:rsidRDefault="007D000A" w:rsidP="007D000A">
      <w:r>
        <w:t>Pathways to employment in the rental, hiring and real estate services industry are split across higher education and VET with 30.6 per cent of workers holding a degree or above</w:t>
      </w:r>
      <w:r w:rsidR="000275C1">
        <w:t xml:space="preserve"> as their highest level of education </w:t>
      </w:r>
      <w:r>
        <w:t>and 36.3 per cent holding a VET level qualification</w:t>
      </w:r>
      <w:r w:rsidR="00082485">
        <w:t xml:space="preserve"> as their highest level of education</w:t>
      </w:r>
      <w:r>
        <w:t>.</w:t>
      </w:r>
      <w:r w:rsidR="00CB6582">
        <w:rPr>
          <w:rStyle w:val="EndnoteReference"/>
        </w:rPr>
        <w:endnoteReference w:id="15"/>
      </w:r>
      <w:r>
        <w:t xml:space="preserve"> </w:t>
      </w:r>
      <w:r>
        <w:lastRenderedPageBreak/>
        <w:t xml:space="preserve">There </w:t>
      </w:r>
      <w:r w:rsidR="00E129CF">
        <w:t>were</w:t>
      </w:r>
      <w:r>
        <w:t xml:space="preserve"> </w:t>
      </w:r>
      <w:r w:rsidR="00947747">
        <w:t xml:space="preserve">approximately </w:t>
      </w:r>
      <w:r>
        <w:t>4,</w:t>
      </w:r>
      <w:r w:rsidRPr="0099653C">
        <w:t>0</w:t>
      </w:r>
      <w:r w:rsidR="00B16E79" w:rsidRPr="0099653C">
        <w:t>70</w:t>
      </w:r>
      <w:r>
        <w:t xml:space="preserve"> enrolments in relevant VET qualifications </w:t>
      </w:r>
      <w:r w:rsidR="00452326">
        <w:t>in 2020</w:t>
      </w:r>
      <w:r w:rsidR="005A685F" w:rsidRPr="0099653C">
        <w:rPr>
          <w:rStyle w:val="FootnoteReference"/>
        </w:rPr>
        <w:footnoteReference w:id="7"/>
      </w:r>
      <w:r w:rsidR="00452326">
        <w:t xml:space="preserve"> </w:t>
      </w:r>
      <w:r>
        <w:t xml:space="preserve">and </w:t>
      </w:r>
      <w:r w:rsidR="00BC5F9B" w:rsidRPr="0099653C">
        <w:t>close to</w:t>
      </w:r>
      <w:r w:rsidRPr="0099653C">
        <w:t xml:space="preserve"> </w:t>
      </w:r>
      <w:r>
        <w:t>1,</w:t>
      </w:r>
      <w:r w:rsidR="00BC5F9B" w:rsidRPr="0099653C">
        <w:t>150</w:t>
      </w:r>
      <w:r>
        <w:t xml:space="preserve"> </w:t>
      </w:r>
      <w:r w:rsidR="001331B6">
        <w:t>equivalent full-time study load (EFSTL) in higher education in 2019</w:t>
      </w:r>
      <w:r w:rsidR="00FD40F8">
        <w:t>.</w:t>
      </w:r>
      <w:r w:rsidR="00693A83">
        <w:rPr>
          <w:rStyle w:val="EndnoteReference"/>
        </w:rPr>
        <w:endnoteReference w:id="16"/>
      </w:r>
      <w:r w:rsidR="00FC3BC8" w:rsidRPr="0099653C">
        <w:rPr>
          <w:vertAlign w:val="superscript"/>
        </w:rPr>
        <w:t>,</w:t>
      </w:r>
      <w:r w:rsidR="00FC3BC8">
        <w:rPr>
          <w:rStyle w:val="EndnoteReference"/>
        </w:rPr>
        <w:endnoteReference w:id="17"/>
      </w:r>
    </w:p>
    <w:p w14:paraId="4D0F03FD" w14:textId="0041D9B1" w:rsidR="00C473FE" w:rsidRDefault="00E728EF" w:rsidP="00C473FE">
      <w:r>
        <w:t>The k</w:t>
      </w:r>
      <w:r w:rsidR="0099548F">
        <w:t>ey entry point</w:t>
      </w:r>
      <w:r w:rsidR="00276C04">
        <w:t xml:space="preserve"> to the </w:t>
      </w:r>
      <w:r w:rsidR="004E292D">
        <w:t>industry</w:t>
      </w:r>
      <w:r w:rsidR="007D000A">
        <w:t xml:space="preserve"> </w:t>
      </w:r>
      <w:r w:rsidR="004E292D">
        <w:t>is</w:t>
      </w:r>
      <w:r w:rsidR="007D000A">
        <w:t xml:space="preserve"> the Certificate IV in Real Estate Practice, accounting for over </w:t>
      </w:r>
      <w:r w:rsidR="00C12201">
        <w:t>4,050</w:t>
      </w:r>
      <w:r w:rsidR="007D000A">
        <w:t xml:space="preserve"> enrolments.</w:t>
      </w:r>
      <w:r w:rsidR="00D91C28">
        <w:rPr>
          <w:rStyle w:val="EndnoteReference"/>
        </w:rPr>
        <w:endnoteReference w:id="18"/>
      </w:r>
      <w:r w:rsidR="007D000A">
        <w:t xml:space="preserve"> </w:t>
      </w:r>
      <w:r w:rsidR="00C473FE">
        <w:t xml:space="preserve">Graduates from VET courses provide an important source of workers to the industry. While activity is high </w:t>
      </w:r>
      <w:r w:rsidR="00856967">
        <w:t xml:space="preserve">for </w:t>
      </w:r>
      <w:r w:rsidR="002713BB">
        <w:t>the Certificate IV in Real Estate Practice</w:t>
      </w:r>
      <w:r w:rsidR="00C473FE">
        <w:t xml:space="preserve">, </w:t>
      </w:r>
      <w:r w:rsidR="0051382D">
        <w:t>there is opportunity</w:t>
      </w:r>
      <w:r w:rsidR="00C473FE">
        <w:t xml:space="preserve"> to better respond to </w:t>
      </w:r>
      <w:r w:rsidR="00184F7E">
        <w:t xml:space="preserve">the </w:t>
      </w:r>
      <w:r w:rsidR="00C473FE">
        <w:t>identified priorities</w:t>
      </w:r>
      <w:r w:rsidR="00352AA7">
        <w:t xml:space="preserve"> across the education pipeline</w:t>
      </w:r>
      <w:r w:rsidR="00C473FE">
        <w:t xml:space="preserve">. </w:t>
      </w:r>
    </w:p>
    <w:p w14:paraId="0B77803F" w14:textId="63136E12" w:rsidR="00DC2563" w:rsidRDefault="00F0068F" w:rsidP="00C473FE">
      <w:r>
        <w:t>Some industry representative indicated that</w:t>
      </w:r>
      <w:r w:rsidR="00EA37A1">
        <w:t xml:space="preserve"> t</w:t>
      </w:r>
      <w:r w:rsidR="009D4B2E">
        <w:t>he</w:t>
      </w:r>
      <w:r w:rsidR="000124C4">
        <w:t xml:space="preserve"> time taken to obtain the necessary qualifications is </w:t>
      </w:r>
      <w:r w:rsidR="00051AFE">
        <w:t xml:space="preserve">challenging when </w:t>
      </w:r>
      <w:r w:rsidR="000124C4">
        <w:t>real estate</w:t>
      </w:r>
      <w:r w:rsidR="00F75FD8">
        <w:t xml:space="preserve"> workers are needed quickly</w:t>
      </w:r>
      <w:r w:rsidR="000124C4">
        <w:t xml:space="preserve">. </w:t>
      </w:r>
      <w:r w:rsidR="008A2189">
        <w:t>New</w:t>
      </w:r>
      <w:r w:rsidR="00CB479E">
        <w:t xml:space="preserve"> regulation</w:t>
      </w:r>
      <w:r w:rsidR="00CA4F52">
        <w:t xml:space="preserve"> requires students to</w:t>
      </w:r>
      <w:r w:rsidR="00CB479E">
        <w:t xml:space="preserve"> have completed a prescribed number of units</w:t>
      </w:r>
      <w:r w:rsidR="002903FB">
        <w:t xml:space="preserve">, </w:t>
      </w:r>
      <w:r w:rsidR="00D51065">
        <w:t xml:space="preserve">before shadowing </w:t>
      </w:r>
      <w:r w:rsidR="00B86269">
        <w:t>licensed</w:t>
      </w:r>
      <w:r w:rsidR="00D51065">
        <w:t xml:space="preserve"> operators</w:t>
      </w:r>
      <w:r w:rsidR="00063BE3">
        <w:t>. R</w:t>
      </w:r>
      <w:r w:rsidR="00E14E09">
        <w:t>emoving barriers to practic</w:t>
      </w:r>
      <w:r w:rsidR="00D74DED">
        <w:t>al</w:t>
      </w:r>
      <w:r w:rsidR="00E14E09">
        <w:t xml:space="preserve"> experience in line with policy and regulation is a key focus. </w:t>
      </w:r>
      <w:r w:rsidR="005F2A81">
        <w:t>I</w:t>
      </w:r>
      <w:r w:rsidR="00DC2563">
        <w:t xml:space="preserve">ncreased industry </w:t>
      </w:r>
      <w:r w:rsidR="005F2A81">
        <w:t>exposure</w:t>
      </w:r>
      <w:r w:rsidR="00DC2563">
        <w:t xml:space="preserve"> </w:t>
      </w:r>
      <w:r w:rsidR="005F2A81">
        <w:t xml:space="preserve">can ensure students learn from experienced practitioners with an </w:t>
      </w:r>
      <w:r w:rsidR="00A4203C">
        <w:t>up-to-date</w:t>
      </w:r>
      <w:r w:rsidR="005F2A81">
        <w:t xml:space="preserve"> understanding of regulatory requirements. </w:t>
      </w:r>
    </w:p>
    <w:p w14:paraId="2686701B" w14:textId="559D4077" w:rsidR="006254FE" w:rsidRDefault="00B91508" w:rsidP="00C473FE">
      <w:r>
        <w:t xml:space="preserve">As </w:t>
      </w:r>
      <w:r w:rsidR="00183D51">
        <w:t>the workforce builds, m</w:t>
      </w:r>
      <w:r w:rsidR="002B12F8">
        <w:t>aintaining ethical</w:t>
      </w:r>
      <w:r w:rsidR="00A4203C">
        <w:t xml:space="preserve"> and quality</w:t>
      </w:r>
      <w:r w:rsidR="002B12F8">
        <w:t xml:space="preserve"> standards is vital. </w:t>
      </w:r>
      <w:r w:rsidR="00A4203C">
        <w:t>Qualifications focused on auctioneering and valuing can cultivate the skills needed to meet industry demand. Further u</w:t>
      </w:r>
      <w:r w:rsidR="006254FE">
        <w:t>pskilling workers</w:t>
      </w:r>
      <w:r w:rsidR="00944546">
        <w:t xml:space="preserve"> </w:t>
      </w:r>
      <w:r w:rsidR="00760D51">
        <w:t xml:space="preserve">through micro-credentials and short courses </w:t>
      </w:r>
      <w:r w:rsidR="00A4203C">
        <w:t>on</w:t>
      </w:r>
      <w:r w:rsidR="00944546">
        <w:t xml:space="preserve"> </w:t>
      </w:r>
      <w:r w:rsidR="00F10910">
        <w:t>their legislative and ethical obligation</w:t>
      </w:r>
      <w:r w:rsidR="00C831E3">
        <w:t xml:space="preserve">s </w:t>
      </w:r>
      <w:r w:rsidR="00760D51">
        <w:t>can help maintain</w:t>
      </w:r>
      <w:r w:rsidR="00C831E3">
        <w:t xml:space="preserve"> agent conduct. </w:t>
      </w:r>
    </w:p>
    <w:p w14:paraId="5566B2C1" w14:textId="3E043CDF" w:rsidR="007D000A" w:rsidRPr="00A33BD7" w:rsidRDefault="00264EBD" w:rsidP="007D000A">
      <w:pPr>
        <w:rPr>
          <w:rFonts w:eastAsia="Arial" w:cs="Arial"/>
          <w:lang w:eastAsia="en-AU"/>
        </w:rPr>
      </w:pPr>
      <w:r>
        <w:t>W</w:t>
      </w:r>
      <w:r w:rsidR="00737F84">
        <w:t xml:space="preserve">ithout consideration of </w:t>
      </w:r>
      <w:r w:rsidR="006A1E24" w:rsidRPr="00336A74">
        <w:t>policy, job design and the employee value proposition</w:t>
      </w:r>
      <w:r w:rsidR="002563A4">
        <w:t>,</w:t>
      </w:r>
      <w:r w:rsidR="00226DD1">
        <w:t xml:space="preserve"> </w:t>
      </w:r>
      <w:r w:rsidR="007A7740">
        <w:t xml:space="preserve">the </w:t>
      </w:r>
      <w:r w:rsidR="00226DD1">
        <w:t xml:space="preserve">real estate </w:t>
      </w:r>
      <w:r w:rsidR="007A7740">
        <w:t>industry</w:t>
      </w:r>
      <w:r w:rsidR="00226DD1">
        <w:t xml:space="preserve"> will continue to face </w:t>
      </w:r>
      <w:r w:rsidR="007A7740">
        <w:t>recruitment and retention</w:t>
      </w:r>
      <w:r w:rsidR="006A1E24">
        <w:t xml:space="preserve"> challenges</w:t>
      </w:r>
      <w:r w:rsidR="00226DD1">
        <w:t xml:space="preserve">. </w:t>
      </w:r>
      <w:r w:rsidR="00EF313A">
        <w:t xml:space="preserve">Flexible work </w:t>
      </w:r>
      <w:r w:rsidR="00A33BD7" w:rsidRPr="00F307EF">
        <w:rPr>
          <w:rFonts w:eastAsia="Arial" w:cs="Arial"/>
          <w:lang w:eastAsia="en-AU"/>
        </w:rPr>
        <w:t xml:space="preserve">arrangements, funding and study leave </w:t>
      </w:r>
      <w:r w:rsidR="00B723AA">
        <w:rPr>
          <w:rFonts w:eastAsia="Arial" w:cs="Arial"/>
          <w:lang w:eastAsia="en-AU"/>
        </w:rPr>
        <w:t>can</w:t>
      </w:r>
      <w:r w:rsidR="00A33BD7" w:rsidRPr="00F307EF">
        <w:rPr>
          <w:rFonts w:eastAsia="Arial" w:cs="Arial"/>
          <w:lang w:eastAsia="en-AU"/>
        </w:rPr>
        <w:t xml:space="preserve"> </w:t>
      </w:r>
      <w:r w:rsidR="00C83CC2">
        <w:rPr>
          <w:rFonts w:eastAsia="Arial" w:cs="Arial"/>
          <w:lang w:eastAsia="en-AU"/>
        </w:rPr>
        <w:t>drive change</w:t>
      </w:r>
      <w:r w:rsidR="00A33BD7" w:rsidRPr="00F307EF">
        <w:rPr>
          <w:rFonts w:eastAsia="Arial" w:cs="Arial"/>
          <w:lang w:eastAsia="en-AU"/>
        </w:rPr>
        <w:t xml:space="preserve">. </w:t>
      </w:r>
    </w:p>
    <w:p w14:paraId="5FE470A0" w14:textId="6B3DA0FC" w:rsidR="007D000A" w:rsidRPr="00467810" w:rsidRDefault="0022493D" w:rsidP="007D000A">
      <w:pPr>
        <w:rPr>
          <w:lang w:eastAsia="en-AU"/>
        </w:rPr>
      </w:pPr>
      <w:r>
        <w:rPr>
          <w:lang w:eastAsia="en-AU"/>
        </w:rPr>
        <w:t>Table 3</w:t>
      </w:r>
      <w:r w:rsidR="007D000A">
        <w:rPr>
          <w:lang w:eastAsia="en-AU"/>
        </w:rPr>
        <w:t xml:space="preserve"> highlights actions that could be adopted by education, industry, and government to meet workforce demand.</w:t>
      </w:r>
    </w:p>
    <w:p w14:paraId="59C19426" w14:textId="447E829A" w:rsidR="007D000A" w:rsidRPr="0099653C" w:rsidRDefault="007D000A" w:rsidP="007D000A">
      <w:pPr>
        <w:pStyle w:val="Caption"/>
        <w:keepNext/>
        <w:rPr>
          <w:sz w:val="20"/>
          <w:szCs w:val="20"/>
        </w:rPr>
      </w:pPr>
      <w:bookmarkStart w:id="5" w:name="_Ref105163448"/>
      <w:r w:rsidRPr="0099653C">
        <w:rPr>
          <w:sz w:val="20"/>
          <w:szCs w:val="20"/>
        </w:rPr>
        <w:t xml:space="preserve">Table </w:t>
      </w:r>
      <w:r w:rsidR="009D7386" w:rsidRPr="0099653C">
        <w:rPr>
          <w:sz w:val="20"/>
          <w:szCs w:val="20"/>
        </w:rPr>
        <w:fldChar w:fldCharType="begin"/>
      </w:r>
      <w:r w:rsidR="009D7386" w:rsidRPr="0099653C">
        <w:rPr>
          <w:sz w:val="20"/>
          <w:szCs w:val="20"/>
        </w:rPr>
        <w:instrText xml:space="preserve"> SEQ Table \* ARABIC </w:instrText>
      </w:r>
      <w:r w:rsidR="009D7386" w:rsidRPr="0099653C">
        <w:rPr>
          <w:sz w:val="20"/>
          <w:szCs w:val="20"/>
        </w:rPr>
        <w:fldChar w:fldCharType="separate"/>
      </w:r>
      <w:r w:rsidR="00C435CB">
        <w:rPr>
          <w:noProof/>
          <w:sz w:val="20"/>
          <w:szCs w:val="20"/>
        </w:rPr>
        <w:t>3</w:t>
      </w:r>
      <w:r w:rsidR="009D7386" w:rsidRPr="0099653C">
        <w:rPr>
          <w:sz w:val="20"/>
          <w:szCs w:val="20"/>
        </w:rPr>
        <w:fldChar w:fldCharType="end"/>
      </w:r>
      <w:bookmarkEnd w:id="5"/>
      <w:r w:rsidRPr="0099653C">
        <w:rPr>
          <w:sz w:val="20"/>
          <w:szCs w:val="20"/>
        </w:rPr>
        <w:t xml:space="preserve"> | Actions for consideration for education, industry, and government</w:t>
      </w:r>
    </w:p>
    <w:tbl>
      <w:tblPr>
        <w:tblStyle w:val="TableGrid"/>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shd w:val="clear" w:color="auto" w:fill="FFFFFF" w:themeFill="background1"/>
        <w:tblLook w:val="04A0" w:firstRow="1" w:lastRow="0" w:firstColumn="1" w:lastColumn="0" w:noHBand="0" w:noVBand="1"/>
      </w:tblPr>
      <w:tblGrid>
        <w:gridCol w:w="9025"/>
      </w:tblGrid>
      <w:tr w:rsidR="007D000A" w14:paraId="3CF941C6" w14:textId="77777777" w:rsidTr="00B80FCA">
        <w:tc>
          <w:tcPr>
            <w:tcW w:w="9051" w:type="dxa"/>
            <w:shd w:val="clear" w:color="auto" w:fill="FFFFFF" w:themeFill="background1"/>
          </w:tcPr>
          <w:p w14:paraId="725D5077" w14:textId="22C8230F" w:rsidR="007D000A" w:rsidRDefault="007D000A" w:rsidP="001774BF">
            <w:pPr>
              <w:pStyle w:val="NormalTablesListBullet"/>
            </w:pPr>
            <w:r>
              <w:t>Increase practical experience opportunities for students seeking to become real estate agents</w:t>
            </w:r>
            <w:r w:rsidR="00EA1595">
              <w:t>.</w:t>
            </w:r>
          </w:p>
          <w:p w14:paraId="6706734B" w14:textId="384B443A" w:rsidR="007D000A" w:rsidRDefault="007D000A" w:rsidP="001774BF">
            <w:pPr>
              <w:pStyle w:val="NormalTablesListBullet"/>
            </w:pPr>
            <w:r>
              <w:t>Facilitate specialisation with targeted education and training opportunities in areas such as auctioneering and valuation</w:t>
            </w:r>
            <w:r w:rsidR="00EA1595">
              <w:t>.</w:t>
            </w:r>
          </w:p>
          <w:p w14:paraId="6CCAD925" w14:textId="260A53F7" w:rsidR="007D000A" w:rsidRDefault="007D000A" w:rsidP="001774BF">
            <w:pPr>
              <w:pStyle w:val="NormalTablesListBullet"/>
            </w:pPr>
            <w:r>
              <w:t xml:space="preserve">Ensure existing workforce practices and recruitment policies respond effectively to fluctuations in demand across the </w:t>
            </w:r>
            <w:r w:rsidR="009625BB">
              <w:t>industry</w:t>
            </w:r>
            <w:r>
              <w:t xml:space="preserve"> and </w:t>
            </w:r>
            <w:r w:rsidR="009625BB">
              <w:t xml:space="preserve">the </w:t>
            </w:r>
            <w:r>
              <w:t xml:space="preserve">time </w:t>
            </w:r>
            <w:r w:rsidR="009625BB">
              <w:t xml:space="preserve">taken </w:t>
            </w:r>
            <w:r>
              <w:t>to train new agents</w:t>
            </w:r>
            <w:r w:rsidR="00EA1595">
              <w:t>.</w:t>
            </w:r>
          </w:p>
        </w:tc>
      </w:tr>
    </w:tbl>
    <w:p w14:paraId="1F49CA51" w14:textId="42C3B075" w:rsidR="001633C8" w:rsidRDefault="001633C8" w:rsidP="001633C8">
      <w:pPr>
        <w:pStyle w:val="Heading1"/>
      </w:pPr>
      <w:bookmarkStart w:id="6" w:name="_Toc111118555"/>
      <w:r>
        <w:lastRenderedPageBreak/>
        <w:t xml:space="preserve">Industry </w:t>
      </w:r>
      <w:r w:rsidR="00455021">
        <w:t>o</w:t>
      </w:r>
      <w:r>
        <w:t>utlook</w:t>
      </w:r>
      <w:bookmarkEnd w:id="6"/>
    </w:p>
    <w:p w14:paraId="6CE34988" w14:textId="75E18BE0" w:rsidR="001633C8" w:rsidRPr="00AB1F64" w:rsidRDefault="009A0328" w:rsidP="001633C8">
      <w:pPr>
        <w:pStyle w:val="Heading2"/>
        <w:rPr>
          <w:rFonts w:eastAsiaTheme="minorEastAsia"/>
        </w:rPr>
      </w:pPr>
      <w:bookmarkStart w:id="7" w:name="_Toc101971749"/>
      <w:bookmarkStart w:id="8" w:name="_Toc102119491"/>
      <w:bookmarkStart w:id="9" w:name="_Toc104969252"/>
      <w:bookmarkStart w:id="10" w:name="_Toc111118556"/>
      <w:r w:rsidRPr="009A0328">
        <w:rPr>
          <w:rFonts w:eastAsiaTheme="minorEastAsia"/>
        </w:rPr>
        <w:t xml:space="preserve">The rental, hiring and real estate services industry is likely to fluctuate in proportion to predicted volatility in </w:t>
      </w:r>
      <w:r w:rsidR="00785612">
        <w:rPr>
          <w:rFonts w:eastAsiaTheme="minorEastAsia"/>
        </w:rPr>
        <w:t xml:space="preserve">the </w:t>
      </w:r>
      <w:r w:rsidRPr="009A0328">
        <w:rPr>
          <w:rFonts w:eastAsiaTheme="minorEastAsia"/>
        </w:rPr>
        <w:t>real estate market</w:t>
      </w:r>
      <w:bookmarkEnd w:id="7"/>
      <w:bookmarkEnd w:id="8"/>
      <w:bookmarkEnd w:id="9"/>
      <w:bookmarkEnd w:id="10"/>
    </w:p>
    <w:p w14:paraId="702C2CBA" w14:textId="709C9E9B" w:rsidR="00BA10FA" w:rsidRPr="00420009" w:rsidRDefault="00BA10FA" w:rsidP="00BA10FA">
      <w:r w:rsidRPr="00420009">
        <w:t>The rental, hiring and real estate services industry, consisting of real estate and other</w:t>
      </w:r>
      <w:r w:rsidR="00D66B7D" w:rsidRPr="00420009">
        <w:t xml:space="preserve"> rental and leasing</w:t>
      </w:r>
      <w:r w:rsidRPr="00420009">
        <w:t xml:space="preserve">, plays a vital role in Victoria’s economy despite the </w:t>
      </w:r>
      <w:r w:rsidR="00492AA9" w:rsidRPr="00420009">
        <w:t xml:space="preserve">relatively small </w:t>
      </w:r>
      <w:r w:rsidRPr="00420009">
        <w:t>size of its workforce.</w:t>
      </w:r>
    </w:p>
    <w:p w14:paraId="56255665" w14:textId="2C56D9FE" w:rsidR="00DB11BD" w:rsidRPr="00420009" w:rsidRDefault="00BA10FA" w:rsidP="00BA10FA">
      <w:r w:rsidRPr="00420009">
        <w:t>The rental, hiring and real estate services industry employs 1.</w:t>
      </w:r>
      <w:r w:rsidR="001E34D0" w:rsidRPr="00420009">
        <w:t>5</w:t>
      </w:r>
      <w:r w:rsidRPr="00420009">
        <w:t xml:space="preserve"> per cent of the total Victorian workforce (</w:t>
      </w:r>
      <w:r w:rsidR="00897CFE" w:rsidRPr="00420009">
        <w:t>52,</w:t>
      </w:r>
      <w:r w:rsidR="007A1AD3">
        <w:t>7</w:t>
      </w:r>
      <w:r w:rsidR="001073ED">
        <w:t>00</w:t>
      </w:r>
      <w:r w:rsidRPr="00420009">
        <w:t xml:space="preserve"> workers</w:t>
      </w:r>
      <w:r w:rsidR="006433B0" w:rsidRPr="00420009">
        <w:t>)</w:t>
      </w:r>
      <w:r w:rsidRPr="00420009">
        <w:t>.</w:t>
      </w:r>
      <w:r w:rsidR="004F1BDD" w:rsidRPr="00420009">
        <w:rPr>
          <w:vertAlign w:val="superscript"/>
          <w:lang w:val="en-AU"/>
        </w:rPr>
        <w:endnoteReference w:id="19"/>
      </w:r>
      <w:r w:rsidR="00A77FF9">
        <w:rPr>
          <w:lang w:val="en-AU"/>
        </w:rPr>
        <w:t xml:space="preserve"> </w:t>
      </w:r>
      <w:r w:rsidR="00DB11BD" w:rsidRPr="00420009">
        <w:t xml:space="preserve">Across the industry, approximately </w:t>
      </w:r>
      <w:r w:rsidR="003D7AAC" w:rsidRPr="00420009">
        <w:t>47.8</w:t>
      </w:r>
      <w:r w:rsidR="00DB11BD" w:rsidRPr="00420009">
        <w:t xml:space="preserve"> per cent of workers are female, </w:t>
      </w:r>
      <w:proofErr w:type="gramStart"/>
      <w:r w:rsidR="006A6937">
        <w:t>similar to</w:t>
      </w:r>
      <w:proofErr w:type="gramEnd"/>
      <w:r w:rsidR="009A6F60">
        <w:t xml:space="preserve"> </w:t>
      </w:r>
      <w:r w:rsidR="00DB11BD" w:rsidRPr="00420009">
        <w:t>the Victorian average of 47</w:t>
      </w:r>
      <w:r w:rsidR="00E641C0" w:rsidRPr="00420009">
        <w:t>.</w:t>
      </w:r>
      <w:r w:rsidR="009A6F60">
        <w:t>2</w:t>
      </w:r>
      <w:r w:rsidR="00DB11BD" w:rsidRPr="00420009">
        <w:t xml:space="preserve"> per cent.</w:t>
      </w:r>
      <w:r w:rsidR="009E594B" w:rsidRPr="00420009">
        <w:rPr>
          <w:vertAlign w:val="superscript"/>
          <w:lang w:val="en-AU"/>
        </w:rPr>
        <w:endnoteReference w:id="20"/>
      </w:r>
      <w:r w:rsidR="00DB11BD" w:rsidRPr="00420009">
        <w:t xml:space="preserve"> Approximately </w:t>
      </w:r>
      <w:r w:rsidR="006C32F5" w:rsidRPr="00420009">
        <w:t>2</w:t>
      </w:r>
      <w:r w:rsidR="009D1960">
        <w:t>8.</w:t>
      </w:r>
      <w:r w:rsidR="006C32F5" w:rsidRPr="00420009">
        <w:t xml:space="preserve">1 </w:t>
      </w:r>
      <w:r w:rsidR="00DB11BD" w:rsidRPr="00420009">
        <w:t xml:space="preserve">per cent of workers </w:t>
      </w:r>
      <w:r w:rsidR="00D83A26">
        <w:t>in the sector</w:t>
      </w:r>
      <w:r w:rsidR="00DB11BD" w:rsidRPr="00420009">
        <w:t xml:space="preserve"> are aged over 50, </w:t>
      </w:r>
      <w:r w:rsidR="006C32F5" w:rsidRPr="00420009">
        <w:t xml:space="preserve">similar to the Victorian </w:t>
      </w:r>
      <w:r w:rsidR="00DB11BD" w:rsidRPr="00420009">
        <w:t xml:space="preserve">average </w:t>
      </w:r>
      <w:r w:rsidR="007B0BB7">
        <w:t>across all sectors</w:t>
      </w:r>
      <w:r w:rsidR="00DB11BD" w:rsidRPr="00420009">
        <w:t xml:space="preserve"> of </w:t>
      </w:r>
      <w:r w:rsidR="006C32F5" w:rsidRPr="00420009">
        <w:t>2</w:t>
      </w:r>
      <w:r w:rsidR="009D1960">
        <w:t>9</w:t>
      </w:r>
      <w:r w:rsidR="006C32F5" w:rsidRPr="00420009">
        <w:t xml:space="preserve"> </w:t>
      </w:r>
      <w:r w:rsidR="00DB11BD" w:rsidRPr="00420009">
        <w:t>per cent.</w:t>
      </w:r>
      <w:r w:rsidR="00104284" w:rsidRPr="00420009">
        <w:rPr>
          <w:rStyle w:val="EndnoteReference"/>
          <w:lang w:val="en-AU"/>
        </w:rPr>
        <w:endnoteReference w:id="21"/>
      </w:r>
      <w:r w:rsidR="00104284" w:rsidRPr="00420009">
        <w:rPr>
          <w:lang w:val="en-AU"/>
        </w:rPr>
        <w:t xml:space="preserve"> </w:t>
      </w:r>
    </w:p>
    <w:p w14:paraId="3E717A8C" w14:textId="47A6096D" w:rsidR="00DB11BD" w:rsidRPr="00420009" w:rsidRDefault="00DB11BD" w:rsidP="00BA10FA">
      <w:r w:rsidRPr="00420009">
        <w:t>The impacts of COVID-19 on the industry have been significant, varying by sector within the industry. Demand and opportunity for digital delivery has increased in response to COVID-19 and w</w:t>
      </w:r>
      <w:r w:rsidR="00C96F28">
        <w:t>as</w:t>
      </w:r>
      <w:r w:rsidRPr="00420009">
        <w:t xml:space="preserve"> crucial in facilitating online inspections and auctions when restrictions prevented gatherings at private residences in 2020 and 2021.</w:t>
      </w:r>
      <w:r w:rsidRPr="00420009">
        <w:rPr>
          <w:rStyle w:val="EndnoteReference"/>
        </w:rPr>
        <w:endnoteReference w:id="22"/>
      </w:r>
      <w:r w:rsidR="00A77FF9">
        <w:t xml:space="preserve">  </w:t>
      </w:r>
      <w:r w:rsidRPr="00420009">
        <w:t xml:space="preserve">Employment opportunities during this period were significantly reduced but have rebounded in proportion to market fluctuations. </w:t>
      </w:r>
    </w:p>
    <w:p w14:paraId="2C38B6FF" w14:textId="424991D9" w:rsidR="00DB11BD" w:rsidRPr="005D5896" w:rsidRDefault="00DB11BD" w:rsidP="00BA10FA">
      <w:r w:rsidRPr="00420009">
        <w:rPr>
          <w:szCs w:val="20"/>
          <w:lang w:eastAsia="en-AU"/>
        </w:rPr>
        <w:t xml:space="preserve">The rental, hiring and real estate services industry provides a wide range of sales and rental services in the real estate sector, as well as hiring services for goods, equipment and other intangible assets in the other rental and leasing sector. The key sectors within the </w:t>
      </w:r>
      <w:r w:rsidRPr="00420009">
        <w:t xml:space="preserve">rental, hiring and real estate services </w:t>
      </w:r>
      <w:r w:rsidRPr="00420009">
        <w:rPr>
          <w:szCs w:val="20"/>
          <w:lang w:eastAsia="en-AU"/>
        </w:rPr>
        <w:t>industry are shown in</w:t>
      </w:r>
      <w:r w:rsidR="006C5276">
        <w:rPr>
          <w:szCs w:val="20"/>
          <w:lang w:eastAsia="en-AU"/>
        </w:rPr>
        <w:t xml:space="preserve"> Figure 1</w:t>
      </w:r>
      <w:r w:rsidRPr="00420009">
        <w:rPr>
          <w:szCs w:val="20"/>
          <w:lang w:eastAsia="en-AU"/>
        </w:rPr>
        <w:t>.</w:t>
      </w:r>
      <w:r w:rsidRPr="004154D2">
        <w:rPr>
          <w:szCs w:val="20"/>
          <w:lang w:eastAsia="en-AU"/>
        </w:rPr>
        <w:t xml:space="preserve"> </w:t>
      </w:r>
    </w:p>
    <w:p w14:paraId="0EF77D24" w14:textId="71C54A1D" w:rsidR="00DB11BD" w:rsidRDefault="00DB11BD" w:rsidP="00F06AEC">
      <w:pPr>
        <w:pStyle w:val="Caption"/>
        <w:rPr>
          <w:sz w:val="20"/>
          <w:szCs w:val="20"/>
        </w:rPr>
      </w:pPr>
      <w:bookmarkStart w:id="11" w:name="_Ref105162635"/>
      <w:r w:rsidRPr="002D0EC7">
        <w:rPr>
          <w:sz w:val="20"/>
          <w:szCs w:val="20"/>
        </w:rPr>
        <w:t xml:space="preserve">Figure </w:t>
      </w:r>
      <w:r w:rsidRPr="002D0EC7">
        <w:rPr>
          <w:sz w:val="20"/>
          <w:szCs w:val="20"/>
        </w:rPr>
        <w:fldChar w:fldCharType="begin"/>
      </w:r>
      <w:r w:rsidRPr="002D0EC7">
        <w:rPr>
          <w:sz w:val="20"/>
          <w:szCs w:val="20"/>
        </w:rPr>
        <w:instrText>SEQ Figure \* ARABIC</w:instrText>
      </w:r>
      <w:r w:rsidRPr="002D0EC7">
        <w:rPr>
          <w:sz w:val="20"/>
          <w:szCs w:val="20"/>
        </w:rPr>
        <w:fldChar w:fldCharType="separate"/>
      </w:r>
      <w:r w:rsidR="00C435CB">
        <w:rPr>
          <w:noProof/>
          <w:sz w:val="20"/>
          <w:szCs w:val="20"/>
        </w:rPr>
        <w:t>1</w:t>
      </w:r>
      <w:r w:rsidRPr="002D0EC7">
        <w:rPr>
          <w:sz w:val="20"/>
          <w:szCs w:val="20"/>
        </w:rPr>
        <w:fldChar w:fldCharType="end"/>
      </w:r>
      <w:bookmarkEnd w:id="11"/>
      <w:r w:rsidRPr="002D0EC7">
        <w:rPr>
          <w:sz w:val="20"/>
          <w:szCs w:val="20"/>
        </w:rPr>
        <w:t xml:space="preserve"> | Key sectors within the rental, hiring and real estate services industry</w:t>
      </w:r>
      <w:r w:rsidRPr="002D0EC7">
        <w:rPr>
          <w:rStyle w:val="EndnoteReference"/>
          <w:sz w:val="20"/>
          <w:szCs w:val="20"/>
        </w:rPr>
        <w:endnoteReference w:id="23"/>
      </w:r>
    </w:p>
    <w:tbl>
      <w:tblPr>
        <w:tblStyle w:val="TableGrid"/>
        <w:tblW w:w="9099" w:type="dxa"/>
        <w:tblLook w:val="04A0" w:firstRow="1" w:lastRow="0" w:firstColumn="1" w:lastColumn="0" w:noHBand="0" w:noVBand="1"/>
      </w:tblPr>
      <w:tblGrid>
        <w:gridCol w:w="9099"/>
      </w:tblGrid>
      <w:tr w:rsidR="000540D1" w14:paraId="3AA439AB" w14:textId="77777777" w:rsidTr="003D5FEC">
        <w:trPr>
          <w:trHeight w:val="4099"/>
        </w:trPr>
        <w:tc>
          <w:tcPr>
            <w:tcW w:w="9099" w:type="dxa"/>
            <w:tcBorders>
              <w:top w:val="single" w:sz="18" w:space="0" w:color="auto"/>
              <w:left w:val="single" w:sz="18" w:space="0" w:color="auto"/>
              <w:bottom w:val="single" w:sz="18" w:space="0" w:color="auto"/>
              <w:right w:val="single" w:sz="18" w:space="0" w:color="auto"/>
            </w:tcBorders>
          </w:tcPr>
          <w:p w14:paraId="5FB181A1" w14:textId="77777777" w:rsidR="000540D1" w:rsidRDefault="000540D1" w:rsidP="003D5FEC">
            <w:pPr>
              <w:pStyle w:val="Heading3"/>
              <w:spacing w:line="360" w:lineRule="auto"/>
              <w:outlineLvl w:val="2"/>
            </w:pPr>
            <w:bookmarkStart w:id="12" w:name="_Toc96584152"/>
            <w:bookmarkStart w:id="13" w:name="_Toc98752247"/>
            <w:bookmarkStart w:id="14" w:name="_Toc99408086"/>
            <w:r>
              <w:t>Real Estate</w:t>
            </w:r>
          </w:p>
          <w:p w14:paraId="37C6EACF" w14:textId="77777777" w:rsidR="000540D1" w:rsidRDefault="000540D1" w:rsidP="003D5FEC">
            <w:pPr>
              <w:pStyle w:val="ListParagraph"/>
              <w:numPr>
                <w:ilvl w:val="0"/>
                <w:numId w:val="42"/>
              </w:numPr>
              <w:spacing w:line="360" w:lineRule="auto"/>
            </w:pPr>
            <w:r>
              <w:t>Sales</w:t>
            </w:r>
          </w:p>
          <w:p w14:paraId="652AE190" w14:textId="77777777" w:rsidR="000540D1" w:rsidRDefault="000540D1" w:rsidP="003D5FEC">
            <w:pPr>
              <w:pStyle w:val="ListParagraph"/>
              <w:numPr>
                <w:ilvl w:val="0"/>
                <w:numId w:val="42"/>
              </w:numPr>
              <w:spacing w:line="360" w:lineRule="auto"/>
            </w:pPr>
            <w:r>
              <w:t>Auctioneering</w:t>
            </w:r>
          </w:p>
          <w:p w14:paraId="391C2D66" w14:textId="77777777" w:rsidR="000540D1" w:rsidRDefault="000540D1" w:rsidP="003D5FEC">
            <w:pPr>
              <w:pStyle w:val="ListParagraph"/>
              <w:numPr>
                <w:ilvl w:val="0"/>
                <w:numId w:val="42"/>
              </w:numPr>
              <w:spacing w:line="360" w:lineRule="auto"/>
            </w:pPr>
            <w:r>
              <w:t>Rental property management</w:t>
            </w:r>
          </w:p>
          <w:p w14:paraId="090684F7" w14:textId="77777777" w:rsidR="000540D1" w:rsidRDefault="000540D1" w:rsidP="003D5FEC">
            <w:pPr>
              <w:pStyle w:val="ListParagraph"/>
              <w:numPr>
                <w:ilvl w:val="0"/>
                <w:numId w:val="42"/>
              </w:numPr>
              <w:spacing w:line="360" w:lineRule="auto"/>
            </w:pPr>
            <w:r>
              <w:t>Conveyancing</w:t>
            </w:r>
          </w:p>
          <w:p w14:paraId="5A27A237" w14:textId="77777777" w:rsidR="000540D1" w:rsidRDefault="000540D1" w:rsidP="003D5FEC">
            <w:pPr>
              <w:pStyle w:val="ListParagraph"/>
              <w:numPr>
                <w:ilvl w:val="0"/>
                <w:numId w:val="42"/>
              </w:numPr>
              <w:spacing w:line="360" w:lineRule="auto"/>
            </w:pPr>
            <w:r>
              <w:t>Buyer advocacy</w:t>
            </w:r>
          </w:p>
          <w:p w14:paraId="3D86F172" w14:textId="77777777" w:rsidR="000540D1" w:rsidRDefault="000540D1" w:rsidP="003D5FEC">
            <w:pPr>
              <w:pStyle w:val="ListParagraph"/>
              <w:numPr>
                <w:ilvl w:val="0"/>
                <w:numId w:val="42"/>
              </w:numPr>
              <w:spacing w:line="360" w:lineRule="auto"/>
            </w:pPr>
            <w:r>
              <w:t>Valuation</w:t>
            </w:r>
          </w:p>
          <w:p w14:paraId="7CE9779B" w14:textId="77777777" w:rsidR="000540D1" w:rsidRDefault="000540D1" w:rsidP="003D5FEC">
            <w:pPr>
              <w:pStyle w:val="Heading3"/>
              <w:spacing w:line="360" w:lineRule="auto"/>
              <w:outlineLvl w:val="2"/>
            </w:pPr>
            <w:r>
              <w:t>Other Rental and Leasing</w:t>
            </w:r>
          </w:p>
          <w:p w14:paraId="239E634E" w14:textId="77777777" w:rsidR="000540D1" w:rsidRDefault="000540D1" w:rsidP="003D5FEC">
            <w:pPr>
              <w:pStyle w:val="ListParagraph"/>
              <w:numPr>
                <w:ilvl w:val="0"/>
                <w:numId w:val="43"/>
              </w:numPr>
              <w:spacing w:line="360" w:lineRule="auto"/>
            </w:pPr>
            <w:r>
              <w:t>Vehicle and transport equipment leasing</w:t>
            </w:r>
          </w:p>
          <w:p w14:paraId="0E5473B1" w14:textId="77777777" w:rsidR="000540D1" w:rsidRDefault="000540D1" w:rsidP="003D5FEC">
            <w:pPr>
              <w:pStyle w:val="ListParagraph"/>
              <w:numPr>
                <w:ilvl w:val="0"/>
                <w:numId w:val="43"/>
              </w:numPr>
              <w:spacing w:line="360" w:lineRule="auto"/>
            </w:pPr>
            <w:r>
              <w:t>Farm animal and bloodstock leasing</w:t>
            </w:r>
          </w:p>
          <w:p w14:paraId="58E7044C" w14:textId="77777777" w:rsidR="000540D1" w:rsidRDefault="000540D1" w:rsidP="003D5FEC">
            <w:pPr>
              <w:pStyle w:val="ListParagraph"/>
              <w:numPr>
                <w:ilvl w:val="0"/>
                <w:numId w:val="43"/>
              </w:numPr>
              <w:spacing w:line="360" w:lineRule="auto"/>
            </w:pPr>
            <w:r>
              <w:t>Other goods and equipment leasing</w:t>
            </w:r>
          </w:p>
          <w:p w14:paraId="2557F6CF" w14:textId="2E8E5138" w:rsidR="000540D1" w:rsidRDefault="000540D1" w:rsidP="0006158A">
            <w:pPr>
              <w:pStyle w:val="ListParagraph"/>
              <w:numPr>
                <w:ilvl w:val="0"/>
                <w:numId w:val="43"/>
              </w:numPr>
              <w:spacing w:line="360" w:lineRule="auto"/>
            </w:pPr>
            <w:r>
              <w:t>Non-financial intangible assets leasing</w:t>
            </w:r>
          </w:p>
        </w:tc>
      </w:tr>
    </w:tbl>
    <w:p w14:paraId="7033D332" w14:textId="77777777" w:rsidR="003D5FEC" w:rsidRDefault="003D5FEC" w:rsidP="003D5FEC">
      <w:pPr>
        <w:pStyle w:val="Caption"/>
        <w:rPr>
          <w:sz w:val="20"/>
          <w:szCs w:val="20"/>
        </w:rPr>
      </w:pPr>
    </w:p>
    <w:p w14:paraId="32447206" w14:textId="28354368" w:rsidR="00DB11BD" w:rsidRPr="00420009" w:rsidRDefault="00DB11BD" w:rsidP="0006158A">
      <w:pPr>
        <w:pStyle w:val="Heading3"/>
      </w:pPr>
      <w:r w:rsidRPr="00420009">
        <w:t>Real estate</w:t>
      </w:r>
    </w:p>
    <w:tbl>
      <w:tblPr>
        <w:tblStyle w:val="TableGrid"/>
        <w:tblpPr w:leftFromText="180" w:rightFromText="180" w:vertAnchor="text" w:horzAnchor="margin" w:tblpY="46"/>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375681" w14:paraId="223B94BB" w14:textId="77777777" w:rsidTr="00375681">
        <w:tc>
          <w:tcPr>
            <w:tcW w:w="9025" w:type="dxa"/>
          </w:tcPr>
          <w:p w14:paraId="7517844E" w14:textId="77777777" w:rsidR="00375681" w:rsidRPr="00EE7C50" w:rsidRDefault="00375681" w:rsidP="00375681">
            <w:pPr>
              <w:rPr>
                <w:szCs w:val="20"/>
                <w:lang w:val="en-AU"/>
              </w:rPr>
            </w:pPr>
            <w:r w:rsidRPr="00220D68">
              <w:rPr>
                <w:szCs w:val="20"/>
                <w:lang w:val="en-AU"/>
              </w:rPr>
              <w:t xml:space="preserve">Despite strong growth in recent years, the real estate </w:t>
            </w:r>
            <w:r>
              <w:rPr>
                <w:szCs w:val="20"/>
                <w:lang w:val="en-AU"/>
              </w:rPr>
              <w:t>activity declined when</w:t>
            </w:r>
            <w:r w:rsidRPr="00220D68">
              <w:rPr>
                <w:szCs w:val="20"/>
                <w:lang w:val="en-AU"/>
              </w:rPr>
              <w:t xml:space="preserve"> remote inspections and auctions </w:t>
            </w:r>
            <w:r>
              <w:rPr>
                <w:szCs w:val="20"/>
                <w:lang w:val="en-AU"/>
              </w:rPr>
              <w:t xml:space="preserve">were required </w:t>
            </w:r>
            <w:r w:rsidRPr="00220D68">
              <w:rPr>
                <w:szCs w:val="20"/>
                <w:lang w:val="en-AU"/>
              </w:rPr>
              <w:t>during COVID-19 and remains volatile.</w:t>
            </w:r>
          </w:p>
        </w:tc>
      </w:tr>
    </w:tbl>
    <w:p w14:paraId="500F584B" w14:textId="77777777" w:rsidR="00375681" w:rsidRDefault="00375681" w:rsidP="00FA07C4"/>
    <w:p w14:paraId="6E64FA05" w14:textId="62C58F17" w:rsidR="00EE7C50" w:rsidRDefault="0040538F" w:rsidP="00FA07C4">
      <w:r w:rsidRPr="00420009">
        <w:t xml:space="preserve">The real estate sector makes up </w:t>
      </w:r>
      <w:proofErr w:type="gramStart"/>
      <w:r w:rsidR="00B82372">
        <w:t>the</w:t>
      </w:r>
      <w:r w:rsidRPr="00420009">
        <w:t xml:space="preserve"> majority of</w:t>
      </w:r>
      <w:proofErr w:type="gramEnd"/>
      <w:r w:rsidRPr="00420009">
        <w:t xml:space="preserve"> </w:t>
      </w:r>
      <w:r w:rsidR="00BF4155">
        <w:t>the industry</w:t>
      </w:r>
      <w:r w:rsidRPr="00420009">
        <w:t xml:space="preserve"> workforce (</w:t>
      </w:r>
      <w:r w:rsidR="002840EF">
        <w:t>89.6 per cent</w:t>
      </w:r>
      <w:r w:rsidR="001F0C8D" w:rsidRPr="00420009">
        <w:t>).</w:t>
      </w:r>
      <w:r w:rsidR="001F0C8D" w:rsidRPr="00420009">
        <w:rPr>
          <w:vertAlign w:val="superscript"/>
          <w:lang w:val="en-AU"/>
        </w:rPr>
        <w:endnoteReference w:id="24"/>
      </w:r>
      <w:r w:rsidR="001F0C8D" w:rsidRPr="00420009">
        <w:rPr>
          <w:lang w:val="en-AU"/>
        </w:rPr>
        <w:t xml:space="preserve"> </w:t>
      </w:r>
      <w:r w:rsidR="00DB11BD" w:rsidRPr="00420009">
        <w:t xml:space="preserve">The real estate sector engages in property marketing and sales, auctioneering, insurance, financing, settlements and conveyancing, maintenance and rental property management, business broking, </w:t>
      </w:r>
    </w:p>
    <w:p w14:paraId="1990F166" w14:textId="3BCE24C2" w:rsidR="00DB11BD" w:rsidRPr="00E87748" w:rsidRDefault="00DB11BD" w:rsidP="00FA07C4">
      <w:r w:rsidRPr="00420009">
        <w:lastRenderedPageBreak/>
        <w:t xml:space="preserve">owner’s corporation management, </w:t>
      </w:r>
      <w:r w:rsidR="00B61ABE" w:rsidRPr="00420009">
        <w:t>valuation,</w:t>
      </w:r>
      <w:r w:rsidRPr="00420009">
        <w:t xml:space="preserve"> and buyer advocacy.</w:t>
      </w:r>
      <w:r w:rsidRPr="00420009">
        <w:rPr>
          <w:rStyle w:val="EndnoteReference"/>
        </w:rPr>
        <w:endnoteReference w:id="25"/>
      </w:r>
      <w:r w:rsidRPr="00420009">
        <w:t xml:space="preserve"> The largest occupation in the sector is real estate agents (28 per cent of the workforce).</w:t>
      </w:r>
      <w:r w:rsidR="00A77FF9">
        <w:t xml:space="preserve"> </w:t>
      </w:r>
      <w:r w:rsidRPr="00420009">
        <w:t>Real estate agents must be licensed and are supported by property managers (who service the rental market), clerks and other administrative staff. The sector does not include landlords who own and lease property without a third party.</w:t>
      </w:r>
      <w:r w:rsidRPr="00E87748">
        <w:t xml:space="preserve">  </w:t>
      </w:r>
    </w:p>
    <w:p w14:paraId="45455146" w14:textId="13CD49BE" w:rsidR="00DB11BD" w:rsidRDefault="00DB11BD" w:rsidP="009E33A8">
      <w:r>
        <w:t>The real estate sector, although a proportionately small part of the overall workforce, services a market which is estimated to be worth $2.56 trillion in Victoria.</w:t>
      </w:r>
      <w:r>
        <w:rPr>
          <w:rStyle w:val="EndnoteReference"/>
        </w:rPr>
        <w:endnoteReference w:id="26"/>
      </w:r>
      <w:r>
        <w:t xml:space="preserve"> </w:t>
      </w:r>
      <w:r w:rsidRPr="009701B2">
        <w:t xml:space="preserve">Victorian home values </w:t>
      </w:r>
      <w:r>
        <w:t>increased</w:t>
      </w:r>
      <w:r w:rsidRPr="009701B2">
        <w:t xml:space="preserve"> </w:t>
      </w:r>
      <w:r>
        <w:t xml:space="preserve">by </w:t>
      </w:r>
      <w:r w:rsidRPr="009701B2">
        <w:t xml:space="preserve">15.9 per cent in </w:t>
      </w:r>
      <w:r>
        <w:t>2020-21,</w:t>
      </w:r>
      <w:r w:rsidRPr="009701B2">
        <w:t xml:space="preserve"> </w:t>
      </w:r>
      <w:r>
        <w:t>making up</w:t>
      </w:r>
      <w:r w:rsidRPr="009701B2">
        <w:t xml:space="preserve"> more than a quarter of the total value of the nation’s residential real estate.</w:t>
      </w:r>
      <w:r>
        <w:rPr>
          <w:rStyle w:val="EndnoteReference"/>
        </w:rPr>
        <w:endnoteReference w:id="27"/>
      </w:r>
      <w:r w:rsidR="00A77FF9">
        <w:t xml:space="preserve">  </w:t>
      </w:r>
      <w:r>
        <w:t xml:space="preserve">This growth occurred against the backdrop </w:t>
      </w:r>
      <w:r w:rsidRPr="00031F88">
        <w:t>of approximately 24 per cent workforce growth in the real estate sector over the past five years.</w:t>
      </w:r>
      <w:r>
        <w:t xml:space="preserve"> Despite strong growth in this market in recent years, it remains </w:t>
      </w:r>
      <w:r w:rsidR="00420009">
        <w:t>volatile,</w:t>
      </w:r>
      <w:r>
        <w:t xml:space="preserve"> and the industry suffered significantly during the COVID-19 pandemic as inspections and auctions were conducted remotely.</w:t>
      </w:r>
      <w:r>
        <w:rPr>
          <w:rStyle w:val="EndnoteReference"/>
        </w:rPr>
        <w:endnoteReference w:id="28"/>
      </w:r>
      <w:r>
        <w:t xml:space="preserve"> </w:t>
      </w:r>
      <w:r w:rsidR="00013BD1" w:rsidRPr="004B0AAA">
        <w:t>More recentl</w:t>
      </w:r>
      <w:r w:rsidR="00352A9F" w:rsidRPr="004B0AAA">
        <w:t>y</w:t>
      </w:r>
      <w:r w:rsidR="005343A9" w:rsidRPr="004B0AAA">
        <w:t>,</w:t>
      </w:r>
      <w:r w:rsidR="005343A9">
        <w:t xml:space="preserve"> increases in interest rates</w:t>
      </w:r>
      <w:r w:rsidR="004159B1">
        <w:t xml:space="preserve">, </w:t>
      </w:r>
      <w:r w:rsidR="0068511F">
        <w:t>uncertainty about inflation, decreasing affordability</w:t>
      </w:r>
      <w:r w:rsidR="009E6EE9">
        <w:t xml:space="preserve"> </w:t>
      </w:r>
      <w:r w:rsidR="0068511F">
        <w:t xml:space="preserve">and </w:t>
      </w:r>
      <w:r w:rsidR="00373D93">
        <w:t>heavy media coverage has dampened buyer enthusiasm and the overall downtrend in property markets and dwelling values is now becoming apparent.</w:t>
      </w:r>
      <w:r w:rsidR="00F37E2B">
        <w:rPr>
          <w:rStyle w:val="EndnoteReference"/>
        </w:rPr>
        <w:endnoteReference w:id="29"/>
      </w:r>
    </w:p>
    <w:p w14:paraId="0F4BB79C" w14:textId="400EBE39" w:rsidR="00DB11BD" w:rsidRDefault="00DB11BD" w:rsidP="009E33A8">
      <w:pPr>
        <w:rPr>
          <w:szCs w:val="20"/>
        </w:rPr>
      </w:pPr>
      <w:r>
        <w:t>The real estate sector is concentrated in highly populated areas. For example, the Melbourne local government area accounts for 17.8 per cent of the real estate workforce alone.  Coastal areas in southeast and southwest Melbourne also share a large proportion of the workforce.</w:t>
      </w:r>
      <w:r>
        <w:rPr>
          <w:rStyle w:val="EndnoteReference"/>
        </w:rPr>
        <w:endnoteReference w:id="30"/>
      </w:r>
      <w:r>
        <w:t xml:space="preserve"> </w:t>
      </w:r>
      <w:r>
        <w:rPr>
          <w:szCs w:val="20"/>
        </w:rPr>
        <w:t>Strong</w:t>
      </w:r>
      <w:r w:rsidRPr="004154D2">
        <w:rPr>
          <w:szCs w:val="20"/>
        </w:rPr>
        <w:t xml:space="preserve"> </w:t>
      </w:r>
      <w:r w:rsidR="0020468B">
        <w:rPr>
          <w:szCs w:val="20"/>
        </w:rPr>
        <w:t xml:space="preserve">population </w:t>
      </w:r>
      <w:r w:rsidRPr="004154D2">
        <w:rPr>
          <w:szCs w:val="20"/>
        </w:rPr>
        <w:t xml:space="preserve">growth is projected for Greater Melbourne (5 million in 2018 to 9 million in 2056 – </w:t>
      </w:r>
      <w:r>
        <w:rPr>
          <w:szCs w:val="20"/>
        </w:rPr>
        <w:t xml:space="preserve">growth of </w:t>
      </w:r>
      <w:r w:rsidRPr="004154D2">
        <w:rPr>
          <w:szCs w:val="20"/>
        </w:rPr>
        <w:t>approximately 80 per cent),</w:t>
      </w:r>
      <w:r w:rsidRPr="004154D2">
        <w:rPr>
          <w:szCs w:val="20"/>
          <w:vertAlign w:val="superscript"/>
        </w:rPr>
        <w:endnoteReference w:id="31"/>
      </w:r>
      <w:r w:rsidRPr="004154D2">
        <w:rPr>
          <w:szCs w:val="20"/>
        </w:rPr>
        <w:t xml:space="preserve"> </w:t>
      </w:r>
      <w:r>
        <w:rPr>
          <w:szCs w:val="20"/>
        </w:rPr>
        <w:t xml:space="preserve">however </w:t>
      </w:r>
      <w:r w:rsidRPr="004154D2">
        <w:rPr>
          <w:szCs w:val="20"/>
        </w:rPr>
        <w:t xml:space="preserve">COVID-19 appears to be having an impact on this </w:t>
      </w:r>
      <w:r w:rsidRPr="004154D2" w:rsidDel="00F90060">
        <w:rPr>
          <w:szCs w:val="20"/>
        </w:rPr>
        <w:t>trend</w:t>
      </w:r>
      <w:r w:rsidRPr="004154D2">
        <w:rPr>
          <w:szCs w:val="20"/>
        </w:rPr>
        <w:t>. There was a net loss of ~22,600 people from Melbourne to the rest of Victoria from January 2020 to March 2021, the highest on record.</w:t>
      </w:r>
      <w:r w:rsidRPr="004154D2">
        <w:rPr>
          <w:szCs w:val="20"/>
          <w:vertAlign w:val="superscript"/>
        </w:rPr>
        <w:endnoteReference w:id="32"/>
      </w:r>
      <w:r w:rsidRPr="004154D2">
        <w:rPr>
          <w:szCs w:val="20"/>
        </w:rPr>
        <w:t xml:space="preserve"> Victoria also lost ~18,100 people to other states and countries in this period, a likely consequence of extended lockdowns. </w:t>
      </w:r>
      <w:r>
        <w:rPr>
          <w:szCs w:val="20"/>
        </w:rPr>
        <w:t>It is anticipated that</w:t>
      </w:r>
      <w:r w:rsidRPr="004154D2">
        <w:rPr>
          <w:szCs w:val="20"/>
        </w:rPr>
        <w:t xml:space="preserve"> Victoria’s population will rebound,</w:t>
      </w:r>
      <w:r>
        <w:rPr>
          <w:szCs w:val="20"/>
        </w:rPr>
        <w:t xml:space="preserve"> but concern over housing affordability and greater acceptance of remote working are likely to drive growth in regional areas. </w:t>
      </w:r>
      <w:r w:rsidRPr="004D5D15">
        <w:rPr>
          <w:szCs w:val="20"/>
        </w:rPr>
        <w:t>Regional Victorian house prices grew at the fastest rate in 20 years through 2021, with the median house price increasing 27 per cent to reach $565,000.</w:t>
      </w:r>
      <w:r w:rsidRPr="004D5D15">
        <w:rPr>
          <w:rStyle w:val="EndnoteReference"/>
          <w:szCs w:val="20"/>
        </w:rPr>
        <w:endnoteReference w:id="33"/>
      </w:r>
      <w:r>
        <w:rPr>
          <w:szCs w:val="20"/>
        </w:rPr>
        <w:t xml:space="preserve"> </w:t>
      </w:r>
    </w:p>
    <w:p w14:paraId="32BDED3F" w14:textId="1A69BDF3" w:rsidR="00DB11BD" w:rsidRDefault="00DB11BD" w:rsidP="009E33A8">
      <w:pPr>
        <w:rPr>
          <w:lang w:eastAsia="en-AU"/>
        </w:rPr>
      </w:pPr>
      <w:r>
        <w:rPr>
          <w:lang w:eastAsia="en-AU"/>
        </w:rPr>
        <w:t xml:space="preserve">Separately, it may take time for the commercial real estate sub-sector to rebound from the impacts of lockdowns, remote working arrangements and business closures caused by COVID-19. </w:t>
      </w:r>
    </w:p>
    <w:p w14:paraId="66CF9298" w14:textId="15615993" w:rsidR="00DB11BD" w:rsidRDefault="00DB11BD" w:rsidP="009E33A8">
      <w:pPr>
        <w:rPr>
          <w:lang w:eastAsia="en-AU"/>
        </w:rPr>
      </w:pPr>
      <w:r>
        <w:rPr>
          <w:lang w:eastAsia="en-AU"/>
        </w:rPr>
        <w:t>Residential property management may recover more slowly than sales, given that some of the worst impacts of COVID-19 have been on young people and low-middle income earners, who make up a large proportion of the rental market.</w:t>
      </w:r>
      <w:r>
        <w:rPr>
          <w:rStyle w:val="EndnoteReference"/>
          <w:lang w:eastAsia="en-AU"/>
        </w:rPr>
        <w:endnoteReference w:id="34"/>
      </w:r>
      <w:r>
        <w:rPr>
          <w:lang w:eastAsia="en-AU"/>
        </w:rPr>
        <w:t xml:space="preserve">  However, recent evidence suggests that the market is rebounding faster than anticipated</w:t>
      </w:r>
      <w:r w:rsidR="00C82BC9">
        <w:rPr>
          <w:lang w:eastAsia="en-AU"/>
        </w:rPr>
        <w:t>. F</w:t>
      </w:r>
      <w:r>
        <w:rPr>
          <w:lang w:eastAsia="en-AU"/>
        </w:rPr>
        <w:t xml:space="preserve">or example, vacancies in inner city Melbourne dwellings, the region hardest hit by COVID-19, </w:t>
      </w:r>
      <w:r w:rsidR="003E4946">
        <w:rPr>
          <w:lang w:eastAsia="en-AU"/>
        </w:rPr>
        <w:t xml:space="preserve">are </w:t>
      </w:r>
      <w:r>
        <w:rPr>
          <w:lang w:eastAsia="en-AU"/>
        </w:rPr>
        <w:t xml:space="preserve">half </w:t>
      </w:r>
      <w:r w:rsidR="009A4117">
        <w:rPr>
          <w:lang w:eastAsia="en-AU"/>
        </w:rPr>
        <w:t xml:space="preserve">what </w:t>
      </w:r>
      <w:r>
        <w:rPr>
          <w:lang w:eastAsia="en-AU"/>
        </w:rPr>
        <w:t>they were in August 2021.</w:t>
      </w:r>
      <w:r>
        <w:rPr>
          <w:rStyle w:val="EndnoteReference"/>
          <w:lang w:eastAsia="en-AU"/>
        </w:rPr>
        <w:endnoteReference w:id="35"/>
      </w:r>
      <w:r>
        <w:rPr>
          <w:lang w:eastAsia="en-AU"/>
        </w:rPr>
        <w:t xml:space="preserve"> </w:t>
      </w:r>
      <w:r w:rsidR="00C82BC9">
        <w:rPr>
          <w:lang w:eastAsia="en-AU"/>
        </w:rPr>
        <w:t>However, it is</w:t>
      </w:r>
      <w:r w:rsidR="00262460">
        <w:rPr>
          <w:lang w:eastAsia="en-AU"/>
        </w:rPr>
        <w:t xml:space="preserve"> likely that d</w:t>
      </w:r>
      <w:r>
        <w:rPr>
          <w:lang w:eastAsia="en-AU"/>
        </w:rPr>
        <w:t>emand will continue to fluctuate with broader market conditions</w:t>
      </w:r>
      <w:r w:rsidR="0087716C">
        <w:rPr>
          <w:lang w:eastAsia="en-AU"/>
        </w:rPr>
        <w:t>, as referenced above</w:t>
      </w:r>
      <w:r>
        <w:rPr>
          <w:lang w:eastAsia="en-AU"/>
        </w:rPr>
        <w:t>.</w:t>
      </w:r>
      <w:r>
        <w:rPr>
          <w:rStyle w:val="EndnoteReference"/>
          <w:lang w:eastAsia="en-AU"/>
        </w:rPr>
        <w:endnoteReference w:id="36"/>
      </w:r>
      <w:r>
        <w:rPr>
          <w:lang w:eastAsia="en-AU"/>
        </w:rPr>
        <w:t xml:space="preserve">  </w:t>
      </w:r>
    </w:p>
    <w:p w14:paraId="486FDB0C" w14:textId="71A03F6B" w:rsidR="00DB11BD" w:rsidRDefault="00DB11BD" w:rsidP="00490FC5">
      <w:pPr>
        <w:pStyle w:val="Heading3"/>
        <w:rPr>
          <w:lang w:eastAsia="en-AU"/>
        </w:rPr>
      </w:pPr>
      <w:r>
        <w:rPr>
          <w:lang w:eastAsia="en-AU"/>
        </w:rPr>
        <w:t>Other rental and leasing</w:t>
      </w:r>
    </w:p>
    <w:p w14:paraId="282A609D" w14:textId="1E53ECC2" w:rsidR="00DB11BD" w:rsidRPr="00420009" w:rsidRDefault="00597903" w:rsidP="00285AA5">
      <w:r w:rsidRPr="00420009">
        <w:t xml:space="preserve">This sector makes up a small proportion of the </w:t>
      </w:r>
      <w:r w:rsidR="00BF4155">
        <w:t xml:space="preserve">overall industry </w:t>
      </w:r>
      <w:r w:rsidRPr="00420009">
        <w:t>workforce (</w:t>
      </w:r>
      <w:r w:rsidR="002840EF">
        <w:t>10.4 per cent)</w:t>
      </w:r>
      <w:r w:rsidRPr="00420009">
        <w:t>.</w:t>
      </w:r>
      <w:r w:rsidRPr="00420009">
        <w:rPr>
          <w:vertAlign w:val="superscript"/>
          <w:lang w:val="en-AU"/>
        </w:rPr>
        <w:endnoteReference w:id="37"/>
      </w:r>
      <w:r w:rsidRPr="00420009">
        <w:rPr>
          <w:lang w:val="en-AU"/>
        </w:rPr>
        <w:t xml:space="preserve"> </w:t>
      </w:r>
      <w:r w:rsidR="00DB11BD" w:rsidRPr="00420009">
        <w:t xml:space="preserve">The ‘other rental and leasing’ sector comprises a range of smaller sub-sectors whereby businesses and consumers hire out goods, </w:t>
      </w:r>
      <w:r w:rsidR="00420009" w:rsidRPr="00420009">
        <w:t>stock,</w:t>
      </w:r>
      <w:r w:rsidR="00DB11BD" w:rsidRPr="00420009">
        <w:t xml:space="preserve"> and other non-financial intangible property.</w:t>
      </w:r>
      <w:r w:rsidR="00C82BC9">
        <w:t xml:space="preserve"> </w:t>
      </w:r>
      <w:r w:rsidR="00DB11BD" w:rsidRPr="00420009">
        <w:t>This sector is diverse and connects closely to sectors in other industries including agriculture, construction, and manufacturing (i.e., those with a greater focus on sales). Industry shifts in the rental and leasing sub</w:t>
      </w:r>
      <w:r w:rsidR="009A56E9">
        <w:t>-</w:t>
      </w:r>
      <w:r w:rsidR="00DB11BD" w:rsidRPr="00420009">
        <w:t>sector to date map to the</w:t>
      </w:r>
      <w:r w:rsidR="00FD5B3C">
        <w:t>se</w:t>
      </w:r>
      <w:r w:rsidR="00DB11BD" w:rsidRPr="00420009">
        <w:t xml:space="preserve"> adjacent industries.</w:t>
      </w:r>
    </w:p>
    <w:p w14:paraId="6440E13C" w14:textId="590BE3AA" w:rsidR="00DB11BD" w:rsidRPr="00420009" w:rsidRDefault="00DB11BD" w:rsidP="005A6015">
      <w:r w:rsidRPr="00420009">
        <w:t>The sector includes car rentals and other transport and equipment leasing (such as farming equipment and vehicles), along with farm animal and bloodstock leasing (such as work horses and dairy cattle for sharemilking). These sub</w:t>
      </w:r>
      <w:r w:rsidR="009A56E9">
        <w:t>-</w:t>
      </w:r>
      <w:r w:rsidRPr="00420009">
        <w:t>sectors are most closely connected to the agriculture industry.</w:t>
      </w:r>
    </w:p>
    <w:p w14:paraId="6B216EB1" w14:textId="3E9ADD08" w:rsidR="00DB11BD" w:rsidRPr="00420009" w:rsidRDefault="00DB11BD" w:rsidP="00F55460">
      <w:r w:rsidRPr="00420009">
        <w:t>The other rental and leasing sub</w:t>
      </w:r>
      <w:r w:rsidR="00FC5977">
        <w:t>-</w:t>
      </w:r>
      <w:r w:rsidRPr="00420009">
        <w:t xml:space="preserve">sector also </w:t>
      </w:r>
      <w:proofErr w:type="gramStart"/>
      <w:r w:rsidRPr="00420009">
        <w:t>includes</w:t>
      </w:r>
      <w:proofErr w:type="gramEnd"/>
      <w:r w:rsidR="0082066E">
        <w:t xml:space="preserve"> </w:t>
      </w:r>
      <w:r w:rsidRPr="00420009">
        <w:t xml:space="preserve">the hiring of scaffolding, which is most frequently used in the construction and manufacturing industries as new infrastructure is built and plants and other facilities are shut down for maintenance. </w:t>
      </w:r>
    </w:p>
    <w:p w14:paraId="2BB2B6F0" w14:textId="6D463465" w:rsidR="00DB11BD" w:rsidRPr="00420009" w:rsidRDefault="00DB11BD" w:rsidP="00090251">
      <w:r w:rsidRPr="00420009">
        <w:t xml:space="preserve">Video and other media leasing has substantially contracted in the last decade due to the rising popularity of online media and streaming services. </w:t>
      </w:r>
      <w:r w:rsidR="00EF0627">
        <w:t>As a result</w:t>
      </w:r>
      <w:r w:rsidR="00716E52">
        <w:t>,</w:t>
      </w:r>
      <w:r w:rsidR="00EF0627">
        <w:t xml:space="preserve"> there</w:t>
      </w:r>
      <w:r w:rsidR="00543CDA">
        <w:t xml:space="preserve"> are</w:t>
      </w:r>
      <w:r w:rsidR="00EF0627">
        <w:t xml:space="preserve"> very</w:t>
      </w:r>
      <w:r w:rsidRPr="00420009">
        <w:t xml:space="preserve"> few </w:t>
      </w:r>
      <w:r w:rsidR="00EF0627">
        <w:t xml:space="preserve">video rental stores remaining </w:t>
      </w:r>
      <w:r w:rsidRPr="00420009">
        <w:t xml:space="preserve">across Victoria. </w:t>
      </w:r>
    </w:p>
    <w:p w14:paraId="7561679A" w14:textId="2CD822BC" w:rsidR="00DB11BD" w:rsidRPr="000B13DD" w:rsidRDefault="00DB11BD" w:rsidP="00873794">
      <w:r w:rsidRPr="00420009">
        <w:lastRenderedPageBreak/>
        <w:t>Finally, the non-financial intangible assets sub</w:t>
      </w:r>
      <w:r w:rsidR="00FC5977">
        <w:t>-</w:t>
      </w:r>
      <w:r w:rsidRPr="00420009">
        <w:t xml:space="preserve">sector includes the leasing of brand names for franchising, </w:t>
      </w:r>
      <w:r w:rsidR="00420009" w:rsidRPr="00420009">
        <w:t>patents,</w:t>
      </w:r>
      <w:r w:rsidRPr="00420009">
        <w:t xml:space="preserve"> and taxi </w:t>
      </w:r>
      <w:proofErr w:type="spellStart"/>
      <w:r w:rsidRPr="00420009">
        <w:t>licences</w:t>
      </w:r>
      <w:proofErr w:type="spellEnd"/>
      <w:r w:rsidRPr="00420009">
        <w:t xml:space="preserve">, primarily used </w:t>
      </w:r>
      <w:proofErr w:type="gramStart"/>
      <w:r w:rsidRPr="00420009">
        <w:t>in the course of</w:t>
      </w:r>
      <w:proofErr w:type="gramEnd"/>
      <w:r w:rsidRPr="00420009">
        <w:t xml:space="preserve"> carrying out businesses in other industries.</w:t>
      </w:r>
      <w:r w:rsidRPr="000B13DD">
        <w:t xml:space="preserve"> </w:t>
      </w:r>
    </w:p>
    <w:p w14:paraId="07B01FD8" w14:textId="03234F97" w:rsidR="00DB11BD" w:rsidRPr="008F5452" w:rsidRDefault="00DB11BD" w:rsidP="00216937">
      <w:pPr>
        <w:pStyle w:val="Heading2"/>
      </w:pPr>
      <w:bookmarkStart w:id="18" w:name="_Toc101971750"/>
      <w:bookmarkStart w:id="19" w:name="_Toc102119492"/>
      <w:bookmarkStart w:id="20" w:name="_Toc104969253"/>
      <w:bookmarkStart w:id="21" w:name="_Toc111118557"/>
      <w:r>
        <w:t>The</w:t>
      </w:r>
      <w:r w:rsidRPr="008F5452">
        <w:t xml:space="preserve"> </w:t>
      </w:r>
      <w:bookmarkEnd w:id="12"/>
      <w:bookmarkEnd w:id="13"/>
      <w:bookmarkEnd w:id="14"/>
      <w:r>
        <w:t xml:space="preserve">rental, hiring and real estate services </w:t>
      </w:r>
      <w:r w:rsidR="00D10CE7">
        <w:t>industry will</w:t>
      </w:r>
      <w:r>
        <w:t xml:space="preserve"> grow </w:t>
      </w:r>
      <w:r w:rsidR="00653AAB">
        <w:t xml:space="preserve">between </w:t>
      </w:r>
      <w:bookmarkEnd w:id="18"/>
      <w:bookmarkEnd w:id="19"/>
      <w:r w:rsidR="00246B8E">
        <w:t>now and 2025</w:t>
      </w:r>
      <w:bookmarkEnd w:id="20"/>
      <w:bookmarkEnd w:id="21"/>
    </w:p>
    <w:p w14:paraId="29927332" w14:textId="2276E02A" w:rsidR="00DB11BD" w:rsidRDefault="00CA033F" w:rsidP="006574DD">
      <w:pPr>
        <w:rPr>
          <w:lang w:eastAsia="en-AU"/>
        </w:rPr>
      </w:pPr>
      <w:r>
        <w:rPr>
          <w:lang w:eastAsia="en-AU"/>
        </w:rPr>
        <w:t>The rental</w:t>
      </w:r>
      <w:r w:rsidR="00D10CE7">
        <w:rPr>
          <w:lang w:eastAsia="en-AU"/>
        </w:rPr>
        <w:t xml:space="preserve">, </w:t>
      </w:r>
      <w:r>
        <w:rPr>
          <w:lang w:eastAsia="en-AU"/>
        </w:rPr>
        <w:t xml:space="preserve">hiring and real estate service </w:t>
      </w:r>
      <w:r w:rsidR="003222AC">
        <w:rPr>
          <w:lang w:eastAsia="en-AU"/>
        </w:rPr>
        <w:t>industry</w:t>
      </w:r>
      <w:r>
        <w:rPr>
          <w:lang w:eastAsia="en-AU"/>
        </w:rPr>
        <w:t xml:space="preserve"> is </w:t>
      </w:r>
      <w:r w:rsidRPr="00B2277D">
        <w:rPr>
          <w:lang w:eastAsia="en-AU"/>
        </w:rPr>
        <w:t xml:space="preserve">expected to </w:t>
      </w:r>
      <w:r w:rsidR="003222AC">
        <w:rPr>
          <w:lang w:eastAsia="en-AU"/>
        </w:rPr>
        <w:t>grow</w:t>
      </w:r>
      <w:r w:rsidR="00826519">
        <w:rPr>
          <w:lang w:eastAsia="en-AU"/>
        </w:rPr>
        <w:t>,</w:t>
      </w:r>
      <w:r w:rsidR="008D112A">
        <w:rPr>
          <w:lang w:eastAsia="en-AU"/>
        </w:rPr>
        <w:t xml:space="preserve"> driven by </w:t>
      </w:r>
      <w:r w:rsidR="00DB11BD">
        <w:rPr>
          <w:lang w:eastAsia="en-AU"/>
        </w:rPr>
        <w:t>continuing growth in the real estate market, particularly for residential properties</w:t>
      </w:r>
      <w:r w:rsidR="009F0360">
        <w:rPr>
          <w:lang w:eastAsia="en-AU"/>
        </w:rPr>
        <w:t>, underpinned by population growth</w:t>
      </w:r>
      <w:r w:rsidR="000D344F">
        <w:rPr>
          <w:lang w:eastAsia="en-AU"/>
        </w:rPr>
        <w:t xml:space="preserve">. </w:t>
      </w:r>
      <w:r w:rsidR="00DB11BD">
        <w:rPr>
          <w:lang w:eastAsia="en-AU"/>
        </w:rPr>
        <w:t xml:space="preserve">The industry outlook is </w:t>
      </w:r>
      <w:r w:rsidR="009F0360">
        <w:rPr>
          <w:lang w:eastAsia="en-AU"/>
        </w:rPr>
        <w:t xml:space="preserve">broadly </w:t>
      </w:r>
      <w:r w:rsidR="00DB11BD">
        <w:rPr>
          <w:lang w:eastAsia="en-AU"/>
        </w:rPr>
        <w:t>driven by a range of factors,</w:t>
      </w:r>
      <w:r w:rsidR="00DB11BD">
        <w:rPr>
          <w:rStyle w:val="EndnoteReference"/>
          <w:lang w:eastAsia="en-AU"/>
        </w:rPr>
        <w:endnoteReference w:id="38"/>
      </w:r>
      <w:r w:rsidR="00DB11BD">
        <w:rPr>
          <w:lang w:eastAsia="en-AU"/>
        </w:rPr>
        <w:t xml:space="preserve"> set out in</w:t>
      </w:r>
      <w:r w:rsidR="006C5276">
        <w:rPr>
          <w:rFonts w:asciiTheme="minorHAnsi" w:hAnsiTheme="minorHAnsi" w:cstheme="minorHAnsi"/>
          <w:szCs w:val="20"/>
          <w:lang w:eastAsia="en-AU"/>
        </w:rPr>
        <w:t xml:space="preserve"> Table 4</w:t>
      </w:r>
      <w:r w:rsidR="00DB11BD">
        <w:rPr>
          <w:lang w:eastAsia="en-AU"/>
        </w:rPr>
        <w:t xml:space="preserve">. </w:t>
      </w:r>
    </w:p>
    <w:p w14:paraId="1CF3DEC5" w14:textId="07366B87" w:rsidR="00DB11BD" w:rsidRPr="002D0EC7" w:rsidRDefault="00DB11BD" w:rsidP="00C953ED">
      <w:pPr>
        <w:keepNext/>
        <w:spacing w:before="240" w:line="257" w:lineRule="auto"/>
        <w:rPr>
          <w:rFonts w:eastAsia="Calibri" w:cs="Arial"/>
          <w:b/>
          <w:color w:val="000000"/>
          <w:szCs w:val="20"/>
          <w:lang w:val="en-AU" w:eastAsia="en-US"/>
        </w:rPr>
      </w:pPr>
      <w:bookmarkStart w:id="22" w:name="_Ref105163101"/>
      <w:r w:rsidRPr="002D0EC7">
        <w:rPr>
          <w:rFonts w:eastAsia="Calibri" w:cs="Arial"/>
          <w:b/>
          <w:color w:val="000000"/>
          <w:szCs w:val="20"/>
          <w:lang w:val="en-AU" w:eastAsia="en-US"/>
        </w:rPr>
        <w:t xml:space="preserve">Table </w:t>
      </w:r>
      <w:r w:rsidRPr="002D0EC7">
        <w:rPr>
          <w:rFonts w:eastAsia="Calibri" w:cs="Arial"/>
          <w:b/>
          <w:color w:val="000000"/>
          <w:szCs w:val="20"/>
          <w:lang w:val="en-AU" w:eastAsia="en-US"/>
        </w:rPr>
        <w:fldChar w:fldCharType="begin"/>
      </w:r>
      <w:r w:rsidRPr="002D0EC7">
        <w:rPr>
          <w:rFonts w:eastAsia="Calibri" w:cs="Arial"/>
          <w:b/>
          <w:color w:val="000000"/>
          <w:szCs w:val="20"/>
          <w:lang w:val="en-AU" w:eastAsia="en-US"/>
        </w:rPr>
        <w:instrText xml:space="preserve"> SEQ Table \* ARABIC </w:instrText>
      </w:r>
      <w:r w:rsidRPr="002D0EC7">
        <w:rPr>
          <w:rFonts w:eastAsia="Calibri" w:cs="Arial"/>
          <w:b/>
          <w:color w:val="000000"/>
          <w:szCs w:val="20"/>
          <w:lang w:val="en-AU" w:eastAsia="en-US"/>
        </w:rPr>
        <w:fldChar w:fldCharType="separate"/>
      </w:r>
      <w:r w:rsidR="00C435CB">
        <w:rPr>
          <w:rFonts w:eastAsia="Calibri" w:cs="Arial"/>
          <w:b/>
          <w:noProof/>
          <w:color w:val="000000"/>
          <w:szCs w:val="20"/>
          <w:lang w:val="en-AU" w:eastAsia="en-US"/>
        </w:rPr>
        <w:t>4</w:t>
      </w:r>
      <w:r w:rsidRPr="002D0EC7">
        <w:rPr>
          <w:rFonts w:eastAsia="Calibri" w:cs="Arial"/>
          <w:b/>
          <w:color w:val="000000"/>
          <w:szCs w:val="20"/>
          <w:lang w:val="en-AU" w:eastAsia="en-US"/>
        </w:rPr>
        <w:fldChar w:fldCharType="end"/>
      </w:r>
      <w:bookmarkEnd w:id="22"/>
      <w:r w:rsidRPr="002D0EC7">
        <w:rPr>
          <w:rFonts w:eastAsia="Calibri" w:cs="Arial"/>
          <w:b/>
          <w:color w:val="000000"/>
          <w:szCs w:val="20"/>
          <w:lang w:val="en-AU" w:eastAsia="en-US"/>
        </w:rPr>
        <w:t xml:space="preserve"> | Drivers of demand in the rental, hiring and real estate services industry</w:t>
      </w:r>
    </w:p>
    <w:tbl>
      <w:tblPr>
        <w:tblStyle w:val="NousTableTopandside"/>
        <w:tblW w:w="9213" w:type="dxa"/>
        <w:tblBorders>
          <w:top w:val="single" w:sz="18" w:space="0" w:color="auto"/>
          <w:left w:val="single" w:sz="18" w:space="0" w:color="auto"/>
          <w:bottom w:val="single" w:sz="18" w:space="0" w:color="auto"/>
          <w:right w:val="single" w:sz="18" w:space="0" w:color="auto"/>
          <w:insideH w:val="single" w:sz="4" w:space="0" w:color="949494"/>
          <w:insideV w:val="single" w:sz="4" w:space="0" w:color="949494"/>
        </w:tblBorders>
        <w:tblLayout w:type="fixed"/>
        <w:tblLook w:val="04A0" w:firstRow="1" w:lastRow="0" w:firstColumn="1" w:lastColumn="0" w:noHBand="0" w:noVBand="1"/>
      </w:tblPr>
      <w:tblGrid>
        <w:gridCol w:w="6662"/>
        <w:gridCol w:w="1276"/>
        <w:gridCol w:w="1275"/>
      </w:tblGrid>
      <w:tr w:rsidR="00EE7C50" w:rsidRPr="00375681" w14:paraId="125C5CA7" w14:textId="77777777" w:rsidTr="00EE7C50">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662" w:type="dxa"/>
            <w:tcBorders>
              <w:top w:val="none" w:sz="0" w:space="0" w:color="auto"/>
              <w:left w:val="none" w:sz="0" w:space="0" w:color="auto"/>
              <w:right w:val="none" w:sz="0" w:space="0" w:color="auto"/>
            </w:tcBorders>
            <w:shd w:val="clear" w:color="auto" w:fill="000000" w:themeFill="text1"/>
          </w:tcPr>
          <w:p w14:paraId="228AEA02" w14:textId="77777777" w:rsidR="00EE7C50" w:rsidRPr="00375681" w:rsidRDefault="00EE7C50" w:rsidP="00B8732E">
            <w:pPr>
              <w:keepNext/>
              <w:spacing w:line="257" w:lineRule="auto"/>
              <w:rPr>
                <w:rFonts w:eastAsia="Calibri" w:cs="Arial"/>
                <w:b/>
                <w:color w:val="FFFFFF" w:themeColor="background1"/>
                <w:szCs w:val="20"/>
                <w:lang w:val="en-AU"/>
              </w:rPr>
            </w:pPr>
            <w:r w:rsidRPr="00375681">
              <w:rPr>
                <w:rFonts w:eastAsia="Calibri" w:cs="Arial"/>
                <w:b/>
                <w:color w:val="FFFFFF" w:themeColor="background1"/>
                <w:szCs w:val="20"/>
                <w:lang w:val="en-AU"/>
              </w:rPr>
              <w:t>Driver</w:t>
            </w:r>
          </w:p>
        </w:tc>
        <w:tc>
          <w:tcPr>
            <w:tcW w:w="1276" w:type="dxa"/>
            <w:tcBorders>
              <w:top w:val="none" w:sz="0" w:space="0" w:color="auto"/>
              <w:left w:val="none" w:sz="0" w:space="0" w:color="auto"/>
              <w:right w:val="none" w:sz="0" w:space="0" w:color="auto"/>
            </w:tcBorders>
            <w:shd w:val="clear" w:color="auto" w:fill="000000" w:themeFill="text1"/>
          </w:tcPr>
          <w:p w14:paraId="46400559" w14:textId="4D6207D7" w:rsidR="00EE7C50" w:rsidRPr="00375681" w:rsidRDefault="00EE7C50" w:rsidP="00B8732E">
            <w:pPr>
              <w:keepNext/>
              <w:spacing w:line="257" w:lineRule="auto"/>
              <w:cnfStyle w:val="100000000000" w:firstRow="1" w:lastRow="0" w:firstColumn="0" w:lastColumn="0" w:oddVBand="0" w:evenVBand="0" w:oddHBand="0" w:evenHBand="0" w:firstRowFirstColumn="0" w:firstRowLastColumn="0" w:lastRowFirstColumn="0" w:lastRowLastColumn="0"/>
              <w:rPr>
                <w:rFonts w:eastAsia="Calibri" w:cs="Arial"/>
                <w:b/>
                <w:color w:val="FFFFFF" w:themeColor="background1"/>
                <w:szCs w:val="20"/>
                <w:lang w:val="en-AU"/>
              </w:rPr>
            </w:pPr>
            <w:r w:rsidRPr="00375681">
              <w:rPr>
                <w:rFonts w:eastAsia="Calibri" w:cs="Arial"/>
                <w:b/>
                <w:color w:val="FFFFFF" w:themeColor="background1"/>
                <w:szCs w:val="20"/>
                <w:lang w:val="en-AU"/>
              </w:rPr>
              <w:t>Real estate</w:t>
            </w:r>
          </w:p>
        </w:tc>
        <w:tc>
          <w:tcPr>
            <w:tcW w:w="1275" w:type="dxa"/>
            <w:tcBorders>
              <w:top w:val="none" w:sz="0" w:space="0" w:color="auto"/>
              <w:left w:val="none" w:sz="0" w:space="0" w:color="auto"/>
            </w:tcBorders>
            <w:shd w:val="clear" w:color="auto" w:fill="000000" w:themeFill="text1"/>
          </w:tcPr>
          <w:p w14:paraId="211A1122" w14:textId="0CE5F5D8" w:rsidR="00EE7C50" w:rsidRPr="00375681" w:rsidRDefault="00EE7C50" w:rsidP="00B8732E">
            <w:pPr>
              <w:keepNext/>
              <w:spacing w:line="257" w:lineRule="auto"/>
              <w:cnfStyle w:val="100000000000" w:firstRow="1" w:lastRow="0" w:firstColumn="0" w:lastColumn="0" w:oddVBand="0" w:evenVBand="0" w:oddHBand="0" w:evenHBand="0" w:firstRowFirstColumn="0" w:firstRowLastColumn="0" w:lastRowFirstColumn="0" w:lastRowLastColumn="0"/>
              <w:rPr>
                <w:rFonts w:eastAsia="Calibri" w:cs="Arial"/>
                <w:b/>
                <w:color w:val="FFFFFF" w:themeColor="background1"/>
                <w:szCs w:val="20"/>
                <w:lang w:val="en-AU"/>
              </w:rPr>
            </w:pPr>
            <w:r w:rsidRPr="00375681">
              <w:rPr>
                <w:rFonts w:eastAsia="Calibri" w:cs="Arial"/>
                <w:b/>
                <w:color w:val="FFFFFF" w:themeColor="background1"/>
                <w:szCs w:val="20"/>
                <w:lang w:val="en-AU"/>
              </w:rPr>
              <w:t>Other rental and leasing</w:t>
            </w:r>
          </w:p>
        </w:tc>
      </w:tr>
      <w:tr w:rsidR="00EE7C50" w:rsidRPr="00375681" w14:paraId="6EF49E9D" w14:textId="77777777" w:rsidTr="00EE7C50">
        <w:trPr>
          <w:cantSplit/>
          <w:trHeight w:val="1581"/>
        </w:trPr>
        <w:tc>
          <w:tcPr>
            <w:cnfStyle w:val="001000000000" w:firstRow="0" w:lastRow="0" w:firstColumn="1" w:lastColumn="0" w:oddVBand="0" w:evenVBand="0" w:oddHBand="0" w:evenHBand="0" w:firstRowFirstColumn="0" w:firstRowLastColumn="0" w:lastRowFirstColumn="0" w:lastRowLastColumn="0"/>
            <w:tcW w:w="6662" w:type="dxa"/>
            <w:tcBorders>
              <w:left w:val="none" w:sz="0" w:space="0" w:color="auto"/>
            </w:tcBorders>
            <w:shd w:val="clear" w:color="auto" w:fill="auto"/>
            <w:vAlign w:val="center"/>
          </w:tcPr>
          <w:p w14:paraId="5254E63E" w14:textId="1731FFC2" w:rsidR="00EE7C50" w:rsidRPr="00375681" w:rsidRDefault="00EE7C50" w:rsidP="003D2B2E">
            <w:pPr>
              <w:spacing w:line="257" w:lineRule="auto"/>
              <w:rPr>
                <w:rFonts w:eastAsia="Calibri" w:cs="Arial"/>
                <w:color w:val="000000"/>
                <w:szCs w:val="20"/>
                <w:lang w:val="en-AU" w:eastAsia="en-AU"/>
              </w:rPr>
            </w:pPr>
            <w:r w:rsidRPr="00375681">
              <w:rPr>
                <w:rFonts w:eastAsia="Times New Roman" w:cs="Times New Roman"/>
                <w:b/>
                <w:bCs/>
                <w:color w:val="000000"/>
                <w:szCs w:val="20"/>
                <w:lang w:val="en-AU" w:eastAsia="en-AU"/>
              </w:rPr>
              <w:t>Policy:</w:t>
            </w:r>
            <w:r w:rsidRPr="00375681">
              <w:rPr>
                <w:rFonts w:eastAsia="Times New Roman" w:cs="Times New Roman"/>
                <w:color w:val="000000"/>
                <w:szCs w:val="20"/>
                <w:lang w:val="en-AU" w:eastAsia="en-AU"/>
              </w:rPr>
              <w:t xml:space="preserve"> Changes in the regulatory environment, professional standards and public scrutiny is providing greater protection for buyers and renters.</w:t>
            </w:r>
          </w:p>
        </w:tc>
        <w:tc>
          <w:tcPr>
            <w:tcW w:w="1276" w:type="dxa"/>
            <w:shd w:val="clear" w:color="auto" w:fill="auto"/>
            <w:vAlign w:val="center"/>
          </w:tcPr>
          <w:p w14:paraId="47C205DE" w14:textId="13551B88" w:rsidR="00EE7C50" w:rsidRPr="00375681" w:rsidRDefault="00EE7C50" w:rsidP="003D2B2E">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color w:val="000000"/>
                <w:szCs w:val="20"/>
                <w:lang w:val="en-AU"/>
              </w:rPr>
            </w:pPr>
            <w:r w:rsidRPr="00375681">
              <w:rPr>
                <w:rFonts w:eastAsia="Calibri" w:cs="Arial"/>
                <w:color w:val="000000"/>
                <w:szCs w:val="20"/>
                <w:lang w:val="en-AU"/>
              </w:rPr>
              <w:t>High</w:t>
            </w:r>
          </w:p>
        </w:tc>
        <w:tc>
          <w:tcPr>
            <w:tcW w:w="1275" w:type="dxa"/>
            <w:shd w:val="clear" w:color="auto" w:fill="auto"/>
            <w:vAlign w:val="center"/>
          </w:tcPr>
          <w:p w14:paraId="13380307" w14:textId="57AF1B25" w:rsidR="00EE7C50" w:rsidRPr="00375681" w:rsidRDefault="00EE7C50" w:rsidP="003D2B2E">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color w:val="000000"/>
                <w:szCs w:val="20"/>
                <w:lang w:val="en-AU"/>
              </w:rPr>
            </w:pPr>
            <w:r w:rsidRPr="00375681">
              <w:rPr>
                <w:rFonts w:eastAsia="Calibri" w:cs="Arial"/>
                <w:color w:val="000000"/>
                <w:szCs w:val="20"/>
                <w:lang w:val="en-AU"/>
              </w:rPr>
              <w:t>Low</w:t>
            </w:r>
          </w:p>
        </w:tc>
      </w:tr>
      <w:tr w:rsidR="00EE7C50" w:rsidRPr="00375681" w14:paraId="561617E3" w14:textId="77777777" w:rsidTr="00EE7C50">
        <w:trPr>
          <w:trHeight w:val="1236"/>
        </w:trPr>
        <w:tc>
          <w:tcPr>
            <w:cnfStyle w:val="001000000000" w:firstRow="0" w:lastRow="0" w:firstColumn="1" w:lastColumn="0" w:oddVBand="0" w:evenVBand="0" w:oddHBand="0" w:evenHBand="0" w:firstRowFirstColumn="0" w:firstRowLastColumn="0" w:lastRowFirstColumn="0" w:lastRowLastColumn="0"/>
            <w:tcW w:w="6662" w:type="dxa"/>
            <w:tcBorders>
              <w:left w:val="none" w:sz="0" w:space="0" w:color="auto"/>
            </w:tcBorders>
            <w:shd w:val="clear" w:color="auto" w:fill="auto"/>
            <w:vAlign w:val="center"/>
          </w:tcPr>
          <w:p w14:paraId="668A30FE" w14:textId="5BBA5225" w:rsidR="00EE7C50" w:rsidRPr="00375681" w:rsidRDefault="00EE7C50" w:rsidP="001F38A0">
            <w:pPr>
              <w:spacing w:line="257" w:lineRule="auto"/>
              <w:rPr>
                <w:rFonts w:eastAsia="Calibri" w:cs="Arial"/>
                <w:color w:val="000000"/>
                <w:szCs w:val="20"/>
                <w:lang w:val="en-AU" w:eastAsia="en-AU"/>
              </w:rPr>
            </w:pPr>
            <w:r w:rsidRPr="00375681">
              <w:rPr>
                <w:rFonts w:eastAsia="Times New Roman" w:cs="Times New Roman"/>
                <w:b/>
                <w:bCs/>
                <w:color w:val="000000"/>
                <w:szCs w:val="20"/>
                <w:lang w:val="en-AU" w:eastAsia="en-AU"/>
              </w:rPr>
              <w:t>Economic:</w:t>
            </w:r>
            <w:r w:rsidRPr="00375681">
              <w:rPr>
                <w:rFonts w:eastAsia="Times New Roman" w:cs="Times New Roman"/>
                <w:color w:val="000000"/>
                <w:szCs w:val="20"/>
                <w:lang w:val="en-AU" w:eastAsia="en-AU"/>
              </w:rPr>
              <w:t xml:space="preserve"> Increasing house prices continue to outstrip wage growth. This may change with projected increases in interest rates in 2022</w:t>
            </w:r>
            <w:r w:rsidRPr="00375681">
              <w:rPr>
                <w:rFonts w:eastAsia="Times New Roman" w:cs="Times New Roman"/>
                <w:color w:val="000000"/>
                <w:szCs w:val="20"/>
                <w:vertAlign w:val="superscript"/>
                <w:lang w:val="en-AU" w:eastAsia="en-AU"/>
              </w:rPr>
              <w:endnoteReference w:id="39"/>
            </w:r>
            <w:r w:rsidRPr="00375681">
              <w:rPr>
                <w:rFonts w:eastAsia="Times New Roman" w:cs="Times New Roman"/>
                <w:color w:val="000000"/>
                <w:szCs w:val="20"/>
                <w:lang w:val="en-AU" w:eastAsia="en-AU"/>
              </w:rPr>
              <w:t xml:space="preserve"> that contribute to market volatility and place pressure on individuals’ capacity to repay mortgages.</w:t>
            </w:r>
          </w:p>
        </w:tc>
        <w:tc>
          <w:tcPr>
            <w:tcW w:w="1276" w:type="dxa"/>
            <w:shd w:val="clear" w:color="auto" w:fill="auto"/>
            <w:vAlign w:val="center"/>
          </w:tcPr>
          <w:p w14:paraId="2DA22309" w14:textId="77777777" w:rsidR="00EE7C50" w:rsidRPr="00375681" w:rsidRDefault="00EE7C50" w:rsidP="001F38A0">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color w:val="000000"/>
                <w:szCs w:val="20"/>
                <w:lang w:val="en-AU"/>
              </w:rPr>
            </w:pPr>
            <w:r w:rsidRPr="00375681">
              <w:rPr>
                <w:rFonts w:eastAsia="Calibri" w:cs="Arial"/>
                <w:color w:val="000000"/>
                <w:szCs w:val="20"/>
                <w:lang w:val="en-AU"/>
              </w:rPr>
              <w:t>High</w:t>
            </w:r>
          </w:p>
        </w:tc>
        <w:tc>
          <w:tcPr>
            <w:tcW w:w="1275" w:type="dxa"/>
            <w:shd w:val="clear" w:color="auto" w:fill="auto"/>
            <w:vAlign w:val="center"/>
          </w:tcPr>
          <w:p w14:paraId="0E4FE392" w14:textId="09005D0E" w:rsidR="00EE7C50" w:rsidRPr="00375681" w:rsidRDefault="00EE7C50" w:rsidP="001F38A0">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color w:val="000000"/>
                <w:szCs w:val="20"/>
                <w:lang w:val="en-AU"/>
              </w:rPr>
            </w:pPr>
            <w:r w:rsidRPr="00375681">
              <w:rPr>
                <w:rFonts w:eastAsia="Calibri" w:cs="Arial"/>
                <w:color w:val="000000"/>
                <w:szCs w:val="20"/>
                <w:lang w:val="en-AU"/>
              </w:rPr>
              <w:t>Low</w:t>
            </w:r>
          </w:p>
        </w:tc>
      </w:tr>
      <w:tr w:rsidR="00EE7C50" w:rsidRPr="00375681" w14:paraId="27866BE5" w14:textId="77777777" w:rsidTr="00EE7C50">
        <w:trPr>
          <w:trHeight w:val="1252"/>
        </w:trPr>
        <w:tc>
          <w:tcPr>
            <w:cnfStyle w:val="001000000000" w:firstRow="0" w:lastRow="0" w:firstColumn="1" w:lastColumn="0" w:oddVBand="0" w:evenVBand="0" w:oddHBand="0" w:evenHBand="0" w:firstRowFirstColumn="0" w:firstRowLastColumn="0" w:lastRowFirstColumn="0" w:lastRowLastColumn="0"/>
            <w:tcW w:w="6662" w:type="dxa"/>
            <w:tcBorders>
              <w:left w:val="none" w:sz="0" w:space="0" w:color="auto"/>
            </w:tcBorders>
            <w:shd w:val="clear" w:color="auto" w:fill="auto"/>
            <w:vAlign w:val="center"/>
          </w:tcPr>
          <w:p w14:paraId="46BB12B4" w14:textId="4B7DCC73" w:rsidR="00EE7C50" w:rsidRPr="00375681" w:rsidRDefault="00EE7C50" w:rsidP="001F38A0">
            <w:pPr>
              <w:spacing w:line="257" w:lineRule="auto"/>
              <w:rPr>
                <w:rFonts w:eastAsia="Calibri" w:cs="Arial"/>
                <w:color w:val="000000"/>
                <w:szCs w:val="20"/>
                <w:lang w:val="en-AU" w:eastAsia="en-AU"/>
              </w:rPr>
            </w:pPr>
            <w:r w:rsidRPr="00375681">
              <w:rPr>
                <w:rFonts w:eastAsia="Times New Roman" w:cs="Times New Roman"/>
                <w:b/>
                <w:bCs/>
                <w:color w:val="000000"/>
                <w:szCs w:val="20"/>
                <w:lang w:val="en-AU" w:eastAsia="en-AU"/>
              </w:rPr>
              <w:t>Social:</w:t>
            </w:r>
            <w:r w:rsidRPr="00375681">
              <w:rPr>
                <w:rFonts w:eastAsia="Times New Roman" w:cs="Times New Roman"/>
                <w:color w:val="000000"/>
                <w:szCs w:val="20"/>
                <w:lang w:val="en-AU" w:eastAsia="en-AU"/>
              </w:rPr>
              <w:t xml:space="preserve"> Population growth in regional areas is increasing amid continuing strong growth in greater Melbourne, whereas populations in some rural areas are decreasing.</w:t>
            </w:r>
          </w:p>
        </w:tc>
        <w:tc>
          <w:tcPr>
            <w:tcW w:w="1276" w:type="dxa"/>
            <w:shd w:val="clear" w:color="auto" w:fill="auto"/>
            <w:vAlign w:val="center"/>
          </w:tcPr>
          <w:p w14:paraId="11D96DD0" w14:textId="2F731226" w:rsidR="00EE7C50" w:rsidRPr="00375681" w:rsidRDefault="00EE7C50" w:rsidP="001F38A0">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color w:val="000000"/>
                <w:szCs w:val="20"/>
                <w:lang w:val="en-AU"/>
              </w:rPr>
            </w:pPr>
            <w:r w:rsidRPr="00375681">
              <w:rPr>
                <w:rFonts w:eastAsia="Calibri" w:cs="Arial"/>
                <w:color w:val="000000"/>
                <w:szCs w:val="20"/>
                <w:lang w:val="en-AU"/>
              </w:rPr>
              <w:t>High</w:t>
            </w:r>
          </w:p>
        </w:tc>
        <w:tc>
          <w:tcPr>
            <w:tcW w:w="1275" w:type="dxa"/>
            <w:shd w:val="clear" w:color="auto" w:fill="auto"/>
            <w:vAlign w:val="center"/>
          </w:tcPr>
          <w:p w14:paraId="40A9F665" w14:textId="55CDE51D" w:rsidR="00EE7C50" w:rsidRPr="00375681" w:rsidRDefault="00EE7C50" w:rsidP="001F38A0">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color w:val="000000"/>
                <w:szCs w:val="20"/>
                <w:lang w:val="en-AU"/>
              </w:rPr>
            </w:pPr>
            <w:r w:rsidRPr="00375681">
              <w:rPr>
                <w:rFonts w:eastAsia="Calibri" w:cs="Arial"/>
                <w:color w:val="000000"/>
                <w:szCs w:val="20"/>
                <w:lang w:val="en-AU"/>
              </w:rPr>
              <w:t>Low</w:t>
            </w:r>
          </w:p>
        </w:tc>
      </w:tr>
      <w:tr w:rsidR="00EE7C50" w:rsidRPr="00375681" w14:paraId="7EFDB0A5" w14:textId="77777777" w:rsidTr="00EE7C50">
        <w:trPr>
          <w:trHeight w:val="1298"/>
        </w:trPr>
        <w:tc>
          <w:tcPr>
            <w:cnfStyle w:val="001000000000" w:firstRow="0" w:lastRow="0" w:firstColumn="1" w:lastColumn="0" w:oddVBand="0" w:evenVBand="0" w:oddHBand="0" w:evenHBand="0" w:firstRowFirstColumn="0" w:firstRowLastColumn="0" w:lastRowFirstColumn="0" w:lastRowLastColumn="0"/>
            <w:tcW w:w="6662" w:type="dxa"/>
            <w:tcBorders>
              <w:left w:val="none" w:sz="0" w:space="0" w:color="auto"/>
            </w:tcBorders>
            <w:shd w:val="clear" w:color="auto" w:fill="auto"/>
            <w:vAlign w:val="center"/>
          </w:tcPr>
          <w:p w14:paraId="147AD955" w14:textId="4A6B29FB" w:rsidR="00EE7C50" w:rsidRPr="00375681" w:rsidRDefault="00EE7C50" w:rsidP="001F38A0">
            <w:pPr>
              <w:spacing w:line="257" w:lineRule="auto"/>
              <w:rPr>
                <w:rFonts w:eastAsia="Calibri" w:cs="Arial"/>
                <w:color w:val="000000"/>
                <w:szCs w:val="20"/>
                <w:lang w:val="en-AU" w:eastAsia="en-AU"/>
              </w:rPr>
            </w:pPr>
            <w:r w:rsidRPr="00375681">
              <w:rPr>
                <w:rFonts w:eastAsia="Times New Roman" w:cs="Times New Roman"/>
                <w:b/>
                <w:bCs/>
                <w:color w:val="000000"/>
                <w:szCs w:val="20"/>
                <w:lang w:val="en-AU" w:eastAsia="en-AU"/>
              </w:rPr>
              <w:t>Social:</w:t>
            </w:r>
            <w:r w:rsidRPr="00375681">
              <w:rPr>
                <w:rFonts w:eastAsia="Times New Roman" w:cs="Times New Roman"/>
                <w:color w:val="000000"/>
                <w:szCs w:val="20"/>
                <w:lang w:val="en-AU" w:eastAsia="en-AU"/>
              </w:rPr>
              <w:t xml:space="preserve"> Consumers are increasingly willing to share property, rather than own it, which in the case of real estate reflects affordability issues.</w:t>
            </w:r>
          </w:p>
        </w:tc>
        <w:tc>
          <w:tcPr>
            <w:tcW w:w="1276" w:type="dxa"/>
            <w:shd w:val="clear" w:color="auto" w:fill="auto"/>
            <w:vAlign w:val="center"/>
          </w:tcPr>
          <w:p w14:paraId="6A7B63DE" w14:textId="381BBB96" w:rsidR="00EE7C50" w:rsidRPr="00375681" w:rsidRDefault="00EE7C50" w:rsidP="001F38A0">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color w:val="000000"/>
                <w:szCs w:val="20"/>
                <w:lang w:val="en-AU"/>
              </w:rPr>
            </w:pPr>
            <w:r w:rsidRPr="00375681">
              <w:rPr>
                <w:rFonts w:eastAsia="Calibri" w:cs="Arial"/>
                <w:color w:val="000000"/>
                <w:szCs w:val="20"/>
                <w:lang w:val="en-AU"/>
              </w:rPr>
              <w:t>Medium</w:t>
            </w:r>
          </w:p>
        </w:tc>
        <w:tc>
          <w:tcPr>
            <w:tcW w:w="1275" w:type="dxa"/>
            <w:shd w:val="clear" w:color="auto" w:fill="auto"/>
            <w:vAlign w:val="center"/>
          </w:tcPr>
          <w:p w14:paraId="53D99C22" w14:textId="742525BC" w:rsidR="00EE7C50" w:rsidRPr="00375681" w:rsidRDefault="00EE7C50" w:rsidP="00C953ED">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color w:val="000000"/>
                <w:szCs w:val="20"/>
                <w:lang w:val="en-AU"/>
              </w:rPr>
            </w:pPr>
            <w:r w:rsidRPr="00375681">
              <w:rPr>
                <w:rFonts w:eastAsia="Calibri" w:cs="Arial"/>
                <w:color w:val="000000"/>
                <w:szCs w:val="20"/>
                <w:lang w:val="en-AU"/>
              </w:rPr>
              <w:t>Medium</w:t>
            </w:r>
          </w:p>
        </w:tc>
      </w:tr>
      <w:tr w:rsidR="00EE7C50" w:rsidRPr="00375681" w14:paraId="62A17AED" w14:textId="77777777" w:rsidTr="00EE7C50">
        <w:trPr>
          <w:trHeight w:val="1520"/>
        </w:trPr>
        <w:tc>
          <w:tcPr>
            <w:cnfStyle w:val="001000000000" w:firstRow="0" w:lastRow="0" w:firstColumn="1" w:lastColumn="0" w:oddVBand="0" w:evenVBand="0" w:oddHBand="0" w:evenHBand="0" w:firstRowFirstColumn="0" w:firstRowLastColumn="0" w:lastRowFirstColumn="0" w:lastRowLastColumn="0"/>
            <w:tcW w:w="6662" w:type="dxa"/>
            <w:tcBorders>
              <w:left w:val="none" w:sz="0" w:space="0" w:color="auto"/>
            </w:tcBorders>
            <w:shd w:val="clear" w:color="auto" w:fill="auto"/>
            <w:vAlign w:val="center"/>
          </w:tcPr>
          <w:p w14:paraId="11532C1A" w14:textId="77777777" w:rsidR="00EE7C50" w:rsidRPr="00375681" w:rsidRDefault="00EE7C50" w:rsidP="001F38A0">
            <w:pPr>
              <w:suppressAutoHyphens/>
              <w:spacing w:after="60" w:line="257" w:lineRule="auto"/>
              <w:rPr>
                <w:rFonts w:eastAsia="Times New Roman" w:cs="Times New Roman"/>
                <w:color w:val="000000"/>
                <w:szCs w:val="20"/>
                <w:lang w:val="en-AU" w:eastAsia="en-AU"/>
              </w:rPr>
            </w:pPr>
          </w:p>
          <w:p w14:paraId="3ECF9C90" w14:textId="6399A976" w:rsidR="00EE7C50" w:rsidRPr="00375681" w:rsidRDefault="00EE7C50" w:rsidP="001F38A0">
            <w:pPr>
              <w:suppressAutoHyphens/>
              <w:spacing w:after="60" w:line="257" w:lineRule="auto"/>
              <w:rPr>
                <w:rFonts w:eastAsia="Times New Roman" w:cs="Times New Roman"/>
                <w:color w:val="000000"/>
                <w:szCs w:val="20"/>
                <w:lang w:val="en-AU" w:eastAsia="en-AU"/>
              </w:rPr>
            </w:pPr>
            <w:r w:rsidRPr="00375681">
              <w:rPr>
                <w:rFonts w:eastAsia="Times New Roman" w:cs="Times New Roman"/>
                <w:b/>
                <w:bCs/>
                <w:color w:val="000000"/>
                <w:szCs w:val="20"/>
                <w:lang w:val="en-AU" w:eastAsia="en-AU"/>
              </w:rPr>
              <w:t>Technological:</w:t>
            </w:r>
            <w:r w:rsidRPr="00375681">
              <w:rPr>
                <w:rFonts w:eastAsia="Times New Roman" w:cs="Times New Roman"/>
                <w:color w:val="000000"/>
                <w:szCs w:val="20"/>
                <w:lang w:val="en-AU" w:eastAsia="en-AU"/>
              </w:rPr>
              <w:t xml:space="preserve"> Significant advancements in technology and digitisation, including Artificial Intelligence (AR), Augmented Reality (AR) and Virtual Reality (VR) improve products and processes for renting and selling.</w:t>
            </w:r>
          </w:p>
          <w:p w14:paraId="3DB62637" w14:textId="77777777" w:rsidR="00EE7C50" w:rsidRPr="00375681" w:rsidRDefault="00EE7C50" w:rsidP="001F38A0">
            <w:pPr>
              <w:suppressAutoHyphens/>
              <w:spacing w:after="60" w:line="257" w:lineRule="auto"/>
              <w:rPr>
                <w:rFonts w:eastAsia="Times New Roman" w:cs="Times New Roman"/>
                <w:color w:val="000000"/>
                <w:szCs w:val="20"/>
                <w:lang w:val="en-AU" w:eastAsia="en-AU"/>
              </w:rPr>
            </w:pPr>
          </w:p>
          <w:p w14:paraId="61AA5D60" w14:textId="06297473" w:rsidR="00EE7C50" w:rsidRPr="00375681" w:rsidRDefault="00EE7C50" w:rsidP="001F38A0">
            <w:pPr>
              <w:spacing w:line="257" w:lineRule="auto"/>
              <w:rPr>
                <w:rFonts w:eastAsia="Calibri" w:cs="Arial"/>
                <w:color w:val="000000"/>
                <w:szCs w:val="20"/>
                <w:lang w:val="en-AU" w:eastAsia="en-AU"/>
              </w:rPr>
            </w:pPr>
          </w:p>
        </w:tc>
        <w:tc>
          <w:tcPr>
            <w:tcW w:w="1276" w:type="dxa"/>
            <w:shd w:val="clear" w:color="auto" w:fill="auto"/>
            <w:vAlign w:val="center"/>
          </w:tcPr>
          <w:p w14:paraId="5FCD1F43" w14:textId="4A43D56C" w:rsidR="00EE7C50" w:rsidRPr="00375681" w:rsidRDefault="00EE7C50" w:rsidP="001F38A0">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color w:val="000000"/>
                <w:szCs w:val="20"/>
                <w:lang w:val="en-AU"/>
              </w:rPr>
            </w:pPr>
            <w:r w:rsidRPr="00375681">
              <w:rPr>
                <w:rFonts w:eastAsia="Calibri" w:cs="Arial"/>
                <w:color w:val="000000"/>
                <w:szCs w:val="20"/>
                <w:lang w:val="en-AU"/>
              </w:rPr>
              <w:t>Low</w:t>
            </w:r>
          </w:p>
        </w:tc>
        <w:tc>
          <w:tcPr>
            <w:tcW w:w="1275" w:type="dxa"/>
            <w:shd w:val="clear" w:color="auto" w:fill="auto"/>
            <w:vAlign w:val="center"/>
          </w:tcPr>
          <w:p w14:paraId="5B35430D" w14:textId="275F6967" w:rsidR="00EE7C50" w:rsidRPr="00375681" w:rsidRDefault="00EE7C50" w:rsidP="001F38A0">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color w:val="000000"/>
                <w:szCs w:val="20"/>
                <w:lang w:val="en-AU"/>
              </w:rPr>
            </w:pPr>
            <w:r w:rsidRPr="00375681">
              <w:rPr>
                <w:rFonts w:eastAsia="Calibri" w:cs="Arial"/>
                <w:color w:val="000000"/>
                <w:szCs w:val="20"/>
                <w:lang w:val="en-AU"/>
              </w:rPr>
              <w:t>Low</w:t>
            </w:r>
          </w:p>
        </w:tc>
      </w:tr>
      <w:tr w:rsidR="00EE7C50" w:rsidRPr="00375681" w14:paraId="1C9A85F3" w14:textId="77777777" w:rsidTr="00EE7C50">
        <w:trPr>
          <w:cantSplit/>
          <w:trHeight w:val="1572"/>
        </w:trPr>
        <w:tc>
          <w:tcPr>
            <w:cnfStyle w:val="001000000000" w:firstRow="0" w:lastRow="0" w:firstColumn="1" w:lastColumn="0" w:oddVBand="0" w:evenVBand="0" w:oddHBand="0" w:evenHBand="0" w:firstRowFirstColumn="0" w:firstRowLastColumn="0" w:lastRowFirstColumn="0" w:lastRowLastColumn="0"/>
            <w:tcW w:w="6662" w:type="dxa"/>
            <w:tcBorders>
              <w:left w:val="none" w:sz="0" w:space="0" w:color="auto"/>
            </w:tcBorders>
            <w:shd w:val="clear" w:color="auto" w:fill="auto"/>
            <w:vAlign w:val="center"/>
          </w:tcPr>
          <w:p w14:paraId="5A343BC9" w14:textId="6EB83419" w:rsidR="00EE7C50" w:rsidRPr="00375681" w:rsidRDefault="00EE7C50" w:rsidP="001F38A0">
            <w:pPr>
              <w:spacing w:line="257" w:lineRule="auto"/>
              <w:rPr>
                <w:rFonts w:eastAsia="Calibri" w:cs="Arial"/>
                <w:color w:val="000000"/>
                <w:szCs w:val="20"/>
                <w:lang w:val="en-AU" w:eastAsia="en-AU"/>
              </w:rPr>
            </w:pPr>
            <w:r w:rsidRPr="00375681">
              <w:rPr>
                <w:rFonts w:eastAsia="Times New Roman" w:cs="Times New Roman"/>
                <w:b/>
                <w:bCs/>
                <w:color w:val="000000"/>
                <w:szCs w:val="20"/>
                <w:lang w:val="en-AU" w:eastAsia="en-AU"/>
              </w:rPr>
              <w:t>Environmental:</w:t>
            </w:r>
            <w:r w:rsidRPr="00375681">
              <w:rPr>
                <w:rFonts w:eastAsia="Times New Roman" w:cs="Times New Roman"/>
                <w:color w:val="000000"/>
                <w:szCs w:val="20"/>
                <w:lang w:val="en-AU" w:eastAsia="en-AU"/>
              </w:rPr>
              <w:t xml:space="preserve"> Climate change is likely to increase demand for property that is environmentally sustainable and/or (in the case of real estate) located in lower risk areas for natural disasters and other adverse environmental concerns (e.g., rising sea levels).</w:t>
            </w:r>
            <w:r w:rsidRPr="00375681">
              <w:rPr>
                <w:rFonts w:eastAsia="Calibri" w:cs="Arial"/>
                <w:noProof/>
                <w:color w:val="000000"/>
                <w:szCs w:val="20"/>
                <w:lang w:val="en-AU"/>
              </w:rPr>
              <w:t xml:space="preserve"> </w:t>
            </w:r>
          </w:p>
        </w:tc>
        <w:tc>
          <w:tcPr>
            <w:tcW w:w="1276" w:type="dxa"/>
            <w:shd w:val="clear" w:color="auto" w:fill="auto"/>
            <w:vAlign w:val="center"/>
          </w:tcPr>
          <w:p w14:paraId="20E67533" w14:textId="53C223C6" w:rsidR="00EE7C50" w:rsidRPr="00375681" w:rsidRDefault="00EE7C50" w:rsidP="001F38A0">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color w:val="000000"/>
                <w:szCs w:val="20"/>
                <w:lang w:val="en-AU"/>
              </w:rPr>
            </w:pPr>
            <w:r w:rsidRPr="00375681">
              <w:rPr>
                <w:rFonts w:eastAsia="Calibri" w:cs="Arial"/>
                <w:color w:val="000000"/>
                <w:szCs w:val="20"/>
                <w:lang w:val="en-AU"/>
              </w:rPr>
              <w:t>Medium</w:t>
            </w:r>
          </w:p>
        </w:tc>
        <w:tc>
          <w:tcPr>
            <w:tcW w:w="1275" w:type="dxa"/>
            <w:shd w:val="clear" w:color="auto" w:fill="auto"/>
            <w:vAlign w:val="center"/>
          </w:tcPr>
          <w:p w14:paraId="442ADD93" w14:textId="125B4DBE" w:rsidR="00EE7C50" w:rsidRPr="00375681" w:rsidRDefault="00EE7C50" w:rsidP="001F38A0">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color w:val="000000"/>
                <w:szCs w:val="20"/>
                <w:lang w:val="en-AU"/>
              </w:rPr>
            </w:pPr>
            <w:r w:rsidRPr="00375681">
              <w:rPr>
                <w:rFonts w:eastAsia="Calibri" w:cs="Arial"/>
                <w:color w:val="000000"/>
                <w:szCs w:val="20"/>
                <w:lang w:val="en-AU"/>
              </w:rPr>
              <w:t>Low</w:t>
            </w:r>
          </w:p>
        </w:tc>
      </w:tr>
    </w:tbl>
    <w:p w14:paraId="289EBF20" w14:textId="076354E3" w:rsidR="00DB11BD" w:rsidRDefault="00DB11BD" w:rsidP="00B259EA">
      <w:pPr>
        <w:rPr>
          <w:lang w:val="en-AU"/>
        </w:rPr>
      </w:pPr>
    </w:p>
    <w:p w14:paraId="3CC5D692" w14:textId="20DA045C" w:rsidR="00DB11BD" w:rsidRDefault="00DB11BD" w:rsidP="002E3D49">
      <w:pPr>
        <w:rPr>
          <w:lang w:eastAsia="en-AU"/>
        </w:rPr>
      </w:pPr>
      <w:r>
        <w:rPr>
          <w:lang w:eastAsia="en-AU"/>
        </w:rPr>
        <w:lastRenderedPageBreak/>
        <w:t xml:space="preserve">Drivers are impacting sectors differently across the industry over the next three to five years. </w:t>
      </w:r>
    </w:p>
    <w:p w14:paraId="7AB2556D" w14:textId="77777777" w:rsidR="00DB11BD" w:rsidRDefault="00DB11BD" w:rsidP="002D0EC7">
      <w:pPr>
        <w:keepNext/>
        <w:rPr>
          <w:rFonts w:eastAsiaTheme="majorEastAsia" w:cstheme="majorBidi"/>
          <w:b/>
          <w:color w:val="000000" w:themeColor="text1"/>
          <w:sz w:val="22"/>
          <w:szCs w:val="24"/>
          <w:lang w:val="en-AU"/>
        </w:rPr>
      </w:pPr>
      <w:bookmarkStart w:id="23" w:name="_Toc99009784"/>
      <w:r w:rsidRPr="00C64CEF">
        <w:rPr>
          <w:rFonts w:eastAsiaTheme="majorEastAsia" w:cstheme="majorBidi"/>
          <w:b/>
          <w:color w:val="000000" w:themeColor="text1"/>
          <w:sz w:val="22"/>
          <w:szCs w:val="24"/>
          <w:lang w:val="en-AU"/>
        </w:rPr>
        <w:t>Real estate</w:t>
      </w:r>
    </w:p>
    <w:p w14:paraId="4B3BB7E8" w14:textId="627686AE" w:rsidR="00DB11BD" w:rsidRPr="001D1451" w:rsidRDefault="00DB11BD" w:rsidP="00C64CEF">
      <w:pPr>
        <w:rPr>
          <w:rFonts w:cstheme="majorBidi"/>
          <w:sz w:val="22"/>
          <w:szCs w:val="24"/>
          <w:lang w:val="en-AU"/>
        </w:rPr>
      </w:pPr>
      <w:r w:rsidRPr="00C64CEF">
        <w:rPr>
          <w:lang w:val="en-AU"/>
        </w:rPr>
        <w:t>New rental laws from 2021 expand the rights and responsibilities of renters and rental providers, making renting fairer and safer</w:t>
      </w:r>
      <w:r>
        <w:rPr>
          <w:lang w:val="en-AU"/>
        </w:rPr>
        <w:t xml:space="preserve">. This is </w:t>
      </w:r>
      <w:r w:rsidRPr="00C64CEF">
        <w:rPr>
          <w:lang w:val="en-AU"/>
        </w:rPr>
        <w:t>likely to increase work demands for property managers as a contact point between renters and landlords.</w:t>
      </w:r>
      <w:r w:rsidRPr="00C64CEF">
        <w:rPr>
          <w:vertAlign w:val="superscript"/>
          <w:lang w:val="en-AU"/>
        </w:rPr>
        <w:endnoteReference w:id="40"/>
      </w:r>
      <w:r>
        <w:rPr>
          <w:rFonts w:cstheme="majorBidi"/>
          <w:sz w:val="22"/>
          <w:szCs w:val="24"/>
          <w:lang w:val="en-AU"/>
        </w:rPr>
        <w:t xml:space="preserve"> </w:t>
      </w:r>
      <w:r>
        <w:rPr>
          <w:lang w:val="en-AU"/>
        </w:rPr>
        <w:t xml:space="preserve">Similarly, </w:t>
      </w:r>
      <w:r w:rsidRPr="00C64CEF">
        <w:rPr>
          <w:lang w:val="en-AU"/>
        </w:rPr>
        <w:t xml:space="preserve">new licensing requirements came into effect for real estate agents </w:t>
      </w:r>
      <w:r>
        <w:rPr>
          <w:lang w:val="en-AU"/>
        </w:rPr>
        <w:t xml:space="preserve">in October 2020, </w:t>
      </w:r>
      <w:r w:rsidRPr="00C64CEF">
        <w:rPr>
          <w:lang w:val="en-AU"/>
        </w:rPr>
        <w:t xml:space="preserve">introducing </w:t>
      </w:r>
      <w:r w:rsidR="00E43E0D">
        <w:rPr>
          <w:lang w:val="en-AU"/>
        </w:rPr>
        <w:t>the</w:t>
      </w:r>
      <w:r w:rsidRPr="00C64CEF">
        <w:rPr>
          <w:lang w:val="en-AU"/>
        </w:rPr>
        <w:t xml:space="preserve"> Certificate IV in </w:t>
      </w:r>
      <w:r w:rsidR="002B491B">
        <w:rPr>
          <w:lang w:val="en-AU"/>
        </w:rPr>
        <w:t xml:space="preserve">Real Estate Practice </w:t>
      </w:r>
      <w:r w:rsidRPr="00C64CEF">
        <w:rPr>
          <w:lang w:val="en-AU"/>
        </w:rPr>
        <w:t>as the minimum qualification.</w:t>
      </w:r>
      <w:r w:rsidRPr="00C64CEF">
        <w:rPr>
          <w:vertAlign w:val="superscript"/>
          <w:lang w:val="en-AU"/>
        </w:rPr>
        <w:endnoteReference w:id="41"/>
      </w:r>
      <w:r>
        <w:rPr>
          <w:rFonts w:cstheme="majorBidi"/>
          <w:sz w:val="22"/>
          <w:szCs w:val="24"/>
          <w:lang w:val="en-AU"/>
        </w:rPr>
        <w:t xml:space="preserve"> </w:t>
      </w:r>
      <w:r>
        <w:rPr>
          <w:lang w:val="en-AU"/>
        </w:rPr>
        <w:t>Regulatory reform is likely to continue to affect the real estate secto</w:t>
      </w:r>
      <w:r w:rsidR="00C21D75">
        <w:rPr>
          <w:lang w:val="en-AU"/>
        </w:rPr>
        <w:t xml:space="preserve">r. In </w:t>
      </w:r>
      <w:r w:rsidRPr="00C64CEF">
        <w:rPr>
          <w:lang w:val="en-AU"/>
        </w:rPr>
        <w:t xml:space="preserve">February 2022, the Victorian </w:t>
      </w:r>
      <w:r>
        <w:rPr>
          <w:lang w:val="en-AU"/>
        </w:rPr>
        <w:t>G</w:t>
      </w:r>
      <w:r w:rsidRPr="00C64CEF">
        <w:rPr>
          <w:lang w:val="en-AU"/>
        </w:rPr>
        <w:t>overnment announced a review into underquoting laws, off-the-plan sales and real estate agent conduct following complaints to Consumer Affairs Victoria.</w:t>
      </w:r>
      <w:r w:rsidRPr="00C64CEF">
        <w:rPr>
          <w:vertAlign w:val="superscript"/>
          <w:lang w:val="en-AU"/>
        </w:rPr>
        <w:endnoteReference w:id="42"/>
      </w:r>
      <w:r w:rsidRPr="00C64CEF">
        <w:rPr>
          <w:lang w:val="en-AU"/>
        </w:rPr>
        <w:t xml:space="preserve"> </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EE7C50" w14:paraId="20DE4379" w14:textId="77777777" w:rsidTr="00EE7C50">
        <w:tc>
          <w:tcPr>
            <w:tcW w:w="9061" w:type="dxa"/>
          </w:tcPr>
          <w:p w14:paraId="42A7225E" w14:textId="04460141" w:rsidR="00EE7C50" w:rsidRPr="00EE7C50" w:rsidRDefault="00EE7C50" w:rsidP="00C64CEF">
            <w:pPr>
              <w:rPr>
                <w:szCs w:val="20"/>
                <w:lang w:val="en-AU"/>
              </w:rPr>
            </w:pPr>
            <w:r w:rsidRPr="00220D68">
              <w:rPr>
                <w:szCs w:val="20"/>
                <w:lang w:val="en-AU"/>
              </w:rPr>
              <w:t>Demand in the real estate sector will be driven by population growth, house prices relative to wage growth and changes to the level of protection afforded to buyers and renters.</w:t>
            </w:r>
          </w:p>
        </w:tc>
      </w:tr>
    </w:tbl>
    <w:p w14:paraId="2CF80B14" w14:textId="77777777" w:rsidR="00EE7C50" w:rsidRDefault="00EE7C50" w:rsidP="00C64CEF">
      <w:pPr>
        <w:rPr>
          <w:lang w:val="en-AU"/>
        </w:rPr>
      </w:pPr>
    </w:p>
    <w:p w14:paraId="30A5EB5F" w14:textId="29689A66" w:rsidR="00AA35F9" w:rsidRDefault="00DB11BD" w:rsidP="00C64CEF">
      <w:pPr>
        <w:rPr>
          <w:lang w:val="en-AU"/>
        </w:rPr>
      </w:pPr>
      <w:r>
        <w:rPr>
          <w:lang w:val="en-AU"/>
        </w:rPr>
        <w:t>On an economic level, house</w:t>
      </w:r>
      <w:r w:rsidRPr="00C64CEF">
        <w:rPr>
          <w:lang w:val="en-AU"/>
        </w:rPr>
        <w:t xml:space="preserve"> prices have consistently outstripped wage growth over the past 30 years.</w:t>
      </w:r>
      <w:r w:rsidRPr="00C64CEF">
        <w:rPr>
          <w:vertAlign w:val="superscript"/>
          <w:lang w:val="en-AU"/>
        </w:rPr>
        <w:endnoteReference w:id="43"/>
      </w:r>
      <w:r w:rsidRPr="00C64CEF">
        <w:rPr>
          <w:lang w:val="en-AU"/>
        </w:rPr>
        <w:t xml:space="preserve"> House prices and rent in regional areas have increased in response to recent demand,</w:t>
      </w:r>
      <w:r w:rsidRPr="00C64CEF">
        <w:rPr>
          <w:vertAlign w:val="superscript"/>
          <w:lang w:val="en-AU"/>
        </w:rPr>
        <w:endnoteReference w:id="44"/>
      </w:r>
      <w:r w:rsidRPr="00C64CEF">
        <w:rPr>
          <w:lang w:val="en-AU"/>
        </w:rPr>
        <w:t xml:space="preserve"> and while they remain lower than in capital cities, they still threaten home affordability. </w:t>
      </w:r>
      <w:r w:rsidR="00AA35F9">
        <w:rPr>
          <w:lang w:val="en-AU"/>
        </w:rPr>
        <w:t>However, i</w:t>
      </w:r>
      <w:r>
        <w:rPr>
          <w:lang w:val="en-AU"/>
        </w:rPr>
        <w:t>nterest</w:t>
      </w:r>
      <w:r w:rsidRPr="00C64CEF">
        <w:rPr>
          <w:lang w:val="en-AU"/>
        </w:rPr>
        <w:t xml:space="preserve"> rates</w:t>
      </w:r>
      <w:r>
        <w:rPr>
          <w:lang w:val="en-AU"/>
        </w:rPr>
        <w:t xml:space="preserve"> are </w:t>
      </w:r>
      <w:r w:rsidR="008B1862">
        <w:rPr>
          <w:lang w:val="en-AU"/>
        </w:rPr>
        <w:t xml:space="preserve">now starting to rise and </w:t>
      </w:r>
      <w:r w:rsidRPr="00C64CEF">
        <w:rPr>
          <w:lang w:val="en-AU"/>
        </w:rPr>
        <w:t>place downward pressure on price</w:t>
      </w:r>
      <w:r w:rsidR="00953F33">
        <w:rPr>
          <w:lang w:val="en-AU"/>
        </w:rPr>
        <w:t>s</w:t>
      </w:r>
      <w:r w:rsidRPr="00C64CEF">
        <w:rPr>
          <w:lang w:val="en-AU"/>
        </w:rPr>
        <w:t>.</w:t>
      </w:r>
      <w:r w:rsidRPr="00C64CEF">
        <w:rPr>
          <w:vertAlign w:val="superscript"/>
          <w:lang w:val="en-AU"/>
        </w:rPr>
        <w:endnoteReference w:id="45"/>
      </w:r>
      <w:r>
        <w:rPr>
          <w:lang w:val="en-AU"/>
        </w:rPr>
        <w:t xml:space="preserve"> </w:t>
      </w:r>
    </w:p>
    <w:p w14:paraId="07ABA086" w14:textId="24DC4092" w:rsidR="00DB11BD" w:rsidRDefault="00DB11BD" w:rsidP="00C64CEF">
      <w:pPr>
        <w:rPr>
          <w:lang w:val="en-AU"/>
        </w:rPr>
      </w:pPr>
      <w:r w:rsidRPr="00C64CEF">
        <w:rPr>
          <w:lang w:val="en-AU"/>
        </w:rPr>
        <w:t>The banking sector deferred repayments on home loans throughout COVID-19, reaching a peak in June 2020 at 900,000 deferrals across Australia. However, this has shifted pressure to 2022 and beyond for consumers to either repay or sell.</w:t>
      </w:r>
      <w:r w:rsidRPr="00C64CEF">
        <w:rPr>
          <w:vertAlign w:val="superscript"/>
          <w:lang w:val="en-AU"/>
        </w:rPr>
        <w:endnoteReference w:id="46"/>
      </w:r>
    </w:p>
    <w:p w14:paraId="73623021" w14:textId="72183997" w:rsidR="00DB11BD" w:rsidRPr="00C64CEF" w:rsidRDefault="00DB11BD" w:rsidP="00C64CEF">
      <w:pPr>
        <w:rPr>
          <w:lang w:val="en-AU"/>
        </w:rPr>
      </w:pPr>
      <w:r>
        <w:rPr>
          <w:lang w:val="en-AU"/>
        </w:rPr>
        <w:t>T</w:t>
      </w:r>
      <w:r w:rsidRPr="00C64CEF">
        <w:rPr>
          <w:lang w:val="en-AU"/>
        </w:rPr>
        <w:t xml:space="preserve">here </w:t>
      </w:r>
      <w:r>
        <w:rPr>
          <w:lang w:val="en-AU"/>
        </w:rPr>
        <w:t>was</w:t>
      </w:r>
      <w:r w:rsidRPr="00C64CEF">
        <w:rPr>
          <w:lang w:val="en-AU"/>
        </w:rPr>
        <w:t xml:space="preserve"> a surge in home auctions</w:t>
      </w:r>
      <w:r>
        <w:rPr>
          <w:lang w:val="en-AU"/>
        </w:rPr>
        <w:t xml:space="preserve"> as lockdowns eased</w:t>
      </w:r>
      <w:r w:rsidRPr="00C64CEF">
        <w:rPr>
          <w:lang w:val="en-AU"/>
        </w:rPr>
        <w:t>, with a 144</w:t>
      </w:r>
      <w:r w:rsidR="00D05C42">
        <w:rPr>
          <w:lang w:val="en-AU"/>
        </w:rPr>
        <w:t> per cent</w:t>
      </w:r>
      <w:r w:rsidRPr="00C64CEF">
        <w:rPr>
          <w:lang w:val="en-AU"/>
        </w:rPr>
        <w:t xml:space="preserve"> increase in 2021 compared with 2020. December 2021 was the strongest performance for both auction volume and sales in any quarter (</w:t>
      </w:r>
      <w:r>
        <w:rPr>
          <w:lang w:val="en-AU"/>
        </w:rPr>
        <w:t xml:space="preserve">a possible consequence of </w:t>
      </w:r>
      <w:r w:rsidRPr="00C64CEF">
        <w:rPr>
          <w:lang w:val="en-AU"/>
        </w:rPr>
        <w:t>backlog from earlier in the year).</w:t>
      </w:r>
      <w:r w:rsidRPr="00C64CEF">
        <w:rPr>
          <w:vertAlign w:val="superscript"/>
          <w:lang w:val="en-AU"/>
        </w:rPr>
        <w:endnoteReference w:id="47"/>
      </w:r>
      <w:r>
        <w:rPr>
          <w:lang w:val="en-AU"/>
        </w:rPr>
        <w:t xml:space="preserve"> </w:t>
      </w:r>
    </w:p>
    <w:p w14:paraId="18DD4725" w14:textId="5CBDACCF" w:rsidR="00DB11BD" w:rsidRPr="00C64CEF" w:rsidRDefault="00DB11BD" w:rsidP="00C64CEF">
      <w:pPr>
        <w:rPr>
          <w:lang w:val="en-AU"/>
        </w:rPr>
      </w:pPr>
      <w:r w:rsidRPr="00C64CEF">
        <w:rPr>
          <w:lang w:val="en-AU"/>
        </w:rPr>
        <w:t>Population growth continues in regions of high amenity (tree- and sea-changer communities in Victoria were growing 1.5 times faster than average population growth pre-COVID-19).</w:t>
      </w:r>
      <w:r w:rsidRPr="00C64CEF">
        <w:rPr>
          <w:vertAlign w:val="superscript"/>
          <w:lang w:val="en-AU"/>
        </w:rPr>
        <w:endnoteReference w:id="48"/>
      </w:r>
      <w:r w:rsidRPr="00C64CEF">
        <w:rPr>
          <w:lang w:val="en-AU"/>
        </w:rPr>
        <w:t xml:space="preserve"> Growth is underpinned by strategic housing projects in Armstrong Creek (Geelong),</w:t>
      </w:r>
      <w:r w:rsidRPr="00C64CEF">
        <w:rPr>
          <w:vertAlign w:val="superscript"/>
          <w:lang w:val="en-AU"/>
        </w:rPr>
        <w:endnoteReference w:id="49"/>
      </w:r>
      <w:r w:rsidRPr="00C64CEF">
        <w:rPr>
          <w:lang w:val="en-AU"/>
        </w:rPr>
        <w:t xml:space="preserve"> Lucas (Ballarat),</w:t>
      </w:r>
      <w:r w:rsidRPr="00C64CEF">
        <w:rPr>
          <w:vertAlign w:val="superscript"/>
          <w:lang w:val="en-AU"/>
        </w:rPr>
        <w:endnoteReference w:id="50"/>
      </w:r>
      <w:r w:rsidRPr="00C64CEF">
        <w:rPr>
          <w:lang w:val="en-AU"/>
        </w:rPr>
        <w:t xml:space="preserve"> and Bendigo</w:t>
      </w:r>
      <w:r w:rsidRPr="00C64CEF">
        <w:rPr>
          <w:vertAlign w:val="superscript"/>
          <w:lang w:val="en-AU"/>
        </w:rPr>
        <w:endnoteReference w:id="51"/>
      </w:r>
      <w:r w:rsidRPr="00C64CEF">
        <w:rPr>
          <w:lang w:val="en-AU"/>
        </w:rPr>
        <w:t xml:space="preserve"> – the largest housing developments in Victoria outside Melbourne. These three areas are expected to account for half of Victoria’s regional growth to 2036.</w:t>
      </w:r>
      <w:r w:rsidRPr="00C64CEF">
        <w:rPr>
          <w:vertAlign w:val="superscript"/>
          <w:lang w:val="en-AU"/>
        </w:rPr>
        <w:endnoteReference w:id="52"/>
      </w:r>
      <w:r w:rsidRPr="00C64CEF">
        <w:rPr>
          <w:lang w:val="en-AU"/>
        </w:rPr>
        <w:t xml:space="preserve"> A recovery in international migration from COVID-19 will likely increase commercial and residential demand for real estate</w:t>
      </w:r>
      <w:r>
        <w:rPr>
          <w:lang w:val="en-AU"/>
        </w:rPr>
        <w:t xml:space="preserve"> across the </w:t>
      </w:r>
      <w:r w:rsidR="00191643">
        <w:rPr>
          <w:lang w:val="en-AU"/>
        </w:rPr>
        <w:t>S</w:t>
      </w:r>
      <w:r>
        <w:rPr>
          <w:lang w:val="en-AU"/>
        </w:rPr>
        <w:t>tate</w:t>
      </w:r>
      <w:r w:rsidRPr="00C64CEF">
        <w:rPr>
          <w:lang w:val="en-AU"/>
        </w:rPr>
        <w:t>.</w:t>
      </w:r>
    </w:p>
    <w:p w14:paraId="7BFF124E" w14:textId="1E2CB0DC" w:rsidR="00DB11BD" w:rsidRPr="00C64CEF" w:rsidRDefault="00DB11BD" w:rsidP="00C64CEF">
      <w:pPr>
        <w:rPr>
          <w:lang w:val="en-AU"/>
        </w:rPr>
      </w:pPr>
      <w:r w:rsidRPr="00C64CEF">
        <w:rPr>
          <w:lang w:val="en-AU"/>
        </w:rPr>
        <w:t xml:space="preserve">A greater acceptance of remote working driven by the COVID-19 pandemic </w:t>
      </w:r>
      <w:r w:rsidR="00EC45B1">
        <w:rPr>
          <w:lang w:val="en-AU"/>
        </w:rPr>
        <w:t>is supporting more</w:t>
      </w:r>
      <w:r w:rsidR="00C519A0">
        <w:rPr>
          <w:lang w:val="en-AU"/>
        </w:rPr>
        <w:t xml:space="preserve"> </w:t>
      </w:r>
      <w:r w:rsidRPr="00C64CEF">
        <w:rPr>
          <w:lang w:val="en-AU"/>
        </w:rPr>
        <w:t>permanent regional migration.</w:t>
      </w:r>
      <w:r w:rsidRPr="00C64CEF">
        <w:rPr>
          <w:vertAlign w:val="superscript"/>
          <w:lang w:val="en-AU"/>
        </w:rPr>
        <w:endnoteReference w:id="53"/>
      </w:r>
      <w:r>
        <w:rPr>
          <w:lang w:val="en-AU"/>
        </w:rPr>
        <w:t xml:space="preserve">  Flexibility in work models driven in part by t</w:t>
      </w:r>
      <w:r w:rsidRPr="00C64CEF">
        <w:rPr>
          <w:lang w:val="en-AU"/>
        </w:rPr>
        <w:t>he ‘sharing economy’ continues to grow, with Victorians engaging new ways of renting and swapping from rooms in private homes and entire residences (Airbnb) to co-working spaces (</w:t>
      </w:r>
      <w:proofErr w:type="spellStart"/>
      <w:r w:rsidRPr="00C64CEF">
        <w:rPr>
          <w:lang w:val="en-AU"/>
        </w:rPr>
        <w:t>WeWork</w:t>
      </w:r>
      <w:proofErr w:type="spellEnd"/>
      <w:r w:rsidRPr="00C64CEF">
        <w:rPr>
          <w:lang w:val="en-AU"/>
        </w:rPr>
        <w:t>).</w:t>
      </w:r>
      <w:r w:rsidRPr="00C64CEF">
        <w:rPr>
          <w:vertAlign w:val="superscript"/>
          <w:lang w:val="en-AU"/>
        </w:rPr>
        <w:endnoteReference w:id="54"/>
      </w:r>
    </w:p>
    <w:p w14:paraId="765401A9" w14:textId="77777777" w:rsidR="00DB11BD" w:rsidRPr="00C64CEF" w:rsidRDefault="00DB11BD" w:rsidP="00C64CEF">
      <w:pPr>
        <w:rPr>
          <w:lang w:val="en-AU"/>
        </w:rPr>
      </w:pPr>
      <w:r w:rsidRPr="00C64CEF">
        <w:rPr>
          <w:lang w:val="en-AU"/>
        </w:rPr>
        <w:t>New technologies that were introduced in the COVID-19 pandemic will continue to permit online inspections, vendor advocacy, auctions and paperless transactions.</w:t>
      </w:r>
      <w:r w:rsidRPr="00C64CEF">
        <w:rPr>
          <w:vertAlign w:val="superscript"/>
          <w:lang w:val="en-AU"/>
        </w:rPr>
        <w:endnoteReference w:id="55"/>
      </w:r>
    </w:p>
    <w:p w14:paraId="0FD09D7E" w14:textId="739B5AD0" w:rsidR="00DB11BD" w:rsidRDefault="00191643" w:rsidP="00C64CEF">
      <w:pPr>
        <w:rPr>
          <w:lang w:val="en-AU"/>
        </w:rPr>
      </w:pPr>
      <w:r>
        <w:rPr>
          <w:lang w:val="en-AU"/>
        </w:rPr>
        <w:t>With</w:t>
      </w:r>
      <w:r w:rsidR="00DB11BD" w:rsidRPr="00C64CEF">
        <w:rPr>
          <w:lang w:val="en-AU"/>
        </w:rPr>
        <w:t xml:space="preserve"> effect from February 2021, the Victorian Minister for Planning has declared that certain high risk external wall cladding products are prohibited for use in carrying out any building work in Victoria.</w:t>
      </w:r>
      <w:r w:rsidR="00DB11BD" w:rsidRPr="00C64CEF">
        <w:rPr>
          <w:vertAlign w:val="superscript"/>
          <w:lang w:val="en-AU"/>
        </w:rPr>
        <w:endnoteReference w:id="56"/>
      </w:r>
      <w:r w:rsidR="00DB11BD" w:rsidRPr="00C64CEF">
        <w:rPr>
          <w:lang w:val="en-AU"/>
        </w:rPr>
        <w:t xml:space="preserve"> This may require construction work to be undertaken to remove the cladding for some property owners and renters.</w:t>
      </w:r>
      <w:r w:rsidR="00DB11BD" w:rsidRPr="00C64CEF">
        <w:rPr>
          <w:vertAlign w:val="superscript"/>
          <w:lang w:val="en-AU"/>
        </w:rPr>
        <w:endnoteReference w:id="57"/>
      </w:r>
    </w:p>
    <w:p w14:paraId="2CE7D503" w14:textId="227C2D74" w:rsidR="00DB11BD" w:rsidRDefault="00DB11BD" w:rsidP="007541E9">
      <w:pPr>
        <w:pStyle w:val="Heading3"/>
        <w:rPr>
          <w:lang w:val="en-AU"/>
        </w:rPr>
      </w:pPr>
      <w:r w:rsidRPr="00C64CEF">
        <w:rPr>
          <w:lang w:val="en-AU"/>
        </w:rPr>
        <w:t xml:space="preserve">Other </w:t>
      </w:r>
      <w:r>
        <w:rPr>
          <w:lang w:val="en-AU"/>
        </w:rPr>
        <w:t>rental and leasing</w:t>
      </w:r>
    </w:p>
    <w:p w14:paraId="3A13AFE2" w14:textId="2D726545" w:rsidR="00DB11BD" w:rsidRPr="007541E9" w:rsidRDefault="00DB11BD" w:rsidP="007541E9">
      <w:pPr>
        <w:rPr>
          <w:rFonts w:cstheme="majorBidi"/>
          <w:sz w:val="22"/>
          <w:szCs w:val="24"/>
          <w:lang w:val="en-AU"/>
        </w:rPr>
      </w:pPr>
      <w:r>
        <w:rPr>
          <w:lang w:val="en-AU"/>
        </w:rPr>
        <w:t>Most significantly for other rental and leasing sectors</w:t>
      </w:r>
      <w:r w:rsidRPr="00C64CEF">
        <w:rPr>
          <w:lang w:val="en-AU"/>
        </w:rPr>
        <w:t>, the ‘sharing economy’ continues to grow</w:t>
      </w:r>
      <w:r>
        <w:rPr>
          <w:lang w:val="en-AU"/>
        </w:rPr>
        <w:t>.</w:t>
      </w:r>
      <w:r w:rsidRPr="00C64CEF">
        <w:rPr>
          <w:lang w:val="en-AU"/>
        </w:rPr>
        <w:t xml:space="preserve"> Victorians</w:t>
      </w:r>
      <w:r>
        <w:rPr>
          <w:lang w:val="en-AU"/>
        </w:rPr>
        <w:t xml:space="preserve"> are</w:t>
      </w:r>
      <w:r w:rsidRPr="00C64CEF">
        <w:rPr>
          <w:lang w:val="en-AU"/>
        </w:rPr>
        <w:t xml:space="preserve"> engaging </w:t>
      </w:r>
      <w:r>
        <w:rPr>
          <w:lang w:val="en-AU"/>
        </w:rPr>
        <w:t xml:space="preserve">in </w:t>
      </w:r>
      <w:r w:rsidRPr="00C64CEF">
        <w:rPr>
          <w:lang w:val="en-AU"/>
        </w:rPr>
        <w:t>new ways of renting and swapping including cars (</w:t>
      </w:r>
      <w:r>
        <w:rPr>
          <w:lang w:val="en-AU"/>
        </w:rPr>
        <w:t xml:space="preserve">e.g., Car Next Door, </w:t>
      </w:r>
      <w:proofErr w:type="spellStart"/>
      <w:r w:rsidRPr="00C64CEF">
        <w:rPr>
          <w:lang w:val="en-AU"/>
        </w:rPr>
        <w:t>FlexiCar</w:t>
      </w:r>
      <w:proofErr w:type="spellEnd"/>
      <w:r w:rsidRPr="00C64CEF">
        <w:rPr>
          <w:lang w:val="en-AU"/>
        </w:rPr>
        <w:t>) and equipment (</w:t>
      </w:r>
      <w:proofErr w:type="spellStart"/>
      <w:r w:rsidRPr="00C64CEF">
        <w:rPr>
          <w:lang w:val="en-AU"/>
        </w:rPr>
        <w:t>OpenShed</w:t>
      </w:r>
      <w:proofErr w:type="spellEnd"/>
      <w:r w:rsidRPr="00C64CEF">
        <w:rPr>
          <w:lang w:val="en-AU"/>
        </w:rPr>
        <w:t>).</w:t>
      </w:r>
      <w:r w:rsidRPr="00C64CEF">
        <w:rPr>
          <w:vertAlign w:val="superscript"/>
          <w:lang w:val="en-AU"/>
        </w:rPr>
        <w:endnoteReference w:id="58"/>
      </w:r>
    </w:p>
    <w:p w14:paraId="204F52E3" w14:textId="1A93B373" w:rsidR="00DB11BD" w:rsidRPr="00C64CEF" w:rsidRDefault="00DB11BD" w:rsidP="00C64CEF">
      <w:pPr>
        <w:rPr>
          <w:lang w:val="en-AU"/>
        </w:rPr>
      </w:pPr>
      <w:r w:rsidRPr="00C64CEF">
        <w:rPr>
          <w:lang w:val="en-AU"/>
        </w:rPr>
        <w:t>A global shortage of cars has more than doubled rental prices since 2019.</w:t>
      </w:r>
      <w:r w:rsidRPr="00C64CEF">
        <w:rPr>
          <w:vertAlign w:val="superscript"/>
          <w:lang w:val="en-AU"/>
        </w:rPr>
        <w:endnoteReference w:id="59"/>
      </w:r>
      <w:r w:rsidRPr="00C64CEF">
        <w:rPr>
          <w:lang w:val="en-AU"/>
        </w:rPr>
        <w:t xml:space="preserve"> Rental companies will continue to rectify the shortfall </w:t>
      </w:r>
      <w:r>
        <w:rPr>
          <w:lang w:val="en-AU"/>
        </w:rPr>
        <w:t>d</w:t>
      </w:r>
      <w:r w:rsidRPr="00C64CEF">
        <w:rPr>
          <w:lang w:val="en-AU"/>
        </w:rPr>
        <w:t>espite a severe global shortage of parts</w:t>
      </w:r>
      <w:r>
        <w:rPr>
          <w:lang w:val="en-AU"/>
        </w:rPr>
        <w:t>.</w:t>
      </w:r>
      <w:r w:rsidRPr="00C64CEF">
        <w:rPr>
          <w:lang w:val="en-AU"/>
        </w:rPr>
        <w:t xml:space="preserve"> </w:t>
      </w:r>
      <w:r>
        <w:rPr>
          <w:lang w:val="en-AU"/>
        </w:rPr>
        <w:t xml:space="preserve">For example, </w:t>
      </w:r>
      <w:r w:rsidRPr="00C64CEF">
        <w:rPr>
          <w:lang w:val="en-AU"/>
        </w:rPr>
        <w:t xml:space="preserve">companies in </w:t>
      </w:r>
      <w:r w:rsidRPr="00C64CEF">
        <w:rPr>
          <w:lang w:val="en-AU"/>
        </w:rPr>
        <w:lastRenderedPageBreak/>
        <w:t xml:space="preserve">the vehicle and transport leasing sub-sector across Australia </w:t>
      </w:r>
      <w:r>
        <w:rPr>
          <w:lang w:val="en-AU"/>
        </w:rPr>
        <w:t>have bought</w:t>
      </w:r>
      <w:r w:rsidRPr="00C64CEF">
        <w:rPr>
          <w:lang w:val="en-AU"/>
        </w:rPr>
        <w:t xml:space="preserve"> more than 890,000 cars in the past year.</w:t>
      </w:r>
      <w:r w:rsidRPr="00C64CEF">
        <w:rPr>
          <w:vertAlign w:val="superscript"/>
          <w:lang w:val="en-AU"/>
        </w:rPr>
        <w:endnoteReference w:id="60"/>
      </w:r>
      <w:r w:rsidRPr="00C64CEF">
        <w:rPr>
          <w:lang w:val="en-AU"/>
        </w:rPr>
        <w:t xml:space="preserve">  </w:t>
      </w:r>
    </w:p>
    <w:p w14:paraId="06612983" w14:textId="6E4B4FFB" w:rsidR="00DB11BD" w:rsidRPr="00C64CEF" w:rsidRDefault="00DB11BD" w:rsidP="00C64CEF">
      <w:pPr>
        <w:rPr>
          <w:lang w:val="en-AU"/>
        </w:rPr>
      </w:pPr>
      <w:r w:rsidRPr="00C64CEF">
        <w:rPr>
          <w:lang w:val="en-AU"/>
        </w:rPr>
        <w:t xml:space="preserve">An increasing number of Australians are travelling within the country, which has increased demand for rental cars </w:t>
      </w:r>
      <w:r w:rsidRPr="006D548B">
        <w:rPr>
          <w:lang w:val="en-AU"/>
        </w:rPr>
        <w:t xml:space="preserve">and is driven by </w:t>
      </w:r>
      <w:r>
        <w:rPr>
          <w:lang w:val="en-AU"/>
        </w:rPr>
        <w:t>greater</w:t>
      </w:r>
      <w:r w:rsidRPr="006D548B">
        <w:rPr>
          <w:lang w:val="en-AU"/>
        </w:rPr>
        <w:t xml:space="preserve"> household savings built during COVID-19 </w:t>
      </w:r>
      <w:r>
        <w:rPr>
          <w:lang w:val="en-AU"/>
        </w:rPr>
        <w:t>(and</w:t>
      </w:r>
      <w:r w:rsidRPr="006D548B">
        <w:rPr>
          <w:lang w:val="en-AU"/>
        </w:rPr>
        <w:t xml:space="preserve"> in lieu of overseas holidays</w:t>
      </w:r>
      <w:r>
        <w:rPr>
          <w:lang w:val="en-AU"/>
        </w:rPr>
        <w:t>)</w:t>
      </w:r>
      <w:r w:rsidRPr="006D548B">
        <w:rPr>
          <w:lang w:val="en-AU"/>
        </w:rPr>
        <w:t xml:space="preserve">. </w:t>
      </w:r>
      <w:r>
        <w:rPr>
          <w:lang w:val="en-AU"/>
        </w:rPr>
        <w:t>On a local level</w:t>
      </w:r>
      <w:r w:rsidRPr="006D548B">
        <w:rPr>
          <w:lang w:val="en-AU"/>
        </w:rPr>
        <w:t xml:space="preserve">, </w:t>
      </w:r>
      <w:r w:rsidR="00C52734">
        <w:rPr>
          <w:lang w:val="en-AU"/>
        </w:rPr>
        <w:t>some</w:t>
      </w:r>
      <w:r w:rsidR="00C52734" w:rsidRPr="006D548B">
        <w:rPr>
          <w:lang w:val="en-AU"/>
        </w:rPr>
        <w:t xml:space="preserve"> </w:t>
      </w:r>
      <w:r w:rsidRPr="006D548B">
        <w:rPr>
          <w:lang w:val="en-AU"/>
        </w:rPr>
        <w:t>consumer concern about surge prices on rideshare apps is driving greater demand for taxi operators. In March 2022, 13cabs revealed that it was recruiting 4</w:t>
      </w:r>
      <w:r>
        <w:rPr>
          <w:lang w:val="en-AU"/>
        </w:rPr>
        <w:t>,</w:t>
      </w:r>
      <w:r w:rsidRPr="006D548B">
        <w:rPr>
          <w:lang w:val="en-AU"/>
        </w:rPr>
        <w:t>000 drivers to meet demand across Australia.</w:t>
      </w:r>
    </w:p>
    <w:p w14:paraId="7D86E797" w14:textId="414B9147" w:rsidR="00DB11BD" w:rsidRPr="00C64CEF" w:rsidRDefault="00DB11BD" w:rsidP="00B904B5">
      <w:pPr>
        <w:rPr>
          <w:lang w:val="en-AU"/>
        </w:rPr>
      </w:pPr>
      <w:r w:rsidRPr="00C64CEF">
        <w:rPr>
          <w:lang w:val="en-AU"/>
        </w:rPr>
        <w:t>In November 2021, cattle prices hit an all-time high in Victoria</w:t>
      </w:r>
      <w:r>
        <w:rPr>
          <w:lang w:val="en-AU"/>
        </w:rPr>
        <w:t xml:space="preserve"> after a year of strong growth consistent with forecasts</w:t>
      </w:r>
      <w:r w:rsidRPr="00C64CEF">
        <w:rPr>
          <w:lang w:val="en-AU"/>
        </w:rPr>
        <w:t>,</w:t>
      </w:r>
      <w:r>
        <w:rPr>
          <w:rStyle w:val="EndnoteReference"/>
          <w:lang w:val="en-AU"/>
        </w:rPr>
        <w:endnoteReference w:id="61"/>
      </w:r>
      <w:r w:rsidR="004564F1" w:rsidRPr="002D0EC7">
        <w:rPr>
          <w:vertAlign w:val="superscript"/>
          <w:lang w:val="en-AU"/>
        </w:rPr>
        <w:t>,</w:t>
      </w:r>
      <w:r>
        <w:rPr>
          <w:rStyle w:val="EndnoteReference"/>
          <w:lang w:val="en-AU"/>
        </w:rPr>
        <w:endnoteReference w:id="62"/>
      </w:r>
      <w:r w:rsidRPr="00C64CEF">
        <w:rPr>
          <w:lang w:val="en-AU"/>
        </w:rPr>
        <w:t xml:space="preserve"> which may increase demand for bloodstock leasing (e.g.</w:t>
      </w:r>
      <w:r>
        <w:rPr>
          <w:lang w:val="en-AU"/>
        </w:rPr>
        <w:t>,</w:t>
      </w:r>
      <w:r w:rsidRPr="00C64CEF">
        <w:rPr>
          <w:lang w:val="en-AU"/>
        </w:rPr>
        <w:t xml:space="preserve"> for sharemilking)</w:t>
      </w:r>
      <w:r>
        <w:rPr>
          <w:lang w:val="en-AU"/>
        </w:rPr>
        <w:t xml:space="preserve"> in the future</w:t>
      </w:r>
      <w:r w:rsidRPr="00C64CEF">
        <w:rPr>
          <w:lang w:val="en-AU"/>
        </w:rPr>
        <w:t>.</w:t>
      </w:r>
      <w:r w:rsidRPr="00C64CEF">
        <w:rPr>
          <w:vertAlign w:val="superscript"/>
          <w:lang w:val="en-AU"/>
        </w:rPr>
        <w:endnoteReference w:id="63"/>
      </w:r>
      <w:r>
        <w:rPr>
          <w:lang w:val="en-AU"/>
        </w:rPr>
        <w:t xml:space="preserve"> </w:t>
      </w:r>
    </w:p>
    <w:p w14:paraId="58FF0B92" w14:textId="20A82C21" w:rsidR="00DB11BD" w:rsidRDefault="000F4FE6" w:rsidP="00FC5977">
      <w:r>
        <w:rPr>
          <w:lang w:val="en-AU"/>
        </w:rPr>
        <w:t>Technological</w:t>
      </w:r>
      <w:r w:rsidR="00DB11BD" w:rsidRPr="00C64CEF">
        <w:rPr>
          <w:lang w:val="en-AU"/>
        </w:rPr>
        <w:t xml:space="preserve"> advancements in streaming platforms and online hosting continue to reshape how consumers rent video and other media for entertainment and other purposes</w:t>
      </w:r>
      <w:r w:rsidR="00DB11BD">
        <w:rPr>
          <w:lang w:val="en-AU"/>
        </w:rPr>
        <w:t xml:space="preserve">. This </w:t>
      </w:r>
      <w:r w:rsidR="00DB11BD" w:rsidRPr="00C64CEF">
        <w:rPr>
          <w:lang w:val="en-AU"/>
        </w:rPr>
        <w:t>is likely to accelerate a decline in the video and other media leasing sub</w:t>
      </w:r>
      <w:r w:rsidR="009A56E9">
        <w:rPr>
          <w:lang w:val="en-AU"/>
        </w:rPr>
        <w:t>-</w:t>
      </w:r>
      <w:r w:rsidR="00DB11BD" w:rsidRPr="00C64CEF">
        <w:rPr>
          <w:lang w:val="en-AU"/>
        </w:rPr>
        <w:t>sector.</w:t>
      </w:r>
    </w:p>
    <w:p w14:paraId="497F5AAF" w14:textId="77777777" w:rsidR="00FC5977" w:rsidRDefault="00FC5977" w:rsidP="002D0EC7">
      <w:pPr>
        <w:rPr>
          <w:rFonts w:eastAsiaTheme="majorEastAsia" w:cs="Times New Roman (Headings CS)"/>
          <w:b/>
          <w:color w:val="000000" w:themeColor="text1"/>
          <w:sz w:val="32"/>
          <w:szCs w:val="32"/>
        </w:rPr>
      </w:pPr>
    </w:p>
    <w:p w14:paraId="6CC24580" w14:textId="0E972244" w:rsidR="00DB11BD" w:rsidRPr="00F970CF" w:rsidRDefault="00DB11BD" w:rsidP="00B356D9">
      <w:pPr>
        <w:pStyle w:val="Heading1"/>
      </w:pPr>
      <w:bookmarkStart w:id="24" w:name="_Toc111118558"/>
      <w:r w:rsidRPr="00F970CF">
        <w:lastRenderedPageBreak/>
        <w:t xml:space="preserve">Workforce and </w:t>
      </w:r>
      <w:r>
        <w:t>s</w:t>
      </w:r>
      <w:r w:rsidRPr="00F970CF">
        <w:t xml:space="preserve">killing </w:t>
      </w:r>
      <w:r>
        <w:t>i</w:t>
      </w:r>
      <w:r w:rsidRPr="00F970CF">
        <w:t>mplications</w:t>
      </w:r>
      <w:bookmarkEnd w:id="23"/>
      <w:bookmarkEnd w:id="24"/>
    </w:p>
    <w:p w14:paraId="6CFDB025" w14:textId="5D2621B0" w:rsidR="007F30A5" w:rsidRDefault="007F30A5" w:rsidP="007F30A5">
      <w:pPr>
        <w:pStyle w:val="Heading2"/>
        <w:rPr>
          <w:lang w:val="en-AU"/>
        </w:rPr>
      </w:pPr>
      <w:bookmarkStart w:id="25" w:name="_Toc96366987"/>
      <w:bookmarkStart w:id="26" w:name="_Toc98337192"/>
      <w:bookmarkStart w:id="27" w:name="_Toc98757030"/>
      <w:bookmarkStart w:id="28" w:name="_Toc99092940"/>
      <w:bookmarkStart w:id="29" w:name="_Toc99109742"/>
      <w:bookmarkStart w:id="30" w:name="_Toc99109772"/>
      <w:bookmarkStart w:id="31" w:name="_Toc99912502"/>
      <w:bookmarkStart w:id="32" w:name="_Toc100001342"/>
      <w:bookmarkStart w:id="33" w:name="_Toc101273804"/>
      <w:bookmarkStart w:id="34" w:name="_Toc101450467"/>
      <w:bookmarkStart w:id="35" w:name="_Toc101452161"/>
      <w:bookmarkStart w:id="36" w:name="_Toc101452356"/>
      <w:bookmarkStart w:id="37" w:name="_Toc102033062"/>
      <w:bookmarkStart w:id="38" w:name="_Toc104969255"/>
      <w:bookmarkStart w:id="39" w:name="_Toc111118559"/>
      <w:r w:rsidRPr="0097641F">
        <w:rPr>
          <w:lang w:val="en-AU"/>
        </w:rPr>
        <w:t xml:space="preserve">An estimated </w:t>
      </w:r>
      <w:r w:rsidR="006251D2">
        <w:rPr>
          <w:lang w:val="en-AU"/>
        </w:rPr>
        <w:t>5,600</w:t>
      </w:r>
      <w:r w:rsidRPr="00B2277D">
        <w:rPr>
          <w:lang w:val="en-AU"/>
        </w:rPr>
        <w:t xml:space="preserve"> </w:t>
      </w:r>
      <w:r w:rsidR="00C22D66">
        <w:rPr>
          <w:lang w:val="en-AU"/>
        </w:rPr>
        <w:t xml:space="preserve">new </w:t>
      </w:r>
      <w:r w:rsidRPr="00B2277D">
        <w:rPr>
          <w:lang w:val="en-AU"/>
        </w:rPr>
        <w:t xml:space="preserve">workers are required to meet projected demand over the next </w:t>
      </w:r>
      <w:r w:rsidR="00B2277D" w:rsidRPr="00B2277D">
        <w:rPr>
          <w:lang w:val="en-AU"/>
        </w:rPr>
        <w:t>3</w:t>
      </w:r>
      <w:r w:rsidRPr="00B2277D">
        <w:rPr>
          <w:lang w:val="en-AU"/>
        </w:rPr>
        <w:t xml:space="preserve"> years</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4602EE1" w14:textId="77777777" w:rsidR="00CD1CBC" w:rsidRPr="00021F78" w:rsidRDefault="00CD1CBC" w:rsidP="00CD1CBC">
      <w:pPr>
        <w:rPr>
          <w:rFonts w:eastAsia="Arial" w:cs="Arial"/>
        </w:rPr>
      </w:pPr>
      <w:r w:rsidRPr="00021F78">
        <w:rPr>
          <w:rFonts w:eastAsia="Arial" w:cs="Arial"/>
        </w:rPr>
        <w:t xml:space="preserve">On average, across all industries total employment is expected to grow by an additional </w:t>
      </w:r>
      <w:r w:rsidRPr="00C66246">
        <w:rPr>
          <w:rFonts w:eastAsia="Arial" w:cs="Arial"/>
        </w:rPr>
        <w:t>211,900</w:t>
      </w:r>
      <w:r w:rsidRPr="00021F78">
        <w:rPr>
          <w:rFonts w:eastAsia="Arial" w:cs="Arial"/>
        </w:rPr>
        <w:t xml:space="preserve"> workers to 2025, from </w:t>
      </w:r>
      <w:r w:rsidRPr="00C66246">
        <w:rPr>
          <w:rFonts w:eastAsia="Arial" w:cs="Arial"/>
        </w:rPr>
        <w:t>3,538,900</w:t>
      </w:r>
      <w:r w:rsidRPr="00021F78">
        <w:rPr>
          <w:rFonts w:eastAsia="Arial" w:cs="Arial"/>
        </w:rPr>
        <w:t xml:space="preserve"> workers in 2022, a</w:t>
      </w:r>
      <w:r>
        <w:rPr>
          <w:rFonts w:eastAsia="Arial" w:cs="Arial"/>
        </w:rPr>
        <w:t>n annual</w:t>
      </w:r>
      <w:r w:rsidRPr="00021F78">
        <w:rPr>
          <w:rFonts w:eastAsia="Arial" w:cs="Arial"/>
        </w:rPr>
        <w:t xml:space="preserve"> growth rate of </w:t>
      </w:r>
      <w:r w:rsidRPr="00C66246">
        <w:rPr>
          <w:rFonts w:eastAsia="Arial" w:cs="Arial"/>
        </w:rPr>
        <w:t>1.97 per cent</w:t>
      </w:r>
      <w:r>
        <w:rPr>
          <w:rStyle w:val="FootnoteReference"/>
          <w:rFonts w:eastAsia="Arial" w:cs="Arial"/>
        </w:rPr>
        <w:footnoteReference w:id="8"/>
      </w:r>
      <w:r>
        <w:rPr>
          <w:rFonts w:eastAsia="Arial" w:cs="Arial"/>
        </w:rPr>
        <w:t>.</w:t>
      </w:r>
      <w:r>
        <w:rPr>
          <w:rStyle w:val="EndnoteReference"/>
          <w:rFonts w:eastAsia="Arial" w:cs="Arial"/>
        </w:rPr>
        <w:endnoteReference w:id="64"/>
      </w:r>
      <w:r>
        <w:rPr>
          <w:rFonts w:eastAsia="Arial" w:cs="Arial"/>
          <w:vertAlign w:val="superscript"/>
        </w:rPr>
        <w:t>,</w:t>
      </w:r>
      <w:r>
        <w:rPr>
          <w:rStyle w:val="EndnoteReference"/>
          <w:rFonts w:eastAsia="Arial" w:cs="Arial"/>
        </w:rPr>
        <w:endnoteReference w:id="65"/>
      </w:r>
      <w:r w:rsidRPr="00021F78">
        <w:rPr>
          <w:rFonts w:eastAsia="Arial" w:cs="Arial"/>
        </w:rPr>
        <w:t xml:space="preserve"> In comparison between 2017 and 2020 employment grew by </w:t>
      </w:r>
      <w:r w:rsidRPr="00C66246">
        <w:rPr>
          <w:rFonts w:eastAsia="Arial" w:cs="Arial"/>
        </w:rPr>
        <w:t>2.68 per cent</w:t>
      </w:r>
      <w:r>
        <w:rPr>
          <w:rStyle w:val="FootnoteReference"/>
          <w:rFonts w:eastAsia="Arial" w:cs="Arial"/>
        </w:rPr>
        <w:footnoteReference w:id="9"/>
      </w:r>
      <w:r>
        <w:rPr>
          <w:rFonts w:eastAsia="Arial" w:cs="Arial"/>
        </w:rPr>
        <w:t xml:space="preserve"> annually.</w:t>
      </w:r>
      <w:r>
        <w:rPr>
          <w:rStyle w:val="EndnoteReference"/>
          <w:rFonts w:eastAsia="Arial" w:cs="Arial"/>
        </w:rPr>
        <w:endnoteReference w:id="66"/>
      </w:r>
    </w:p>
    <w:p w14:paraId="28F357B0" w14:textId="30A85EC1" w:rsidR="00CD1CBC" w:rsidRDefault="00CD1CBC" w:rsidP="00CD1CBC">
      <w:pPr>
        <w:rPr>
          <w:rFonts w:eastAsia="Arial" w:cs="Arial"/>
          <w:color w:val="000000"/>
        </w:rPr>
      </w:pPr>
      <w:r w:rsidRPr="00021F78">
        <w:rPr>
          <w:rFonts w:eastAsia="Arial" w:cs="Arial"/>
        </w:rPr>
        <w:t xml:space="preserve">In the </w:t>
      </w:r>
      <w:r>
        <w:rPr>
          <w:rFonts w:eastAsia="Arial" w:cs="Arial"/>
        </w:rPr>
        <w:t xml:space="preserve">rental, hiring and real estate services </w:t>
      </w:r>
      <w:r w:rsidRPr="00021F78">
        <w:rPr>
          <w:rFonts w:eastAsia="Arial" w:cs="Arial"/>
        </w:rPr>
        <w:t>industry, employment is expected to grow by an additional</w:t>
      </w:r>
      <w:r>
        <w:rPr>
          <w:rFonts w:eastAsia="Arial" w:cs="Arial"/>
        </w:rPr>
        <w:t xml:space="preserve"> </w:t>
      </w:r>
      <w:r w:rsidRPr="00900FF9">
        <w:rPr>
          <w:rFonts w:eastAsia="Arial" w:cs="Arial"/>
        </w:rPr>
        <w:t>3,700 workers</w:t>
      </w:r>
      <w:r w:rsidRPr="00021F78">
        <w:rPr>
          <w:rFonts w:eastAsia="Arial" w:cs="Arial"/>
        </w:rPr>
        <w:t xml:space="preserve"> to 2025, from </w:t>
      </w:r>
      <w:r w:rsidRPr="00900FF9">
        <w:rPr>
          <w:rFonts w:eastAsia="Arial" w:cs="Arial"/>
        </w:rPr>
        <w:t>52,700 workers</w:t>
      </w:r>
      <w:r w:rsidRPr="00021F78">
        <w:rPr>
          <w:rFonts w:eastAsia="Arial" w:cs="Arial"/>
        </w:rPr>
        <w:t xml:space="preserve"> in 2022, a</w:t>
      </w:r>
      <w:r>
        <w:rPr>
          <w:rFonts w:eastAsia="Arial" w:cs="Arial"/>
        </w:rPr>
        <w:t>n annual</w:t>
      </w:r>
      <w:r w:rsidRPr="00021F78">
        <w:rPr>
          <w:rFonts w:eastAsia="Arial" w:cs="Arial"/>
        </w:rPr>
        <w:t xml:space="preserve"> growth rate of </w:t>
      </w:r>
      <w:r w:rsidRPr="00900FF9">
        <w:rPr>
          <w:rFonts w:eastAsia="Arial" w:cs="Arial"/>
        </w:rPr>
        <w:t>2.43 per cent</w:t>
      </w:r>
      <w:r>
        <w:rPr>
          <w:rStyle w:val="FootnoteReference"/>
          <w:rFonts w:eastAsia="Arial" w:cs="Arial"/>
        </w:rPr>
        <w:footnoteReference w:id="10"/>
      </w:r>
      <w:r>
        <w:rPr>
          <w:rFonts w:eastAsia="Arial" w:cs="Arial"/>
        </w:rPr>
        <w:t xml:space="preserve"> which is higher than the overall Victorian average across all industries.</w:t>
      </w:r>
      <w:r>
        <w:rPr>
          <w:rStyle w:val="EndnoteReference"/>
          <w:rFonts w:eastAsia="Arial" w:cs="Arial"/>
        </w:rPr>
        <w:endnoteReference w:id="67"/>
      </w:r>
      <w:r>
        <w:rPr>
          <w:rFonts w:eastAsia="Arial" w:cs="Arial"/>
          <w:vertAlign w:val="superscript"/>
        </w:rPr>
        <w:t>,</w:t>
      </w:r>
      <w:r>
        <w:rPr>
          <w:rStyle w:val="EndnoteReference"/>
          <w:rFonts w:eastAsia="Arial" w:cs="Arial"/>
        </w:rPr>
        <w:endnoteReference w:id="68"/>
      </w:r>
      <w:r w:rsidRPr="00021F78">
        <w:rPr>
          <w:rFonts w:eastAsia="Arial" w:cs="Arial"/>
          <w:color w:val="000000"/>
          <w:vertAlign w:val="superscript"/>
        </w:rPr>
        <w:t xml:space="preserve"> </w:t>
      </w:r>
      <w:r w:rsidRPr="00021F78">
        <w:rPr>
          <w:rFonts w:eastAsia="Arial" w:cs="Arial"/>
        </w:rPr>
        <w:t>In comparison between 2017 and 2020 employment across this</w:t>
      </w:r>
      <w:r>
        <w:rPr>
          <w:rFonts w:eastAsia="Arial" w:cs="Arial"/>
        </w:rPr>
        <w:t xml:space="preserve"> industry experienced a decline of 0.31 per cent</w:t>
      </w:r>
      <w:r w:rsidRPr="00900FF9">
        <w:rPr>
          <w:rStyle w:val="FootnoteReference"/>
          <w:rFonts w:eastAsia="Arial" w:cs="Arial"/>
        </w:rPr>
        <w:footnoteReference w:id="11"/>
      </w:r>
      <w:r w:rsidRPr="00900FF9">
        <w:rPr>
          <w:rFonts w:eastAsia="Arial" w:cs="Arial"/>
          <w:color w:val="000000"/>
        </w:rPr>
        <w:t>.</w:t>
      </w:r>
      <w:r w:rsidRPr="00900FF9">
        <w:rPr>
          <w:rStyle w:val="EndnoteReference"/>
          <w:rFonts w:eastAsia="Arial" w:cs="Arial"/>
        </w:rPr>
        <w:endnoteReference w:id="69"/>
      </w:r>
    </w:p>
    <w:p w14:paraId="708A3640" w14:textId="22C69026" w:rsidR="00861E0C" w:rsidRDefault="00FC796F" w:rsidP="00433EC0">
      <w:pPr>
        <w:rPr>
          <w:lang w:eastAsia="en-AU"/>
        </w:rPr>
      </w:pPr>
      <w:r w:rsidRPr="0073070E">
        <w:rPr>
          <w:lang w:eastAsia="en-AU"/>
        </w:rPr>
        <w:t xml:space="preserve">The </w:t>
      </w:r>
      <w:r w:rsidR="00CD0F0A">
        <w:rPr>
          <w:lang w:eastAsia="en-AU"/>
        </w:rPr>
        <w:t>5,600</w:t>
      </w:r>
      <w:r w:rsidRPr="0073070E">
        <w:rPr>
          <w:lang w:eastAsia="en-AU"/>
        </w:rPr>
        <w:t xml:space="preserve"> </w:t>
      </w:r>
      <w:r w:rsidR="00C91E90">
        <w:rPr>
          <w:lang w:eastAsia="en-AU"/>
        </w:rPr>
        <w:t>new workers</w:t>
      </w:r>
      <w:r w:rsidR="00E6593B">
        <w:rPr>
          <w:lang w:eastAsia="en-AU"/>
        </w:rPr>
        <w:t xml:space="preserve"> expected</w:t>
      </w:r>
      <w:r w:rsidR="00C91E90">
        <w:rPr>
          <w:lang w:eastAsia="en-AU"/>
        </w:rPr>
        <w:t xml:space="preserve"> </w:t>
      </w:r>
      <w:r w:rsidRPr="0073070E">
        <w:rPr>
          <w:lang w:eastAsia="en-AU"/>
        </w:rPr>
        <w:t>between 202</w:t>
      </w:r>
      <w:r w:rsidR="0073070E" w:rsidRPr="0073070E">
        <w:rPr>
          <w:lang w:eastAsia="en-AU"/>
        </w:rPr>
        <w:t>2</w:t>
      </w:r>
      <w:r w:rsidRPr="0073070E">
        <w:rPr>
          <w:lang w:eastAsia="en-AU"/>
        </w:rPr>
        <w:t xml:space="preserve"> and 202</w:t>
      </w:r>
      <w:r w:rsidR="00B2277D" w:rsidRPr="0073070E">
        <w:rPr>
          <w:lang w:eastAsia="en-AU"/>
        </w:rPr>
        <w:t>5</w:t>
      </w:r>
      <w:r w:rsidRPr="0073070E">
        <w:rPr>
          <w:lang w:eastAsia="en-AU"/>
        </w:rPr>
        <w:t>.</w:t>
      </w:r>
      <w:r w:rsidRPr="0073070E">
        <w:rPr>
          <w:rStyle w:val="EndnoteReference"/>
          <w:lang w:eastAsia="en-AU"/>
        </w:rPr>
        <w:endnoteReference w:id="70"/>
      </w:r>
      <w:r w:rsidR="00861E0C" w:rsidRPr="0073070E">
        <w:rPr>
          <w:lang w:eastAsia="en-AU"/>
        </w:rPr>
        <w:t xml:space="preserve"> </w:t>
      </w:r>
      <w:r w:rsidR="00E6593B">
        <w:rPr>
          <w:lang w:eastAsia="en-AU"/>
        </w:rPr>
        <w:t>comprises</w:t>
      </w:r>
      <w:r w:rsidR="00EB6ABA" w:rsidRPr="0073070E">
        <w:rPr>
          <w:lang w:eastAsia="en-AU"/>
        </w:rPr>
        <w:t xml:space="preserve"> </w:t>
      </w:r>
      <w:r w:rsidR="00322474">
        <w:rPr>
          <w:lang w:eastAsia="en-AU"/>
        </w:rPr>
        <w:t>3,7</w:t>
      </w:r>
      <w:r w:rsidR="00432B75" w:rsidRPr="0073070E">
        <w:rPr>
          <w:lang w:eastAsia="en-AU"/>
        </w:rPr>
        <w:t>00</w:t>
      </w:r>
      <w:r w:rsidR="001D77B4" w:rsidRPr="0073070E">
        <w:rPr>
          <w:lang w:eastAsia="en-AU"/>
        </w:rPr>
        <w:t xml:space="preserve"> </w:t>
      </w:r>
      <w:r w:rsidR="00F31EAF">
        <w:rPr>
          <w:lang w:eastAsia="en-AU"/>
        </w:rPr>
        <w:t xml:space="preserve">in </w:t>
      </w:r>
      <w:r w:rsidR="00FE477A">
        <w:rPr>
          <w:lang w:eastAsia="en-AU"/>
        </w:rPr>
        <w:t>employment</w:t>
      </w:r>
      <w:r w:rsidR="00322474">
        <w:rPr>
          <w:lang w:eastAsia="en-AU"/>
        </w:rPr>
        <w:t xml:space="preserve"> growth</w:t>
      </w:r>
      <w:r w:rsidR="001D77B4" w:rsidRPr="0073070E">
        <w:rPr>
          <w:lang w:eastAsia="en-AU"/>
        </w:rPr>
        <w:t xml:space="preserve"> and </w:t>
      </w:r>
      <w:r w:rsidR="00C4573F">
        <w:rPr>
          <w:lang w:eastAsia="en-AU"/>
        </w:rPr>
        <w:t>replacement of</w:t>
      </w:r>
      <w:r w:rsidR="00C4573F" w:rsidRPr="0073070E">
        <w:rPr>
          <w:lang w:eastAsia="en-AU"/>
        </w:rPr>
        <w:t xml:space="preserve"> </w:t>
      </w:r>
      <w:r w:rsidR="00322474">
        <w:rPr>
          <w:lang w:eastAsia="en-AU"/>
        </w:rPr>
        <w:t>1,9</w:t>
      </w:r>
      <w:r w:rsidR="00432B75" w:rsidRPr="0073070E">
        <w:rPr>
          <w:lang w:eastAsia="en-AU"/>
        </w:rPr>
        <w:t>00</w:t>
      </w:r>
      <w:r w:rsidR="001D77B4" w:rsidRPr="0073070E">
        <w:rPr>
          <w:lang w:eastAsia="en-AU"/>
        </w:rPr>
        <w:t xml:space="preserve"> retire</w:t>
      </w:r>
      <w:r w:rsidR="00FE477A">
        <w:rPr>
          <w:lang w:eastAsia="en-AU"/>
        </w:rPr>
        <w:t>es</w:t>
      </w:r>
      <w:r w:rsidR="001D77B4" w:rsidRPr="0073070E">
        <w:rPr>
          <w:lang w:eastAsia="en-AU"/>
        </w:rPr>
        <w:t>.</w:t>
      </w:r>
      <w:r w:rsidR="008E223D">
        <w:rPr>
          <w:rStyle w:val="EndnoteReference"/>
          <w:lang w:eastAsia="en-AU"/>
        </w:rPr>
        <w:endnoteReference w:id="71"/>
      </w:r>
      <w:r w:rsidR="008E223D" w:rsidRPr="002D0EC7">
        <w:rPr>
          <w:vertAlign w:val="superscript"/>
          <w:lang w:eastAsia="en-AU"/>
        </w:rPr>
        <w:t>,</w:t>
      </w:r>
      <w:r w:rsidR="008E223D">
        <w:rPr>
          <w:rStyle w:val="EndnoteReference"/>
          <w:lang w:eastAsia="en-AU"/>
        </w:rPr>
        <w:endnoteReference w:id="72"/>
      </w:r>
      <w:r w:rsidR="001D77B4">
        <w:rPr>
          <w:lang w:eastAsia="en-AU"/>
        </w:rPr>
        <w:t xml:space="preserve"> </w:t>
      </w:r>
      <w:r w:rsidR="00C90D96">
        <w:rPr>
          <w:lang w:eastAsia="en-AU"/>
        </w:rPr>
        <w:t xml:space="preserve">Growth will be concentrated in the real estate sector. </w:t>
      </w:r>
      <w:r w:rsidR="00DB11BD">
        <w:rPr>
          <w:lang w:eastAsia="en-AU"/>
        </w:rPr>
        <w:t>Initially, demand will focus on sales roles (e.g., real estate agents) but this is anticipated to shift towards operations and management in later years as the workforce pipeline builds.</w:t>
      </w:r>
      <w:r w:rsidR="001737AD">
        <w:rPr>
          <w:lang w:eastAsia="en-AU"/>
        </w:rPr>
        <w:t xml:space="preserve"> </w:t>
      </w:r>
      <w:r w:rsidR="00861E0C">
        <w:rPr>
          <w:lang w:eastAsia="en-AU"/>
        </w:rPr>
        <w:t>However, workforce numbers in the sector tend to be volatile, with large numbers of Agent’s Representatives recruited to meet demand at critical points in the year.</w:t>
      </w:r>
      <w:r w:rsidR="008D27CD" w:rsidRPr="008D27CD">
        <w:rPr>
          <w:rFonts w:eastAsia="Calibri" w:cs="Arial"/>
          <w:color w:val="000000"/>
          <w:szCs w:val="20"/>
          <w:lang w:val="en-AU" w:eastAsia="en-AU"/>
        </w:rPr>
        <w:t xml:space="preserve"> </w:t>
      </w:r>
    </w:p>
    <w:p w14:paraId="44A4DE3F" w14:textId="0F060CC9" w:rsidR="001D0685" w:rsidRPr="00FD701E" w:rsidRDefault="00C01468" w:rsidP="001D0685">
      <w:r>
        <w:rPr>
          <w:rFonts w:eastAsia="Calibri" w:cs="Arial"/>
          <w:color w:val="000000"/>
          <w:szCs w:val="22"/>
          <w:lang w:val="en-AU" w:eastAsia="en-AU"/>
        </w:rPr>
        <w:t>Table 5 identifies</w:t>
      </w:r>
      <w:r w:rsidR="001D0685" w:rsidRPr="00296C1E">
        <w:rPr>
          <w:rFonts w:eastAsia="Calibri" w:cs="Arial"/>
          <w:color w:val="000000"/>
          <w:szCs w:val="22"/>
          <w:lang w:val="en-AU" w:eastAsia="en-AU"/>
        </w:rPr>
        <w:t xml:space="preserve"> the top ten occupations in demand</w:t>
      </w:r>
      <w:r w:rsidR="00A466DA">
        <w:rPr>
          <w:rFonts w:eastAsia="Calibri" w:cs="Arial"/>
          <w:color w:val="000000"/>
          <w:szCs w:val="22"/>
          <w:lang w:val="en-AU" w:eastAsia="en-AU"/>
        </w:rPr>
        <w:t xml:space="preserve"> to 202</w:t>
      </w:r>
      <w:r w:rsidR="00246B8E">
        <w:rPr>
          <w:rFonts w:eastAsia="Calibri" w:cs="Arial"/>
          <w:color w:val="000000"/>
          <w:szCs w:val="22"/>
          <w:lang w:val="en-AU" w:eastAsia="en-AU"/>
        </w:rPr>
        <w:t>5</w:t>
      </w:r>
      <w:r w:rsidR="003C3B0A">
        <w:rPr>
          <w:rFonts w:eastAsia="Calibri" w:cs="Arial"/>
          <w:color w:val="000000"/>
          <w:szCs w:val="22"/>
          <w:lang w:val="en-AU" w:eastAsia="en-AU"/>
        </w:rPr>
        <w:t xml:space="preserve"> based on</w:t>
      </w:r>
      <w:r w:rsidR="00195EA2">
        <w:rPr>
          <w:rFonts w:eastAsia="Calibri" w:cs="Arial"/>
          <w:color w:val="000000"/>
          <w:szCs w:val="22"/>
          <w:lang w:val="en-AU" w:eastAsia="en-AU"/>
        </w:rPr>
        <w:t xml:space="preserve"> employment growth and replacing retirees</w:t>
      </w:r>
      <w:r w:rsidR="001D0685" w:rsidRPr="00296C1E">
        <w:rPr>
          <w:rFonts w:eastAsia="Calibri" w:cs="Arial"/>
          <w:color w:val="000000"/>
          <w:szCs w:val="22"/>
          <w:lang w:val="en-AU" w:eastAsia="en-AU"/>
        </w:rPr>
        <w:t>.</w:t>
      </w:r>
      <w:r w:rsidR="001D0685" w:rsidRPr="00296C1E">
        <w:rPr>
          <w:rStyle w:val="EndnoteReference"/>
        </w:rPr>
        <w:endnoteReference w:id="73"/>
      </w:r>
      <w:r w:rsidR="001D0685" w:rsidRPr="00296C1E">
        <w:rPr>
          <w:rFonts w:eastAsia="Calibri" w:cs="Arial"/>
          <w:color w:val="000000"/>
          <w:szCs w:val="22"/>
          <w:lang w:val="en-AU" w:eastAsia="en-AU"/>
        </w:rPr>
        <w:t xml:space="preserve"> </w:t>
      </w:r>
      <w:r w:rsidR="00581956" w:rsidRPr="00021F78">
        <w:rPr>
          <w:rFonts w:eastAsia="Arial" w:cs="Arial"/>
          <w:shd w:val="clear" w:color="auto" w:fill="FFFFFF"/>
        </w:rPr>
        <w:t>Of these, </w:t>
      </w:r>
      <w:r w:rsidR="00581956">
        <w:rPr>
          <w:rFonts w:eastAsia="Arial" w:cs="Arial"/>
          <w:shd w:val="clear" w:color="auto" w:fill="FFFFFF"/>
        </w:rPr>
        <w:t>seven occupations (highlighted in table)</w:t>
      </w:r>
      <w:r w:rsidR="00581956" w:rsidRPr="00021F78">
        <w:rPr>
          <w:rFonts w:eastAsia="Arial" w:cs="Arial"/>
          <w:shd w:val="clear" w:color="auto" w:fill="FFFFFF"/>
        </w:rPr>
        <w:t xml:space="preserve"> are expected to experience employment growth at a rate above the overall Victorian average between 2022 and 2025.  </w:t>
      </w:r>
      <w:r w:rsidR="003C3B0A" w:rsidRPr="00FA5A34">
        <w:rPr>
          <w:rFonts w:eastAsia="Calibri" w:cs="Arial"/>
          <w:color w:val="000000"/>
          <w:szCs w:val="22"/>
          <w:lang w:eastAsia="en-AU"/>
        </w:rPr>
        <w:t>The</w:t>
      </w:r>
      <w:r w:rsidR="003C3B0A">
        <w:rPr>
          <w:rFonts w:eastAsia="Calibri" w:cs="Arial"/>
          <w:color w:val="000000"/>
          <w:szCs w:val="22"/>
          <w:lang w:eastAsia="en-AU"/>
        </w:rPr>
        <w:t xml:space="preserve">se figures are </w:t>
      </w:r>
      <w:r w:rsidR="003C3B0A" w:rsidRPr="00FA5A34">
        <w:rPr>
          <w:rFonts w:eastAsia="Calibri" w:cs="Arial"/>
          <w:color w:val="000000"/>
          <w:szCs w:val="20"/>
          <w:lang w:eastAsia="en-AU"/>
        </w:rPr>
        <w:t xml:space="preserve">estimates </w:t>
      </w:r>
      <w:r w:rsidR="003C3B0A">
        <w:rPr>
          <w:rFonts w:eastAsia="Calibri" w:cs="Arial"/>
          <w:color w:val="000000"/>
          <w:szCs w:val="20"/>
          <w:lang w:eastAsia="en-AU"/>
        </w:rPr>
        <w:t xml:space="preserve">but it is important to note that they may be under-estimated as they do not </w:t>
      </w:r>
      <w:r w:rsidR="003C3B0A" w:rsidRPr="00FA5A34">
        <w:rPr>
          <w:rFonts w:eastAsia="Calibri" w:cs="Arial"/>
          <w:color w:val="000000"/>
          <w:szCs w:val="20"/>
          <w:lang w:eastAsia="en-AU"/>
        </w:rPr>
        <w:t xml:space="preserve">account for existing vacancies </w:t>
      </w:r>
      <w:r w:rsidR="003C3B0A">
        <w:rPr>
          <w:rFonts w:eastAsia="Calibri" w:cs="Arial"/>
          <w:color w:val="000000"/>
          <w:szCs w:val="20"/>
          <w:lang w:eastAsia="en-AU"/>
        </w:rPr>
        <w:t xml:space="preserve">nor take account of changes in the rate of </w:t>
      </w:r>
      <w:r w:rsidR="003C3B0A" w:rsidRPr="00FA5A34">
        <w:rPr>
          <w:rFonts w:eastAsia="Calibri" w:cs="Arial"/>
          <w:color w:val="000000"/>
          <w:szCs w:val="20"/>
          <w:lang w:eastAsia="en-AU"/>
        </w:rPr>
        <w:t>workers leaving the industry</w:t>
      </w:r>
      <w:r w:rsidR="003C3B0A">
        <w:rPr>
          <w:rFonts w:eastAsia="Calibri" w:cs="Arial"/>
          <w:color w:val="000000"/>
          <w:szCs w:val="20"/>
          <w:lang w:eastAsia="en-AU"/>
        </w:rPr>
        <w:t xml:space="preserve">, which stakeholders indicated appears to be higher than </w:t>
      </w:r>
      <w:r w:rsidR="00E55D2A">
        <w:rPr>
          <w:rFonts w:eastAsia="Calibri" w:cs="Arial"/>
          <w:color w:val="000000"/>
          <w:szCs w:val="20"/>
          <w:lang w:eastAsia="en-AU"/>
        </w:rPr>
        <w:t>usual</w:t>
      </w:r>
      <w:r w:rsidR="003C3B0A" w:rsidRPr="00FA5A34">
        <w:rPr>
          <w:rFonts w:eastAsia="Calibri" w:cs="Arial"/>
          <w:color w:val="000000"/>
          <w:szCs w:val="20"/>
          <w:lang w:eastAsia="en-AU"/>
        </w:rPr>
        <w:t xml:space="preserve">.   </w:t>
      </w:r>
    </w:p>
    <w:p w14:paraId="6900B44E" w14:textId="0B0EEA49" w:rsidR="00B94597" w:rsidRDefault="00B94597" w:rsidP="00B94597">
      <w:pPr>
        <w:pStyle w:val="Caption"/>
        <w:keepNext/>
        <w:rPr>
          <w:rFonts w:eastAsia="Arial" w:cs="Arial"/>
          <w:color w:val="000000"/>
          <w:sz w:val="20"/>
          <w:szCs w:val="20"/>
          <w:vertAlign w:val="superscript"/>
        </w:rPr>
      </w:pPr>
      <w:r w:rsidRPr="002D0EC7">
        <w:rPr>
          <w:sz w:val="20"/>
          <w:szCs w:val="20"/>
        </w:rPr>
        <w:t xml:space="preserve">Table </w:t>
      </w:r>
      <w:r w:rsidR="009D7386" w:rsidRPr="002D0EC7">
        <w:rPr>
          <w:sz w:val="20"/>
          <w:szCs w:val="20"/>
        </w:rPr>
        <w:fldChar w:fldCharType="begin"/>
      </w:r>
      <w:r w:rsidR="009D7386" w:rsidRPr="002D0EC7">
        <w:rPr>
          <w:sz w:val="20"/>
          <w:szCs w:val="20"/>
        </w:rPr>
        <w:instrText xml:space="preserve"> SEQ Table \* ARABIC </w:instrText>
      </w:r>
      <w:r w:rsidR="009D7386" w:rsidRPr="002D0EC7">
        <w:rPr>
          <w:sz w:val="20"/>
          <w:szCs w:val="20"/>
        </w:rPr>
        <w:fldChar w:fldCharType="separate"/>
      </w:r>
      <w:r w:rsidR="00C435CB">
        <w:rPr>
          <w:noProof/>
          <w:sz w:val="20"/>
          <w:szCs w:val="20"/>
        </w:rPr>
        <w:t>5</w:t>
      </w:r>
      <w:r w:rsidR="009D7386" w:rsidRPr="002D0EC7">
        <w:rPr>
          <w:sz w:val="20"/>
          <w:szCs w:val="20"/>
        </w:rPr>
        <w:fldChar w:fldCharType="end"/>
      </w:r>
      <w:r w:rsidRPr="002D0EC7">
        <w:rPr>
          <w:sz w:val="20"/>
          <w:szCs w:val="20"/>
        </w:rPr>
        <w:t xml:space="preserve"> | Occupations in demand for the rental, hiring and real estate industry</w:t>
      </w:r>
      <w:r w:rsidR="004B34FF" w:rsidRPr="002D0EC7">
        <w:rPr>
          <w:sz w:val="20"/>
          <w:szCs w:val="20"/>
        </w:rPr>
        <w:t xml:space="preserve"> to 2025</w:t>
      </w:r>
      <w:r>
        <w:rPr>
          <w:rStyle w:val="FootnoteReference"/>
          <w:rFonts w:eastAsia="Arial" w:cs="Arial"/>
          <w:sz w:val="20"/>
          <w:szCs w:val="20"/>
        </w:rPr>
        <w:footnoteReference w:id="12"/>
      </w:r>
      <w:r>
        <w:rPr>
          <w:rFonts w:eastAsia="Arial" w:cs="Arial"/>
          <w:color w:val="000000"/>
          <w:sz w:val="20"/>
          <w:szCs w:val="20"/>
          <w:vertAlign w:val="superscript"/>
        </w:rPr>
        <w:t>,</w:t>
      </w:r>
      <w:r w:rsidR="002A5F3D">
        <w:rPr>
          <w:rStyle w:val="FootnoteReference"/>
          <w:rFonts w:eastAsia="Arial" w:cs="Arial"/>
          <w:sz w:val="20"/>
          <w:szCs w:val="20"/>
        </w:rPr>
        <w:footnoteReference w:id="13"/>
      </w:r>
      <w:r w:rsidR="009A237A">
        <w:rPr>
          <w:rStyle w:val="EndnoteReference"/>
          <w:rFonts w:eastAsia="Arial" w:cs="Arial"/>
          <w:sz w:val="20"/>
          <w:szCs w:val="20"/>
        </w:rPr>
        <w:endnoteReference w:id="74"/>
      </w:r>
      <w:r w:rsidR="009A237A">
        <w:rPr>
          <w:rFonts w:eastAsia="Arial" w:cs="Arial"/>
          <w:color w:val="000000"/>
          <w:sz w:val="20"/>
          <w:szCs w:val="20"/>
          <w:vertAlign w:val="superscript"/>
        </w:rPr>
        <w:t>,</w:t>
      </w:r>
      <w:r w:rsidR="009A237A">
        <w:rPr>
          <w:rStyle w:val="EndnoteReference"/>
          <w:rFonts w:eastAsia="Arial" w:cs="Arial"/>
          <w:sz w:val="20"/>
          <w:szCs w:val="20"/>
        </w:rPr>
        <w:endnoteReference w:id="75"/>
      </w:r>
    </w:p>
    <w:tbl>
      <w:tblPr>
        <w:tblStyle w:val="TableGrid-Header"/>
        <w:tblW w:w="8971" w:type="dxa"/>
        <w:tblLook w:val="04A0" w:firstRow="1" w:lastRow="0" w:firstColumn="1" w:lastColumn="0" w:noHBand="0" w:noVBand="1"/>
      </w:tblPr>
      <w:tblGrid>
        <w:gridCol w:w="828"/>
        <w:gridCol w:w="1632"/>
        <w:gridCol w:w="1277"/>
        <w:gridCol w:w="1297"/>
        <w:gridCol w:w="1297"/>
        <w:gridCol w:w="1436"/>
        <w:gridCol w:w="1204"/>
      </w:tblGrid>
      <w:tr w:rsidR="000F4A56" w:rsidRPr="00F55E5E" w14:paraId="3D091088" w14:textId="77777777" w:rsidTr="00375681">
        <w:trPr>
          <w:cnfStyle w:val="100000000000" w:firstRow="1" w:lastRow="0" w:firstColumn="0" w:lastColumn="0" w:oddVBand="0" w:evenVBand="0" w:oddHBand="0" w:evenHBand="0" w:firstRowFirstColumn="0" w:firstRowLastColumn="0" w:lastRowFirstColumn="0" w:lastRowLastColumn="0"/>
          <w:trHeight w:val="60"/>
        </w:trPr>
        <w:tc>
          <w:tcPr>
            <w:tcW w:w="2460" w:type="dxa"/>
            <w:gridSpan w:val="2"/>
            <w:tcBorders>
              <w:top w:val="single" w:sz="18" w:space="0" w:color="auto"/>
              <w:left w:val="single" w:sz="18" w:space="0" w:color="auto"/>
              <w:bottom w:val="single" w:sz="18" w:space="0" w:color="auto"/>
            </w:tcBorders>
            <w:shd w:val="clear" w:color="auto" w:fill="000000" w:themeFill="text1"/>
          </w:tcPr>
          <w:p w14:paraId="77E80D23" w14:textId="23A12BB8" w:rsidR="000F4A56" w:rsidRPr="00021F78" w:rsidRDefault="000F4A56" w:rsidP="000F4A56">
            <w:pPr>
              <w:spacing w:before="80" w:after="80"/>
              <w:rPr>
                <w:rFonts w:eastAsia="SimHei" w:cs="Arial"/>
                <w:sz w:val="18"/>
                <w:szCs w:val="18"/>
                <w:lang w:eastAsia="en-AU"/>
              </w:rPr>
            </w:pPr>
            <w:r w:rsidRPr="00021F78">
              <w:rPr>
                <w:rFonts w:eastAsia="SimHei" w:cs="Arial"/>
                <w:sz w:val="18"/>
                <w:szCs w:val="18"/>
                <w:lang w:eastAsia="en-AU"/>
              </w:rPr>
              <w:t xml:space="preserve">Occupation </w:t>
            </w:r>
          </w:p>
        </w:tc>
        <w:tc>
          <w:tcPr>
            <w:tcW w:w="1277" w:type="dxa"/>
            <w:tcBorders>
              <w:top w:val="single" w:sz="18" w:space="0" w:color="auto"/>
              <w:bottom w:val="single" w:sz="18" w:space="0" w:color="auto"/>
            </w:tcBorders>
            <w:shd w:val="clear" w:color="auto" w:fill="000000" w:themeFill="text1"/>
          </w:tcPr>
          <w:p w14:paraId="1C4CFBBE" w14:textId="7916F43A" w:rsidR="000F4A56" w:rsidRPr="00021F78" w:rsidRDefault="000F4A56" w:rsidP="000F4A56">
            <w:pPr>
              <w:spacing w:before="80" w:after="80"/>
              <w:rPr>
                <w:rFonts w:eastAsia="SimHei" w:cs="Arial"/>
                <w:sz w:val="18"/>
                <w:szCs w:val="18"/>
              </w:rPr>
            </w:pPr>
            <w:r w:rsidRPr="00021F78">
              <w:rPr>
                <w:rFonts w:eastAsia="SimHei" w:cs="Arial"/>
                <w:sz w:val="18"/>
                <w:szCs w:val="18"/>
              </w:rPr>
              <w:t>Current employment</w:t>
            </w:r>
          </w:p>
        </w:tc>
        <w:tc>
          <w:tcPr>
            <w:tcW w:w="1297" w:type="dxa"/>
            <w:tcBorders>
              <w:top w:val="single" w:sz="18" w:space="0" w:color="auto"/>
              <w:bottom w:val="single" w:sz="18" w:space="0" w:color="auto"/>
            </w:tcBorders>
            <w:shd w:val="clear" w:color="auto" w:fill="000000" w:themeFill="text1"/>
          </w:tcPr>
          <w:p w14:paraId="50625D99" w14:textId="779F5A8C" w:rsidR="000F4A56" w:rsidRPr="00021F78" w:rsidRDefault="000F4A56" w:rsidP="000F4A56">
            <w:pPr>
              <w:spacing w:before="80" w:after="80"/>
              <w:rPr>
                <w:rFonts w:eastAsia="SimHei" w:cs="Arial"/>
                <w:b w:val="0"/>
                <w:sz w:val="18"/>
                <w:szCs w:val="18"/>
                <w:lang w:eastAsia="en-AU"/>
              </w:rPr>
            </w:pPr>
            <w:r w:rsidRPr="00021F78">
              <w:rPr>
                <w:rFonts w:eastAsia="SimHei" w:cs="Arial"/>
                <w:sz w:val="18"/>
                <w:szCs w:val="18"/>
              </w:rPr>
              <w:t>Employment growth (2022</w:t>
            </w:r>
            <w:r>
              <w:rPr>
                <w:rFonts w:eastAsia="SimHei" w:cs="Arial"/>
                <w:sz w:val="18"/>
                <w:szCs w:val="18"/>
              </w:rPr>
              <w:sym w:font="Symbol" w:char="F02D"/>
            </w:r>
            <w:r w:rsidRPr="00021F78">
              <w:rPr>
                <w:rFonts w:eastAsia="SimHei" w:cs="Arial"/>
                <w:sz w:val="18"/>
                <w:szCs w:val="18"/>
              </w:rPr>
              <w:t>25)</w:t>
            </w:r>
            <w:r>
              <w:rPr>
                <w:rFonts w:eastAsia="SimHei" w:cs="Arial"/>
                <w:sz w:val="18"/>
                <w:szCs w:val="18"/>
              </w:rPr>
              <w:t xml:space="preserve"> number</w:t>
            </w:r>
          </w:p>
        </w:tc>
        <w:tc>
          <w:tcPr>
            <w:tcW w:w="1297" w:type="dxa"/>
            <w:tcBorders>
              <w:top w:val="single" w:sz="18" w:space="0" w:color="auto"/>
              <w:bottom w:val="single" w:sz="18" w:space="0" w:color="auto"/>
            </w:tcBorders>
            <w:shd w:val="clear" w:color="auto" w:fill="000000" w:themeFill="text1"/>
          </w:tcPr>
          <w:p w14:paraId="68AD8B8C" w14:textId="33C3914C" w:rsidR="000F4A56" w:rsidRPr="00021F78" w:rsidRDefault="000F4A56" w:rsidP="000F4A56">
            <w:pPr>
              <w:spacing w:before="80" w:after="80"/>
              <w:rPr>
                <w:rFonts w:eastAsia="SimHei" w:cs="Arial"/>
                <w:b w:val="0"/>
                <w:sz w:val="18"/>
                <w:szCs w:val="18"/>
                <w:lang w:eastAsia="en-AU"/>
              </w:rPr>
            </w:pPr>
            <w:r w:rsidRPr="00021F78">
              <w:rPr>
                <w:rFonts w:eastAsia="SimHei" w:cs="Arial"/>
                <w:sz w:val="18"/>
                <w:szCs w:val="18"/>
              </w:rPr>
              <w:t>Employment growth (2022</w:t>
            </w:r>
            <w:r>
              <w:rPr>
                <w:rFonts w:eastAsia="SimHei" w:cs="Arial"/>
                <w:sz w:val="18"/>
                <w:szCs w:val="18"/>
              </w:rPr>
              <w:sym w:font="Symbol" w:char="F02D"/>
            </w:r>
            <w:r w:rsidRPr="00021F78">
              <w:rPr>
                <w:rFonts w:eastAsia="SimHei" w:cs="Arial"/>
                <w:sz w:val="18"/>
                <w:szCs w:val="18"/>
              </w:rPr>
              <w:t>25)</w:t>
            </w:r>
            <w:r>
              <w:rPr>
                <w:rFonts w:eastAsia="SimHei" w:cs="Arial"/>
                <w:sz w:val="18"/>
                <w:szCs w:val="18"/>
              </w:rPr>
              <w:t xml:space="preserve"> per cent</w:t>
            </w:r>
          </w:p>
        </w:tc>
        <w:tc>
          <w:tcPr>
            <w:tcW w:w="1436" w:type="dxa"/>
            <w:tcBorders>
              <w:top w:val="single" w:sz="18" w:space="0" w:color="auto"/>
              <w:bottom w:val="single" w:sz="18" w:space="0" w:color="auto"/>
            </w:tcBorders>
            <w:shd w:val="clear" w:color="auto" w:fill="000000" w:themeFill="text1"/>
          </w:tcPr>
          <w:p w14:paraId="64CF794F" w14:textId="3A5DD8B9" w:rsidR="000F4A56" w:rsidRPr="00021F78" w:rsidRDefault="000F4A56" w:rsidP="000F4A56">
            <w:pPr>
              <w:spacing w:before="80" w:after="80"/>
              <w:rPr>
                <w:rFonts w:eastAsia="SimHei" w:cs="Arial"/>
                <w:sz w:val="18"/>
                <w:szCs w:val="18"/>
              </w:rPr>
            </w:pPr>
            <w:r w:rsidRPr="00021F78">
              <w:rPr>
                <w:rFonts w:eastAsia="SimHei" w:cs="Arial"/>
                <w:sz w:val="18"/>
                <w:szCs w:val="18"/>
              </w:rPr>
              <w:t xml:space="preserve">Retirements </w:t>
            </w:r>
            <w:r w:rsidRPr="00021F78">
              <w:rPr>
                <w:rFonts w:eastAsia="SimHei" w:cs="Arial"/>
                <w:sz w:val="18"/>
                <w:szCs w:val="18"/>
              </w:rPr>
              <w:br/>
              <w:t>(2022</w:t>
            </w:r>
            <w:r>
              <w:rPr>
                <w:rFonts w:eastAsia="SimHei" w:cs="Arial"/>
                <w:sz w:val="18"/>
                <w:szCs w:val="18"/>
              </w:rPr>
              <w:sym w:font="Symbol" w:char="F02D"/>
            </w:r>
            <w:r w:rsidRPr="00021F78">
              <w:rPr>
                <w:rFonts w:eastAsia="SimHei" w:cs="Arial"/>
                <w:sz w:val="18"/>
                <w:szCs w:val="18"/>
              </w:rPr>
              <w:t>25)</w:t>
            </w:r>
          </w:p>
        </w:tc>
        <w:tc>
          <w:tcPr>
            <w:tcW w:w="1204" w:type="dxa"/>
            <w:tcBorders>
              <w:top w:val="single" w:sz="18" w:space="0" w:color="auto"/>
              <w:bottom w:val="single" w:sz="18" w:space="0" w:color="auto"/>
              <w:right w:val="single" w:sz="18" w:space="0" w:color="auto"/>
            </w:tcBorders>
            <w:shd w:val="clear" w:color="auto" w:fill="000000" w:themeFill="text1"/>
          </w:tcPr>
          <w:p w14:paraId="066DCAC8" w14:textId="3D5003DA" w:rsidR="000F4A56" w:rsidRPr="00021F78" w:rsidRDefault="000F4A56" w:rsidP="000F4A56">
            <w:pPr>
              <w:spacing w:before="80" w:after="80"/>
              <w:rPr>
                <w:rFonts w:eastAsia="SimHei" w:cs="Arial"/>
                <w:sz w:val="18"/>
                <w:szCs w:val="18"/>
              </w:rPr>
            </w:pPr>
            <w:r w:rsidRPr="00021F78">
              <w:rPr>
                <w:rFonts w:eastAsia="SimHei" w:cs="Arial"/>
                <w:sz w:val="18"/>
                <w:szCs w:val="18"/>
              </w:rPr>
              <w:t>New workers needed (2022</w:t>
            </w:r>
            <w:r>
              <w:rPr>
                <w:rFonts w:eastAsia="SimHei" w:cs="Arial"/>
                <w:sz w:val="18"/>
                <w:szCs w:val="18"/>
              </w:rPr>
              <w:sym w:font="Symbol" w:char="F02D"/>
            </w:r>
            <w:r w:rsidRPr="00021F78">
              <w:rPr>
                <w:rFonts w:eastAsia="SimHei" w:cs="Arial"/>
                <w:sz w:val="18"/>
                <w:szCs w:val="18"/>
              </w:rPr>
              <w:t>25)</w:t>
            </w:r>
          </w:p>
        </w:tc>
      </w:tr>
      <w:tr w:rsidR="000F4A56" w:rsidRPr="000F4A56" w14:paraId="7877C05D" w14:textId="77777777" w:rsidTr="00EE7C50">
        <w:trPr>
          <w:trHeight w:val="151"/>
        </w:trPr>
        <w:tc>
          <w:tcPr>
            <w:tcW w:w="2460" w:type="dxa"/>
            <w:gridSpan w:val="2"/>
            <w:tcBorders>
              <w:top w:val="single" w:sz="18" w:space="0" w:color="auto"/>
              <w:left w:val="single" w:sz="18" w:space="0" w:color="auto"/>
            </w:tcBorders>
            <w:shd w:val="clear" w:color="auto" w:fill="FFFFFF" w:themeFill="background1"/>
          </w:tcPr>
          <w:p w14:paraId="699BB56D" w14:textId="77777777" w:rsidR="000F4A56" w:rsidRPr="000F4A56" w:rsidRDefault="000F4A56" w:rsidP="000F4A56">
            <w:pPr>
              <w:spacing w:before="80" w:after="80"/>
              <w:rPr>
                <w:rFonts w:eastAsia="SimHei" w:cs="Arial"/>
                <w:b/>
                <w:bCs/>
                <w:sz w:val="18"/>
                <w:szCs w:val="18"/>
              </w:rPr>
            </w:pPr>
            <w:r w:rsidRPr="000F4A56">
              <w:rPr>
                <w:rFonts w:cs="Arial"/>
                <w:b/>
                <w:bCs/>
                <w:sz w:val="18"/>
                <w:szCs w:val="18"/>
              </w:rPr>
              <w:t>Real estate sales agents</w:t>
            </w:r>
          </w:p>
        </w:tc>
        <w:tc>
          <w:tcPr>
            <w:tcW w:w="1277" w:type="dxa"/>
            <w:tcBorders>
              <w:top w:val="single" w:sz="18" w:space="0" w:color="auto"/>
            </w:tcBorders>
            <w:shd w:val="clear" w:color="auto" w:fill="FFFFFF" w:themeFill="background1"/>
          </w:tcPr>
          <w:p w14:paraId="158C03EC" w14:textId="77777777" w:rsidR="000F4A56" w:rsidRPr="000F4A56" w:rsidRDefault="000F4A56" w:rsidP="000F4A56">
            <w:pPr>
              <w:spacing w:before="80" w:after="80"/>
              <w:jc w:val="right"/>
              <w:rPr>
                <w:rFonts w:eastAsia="SimHei" w:cs="Arial"/>
                <w:b/>
                <w:bCs/>
                <w:sz w:val="18"/>
                <w:szCs w:val="18"/>
              </w:rPr>
            </w:pPr>
            <w:r w:rsidRPr="000F4A56">
              <w:rPr>
                <w:rFonts w:cs="Arial"/>
                <w:b/>
                <w:bCs/>
                <w:sz w:val="18"/>
                <w:szCs w:val="18"/>
              </w:rPr>
              <w:t>17,850</w:t>
            </w:r>
          </w:p>
        </w:tc>
        <w:tc>
          <w:tcPr>
            <w:tcW w:w="1297" w:type="dxa"/>
            <w:tcBorders>
              <w:top w:val="single" w:sz="18" w:space="0" w:color="auto"/>
            </w:tcBorders>
            <w:shd w:val="clear" w:color="auto" w:fill="FFFFFF" w:themeFill="background1"/>
          </w:tcPr>
          <w:p w14:paraId="377F28BC" w14:textId="77777777" w:rsidR="000F4A56" w:rsidRPr="000F4A56" w:rsidRDefault="000F4A56" w:rsidP="000F4A56">
            <w:pPr>
              <w:spacing w:before="80" w:after="80"/>
              <w:jc w:val="right"/>
              <w:rPr>
                <w:rFonts w:eastAsia="SimHei" w:cs="Arial"/>
                <w:b/>
                <w:bCs/>
                <w:sz w:val="18"/>
                <w:szCs w:val="18"/>
              </w:rPr>
            </w:pPr>
            <w:r w:rsidRPr="000F4A56">
              <w:rPr>
                <w:rFonts w:cs="Arial"/>
                <w:b/>
                <w:bCs/>
                <w:sz w:val="18"/>
                <w:szCs w:val="18"/>
              </w:rPr>
              <w:t>1,800</w:t>
            </w:r>
          </w:p>
        </w:tc>
        <w:tc>
          <w:tcPr>
            <w:tcW w:w="1297" w:type="dxa"/>
            <w:tcBorders>
              <w:top w:val="single" w:sz="18" w:space="0" w:color="auto"/>
            </w:tcBorders>
            <w:shd w:val="clear" w:color="auto" w:fill="FFFFFF" w:themeFill="background1"/>
          </w:tcPr>
          <w:p w14:paraId="244A9063" w14:textId="77777777" w:rsidR="000F4A56" w:rsidRPr="000F4A56" w:rsidRDefault="000F4A56" w:rsidP="000F4A56">
            <w:pPr>
              <w:spacing w:before="80" w:after="80"/>
              <w:jc w:val="right"/>
              <w:rPr>
                <w:rFonts w:eastAsia="SimHei" w:cs="Arial"/>
                <w:b/>
                <w:bCs/>
                <w:sz w:val="18"/>
                <w:szCs w:val="18"/>
              </w:rPr>
            </w:pPr>
            <w:r w:rsidRPr="000F4A56">
              <w:rPr>
                <w:rFonts w:cs="Arial"/>
                <w:b/>
                <w:bCs/>
                <w:sz w:val="18"/>
                <w:szCs w:val="18"/>
              </w:rPr>
              <w:t>2.6%</w:t>
            </w:r>
          </w:p>
        </w:tc>
        <w:tc>
          <w:tcPr>
            <w:tcW w:w="1436" w:type="dxa"/>
            <w:tcBorders>
              <w:top w:val="single" w:sz="18" w:space="0" w:color="auto"/>
            </w:tcBorders>
            <w:shd w:val="clear" w:color="auto" w:fill="FFFFFF" w:themeFill="background1"/>
          </w:tcPr>
          <w:p w14:paraId="5B91E281" w14:textId="77777777" w:rsidR="000F4A56" w:rsidRPr="000F4A56" w:rsidRDefault="000F4A56" w:rsidP="000F4A56">
            <w:pPr>
              <w:spacing w:before="80" w:after="80"/>
              <w:jc w:val="right"/>
              <w:rPr>
                <w:rFonts w:eastAsia="SimHei" w:cs="Arial"/>
                <w:b/>
                <w:bCs/>
                <w:sz w:val="18"/>
                <w:szCs w:val="18"/>
              </w:rPr>
            </w:pPr>
            <w:r w:rsidRPr="000F4A56">
              <w:rPr>
                <w:rFonts w:cs="Arial"/>
                <w:b/>
                <w:bCs/>
                <w:sz w:val="18"/>
                <w:szCs w:val="18"/>
              </w:rPr>
              <w:t>600</w:t>
            </w:r>
          </w:p>
        </w:tc>
        <w:tc>
          <w:tcPr>
            <w:tcW w:w="1204" w:type="dxa"/>
            <w:tcBorders>
              <w:top w:val="single" w:sz="18" w:space="0" w:color="auto"/>
              <w:right w:val="single" w:sz="18" w:space="0" w:color="auto"/>
            </w:tcBorders>
            <w:shd w:val="clear" w:color="auto" w:fill="FFFFFF" w:themeFill="background1"/>
          </w:tcPr>
          <w:p w14:paraId="06AB6614" w14:textId="77777777" w:rsidR="000F4A56" w:rsidRPr="000F4A56" w:rsidRDefault="000F4A56" w:rsidP="000F4A56">
            <w:pPr>
              <w:spacing w:before="80" w:after="80"/>
              <w:jc w:val="right"/>
              <w:rPr>
                <w:rFonts w:eastAsia="SimHei" w:cs="Arial"/>
                <w:b/>
                <w:bCs/>
                <w:sz w:val="18"/>
                <w:szCs w:val="18"/>
              </w:rPr>
            </w:pPr>
            <w:r w:rsidRPr="000F4A56">
              <w:rPr>
                <w:rFonts w:cs="Arial"/>
                <w:b/>
                <w:bCs/>
                <w:sz w:val="18"/>
                <w:szCs w:val="18"/>
              </w:rPr>
              <w:t>2,350</w:t>
            </w:r>
          </w:p>
        </w:tc>
      </w:tr>
      <w:tr w:rsidR="000F4A56" w:rsidRPr="000F4A56" w14:paraId="3C9BEB2D" w14:textId="77777777" w:rsidTr="00EE7C50">
        <w:trPr>
          <w:trHeight w:val="151"/>
        </w:trPr>
        <w:tc>
          <w:tcPr>
            <w:tcW w:w="2460" w:type="dxa"/>
            <w:gridSpan w:val="2"/>
            <w:tcBorders>
              <w:left w:val="single" w:sz="18" w:space="0" w:color="auto"/>
            </w:tcBorders>
            <w:shd w:val="clear" w:color="auto" w:fill="FFFFFF" w:themeFill="background1"/>
          </w:tcPr>
          <w:p w14:paraId="251BAB58" w14:textId="77777777" w:rsidR="000F4A56" w:rsidRPr="000F4A56" w:rsidRDefault="000F4A56" w:rsidP="000F4A56">
            <w:pPr>
              <w:spacing w:before="80" w:after="80"/>
              <w:rPr>
                <w:rFonts w:eastAsia="SimHei" w:cs="Arial"/>
                <w:b/>
                <w:bCs/>
                <w:sz w:val="18"/>
                <w:szCs w:val="18"/>
              </w:rPr>
            </w:pPr>
            <w:r w:rsidRPr="000F4A56">
              <w:rPr>
                <w:rFonts w:cs="Arial"/>
                <w:b/>
                <w:bCs/>
                <w:sz w:val="18"/>
                <w:szCs w:val="18"/>
              </w:rPr>
              <w:t>General clerks</w:t>
            </w:r>
          </w:p>
        </w:tc>
        <w:tc>
          <w:tcPr>
            <w:tcW w:w="1277" w:type="dxa"/>
            <w:shd w:val="clear" w:color="auto" w:fill="FFFFFF" w:themeFill="background1"/>
          </w:tcPr>
          <w:p w14:paraId="318916AD" w14:textId="77777777" w:rsidR="000F4A56" w:rsidRPr="000F4A56" w:rsidRDefault="000F4A56" w:rsidP="000F4A56">
            <w:pPr>
              <w:spacing w:before="80" w:after="80"/>
              <w:jc w:val="right"/>
              <w:rPr>
                <w:rFonts w:eastAsia="SimHei" w:cs="Arial"/>
                <w:b/>
                <w:bCs/>
                <w:sz w:val="18"/>
                <w:szCs w:val="18"/>
              </w:rPr>
            </w:pPr>
            <w:r w:rsidRPr="000F4A56">
              <w:rPr>
                <w:rFonts w:cs="Arial"/>
                <w:b/>
                <w:bCs/>
                <w:sz w:val="18"/>
                <w:szCs w:val="18"/>
              </w:rPr>
              <w:t>3,200</w:t>
            </w:r>
          </w:p>
        </w:tc>
        <w:tc>
          <w:tcPr>
            <w:tcW w:w="1297" w:type="dxa"/>
            <w:shd w:val="clear" w:color="auto" w:fill="FFFFFF" w:themeFill="background1"/>
          </w:tcPr>
          <w:p w14:paraId="7337BE2A" w14:textId="77777777" w:rsidR="000F4A56" w:rsidRPr="000F4A56" w:rsidRDefault="000F4A56" w:rsidP="000F4A56">
            <w:pPr>
              <w:spacing w:before="80" w:after="80"/>
              <w:jc w:val="right"/>
              <w:rPr>
                <w:rFonts w:eastAsia="SimHei" w:cs="Arial"/>
                <w:b/>
                <w:bCs/>
                <w:sz w:val="18"/>
                <w:szCs w:val="18"/>
              </w:rPr>
            </w:pPr>
            <w:r w:rsidRPr="000F4A56">
              <w:rPr>
                <w:rFonts w:cs="Arial"/>
                <w:b/>
                <w:bCs/>
                <w:sz w:val="18"/>
                <w:szCs w:val="18"/>
              </w:rPr>
              <w:t>200</w:t>
            </w:r>
          </w:p>
        </w:tc>
        <w:tc>
          <w:tcPr>
            <w:tcW w:w="1297" w:type="dxa"/>
            <w:shd w:val="clear" w:color="auto" w:fill="FFFFFF" w:themeFill="background1"/>
          </w:tcPr>
          <w:p w14:paraId="3C8750DC" w14:textId="77777777" w:rsidR="000F4A56" w:rsidRPr="000F4A56" w:rsidRDefault="000F4A56" w:rsidP="000F4A56">
            <w:pPr>
              <w:spacing w:before="80" w:after="80"/>
              <w:jc w:val="right"/>
              <w:rPr>
                <w:rFonts w:eastAsia="SimHei" w:cs="Arial"/>
                <w:b/>
                <w:bCs/>
                <w:sz w:val="18"/>
                <w:szCs w:val="18"/>
              </w:rPr>
            </w:pPr>
            <w:r w:rsidRPr="000F4A56">
              <w:rPr>
                <w:rFonts w:cs="Arial"/>
                <w:b/>
                <w:bCs/>
                <w:sz w:val="18"/>
                <w:szCs w:val="18"/>
              </w:rPr>
              <w:t>3.4%</w:t>
            </w:r>
          </w:p>
        </w:tc>
        <w:tc>
          <w:tcPr>
            <w:tcW w:w="1436" w:type="dxa"/>
            <w:shd w:val="clear" w:color="auto" w:fill="FFFFFF" w:themeFill="background1"/>
          </w:tcPr>
          <w:p w14:paraId="2E35EEA6" w14:textId="77777777" w:rsidR="000F4A56" w:rsidRPr="000F4A56" w:rsidRDefault="000F4A56" w:rsidP="000F4A56">
            <w:pPr>
              <w:spacing w:before="80" w:after="80"/>
              <w:jc w:val="right"/>
              <w:rPr>
                <w:rFonts w:eastAsia="SimHei" w:cs="Arial"/>
                <w:b/>
                <w:bCs/>
                <w:sz w:val="18"/>
                <w:szCs w:val="18"/>
              </w:rPr>
            </w:pPr>
            <w:r w:rsidRPr="000F4A56">
              <w:rPr>
                <w:rFonts w:cs="Arial"/>
                <w:b/>
                <w:bCs/>
                <w:sz w:val="18"/>
                <w:szCs w:val="18"/>
              </w:rPr>
              <w:t>100</w:t>
            </w:r>
          </w:p>
        </w:tc>
        <w:tc>
          <w:tcPr>
            <w:tcW w:w="1204" w:type="dxa"/>
            <w:tcBorders>
              <w:right w:val="single" w:sz="18" w:space="0" w:color="auto"/>
            </w:tcBorders>
            <w:shd w:val="clear" w:color="auto" w:fill="FFFFFF" w:themeFill="background1"/>
          </w:tcPr>
          <w:p w14:paraId="66113144" w14:textId="77777777" w:rsidR="000F4A56" w:rsidRPr="000F4A56" w:rsidRDefault="000F4A56" w:rsidP="000F4A56">
            <w:pPr>
              <w:spacing w:before="80" w:after="80"/>
              <w:jc w:val="right"/>
              <w:rPr>
                <w:rFonts w:eastAsia="SimHei" w:cs="Arial"/>
                <w:b/>
                <w:bCs/>
                <w:sz w:val="18"/>
                <w:szCs w:val="18"/>
              </w:rPr>
            </w:pPr>
            <w:r w:rsidRPr="000F4A56">
              <w:rPr>
                <w:rFonts w:cs="Arial"/>
                <w:b/>
                <w:bCs/>
                <w:sz w:val="18"/>
                <w:szCs w:val="18"/>
              </w:rPr>
              <w:t>300</w:t>
            </w:r>
          </w:p>
        </w:tc>
      </w:tr>
      <w:tr w:rsidR="000F4A56" w:rsidRPr="000F4A56" w14:paraId="44C7BAA9" w14:textId="77777777" w:rsidTr="00EE7C50">
        <w:trPr>
          <w:trHeight w:val="145"/>
        </w:trPr>
        <w:tc>
          <w:tcPr>
            <w:tcW w:w="2460" w:type="dxa"/>
            <w:gridSpan w:val="2"/>
            <w:tcBorders>
              <w:left w:val="single" w:sz="18" w:space="0" w:color="auto"/>
            </w:tcBorders>
            <w:shd w:val="clear" w:color="auto" w:fill="FFFFFF" w:themeFill="background1"/>
          </w:tcPr>
          <w:p w14:paraId="4499DF49" w14:textId="77777777" w:rsidR="000F4A56" w:rsidRPr="000F4A56" w:rsidRDefault="000F4A56" w:rsidP="000F4A56">
            <w:pPr>
              <w:spacing w:before="80" w:after="80"/>
              <w:rPr>
                <w:rFonts w:eastAsia="SimHei" w:cs="Arial"/>
                <w:b/>
                <w:bCs/>
                <w:sz w:val="18"/>
                <w:szCs w:val="18"/>
              </w:rPr>
            </w:pPr>
            <w:r w:rsidRPr="000F4A56">
              <w:rPr>
                <w:rFonts w:cs="Arial"/>
                <w:b/>
                <w:bCs/>
                <w:sz w:val="18"/>
                <w:szCs w:val="18"/>
              </w:rPr>
              <w:t>Land economists and valuers</w:t>
            </w:r>
          </w:p>
        </w:tc>
        <w:tc>
          <w:tcPr>
            <w:tcW w:w="1277" w:type="dxa"/>
            <w:shd w:val="clear" w:color="auto" w:fill="FFFFFF" w:themeFill="background1"/>
          </w:tcPr>
          <w:p w14:paraId="5E17C75D" w14:textId="77777777" w:rsidR="000F4A56" w:rsidRPr="000F4A56" w:rsidRDefault="000F4A56" w:rsidP="000F4A56">
            <w:pPr>
              <w:spacing w:before="80" w:after="80"/>
              <w:jc w:val="right"/>
              <w:rPr>
                <w:rFonts w:eastAsia="SimHei" w:cs="Arial"/>
                <w:b/>
                <w:bCs/>
                <w:sz w:val="18"/>
                <w:szCs w:val="18"/>
              </w:rPr>
            </w:pPr>
            <w:r w:rsidRPr="000F4A56">
              <w:rPr>
                <w:rFonts w:cs="Arial"/>
                <w:b/>
                <w:bCs/>
                <w:sz w:val="18"/>
                <w:szCs w:val="18"/>
              </w:rPr>
              <w:t>2,100</w:t>
            </w:r>
          </w:p>
        </w:tc>
        <w:tc>
          <w:tcPr>
            <w:tcW w:w="1297" w:type="dxa"/>
            <w:shd w:val="clear" w:color="auto" w:fill="FFFFFF" w:themeFill="background1"/>
          </w:tcPr>
          <w:p w14:paraId="51481E70" w14:textId="77777777" w:rsidR="000F4A56" w:rsidRPr="000F4A56" w:rsidRDefault="000F4A56" w:rsidP="000F4A56">
            <w:pPr>
              <w:spacing w:before="80" w:after="80"/>
              <w:jc w:val="right"/>
              <w:rPr>
                <w:rFonts w:eastAsia="SimHei" w:cs="Arial"/>
                <w:b/>
                <w:bCs/>
                <w:sz w:val="18"/>
                <w:szCs w:val="18"/>
              </w:rPr>
            </w:pPr>
            <w:r w:rsidRPr="000F4A56">
              <w:rPr>
                <w:rFonts w:cs="Arial"/>
                <w:b/>
                <w:bCs/>
                <w:sz w:val="18"/>
                <w:szCs w:val="18"/>
              </w:rPr>
              <w:t>150</w:t>
            </w:r>
          </w:p>
        </w:tc>
        <w:tc>
          <w:tcPr>
            <w:tcW w:w="1297" w:type="dxa"/>
            <w:shd w:val="clear" w:color="auto" w:fill="FFFFFF" w:themeFill="background1"/>
          </w:tcPr>
          <w:p w14:paraId="56C49EDB" w14:textId="77777777" w:rsidR="000F4A56" w:rsidRPr="000F4A56" w:rsidRDefault="000F4A56" w:rsidP="000F4A56">
            <w:pPr>
              <w:spacing w:before="80" w:after="80"/>
              <w:jc w:val="right"/>
              <w:rPr>
                <w:rFonts w:eastAsia="SimHei" w:cs="Arial"/>
                <w:b/>
                <w:bCs/>
                <w:sz w:val="18"/>
                <w:szCs w:val="18"/>
              </w:rPr>
            </w:pPr>
            <w:r w:rsidRPr="000F4A56">
              <w:rPr>
                <w:rFonts w:cs="Arial"/>
                <w:b/>
                <w:bCs/>
                <w:sz w:val="18"/>
                <w:szCs w:val="18"/>
              </w:rPr>
              <w:t>3.2%</w:t>
            </w:r>
          </w:p>
        </w:tc>
        <w:tc>
          <w:tcPr>
            <w:tcW w:w="1436" w:type="dxa"/>
            <w:shd w:val="clear" w:color="auto" w:fill="FFFFFF" w:themeFill="background1"/>
          </w:tcPr>
          <w:p w14:paraId="500F0E2D" w14:textId="77777777" w:rsidR="000F4A56" w:rsidRPr="000F4A56" w:rsidRDefault="000F4A56" w:rsidP="000F4A56">
            <w:pPr>
              <w:spacing w:before="80" w:after="80"/>
              <w:jc w:val="right"/>
              <w:rPr>
                <w:rFonts w:eastAsia="SimHei" w:cs="Arial"/>
                <w:b/>
                <w:bCs/>
                <w:sz w:val="18"/>
                <w:szCs w:val="18"/>
              </w:rPr>
            </w:pPr>
            <w:r w:rsidRPr="000F4A56">
              <w:rPr>
                <w:rFonts w:cs="Arial"/>
                <w:b/>
                <w:bCs/>
                <w:sz w:val="18"/>
                <w:szCs w:val="18"/>
              </w:rPr>
              <w:t>50</w:t>
            </w:r>
          </w:p>
        </w:tc>
        <w:tc>
          <w:tcPr>
            <w:tcW w:w="1204" w:type="dxa"/>
            <w:tcBorders>
              <w:right w:val="single" w:sz="18" w:space="0" w:color="auto"/>
            </w:tcBorders>
            <w:shd w:val="clear" w:color="auto" w:fill="FFFFFF" w:themeFill="background1"/>
          </w:tcPr>
          <w:p w14:paraId="6C9FAD49" w14:textId="77777777" w:rsidR="000F4A56" w:rsidRPr="000F4A56" w:rsidRDefault="000F4A56" w:rsidP="000F4A56">
            <w:pPr>
              <w:spacing w:before="80" w:after="80"/>
              <w:jc w:val="right"/>
              <w:rPr>
                <w:rFonts w:eastAsia="SimHei" w:cs="Arial"/>
                <w:b/>
                <w:bCs/>
                <w:sz w:val="18"/>
                <w:szCs w:val="18"/>
              </w:rPr>
            </w:pPr>
            <w:r w:rsidRPr="000F4A56">
              <w:rPr>
                <w:rFonts w:cs="Arial"/>
                <w:b/>
                <w:bCs/>
                <w:sz w:val="18"/>
                <w:szCs w:val="18"/>
              </w:rPr>
              <w:t>200</w:t>
            </w:r>
          </w:p>
        </w:tc>
      </w:tr>
      <w:tr w:rsidR="000F4A56" w:rsidRPr="000F4A56" w14:paraId="29EE8B59" w14:textId="77777777" w:rsidTr="00EE7C50">
        <w:trPr>
          <w:trHeight w:val="145"/>
        </w:trPr>
        <w:tc>
          <w:tcPr>
            <w:tcW w:w="2460" w:type="dxa"/>
            <w:gridSpan w:val="2"/>
            <w:tcBorders>
              <w:left w:val="single" w:sz="18" w:space="0" w:color="auto"/>
              <w:bottom w:val="single" w:sz="18" w:space="0" w:color="auto"/>
            </w:tcBorders>
            <w:shd w:val="clear" w:color="auto" w:fill="FFFFFF" w:themeFill="background1"/>
          </w:tcPr>
          <w:p w14:paraId="3D50CA06" w14:textId="77777777" w:rsidR="000F4A56" w:rsidRPr="000F4A56" w:rsidRDefault="000F4A56" w:rsidP="000F4A56">
            <w:pPr>
              <w:spacing w:before="80" w:after="80"/>
              <w:rPr>
                <w:rFonts w:eastAsia="SimHei" w:cs="Arial"/>
                <w:b/>
                <w:bCs/>
                <w:sz w:val="18"/>
                <w:szCs w:val="18"/>
              </w:rPr>
            </w:pPr>
            <w:r w:rsidRPr="000F4A56">
              <w:rPr>
                <w:rFonts w:cs="Arial"/>
                <w:b/>
                <w:bCs/>
                <w:sz w:val="18"/>
                <w:szCs w:val="18"/>
              </w:rPr>
              <w:t>Other sales assistants and salespersons</w:t>
            </w:r>
          </w:p>
        </w:tc>
        <w:tc>
          <w:tcPr>
            <w:tcW w:w="1277" w:type="dxa"/>
            <w:tcBorders>
              <w:bottom w:val="single" w:sz="18" w:space="0" w:color="auto"/>
            </w:tcBorders>
            <w:shd w:val="clear" w:color="auto" w:fill="FFFFFF" w:themeFill="background1"/>
          </w:tcPr>
          <w:p w14:paraId="5F631FD8" w14:textId="77777777" w:rsidR="000F4A56" w:rsidRPr="000F4A56" w:rsidRDefault="000F4A56" w:rsidP="000F4A56">
            <w:pPr>
              <w:spacing w:before="80" w:after="80"/>
              <w:jc w:val="right"/>
              <w:rPr>
                <w:rFonts w:eastAsia="SimHei" w:cs="Arial"/>
                <w:b/>
                <w:bCs/>
                <w:sz w:val="18"/>
                <w:szCs w:val="18"/>
              </w:rPr>
            </w:pPr>
            <w:r w:rsidRPr="000F4A56">
              <w:rPr>
                <w:rFonts w:cs="Arial"/>
                <w:b/>
                <w:bCs/>
                <w:sz w:val="18"/>
                <w:szCs w:val="18"/>
              </w:rPr>
              <w:t>450</w:t>
            </w:r>
          </w:p>
        </w:tc>
        <w:tc>
          <w:tcPr>
            <w:tcW w:w="1297" w:type="dxa"/>
            <w:tcBorders>
              <w:bottom w:val="single" w:sz="18" w:space="0" w:color="auto"/>
            </w:tcBorders>
            <w:shd w:val="clear" w:color="auto" w:fill="FFFFFF" w:themeFill="background1"/>
          </w:tcPr>
          <w:p w14:paraId="78C98F3C" w14:textId="77777777" w:rsidR="000F4A56" w:rsidRPr="000F4A56" w:rsidRDefault="000F4A56" w:rsidP="000F4A56">
            <w:pPr>
              <w:spacing w:before="80" w:after="80"/>
              <w:jc w:val="right"/>
              <w:rPr>
                <w:rFonts w:eastAsia="SimHei" w:cs="Arial"/>
                <w:b/>
                <w:bCs/>
                <w:sz w:val="18"/>
                <w:szCs w:val="18"/>
              </w:rPr>
            </w:pPr>
            <w:r w:rsidRPr="000F4A56">
              <w:rPr>
                <w:rFonts w:cs="Arial"/>
                <w:b/>
                <w:bCs/>
                <w:sz w:val="18"/>
                <w:szCs w:val="18"/>
              </w:rPr>
              <w:t>100</w:t>
            </w:r>
          </w:p>
        </w:tc>
        <w:tc>
          <w:tcPr>
            <w:tcW w:w="1297" w:type="dxa"/>
            <w:tcBorders>
              <w:bottom w:val="single" w:sz="18" w:space="0" w:color="auto"/>
            </w:tcBorders>
            <w:shd w:val="clear" w:color="auto" w:fill="FFFFFF" w:themeFill="background1"/>
          </w:tcPr>
          <w:p w14:paraId="6788F4F8" w14:textId="77777777" w:rsidR="000F4A56" w:rsidRPr="000F4A56" w:rsidRDefault="000F4A56" w:rsidP="000F4A56">
            <w:pPr>
              <w:spacing w:before="80" w:after="80"/>
              <w:jc w:val="right"/>
              <w:rPr>
                <w:rFonts w:eastAsia="SimHei" w:cs="Arial"/>
                <w:b/>
                <w:bCs/>
                <w:sz w:val="18"/>
                <w:szCs w:val="18"/>
              </w:rPr>
            </w:pPr>
            <w:r w:rsidRPr="000F4A56">
              <w:rPr>
                <w:rFonts w:cs="Arial"/>
                <w:b/>
                <w:bCs/>
                <w:sz w:val="18"/>
                <w:szCs w:val="18"/>
              </w:rPr>
              <w:t>2.4%</w:t>
            </w:r>
          </w:p>
        </w:tc>
        <w:tc>
          <w:tcPr>
            <w:tcW w:w="1436" w:type="dxa"/>
            <w:tcBorders>
              <w:bottom w:val="single" w:sz="18" w:space="0" w:color="auto"/>
            </w:tcBorders>
            <w:shd w:val="clear" w:color="auto" w:fill="FFFFFF" w:themeFill="background1"/>
          </w:tcPr>
          <w:p w14:paraId="0C2AB7D2" w14:textId="77777777" w:rsidR="000F4A56" w:rsidRPr="000F4A56" w:rsidRDefault="000F4A56" w:rsidP="000F4A56">
            <w:pPr>
              <w:spacing w:before="80" w:after="80"/>
              <w:jc w:val="right"/>
              <w:rPr>
                <w:rFonts w:eastAsia="SimHei" w:cs="Arial"/>
                <w:b/>
                <w:bCs/>
                <w:sz w:val="18"/>
                <w:szCs w:val="18"/>
              </w:rPr>
            </w:pPr>
            <w:r w:rsidRPr="000F4A56">
              <w:rPr>
                <w:rFonts w:cs="Arial"/>
                <w:b/>
                <w:bCs/>
                <w:sz w:val="18"/>
                <w:szCs w:val="18"/>
              </w:rPr>
              <w:t>50</w:t>
            </w:r>
          </w:p>
        </w:tc>
        <w:tc>
          <w:tcPr>
            <w:tcW w:w="1204" w:type="dxa"/>
            <w:tcBorders>
              <w:bottom w:val="single" w:sz="18" w:space="0" w:color="auto"/>
              <w:right w:val="single" w:sz="18" w:space="0" w:color="auto"/>
            </w:tcBorders>
            <w:shd w:val="clear" w:color="auto" w:fill="FFFFFF" w:themeFill="background1"/>
          </w:tcPr>
          <w:p w14:paraId="5DDAB214" w14:textId="77777777" w:rsidR="000F4A56" w:rsidRPr="000F4A56" w:rsidRDefault="000F4A56" w:rsidP="000F4A56">
            <w:pPr>
              <w:spacing w:before="80" w:after="80"/>
              <w:jc w:val="right"/>
              <w:rPr>
                <w:rFonts w:eastAsia="SimHei" w:cs="Arial"/>
                <w:b/>
                <w:bCs/>
                <w:sz w:val="18"/>
                <w:szCs w:val="18"/>
              </w:rPr>
            </w:pPr>
            <w:r w:rsidRPr="000F4A56">
              <w:rPr>
                <w:rFonts w:cs="Arial"/>
                <w:b/>
                <w:bCs/>
                <w:sz w:val="18"/>
                <w:szCs w:val="18"/>
              </w:rPr>
              <w:t>150</w:t>
            </w:r>
          </w:p>
        </w:tc>
      </w:tr>
      <w:tr w:rsidR="000F4A56" w:rsidRPr="00021F78" w14:paraId="0632912A" w14:textId="77777777" w:rsidTr="00EE7C50">
        <w:trPr>
          <w:trHeight w:val="303"/>
        </w:trPr>
        <w:tc>
          <w:tcPr>
            <w:tcW w:w="2460" w:type="dxa"/>
            <w:gridSpan w:val="2"/>
            <w:tcBorders>
              <w:top w:val="single" w:sz="18" w:space="0" w:color="auto"/>
            </w:tcBorders>
          </w:tcPr>
          <w:p w14:paraId="3F64A641" w14:textId="77777777" w:rsidR="000F4A56" w:rsidRPr="00021F78" w:rsidRDefault="000F4A56" w:rsidP="000F4A56">
            <w:pPr>
              <w:spacing w:before="80" w:after="80"/>
              <w:rPr>
                <w:rFonts w:eastAsia="SimHei" w:cs="Arial"/>
                <w:b/>
                <w:bCs/>
                <w:sz w:val="18"/>
                <w:szCs w:val="18"/>
              </w:rPr>
            </w:pPr>
            <w:r w:rsidRPr="00594597">
              <w:rPr>
                <w:rFonts w:cs="Arial"/>
                <w:sz w:val="18"/>
                <w:szCs w:val="18"/>
              </w:rPr>
              <w:t>Advertising and sales managers</w:t>
            </w:r>
          </w:p>
        </w:tc>
        <w:tc>
          <w:tcPr>
            <w:tcW w:w="1277" w:type="dxa"/>
            <w:tcBorders>
              <w:top w:val="single" w:sz="18" w:space="0" w:color="auto"/>
            </w:tcBorders>
          </w:tcPr>
          <w:p w14:paraId="134AEC0D" w14:textId="77777777" w:rsidR="000F4A56" w:rsidRPr="00021F78" w:rsidRDefault="000F4A56" w:rsidP="000F4A56">
            <w:pPr>
              <w:spacing w:before="80" w:after="80"/>
              <w:jc w:val="right"/>
              <w:rPr>
                <w:rFonts w:eastAsia="SimHei" w:cs="Arial"/>
                <w:sz w:val="18"/>
                <w:szCs w:val="18"/>
              </w:rPr>
            </w:pPr>
            <w:r w:rsidRPr="00594597">
              <w:rPr>
                <w:rFonts w:cs="Arial"/>
                <w:sz w:val="18"/>
                <w:szCs w:val="18"/>
              </w:rPr>
              <w:t>2</w:t>
            </w:r>
            <w:r>
              <w:rPr>
                <w:rFonts w:cs="Arial"/>
                <w:sz w:val="18"/>
                <w:szCs w:val="18"/>
              </w:rPr>
              <w:t>,</w:t>
            </w:r>
            <w:r w:rsidRPr="00594597">
              <w:rPr>
                <w:rFonts w:cs="Arial"/>
                <w:sz w:val="18"/>
                <w:szCs w:val="18"/>
              </w:rPr>
              <w:t>300</w:t>
            </w:r>
          </w:p>
        </w:tc>
        <w:tc>
          <w:tcPr>
            <w:tcW w:w="1297" w:type="dxa"/>
            <w:tcBorders>
              <w:top w:val="single" w:sz="18" w:space="0" w:color="auto"/>
            </w:tcBorders>
          </w:tcPr>
          <w:p w14:paraId="3C4E596F" w14:textId="77777777" w:rsidR="000F4A56" w:rsidRPr="00021F78" w:rsidRDefault="000F4A56" w:rsidP="000F4A56">
            <w:pPr>
              <w:spacing w:before="80" w:after="80"/>
              <w:jc w:val="right"/>
              <w:rPr>
                <w:rFonts w:eastAsia="SimHei" w:cs="Arial"/>
                <w:sz w:val="18"/>
                <w:szCs w:val="18"/>
              </w:rPr>
            </w:pPr>
            <w:r w:rsidRPr="00594597">
              <w:rPr>
                <w:rFonts w:cs="Arial"/>
                <w:sz w:val="18"/>
                <w:szCs w:val="18"/>
              </w:rPr>
              <w:t>50</w:t>
            </w:r>
          </w:p>
        </w:tc>
        <w:tc>
          <w:tcPr>
            <w:tcW w:w="1297" w:type="dxa"/>
            <w:tcBorders>
              <w:top w:val="single" w:sz="18" w:space="0" w:color="auto"/>
            </w:tcBorders>
          </w:tcPr>
          <w:p w14:paraId="24C9BF55" w14:textId="77777777" w:rsidR="000F4A56" w:rsidRPr="00021F78" w:rsidRDefault="000F4A56" w:rsidP="000F4A56">
            <w:pPr>
              <w:spacing w:before="80" w:after="80"/>
              <w:jc w:val="right"/>
              <w:rPr>
                <w:rFonts w:eastAsia="SimHei" w:cs="Arial"/>
                <w:sz w:val="18"/>
                <w:szCs w:val="18"/>
              </w:rPr>
            </w:pPr>
            <w:r w:rsidRPr="00594597">
              <w:rPr>
                <w:rFonts w:cs="Arial"/>
                <w:sz w:val="18"/>
                <w:szCs w:val="18"/>
              </w:rPr>
              <w:t>1.9%</w:t>
            </w:r>
          </w:p>
        </w:tc>
        <w:tc>
          <w:tcPr>
            <w:tcW w:w="1436" w:type="dxa"/>
            <w:tcBorders>
              <w:top w:val="single" w:sz="18" w:space="0" w:color="auto"/>
            </w:tcBorders>
          </w:tcPr>
          <w:p w14:paraId="6ABDE8B5" w14:textId="77777777" w:rsidR="000F4A56" w:rsidRPr="00021F78" w:rsidRDefault="000F4A56" w:rsidP="000F4A56">
            <w:pPr>
              <w:spacing w:before="80" w:after="80"/>
              <w:jc w:val="right"/>
              <w:rPr>
                <w:rFonts w:eastAsia="SimHei" w:cs="Arial"/>
                <w:sz w:val="18"/>
                <w:szCs w:val="18"/>
              </w:rPr>
            </w:pPr>
            <w:r w:rsidRPr="00594597">
              <w:rPr>
                <w:rFonts w:cs="Arial"/>
                <w:sz w:val="18"/>
                <w:szCs w:val="18"/>
              </w:rPr>
              <w:t>50</w:t>
            </w:r>
          </w:p>
        </w:tc>
        <w:tc>
          <w:tcPr>
            <w:tcW w:w="1204" w:type="dxa"/>
            <w:tcBorders>
              <w:top w:val="single" w:sz="18" w:space="0" w:color="auto"/>
            </w:tcBorders>
          </w:tcPr>
          <w:p w14:paraId="129556E0" w14:textId="77777777" w:rsidR="000F4A56" w:rsidRPr="00021F78" w:rsidRDefault="000F4A56" w:rsidP="000F4A56">
            <w:pPr>
              <w:spacing w:before="80" w:after="80"/>
              <w:jc w:val="right"/>
              <w:rPr>
                <w:rFonts w:eastAsia="SimHei" w:cs="Arial"/>
                <w:sz w:val="18"/>
                <w:szCs w:val="18"/>
              </w:rPr>
            </w:pPr>
            <w:r w:rsidRPr="00594597">
              <w:rPr>
                <w:rFonts w:cs="Arial"/>
                <w:sz w:val="18"/>
                <w:szCs w:val="18"/>
              </w:rPr>
              <w:t>100</w:t>
            </w:r>
          </w:p>
        </w:tc>
      </w:tr>
      <w:tr w:rsidR="000F4A56" w:rsidRPr="00021F78" w14:paraId="26B50763" w14:textId="77777777" w:rsidTr="00EE7C50">
        <w:trPr>
          <w:trHeight w:val="449"/>
        </w:trPr>
        <w:tc>
          <w:tcPr>
            <w:tcW w:w="2460" w:type="dxa"/>
            <w:gridSpan w:val="2"/>
          </w:tcPr>
          <w:p w14:paraId="5CF7BE2A" w14:textId="77777777" w:rsidR="000F4A56" w:rsidRPr="00021F78" w:rsidRDefault="000F4A56" w:rsidP="000F4A56">
            <w:pPr>
              <w:spacing w:before="80" w:after="80"/>
              <w:rPr>
                <w:rFonts w:eastAsia="SimHei" w:cs="Arial"/>
                <w:b/>
                <w:bCs/>
                <w:sz w:val="18"/>
                <w:szCs w:val="18"/>
              </w:rPr>
            </w:pPr>
            <w:r w:rsidRPr="00594597">
              <w:rPr>
                <w:rFonts w:cs="Arial"/>
                <w:sz w:val="18"/>
                <w:szCs w:val="18"/>
              </w:rPr>
              <w:lastRenderedPageBreak/>
              <w:t>Office managers</w:t>
            </w:r>
          </w:p>
        </w:tc>
        <w:tc>
          <w:tcPr>
            <w:tcW w:w="1277" w:type="dxa"/>
          </w:tcPr>
          <w:p w14:paraId="27473D28" w14:textId="77777777" w:rsidR="000F4A56" w:rsidRPr="00021F78" w:rsidRDefault="000F4A56" w:rsidP="000F4A56">
            <w:pPr>
              <w:spacing w:before="80" w:after="80"/>
              <w:jc w:val="right"/>
              <w:rPr>
                <w:rFonts w:eastAsia="SimHei" w:cs="Arial"/>
                <w:sz w:val="18"/>
                <w:szCs w:val="18"/>
              </w:rPr>
            </w:pPr>
            <w:r w:rsidRPr="00594597">
              <w:rPr>
                <w:rFonts w:cs="Arial"/>
                <w:sz w:val="18"/>
                <w:szCs w:val="18"/>
              </w:rPr>
              <w:t>2</w:t>
            </w:r>
            <w:r>
              <w:rPr>
                <w:rFonts w:cs="Arial"/>
                <w:sz w:val="18"/>
                <w:szCs w:val="18"/>
              </w:rPr>
              <w:t>,</w:t>
            </w:r>
            <w:r w:rsidRPr="00594597">
              <w:rPr>
                <w:rFonts w:cs="Arial"/>
                <w:sz w:val="18"/>
                <w:szCs w:val="18"/>
              </w:rPr>
              <w:t>350</w:t>
            </w:r>
          </w:p>
        </w:tc>
        <w:tc>
          <w:tcPr>
            <w:tcW w:w="1297" w:type="dxa"/>
          </w:tcPr>
          <w:p w14:paraId="7301F095" w14:textId="77777777" w:rsidR="000F4A56" w:rsidRPr="00021F78" w:rsidRDefault="000F4A56" w:rsidP="000F4A56">
            <w:pPr>
              <w:spacing w:before="80" w:after="80"/>
              <w:jc w:val="right"/>
              <w:rPr>
                <w:rFonts w:eastAsia="SimHei" w:cs="Arial"/>
                <w:sz w:val="18"/>
                <w:szCs w:val="18"/>
              </w:rPr>
            </w:pPr>
            <w:r w:rsidRPr="00594597">
              <w:rPr>
                <w:rFonts w:cs="Arial"/>
                <w:sz w:val="18"/>
                <w:szCs w:val="18"/>
              </w:rPr>
              <w:t>50</w:t>
            </w:r>
          </w:p>
        </w:tc>
        <w:tc>
          <w:tcPr>
            <w:tcW w:w="1297" w:type="dxa"/>
          </w:tcPr>
          <w:p w14:paraId="2C778827" w14:textId="77777777" w:rsidR="000F4A56" w:rsidRPr="00021F78" w:rsidRDefault="000F4A56" w:rsidP="000F4A56">
            <w:pPr>
              <w:spacing w:before="80" w:after="80"/>
              <w:jc w:val="right"/>
              <w:rPr>
                <w:rFonts w:eastAsia="SimHei" w:cs="Arial"/>
                <w:sz w:val="18"/>
                <w:szCs w:val="18"/>
              </w:rPr>
            </w:pPr>
            <w:r w:rsidRPr="00594597">
              <w:rPr>
                <w:rFonts w:cs="Arial"/>
                <w:sz w:val="18"/>
                <w:szCs w:val="18"/>
              </w:rPr>
              <w:t>1.8%</w:t>
            </w:r>
          </w:p>
        </w:tc>
        <w:tc>
          <w:tcPr>
            <w:tcW w:w="1436" w:type="dxa"/>
          </w:tcPr>
          <w:p w14:paraId="00AF1C1C" w14:textId="77777777" w:rsidR="000F4A56" w:rsidRPr="00021F78" w:rsidRDefault="000F4A56" w:rsidP="000F4A56">
            <w:pPr>
              <w:spacing w:before="80" w:after="80"/>
              <w:jc w:val="right"/>
              <w:rPr>
                <w:rFonts w:eastAsia="SimHei" w:cs="Arial"/>
                <w:sz w:val="18"/>
                <w:szCs w:val="18"/>
              </w:rPr>
            </w:pPr>
            <w:r w:rsidRPr="00594597">
              <w:rPr>
                <w:rFonts w:cs="Arial"/>
                <w:sz w:val="18"/>
                <w:szCs w:val="18"/>
              </w:rPr>
              <w:t>50</w:t>
            </w:r>
          </w:p>
        </w:tc>
        <w:tc>
          <w:tcPr>
            <w:tcW w:w="1204" w:type="dxa"/>
          </w:tcPr>
          <w:p w14:paraId="58D60CC7" w14:textId="77777777" w:rsidR="000F4A56" w:rsidRPr="00021F78" w:rsidRDefault="000F4A56" w:rsidP="000F4A56">
            <w:pPr>
              <w:spacing w:before="80" w:after="80"/>
              <w:jc w:val="right"/>
              <w:rPr>
                <w:rFonts w:eastAsia="SimHei" w:cs="Arial"/>
                <w:sz w:val="18"/>
                <w:szCs w:val="18"/>
              </w:rPr>
            </w:pPr>
            <w:r w:rsidRPr="00594597">
              <w:rPr>
                <w:rFonts w:cs="Arial"/>
                <w:sz w:val="18"/>
                <w:szCs w:val="18"/>
              </w:rPr>
              <w:t>100</w:t>
            </w:r>
          </w:p>
        </w:tc>
      </w:tr>
      <w:tr w:rsidR="000F4A56" w:rsidRPr="00021F78" w14:paraId="08166C99" w14:textId="77777777" w:rsidTr="00EE7C50">
        <w:trPr>
          <w:trHeight w:val="297"/>
        </w:trPr>
        <w:tc>
          <w:tcPr>
            <w:tcW w:w="2460" w:type="dxa"/>
            <w:gridSpan w:val="2"/>
            <w:tcBorders>
              <w:bottom w:val="single" w:sz="18" w:space="0" w:color="auto"/>
            </w:tcBorders>
          </w:tcPr>
          <w:p w14:paraId="09E91EC9" w14:textId="77777777" w:rsidR="000F4A56" w:rsidRPr="00021F78" w:rsidRDefault="000F4A56" w:rsidP="000F4A56">
            <w:pPr>
              <w:spacing w:before="80" w:after="80"/>
              <w:rPr>
                <w:rFonts w:eastAsia="SimHei" w:cs="Arial"/>
                <w:b/>
                <w:bCs/>
                <w:sz w:val="18"/>
                <w:szCs w:val="18"/>
              </w:rPr>
            </w:pPr>
            <w:r w:rsidRPr="00594597">
              <w:rPr>
                <w:rFonts w:cs="Arial"/>
                <w:sz w:val="18"/>
                <w:szCs w:val="18"/>
              </w:rPr>
              <w:t>Receptionists</w:t>
            </w:r>
          </w:p>
        </w:tc>
        <w:tc>
          <w:tcPr>
            <w:tcW w:w="1277" w:type="dxa"/>
            <w:tcBorders>
              <w:bottom w:val="single" w:sz="18" w:space="0" w:color="auto"/>
            </w:tcBorders>
          </w:tcPr>
          <w:p w14:paraId="4F4EB2E0" w14:textId="77777777" w:rsidR="000F4A56" w:rsidRPr="00021F78" w:rsidRDefault="000F4A56" w:rsidP="000F4A56">
            <w:pPr>
              <w:spacing w:before="80" w:after="80"/>
              <w:jc w:val="right"/>
              <w:rPr>
                <w:rFonts w:eastAsia="SimHei" w:cs="Arial"/>
                <w:sz w:val="18"/>
                <w:szCs w:val="18"/>
              </w:rPr>
            </w:pPr>
            <w:r w:rsidRPr="00594597">
              <w:rPr>
                <w:rFonts w:cs="Arial"/>
                <w:sz w:val="18"/>
                <w:szCs w:val="18"/>
              </w:rPr>
              <w:t>2</w:t>
            </w:r>
            <w:r>
              <w:rPr>
                <w:rFonts w:cs="Arial"/>
                <w:sz w:val="18"/>
                <w:szCs w:val="18"/>
              </w:rPr>
              <w:t>,</w:t>
            </w:r>
            <w:r w:rsidRPr="00594597">
              <w:rPr>
                <w:rFonts w:cs="Arial"/>
                <w:sz w:val="18"/>
                <w:szCs w:val="18"/>
              </w:rPr>
              <w:t>900</w:t>
            </w:r>
          </w:p>
        </w:tc>
        <w:tc>
          <w:tcPr>
            <w:tcW w:w="1297" w:type="dxa"/>
            <w:tcBorders>
              <w:bottom w:val="single" w:sz="18" w:space="0" w:color="auto"/>
            </w:tcBorders>
          </w:tcPr>
          <w:p w14:paraId="19311B83" w14:textId="77777777" w:rsidR="000F4A56" w:rsidRPr="00021F78" w:rsidRDefault="000F4A56" w:rsidP="000F4A56">
            <w:pPr>
              <w:spacing w:before="80" w:after="80"/>
              <w:jc w:val="right"/>
              <w:rPr>
                <w:rFonts w:eastAsia="SimHei" w:cs="Arial"/>
                <w:sz w:val="18"/>
                <w:szCs w:val="18"/>
              </w:rPr>
            </w:pPr>
            <w:r>
              <w:rPr>
                <w:rFonts w:cs="Arial"/>
                <w:sz w:val="18"/>
                <w:szCs w:val="18"/>
              </w:rPr>
              <w:t xml:space="preserve">Less than </w:t>
            </w:r>
            <w:r w:rsidRPr="00594597">
              <w:rPr>
                <w:rFonts w:cs="Arial"/>
                <w:sz w:val="18"/>
                <w:szCs w:val="18"/>
              </w:rPr>
              <w:t>50</w:t>
            </w:r>
          </w:p>
        </w:tc>
        <w:tc>
          <w:tcPr>
            <w:tcW w:w="1297" w:type="dxa"/>
            <w:tcBorders>
              <w:bottom w:val="single" w:sz="18" w:space="0" w:color="auto"/>
            </w:tcBorders>
          </w:tcPr>
          <w:p w14:paraId="0BF925CB" w14:textId="77777777" w:rsidR="000F4A56" w:rsidRPr="00021F78" w:rsidRDefault="000F4A56" w:rsidP="000F4A56">
            <w:pPr>
              <w:spacing w:before="80" w:after="80"/>
              <w:jc w:val="right"/>
              <w:rPr>
                <w:rFonts w:eastAsia="SimHei" w:cs="Arial"/>
                <w:sz w:val="18"/>
                <w:szCs w:val="18"/>
              </w:rPr>
            </w:pPr>
            <w:r w:rsidRPr="00594597">
              <w:rPr>
                <w:rFonts w:cs="Arial"/>
                <w:sz w:val="18"/>
                <w:szCs w:val="18"/>
              </w:rPr>
              <w:t>0.5%</w:t>
            </w:r>
          </w:p>
        </w:tc>
        <w:tc>
          <w:tcPr>
            <w:tcW w:w="1436" w:type="dxa"/>
            <w:tcBorders>
              <w:bottom w:val="single" w:sz="18" w:space="0" w:color="auto"/>
            </w:tcBorders>
          </w:tcPr>
          <w:p w14:paraId="702B8EDF" w14:textId="77777777" w:rsidR="000F4A56" w:rsidRPr="00021F78" w:rsidRDefault="000F4A56" w:rsidP="000F4A56">
            <w:pPr>
              <w:spacing w:before="80" w:after="80"/>
              <w:jc w:val="right"/>
              <w:rPr>
                <w:rFonts w:eastAsia="SimHei" w:cs="Arial"/>
                <w:sz w:val="18"/>
                <w:szCs w:val="18"/>
              </w:rPr>
            </w:pPr>
            <w:r w:rsidRPr="00594597">
              <w:rPr>
                <w:rFonts w:cs="Arial"/>
                <w:sz w:val="18"/>
                <w:szCs w:val="18"/>
              </w:rPr>
              <w:t>50</w:t>
            </w:r>
          </w:p>
        </w:tc>
        <w:tc>
          <w:tcPr>
            <w:tcW w:w="1204" w:type="dxa"/>
            <w:tcBorders>
              <w:bottom w:val="single" w:sz="18" w:space="0" w:color="auto"/>
            </w:tcBorders>
          </w:tcPr>
          <w:p w14:paraId="5214EEB5" w14:textId="77777777" w:rsidR="000F4A56" w:rsidRPr="00021F78" w:rsidRDefault="000F4A56" w:rsidP="000F4A56">
            <w:pPr>
              <w:spacing w:before="80" w:after="80"/>
              <w:jc w:val="right"/>
              <w:rPr>
                <w:rFonts w:eastAsia="SimHei" w:cs="Arial"/>
                <w:sz w:val="18"/>
                <w:szCs w:val="18"/>
              </w:rPr>
            </w:pPr>
            <w:r w:rsidRPr="00594597">
              <w:rPr>
                <w:rFonts w:cs="Arial"/>
                <w:sz w:val="18"/>
                <w:szCs w:val="18"/>
              </w:rPr>
              <w:t>100</w:t>
            </w:r>
          </w:p>
        </w:tc>
      </w:tr>
      <w:tr w:rsidR="000F4A56" w:rsidRPr="00021F78" w14:paraId="59C43806" w14:textId="77777777" w:rsidTr="00EE7C50">
        <w:trPr>
          <w:trHeight w:val="297"/>
        </w:trPr>
        <w:tc>
          <w:tcPr>
            <w:tcW w:w="2460" w:type="dxa"/>
            <w:gridSpan w:val="2"/>
            <w:tcBorders>
              <w:top w:val="single" w:sz="18" w:space="0" w:color="auto"/>
              <w:left w:val="single" w:sz="18" w:space="0" w:color="auto"/>
            </w:tcBorders>
            <w:shd w:val="clear" w:color="auto" w:fill="FFFFFF" w:themeFill="background1"/>
          </w:tcPr>
          <w:p w14:paraId="5F50F110" w14:textId="77777777" w:rsidR="000F4A56" w:rsidRPr="000F4A56" w:rsidRDefault="000F4A56" w:rsidP="000F4A56">
            <w:pPr>
              <w:spacing w:before="80" w:after="80"/>
              <w:rPr>
                <w:rFonts w:eastAsia="SimHei" w:cs="Arial"/>
                <w:b/>
                <w:bCs/>
                <w:sz w:val="18"/>
                <w:szCs w:val="18"/>
              </w:rPr>
            </w:pPr>
            <w:r w:rsidRPr="000F4A56">
              <w:rPr>
                <w:rFonts w:cs="Arial"/>
                <w:b/>
                <w:bCs/>
                <w:sz w:val="18"/>
                <w:szCs w:val="18"/>
              </w:rPr>
              <w:t>Contract, program and project administrators</w:t>
            </w:r>
          </w:p>
        </w:tc>
        <w:tc>
          <w:tcPr>
            <w:tcW w:w="1277" w:type="dxa"/>
            <w:tcBorders>
              <w:top w:val="single" w:sz="18" w:space="0" w:color="auto"/>
            </w:tcBorders>
            <w:shd w:val="clear" w:color="auto" w:fill="FFFFFF" w:themeFill="background1"/>
          </w:tcPr>
          <w:p w14:paraId="3F3CD797" w14:textId="77777777" w:rsidR="000F4A56" w:rsidRPr="000F4A56" w:rsidRDefault="000F4A56" w:rsidP="000F4A56">
            <w:pPr>
              <w:spacing w:before="80" w:after="80"/>
              <w:jc w:val="right"/>
              <w:rPr>
                <w:rFonts w:eastAsia="SimHei" w:cs="Arial"/>
                <w:b/>
                <w:bCs/>
                <w:sz w:val="18"/>
                <w:szCs w:val="18"/>
              </w:rPr>
            </w:pPr>
            <w:r w:rsidRPr="000F4A56">
              <w:rPr>
                <w:rFonts w:cs="Arial"/>
                <w:b/>
                <w:bCs/>
                <w:sz w:val="18"/>
                <w:szCs w:val="18"/>
              </w:rPr>
              <w:t>650</w:t>
            </w:r>
          </w:p>
        </w:tc>
        <w:tc>
          <w:tcPr>
            <w:tcW w:w="1297" w:type="dxa"/>
            <w:tcBorders>
              <w:top w:val="single" w:sz="18" w:space="0" w:color="auto"/>
            </w:tcBorders>
            <w:shd w:val="clear" w:color="auto" w:fill="FFFFFF" w:themeFill="background1"/>
          </w:tcPr>
          <w:p w14:paraId="1C27A176" w14:textId="77777777" w:rsidR="000F4A56" w:rsidRPr="000F4A56" w:rsidRDefault="000F4A56" w:rsidP="000F4A56">
            <w:pPr>
              <w:spacing w:before="80" w:after="80"/>
              <w:jc w:val="right"/>
              <w:rPr>
                <w:rFonts w:eastAsia="SimHei" w:cs="Arial"/>
                <w:b/>
                <w:bCs/>
                <w:sz w:val="18"/>
                <w:szCs w:val="18"/>
              </w:rPr>
            </w:pPr>
            <w:r w:rsidRPr="000F4A56">
              <w:rPr>
                <w:rFonts w:cs="Arial"/>
                <w:b/>
                <w:bCs/>
                <w:sz w:val="18"/>
                <w:szCs w:val="18"/>
              </w:rPr>
              <w:t>50</w:t>
            </w:r>
          </w:p>
        </w:tc>
        <w:tc>
          <w:tcPr>
            <w:tcW w:w="1297" w:type="dxa"/>
            <w:tcBorders>
              <w:top w:val="single" w:sz="18" w:space="0" w:color="auto"/>
            </w:tcBorders>
            <w:shd w:val="clear" w:color="auto" w:fill="FFFFFF" w:themeFill="background1"/>
          </w:tcPr>
          <w:p w14:paraId="3769EB08" w14:textId="77777777" w:rsidR="000F4A56" w:rsidRPr="000F4A56" w:rsidRDefault="000F4A56" w:rsidP="000F4A56">
            <w:pPr>
              <w:spacing w:before="80" w:after="80"/>
              <w:jc w:val="right"/>
              <w:rPr>
                <w:rFonts w:eastAsia="SimHei" w:cs="Arial"/>
                <w:b/>
                <w:bCs/>
                <w:sz w:val="18"/>
                <w:szCs w:val="18"/>
              </w:rPr>
            </w:pPr>
            <w:r w:rsidRPr="000F4A56">
              <w:rPr>
                <w:rFonts w:cs="Arial"/>
                <w:b/>
                <w:bCs/>
                <w:sz w:val="18"/>
                <w:szCs w:val="18"/>
              </w:rPr>
              <w:t>3.0%</w:t>
            </w:r>
          </w:p>
        </w:tc>
        <w:tc>
          <w:tcPr>
            <w:tcW w:w="1436" w:type="dxa"/>
            <w:tcBorders>
              <w:top w:val="single" w:sz="18" w:space="0" w:color="auto"/>
            </w:tcBorders>
            <w:shd w:val="clear" w:color="auto" w:fill="FFFFFF" w:themeFill="background1"/>
          </w:tcPr>
          <w:p w14:paraId="756A7076" w14:textId="77777777" w:rsidR="000F4A56" w:rsidRPr="000F4A56" w:rsidRDefault="000F4A56" w:rsidP="000F4A56">
            <w:pPr>
              <w:spacing w:before="80" w:after="80"/>
              <w:jc w:val="right"/>
              <w:rPr>
                <w:rFonts w:eastAsia="SimHei" w:cs="Arial"/>
                <w:b/>
                <w:bCs/>
                <w:sz w:val="18"/>
                <w:szCs w:val="18"/>
              </w:rPr>
            </w:pPr>
            <w:r w:rsidRPr="000F4A56">
              <w:rPr>
                <w:rFonts w:cs="Arial"/>
                <w:b/>
                <w:bCs/>
                <w:sz w:val="18"/>
                <w:szCs w:val="18"/>
              </w:rPr>
              <w:t>Less than 50</w:t>
            </w:r>
          </w:p>
        </w:tc>
        <w:tc>
          <w:tcPr>
            <w:tcW w:w="1204" w:type="dxa"/>
            <w:tcBorders>
              <w:top w:val="single" w:sz="18" w:space="0" w:color="auto"/>
              <w:right w:val="single" w:sz="18" w:space="0" w:color="auto"/>
            </w:tcBorders>
            <w:shd w:val="clear" w:color="auto" w:fill="FFFFFF" w:themeFill="background1"/>
          </w:tcPr>
          <w:p w14:paraId="0F6967EA" w14:textId="77777777" w:rsidR="000F4A56" w:rsidRPr="000F4A56" w:rsidRDefault="000F4A56" w:rsidP="000F4A56">
            <w:pPr>
              <w:spacing w:before="80" w:after="80"/>
              <w:jc w:val="right"/>
              <w:rPr>
                <w:rFonts w:eastAsia="SimHei" w:cs="Arial"/>
                <w:b/>
                <w:bCs/>
                <w:sz w:val="18"/>
                <w:szCs w:val="18"/>
              </w:rPr>
            </w:pPr>
            <w:r w:rsidRPr="000F4A56">
              <w:rPr>
                <w:rFonts w:cs="Arial"/>
                <w:b/>
                <w:bCs/>
                <w:sz w:val="18"/>
                <w:szCs w:val="18"/>
              </w:rPr>
              <w:t>50</w:t>
            </w:r>
          </w:p>
        </w:tc>
      </w:tr>
      <w:tr w:rsidR="000F4A56" w:rsidRPr="00021F78" w14:paraId="48AA57D0" w14:textId="77777777" w:rsidTr="00EE7C50">
        <w:trPr>
          <w:trHeight w:val="297"/>
        </w:trPr>
        <w:tc>
          <w:tcPr>
            <w:tcW w:w="2460" w:type="dxa"/>
            <w:gridSpan w:val="2"/>
            <w:tcBorders>
              <w:left w:val="single" w:sz="18" w:space="0" w:color="auto"/>
            </w:tcBorders>
            <w:shd w:val="clear" w:color="auto" w:fill="FFFFFF" w:themeFill="background1"/>
          </w:tcPr>
          <w:p w14:paraId="57A62AF9" w14:textId="77777777" w:rsidR="000F4A56" w:rsidRPr="000F4A56" w:rsidRDefault="000F4A56" w:rsidP="000F4A56">
            <w:pPr>
              <w:spacing w:before="80" w:after="80"/>
              <w:rPr>
                <w:rFonts w:eastAsia="SimHei" w:cs="Arial"/>
                <w:b/>
                <w:bCs/>
                <w:sz w:val="18"/>
                <w:szCs w:val="18"/>
              </w:rPr>
            </w:pPr>
            <w:r w:rsidRPr="000F4A56">
              <w:rPr>
                <w:rFonts w:cs="Arial"/>
                <w:b/>
                <w:bCs/>
                <w:sz w:val="18"/>
                <w:szCs w:val="18"/>
              </w:rPr>
              <w:t>Finance managers</w:t>
            </w:r>
          </w:p>
        </w:tc>
        <w:tc>
          <w:tcPr>
            <w:tcW w:w="1277" w:type="dxa"/>
            <w:shd w:val="clear" w:color="auto" w:fill="FFFFFF" w:themeFill="background1"/>
          </w:tcPr>
          <w:p w14:paraId="1CCB88C5" w14:textId="77777777" w:rsidR="000F4A56" w:rsidRPr="000F4A56" w:rsidRDefault="000F4A56" w:rsidP="000F4A56">
            <w:pPr>
              <w:spacing w:before="80" w:after="80"/>
              <w:jc w:val="right"/>
              <w:rPr>
                <w:rFonts w:eastAsia="SimHei" w:cs="Arial"/>
                <w:b/>
                <w:bCs/>
                <w:sz w:val="18"/>
                <w:szCs w:val="18"/>
              </w:rPr>
            </w:pPr>
            <w:r w:rsidRPr="000F4A56">
              <w:rPr>
                <w:rFonts w:cs="Arial"/>
                <w:b/>
                <w:bCs/>
                <w:sz w:val="18"/>
                <w:szCs w:val="18"/>
              </w:rPr>
              <w:t>1,200</w:t>
            </w:r>
          </w:p>
        </w:tc>
        <w:tc>
          <w:tcPr>
            <w:tcW w:w="1297" w:type="dxa"/>
            <w:shd w:val="clear" w:color="auto" w:fill="FFFFFF" w:themeFill="background1"/>
          </w:tcPr>
          <w:p w14:paraId="474AC023" w14:textId="77777777" w:rsidR="000F4A56" w:rsidRPr="000F4A56" w:rsidRDefault="000F4A56" w:rsidP="000F4A56">
            <w:pPr>
              <w:spacing w:before="80" w:after="80"/>
              <w:jc w:val="right"/>
              <w:rPr>
                <w:rFonts w:eastAsia="SimHei" w:cs="Arial"/>
                <w:b/>
                <w:bCs/>
                <w:sz w:val="18"/>
                <w:szCs w:val="18"/>
              </w:rPr>
            </w:pPr>
            <w:r w:rsidRPr="000F4A56">
              <w:rPr>
                <w:rFonts w:cs="Arial"/>
                <w:b/>
                <w:bCs/>
                <w:sz w:val="18"/>
                <w:szCs w:val="18"/>
              </w:rPr>
              <w:t>50</w:t>
            </w:r>
          </w:p>
        </w:tc>
        <w:tc>
          <w:tcPr>
            <w:tcW w:w="1297" w:type="dxa"/>
            <w:shd w:val="clear" w:color="auto" w:fill="FFFFFF" w:themeFill="background1"/>
          </w:tcPr>
          <w:p w14:paraId="19B9DF00" w14:textId="77777777" w:rsidR="000F4A56" w:rsidRPr="000F4A56" w:rsidRDefault="000F4A56" w:rsidP="000F4A56">
            <w:pPr>
              <w:spacing w:before="80" w:after="80"/>
              <w:jc w:val="right"/>
              <w:rPr>
                <w:rFonts w:eastAsia="SimHei" w:cs="Arial"/>
                <w:b/>
                <w:bCs/>
                <w:sz w:val="18"/>
                <w:szCs w:val="18"/>
              </w:rPr>
            </w:pPr>
            <w:r w:rsidRPr="000F4A56">
              <w:rPr>
                <w:rFonts w:cs="Arial"/>
                <w:b/>
                <w:bCs/>
                <w:sz w:val="18"/>
                <w:szCs w:val="18"/>
              </w:rPr>
              <w:t>3.3%</w:t>
            </w:r>
          </w:p>
        </w:tc>
        <w:tc>
          <w:tcPr>
            <w:tcW w:w="1436" w:type="dxa"/>
            <w:shd w:val="clear" w:color="auto" w:fill="FFFFFF" w:themeFill="background1"/>
          </w:tcPr>
          <w:p w14:paraId="0AACC624" w14:textId="77777777" w:rsidR="000F4A56" w:rsidRPr="000F4A56" w:rsidRDefault="000F4A56" w:rsidP="000F4A56">
            <w:pPr>
              <w:spacing w:before="80" w:after="80"/>
              <w:jc w:val="right"/>
              <w:rPr>
                <w:rFonts w:eastAsia="SimHei" w:cs="Arial"/>
                <w:b/>
                <w:bCs/>
                <w:sz w:val="18"/>
                <w:szCs w:val="18"/>
              </w:rPr>
            </w:pPr>
            <w:r w:rsidRPr="000F4A56">
              <w:rPr>
                <w:rFonts w:cs="Arial"/>
                <w:b/>
                <w:bCs/>
                <w:sz w:val="18"/>
                <w:szCs w:val="18"/>
              </w:rPr>
              <w:t>Less than 50</w:t>
            </w:r>
          </w:p>
        </w:tc>
        <w:tc>
          <w:tcPr>
            <w:tcW w:w="1204" w:type="dxa"/>
            <w:tcBorders>
              <w:right w:val="single" w:sz="18" w:space="0" w:color="auto"/>
            </w:tcBorders>
            <w:shd w:val="clear" w:color="auto" w:fill="FFFFFF" w:themeFill="background1"/>
          </w:tcPr>
          <w:p w14:paraId="2139FCF7" w14:textId="77777777" w:rsidR="000F4A56" w:rsidRPr="000F4A56" w:rsidRDefault="000F4A56" w:rsidP="000F4A56">
            <w:pPr>
              <w:spacing w:before="80" w:after="80"/>
              <w:jc w:val="right"/>
              <w:rPr>
                <w:rFonts w:eastAsia="SimHei" w:cs="Arial"/>
                <w:b/>
                <w:bCs/>
                <w:sz w:val="18"/>
                <w:szCs w:val="18"/>
              </w:rPr>
            </w:pPr>
            <w:r w:rsidRPr="000F4A56">
              <w:rPr>
                <w:rFonts w:cs="Arial"/>
                <w:b/>
                <w:bCs/>
                <w:sz w:val="18"/>
                <w:szCs w:val="18"/>
              </w:rPr>
              <w:t>50</w:t>
            </w:r>
          </w:p>
        </w:tc>
      </w:tr>
      <w:tr w:rsidR="000F4A56" w:rsidRPr="00021F78" w14:paraId="13FBCD9C" w14:textId="77777777" w:rsidTr="00EE7C50">
        <w:trPr>
          <w:trHeight w:val="297"/>
        </w:trPr>
        <w:tc>
          <w:tcPr>
            <w:tcW w:w="2460" w:type="dxa"/>
            <w:gridSpan w:val="2"/>
            <w:tcBorders>
              <w:left w:val="single" w:sz="18" w:space="0" w:color="auto"/>
              <w:bottom w:val="single" w:sz="18" w:space="0" w:color="auto"/>
            </w:tcBorders>
            <w:shd w:val="clear" w:color="auto" w:fill="FFFFFF" w:themeFill="background1"/>
          </w:tcPr>
          <w:p w14:paraId="49F7965C" w14:textId="77777777" w:rsidR="000F4A56" w:rsidRPr="000F4A56" w:rsidRDefault="000F4A56" w:rsidP="000F4A56">
            <w:pPr>
              <w:spacing w:before="80" w:after="80"/>
              <w:rPr>
                <w:rFonts w:eastAsia="SimHei" w:cs="Arial"/>
                <w:b/>
                <w:bCs/>
                <w:sz w:val="18"/>
                <w:szCs w:val="18"/>
              </w:rPr>
            </w:pPr>
            <w:r w:rsidRPr="000F4A56">
              <w:rPr>
                <w:rFonts w:cs="Arial"/>
                <w:b/>
                <w:bCs/>
                <w:sz w:val="18"/>
                <w:szCs w:val="18"/>
              </w:rPr>
              <w:t>Financial investment advisers and managers</w:t>
            </w:r>
          </w:p>
        </w:tc>
        <w:tc>
          <w:tcPr>
            <w:tcW w:w="1277" w:type="dxa"/>
            <w:tcBorders>
              <w:bottom w:val="single" w:sz="18" w:space="0" w:color="auto"/>
            </w:tcBorders>
            <w:shd w:val="clear" w:color="auto" w:fill="FFFFFF" w:themeFill="background1"/>
          </w:tcPr>
          <w:p w14:paraId="3A50326C" w14:textId="77777777" w:rsidR="000F4A56" w:rsidRPr="000F4A56" w:rsidRDefault="000F4A56" w:rsidP="000F4A56">
            <w:pPr>
              <w:spacing w:before="80" w:after="80"/>
              <w:jc w:val="right"/>
              <w:rPr>
                <w:rFonts w:eastAsia="SimHei" w:cs="Arial"/>
                <w:b/>
                <w:bCs/>
                <w:sz w:val="18"/>
                <w:szCs w:val="18"/>
              </w:rPr>
            </w:pPr>
            <w:r w:rsidRPr="000F4A56">
              <w:rPr>
                <w:rFonts w:cs="Arial"/>
                <w:b/>
                <w:bCs/>
                <w:sz w:val="18"/>
                <w:szCs w:val="18"/>
              </w:rPr>
              <w:t>650</w:t>
            </w:r>
          </w:p>
        </w:tc>
        <w:tc>
          <w:tcPr>
            <w:tcW w:w="1297" w:type="dxa"/>
            <w:tcBorders>
              <w:bottom w:val="single" w:sz="18" w:space="0" w:color="auto"/>
            </w:tcBorders>
            <w:shd w:val="clear" w:color="auto" w:fill="FFFFFF" w:themeFill="background1"/>
          </w:tcPr>
          <w:p w14:paraId="31AB1B66" w14:textId="77777777" w:rsidR="000F4A56" w:rsidRPr="000F4A56" w:rsidRDefault="000F4A56" w:rsidP="000F4A56">
            <w:pPr>
              <w:spacing w:before="80" w:after="80"/>
              <w:jc w:val="right"/>
              <w:rPr>
                <w:rFonts w:eastAsia="SimHei" w:cs="Arial"/>
                <w:b/>
                <w:bCs/>
                <w:sz w:val="18"/>
                <w:szCs w:val="18"/>
              </w:rPr>
            </w:pPr>
            <w:r w:rsidRPr="000F4A56">
              <w:rPr>
                <w:rFonts w:cs="Arial"/>
                <w:b/>
                <w:bCs/>
                <w:sz w:val="18"/>
                <w:szCs w:val="18"/>
              </w:rPr>
              <w:t>50</w:t>
            </w:r>
          </w:p>
        </w:tc>
        <w:tc>
          <w:tcPr>
            <w:tcW w:w="1297" w:type="dxa"/>
            <w:tcBorders>
              <w:bottom w:val="single" w:sz="18" w:space="0" w:color="auto"/>
            </w:tcBorders>
            <w:shd w:val="clear" w:color="auto" w:fill="FFFFFF" w:themeFill="background1"/>
          </w:tcPr>
          <w:p w14:paraId="0C46DA72" w14:textId="77777777" w:rsidR="000F4A56" w:rsidRPr="000F4A56" w:rsidRDefault="000F4A56" w:rsidP="000F4A56">
            <w:pPr>
              <w:spacing w:before="80" w:after="80"/>
              <w:jc w:val="right"/>
              <w:rPr>
                <w:rFonts w:eastAsia="SimHei" w:cs="Arial"/>
                <w:b/>
                <w:bCs/>
                <w:sz w:val="18"/>
                <w:szCs w:val="18"/>
              </w:rPr>
            </w:pPr>
            <w:r w:rsidRPr="000F4A56">
              <w:rPr>
                <w:rFonts w:cs="Arial"/>
                <w:b/>
                <w:bCs/>
                <w:sz w:val="18"/>
                <w:szCs w:val="18"/>
              </w:rPr>
              <w:t>3.7%</w:t>
            </w:r>
          </w:p>
        </w:tc>
        <w:tc>
          <w:tcPr>
            <w:tcW w:w="1436" w:type="dxa"/>
            <w:tcBorders>
              <w:bottom w:val="single" w:sz="18" w:space="0" w:color="auto"/>
            </w:tcBorders>
            <w:shd w:val="clear" w:color="auto" w:fill="FFFFFF" w:themeFill="background1"/>
          </w:tcPr>
          <w:p w14:paraId="1536F858" w14:textId="77777777" w:rsidR="000F4A56" w:rsidRPr="000F4A56" w:rsidRDefault="000F4A56" w:rsidP="000F4A56">
            <w:pPr>
              <w:spacing w:before="80" w:after="80"/>
              <w:jc w:val="right"/>
              <w:rPr>
                <w:rFonts w:eastAsia="SimHei" w:cs="Arial"/>
                <w:b/>
                <w:bCs/>
                <w:sz w:val="18"/>
                <w:szCs w:val="18"/>
              </w:rPr>
            </w:pPr>
            <w:r w:rsidRPr="000F4A56">
              <w:rPr>
                <w:rFonts w:cs="Arial"/>
                <w:b/>
                <w:bCs/>
                <w:sz w:val="18"/>
                <w:szCs w:val="18"/>
              </w:rPr>
              <w:t>Less than 50</w:t>
            </w:r>
          </w:p>
        </w:tc>
        <w:tc>
          <w:tcPr>
            <w:tcW w:w="1204" w:type="dxa"/>
            <w:tcBorders>
              <w:bottom w:val="single" w:sz="18" w:space="0" w:color="auto"/>
              <w:right w:val="single" w:sz="18" w:space="0" w:color="auto"/>
            </w:tcBorders>
            <w:shd w:val="clear" w:color="auto" w:fill="FFFFFF" w:themeFill="background1"/>
          </w:tcPr>
          <w:p w14:paraId="78E212E5" w14:textId="77777777" w:rsidR="000F4A56" w:rsidRPr="000F4A56" w:rsidRDefault="000F4A56" w:rsidP="000F4A56">
            <w:pPr>
              <w:spacing w:before="80" w:after="80"/>
              <w:jc w:val="right"/>
              <w:rPr>
                <w:rFonts w:eastAsia="SimHei" w:cs="Arial"/>
                <w:b/>
                <w:bCs/>
                <w:sz w:val="18"/>
                <w:szCs w:val="18"/>
              </w:rPr>
            </w:pPr>
            <w:r w:rsidRPr="000F4A56">
              <w:rPr>
                <w:rFonts w:cs="Arial"/>
                <w:b/>
                <w:bCs/>
                <w:sz w:val="18"/>
                <w:szCs w:val="18"/>
              </w:rPr>
              <w:t>50</w:t>
            </w:r>
          </w:p>
        </w:tc>
      </w:tr>
      <w:tr w:rsidR="000F4A56" w:rsidRPr="00F67BB6" w14:paraId="49F47911" w14:textId="77777777" w:rsidTr="00EE7C50">
        <w:trPr>
          <w:trHeight w:val="297"/>
        </w:trPr>
        <w:tc>
          <w:tcPr>
            <w:tcW w:w="2460" w:type="dxa"/>
            <w:gridSpan w:val="2"/>
            <w:tcBorders>
              <w:top w:val="single" w:sz="18" w:space="0" w:color="auto"/>
              <w:bottom w:val="nil"/>
              <w:right w:val="nil"/>
            </w:tcBorders>
            <w:shd w:val="clear" w:color="auto" w:fill="auto"/>
          </w:tcPr>
          <w:p w14:paraId="3E0B9B3C" w14:textId="77777777" w:rsidR="000F4A56" w:rsidRDefault="000F4A56" w:rsidP="000F4A56">
            <w:pPr>
              <w:spacing w:before="80" w:after="80"/>
              <w:rPr>
                <w:rFonts w:cs="Arial"/>
                <w:b/>
                <w:sz w:val="18"/>
                <w:szCs w:val="18"/>
              </w:rPr>
            </w:pPr>
          </w:p>
          <w:p w14:paraId="5E4F2429" w14:textId="77777777" w:rsidR="000F4A56" w:rsidRPr="000F4A56" w:rsidRDefault="000F4A56" w:rsidP="000F4A56">
            <w:pPr>
              <w:spacing w:before="80" w:after="80"/>
              <w:rPr>
                <w:rFonts w:cs="Arial"/>
                <w:b/>
                <w:bCs/>
                <w:sz w:val="16"/>
                <w:szCs w:val="16"/>
              </w:rPr>
            </w:pPr>
            <w:r w:rsidRPr="000F4A56">
              <w:rPr>
                <w:rFonts w:cs="Arial"/>
                <w:b/>
                <w:bCs/>
                <w:sz w:val="16"/>
                <w:szCs w:val="16"/>
              </w:rPr>
              <w:t>Legend</w:t>
            </w:r>
          </w:p>
        </w:tc>
        <w:tc>
          <w:tcPr>
            <w:tcW w:w="1277" w:type="dxa"/>
            <w:tcBorders>
              <w:top w:val="single" w:sz="18" w:space="0" w:color="auto"/>
              <w:left w:val="nil"/>
              <w:bottom w:val="nil"/>
              <w:right w:val="nil"/>
            </w:tcBorders>
            <w:shd w:val="clear" w:color="auto" w:fill="auto"/>
          </w:tcPr>
          <w:p w14:paraId="1D2B3128" w14:textId="77777777" w:rsidR="000F4A56" w:rsidRPr="00F67BB6" w:rsidRDefault="000F4A56" w:rsidP="000F4A56">
            <w:pPr>
              <w:spacing w:before="80" w:after="80"/>
              <w:jc w:val="right"/>
              <w:rPr>
                <w:rFonts w:cs="Arial"/>
                <w:sz w:val="18"/>
                <w:szCs w:val="18"/>
              </w:rPr>
            </w:pPr>
          </w:p>
        </w:tc>
        <w:tc>
          <w:tcPr>
            <w:tcW w:w="1297" w:type="dxa"/>
            <w:tcBorders>
              <w:top w:val="single" w:sz="18" w:space="0" w:color="auto"/>
              <w:left w:val="nil"/>
              <w:bottom w:val="nil"/>
              <w:right w:val="nil"/>
            </w:tcBorders>
            <w:shd w:val="clear" w:color="auto" w:fill="auto"/>
          </w:tcPr>
          <w:p w14:paraId="1D099377" w14:textId="77777777" w:rsidR="000F4A56" w:rsidRPr="00F67BB6" w:rsidRDefault="000F4A56" w:rsidP="000F4A56">
            <w:pPr>
              <w:spacing w:before="80" w:after="80"/>
              <w:jc w:val="right"/>
              <w:rPr>
                <w:rFonts w:cs="Arial"/>
                <w:sz w:val="18"/>
                <w:szCs w:val="18"/>
              </w:rPr>
            </w:pPr>
          </w:p>
        </w:tc>
        <w:tc>
          <w:tcPr>
            <w:tcW w:w="1297" w:type="dxa"/>
            <w:tcBorders>
              <w:top w:val="single" w:sz="18" w:space="0" w:color="auto"/>
              <w:left w:val="nil"/>
              <w:bottom w:val="nil"/>
              <w:right w:val="nil"/>
            </w:tcBorders>
            <w:shd w:val="clear" w:color="auto" w:fill="auto"/>
          </w:tcPr>
          <w:p w14:paraId="136AFE18" w14:textId="77777777" w:rsidR="000F4A56" w:rsidRPr="00F67BB6" w:rsidRDefault="000F4A56" w:rsidP="000F4A56">
            <w:pPr>
              <w:spacing w:before="80" w:after="80"/>
              <w:jc w:val="right"/>
              <w:rPr>
                <w:rFonts w:cs="Arial"/>
                <w:sz w:val="18"/>
                <w:szCs w:val="18"/>
              </w:rPr>
            </w:pPr>
          </w:p>
        </w:tc>
        <w:tc>
          <w:tcPr>
            <w:tcW w:w="1436" w:type="dxa"/>
            <w:tcBorders>
              <w:top w:val="single" w:sz="18" w:space="0" w:color="auto"/>
              <w:left w:val="nil"/>
              <w:bottom w:val="nil"/>
              <w:right w:val="nil"/>
            </w:tcBorders>
            <w:shd w:val="clear" w:color="auto" w:fill="auto"/>
          </w:tcPr>
          <w:p w14:paraId="0AA2AB99" w14:textId="77777777" w:rsidR="000F4A56" w:rsidRPr="00F67BB6" w:rsidRDefault="000F4A56" w:rsidP="000F4A56">
            <w:pPr>
              <w:spacing w:before="80" w:after="80"/>
              <w:jc w:val="right"/>
              <w:rPr>
                <w:rFonts w:cs="Arial"/>
                <w:sz w:val="18"/>
                <w:szCs w:val="18"/>
              </w:rPr>
            </w:pPr>
          </w:p>
        </w:tc>
        <w:tc>
          <w:tcPr>
            <w:tcW w:w="1204" w:type="dxa"/>
            <w:tcBorders>
              <w:top w:val="single" w:sz="18" w:space="0" w:color="auto"/>
              <w:left w:val="nil"/>
              <w:bottom w:val="nil"/>
            </w:tcBorders>
            <w:shd w:val="clear" w:color="auto" w:fill="auto"/>
          </w:tcPr>
          <w:p w14:paraId="1D9DCDFF" w14:textId="77777777" w:rsidR="000F4A56" w:rsidRPr="00F67BB6" w:rsidRDefault="000F4A56" w:rsidP="000F4A56">
            <w:pPr>
              <w:spacing w:before="80" w:after="80"/>
              <w:jc w:val="right"/>
              <w:rPr>
                <w:rFonts w:cs="Arial"/>
                <w:sz w:val="18"/>
                <w:szCs w:val="18"/>
              </w:rPr>
            </w:pPr>
          </w:p>
        </w:tc>
      </w:tr>
      <w:tr w:rsidR="00EE7C50" w:rsidRPr="00375681" w14:paraId="08A09E95" w14:textId="77777777" w:rsidTr="00715161">
        <w:trPr>
          <w:trHeight w:val="235"/>
        </w:trPr>
        <w:tc>
          <w:tcPr>
            <w:tcW w:w="8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2D55B51" w14:textId="77777777" w:rsidR="00EE7C50" w:rsidRPr="00375681" w:rsidRDefault="00EE7C50" w:rsidP="00EE7C50">
            <w:pPr>
              <w:spacing w:before="80" w:after="80"/>
              <w:rPr>
                <w:rFonts w:cs="Arial"/>
                <w:szCs w:val="20"/>
              </w:rPr>
            </w:pPr>
          </w:p>
        </w:tc>
        <w:tc>
          <w:tcPr>
            <w:tcW w:w="8143" w:type="dxa"/>
            <w:gridSpan w:val="6"/>
            <w:tcBorders>
              <w:top w:val="nil"/>
              <w:left w:val="single" w:sz="18" w:space="0" w:color="auto"/>
              <w:bottom w:val="nil"/>
            </w:tcBorders>
          </w:tcPr>
          <w:p w14:paraId="0E1CF99C" w14:textId="47623A10" w:rsidR="00EE7C50" w:rsidRPr="00375681" w:rsidRDefault="00715161" w:rsidP="00EE7C50">
            <w:pPr>
              <w:spacing w:before="80" w:after="80"/>
              <w:rPr>
                <w:rFonts w:cs="Arial"/>
                <w:szCs w:val="20"/>
              </w:rPr>
            </w:pPr>
            <w:r w:rsidRPr="00001815">
              <w:rPr>
                <w:rFonts w:cs="Arial"/>
                <w:szCs w:val="20"/>
              </w:rPr>
              <w:t>Bold text reflect</w:t>
            </w:r>
            <w:r>
              <w:rPr>
                <w:rFonts w:cs="Arial"/>
                <w:szCs w:val="20"/>
              </w:rPr>
              <w:t>s</w:t>
            </w:r>
            <w:r w:rsidRPr="00001815">
              <w:rPr>
                <w:rFonts w:cs="Arial"/>
                <w:szCs w:val="20"/>
              </w:rPr>
              <w:t xml:space="preserve"> occupations with above average forecast Victorian employment growth between 2022 and 2025</w:t>
            </w:r>
          </w:p>
        </w:tc>
      </w:tr>
    </w:tbl>
    <w:p w14:paraId="606F248C" w14:textId="5DDC6B18" w:rsidR="009A237A" w:rsidRDefault="009A237A" w:rsidP="009A237A"/>
    <w:p w14:paraId="32908272" w14:textId="0190D961" w:rsidR="00DB11BD" w:rsidRDefault="00DB11BD" w:rsidP="008021FF">
      <w:pPr>
        <w:spacing w:after="0"/>
        <w:rPr>
          <w:szCs w:val="20"/>
          <w:lang w:eastAsia="en-AU"/>
        </w:rPr>
      </w:pPr>
      <w:r>
        <w:rPr>
          <w:szCs w:val="20"/>
          <w:lang w:eastAsia="en-AU"/>
        </w:rPr>
        <w:t>Technological advancements that enable online inspections and auctions along with regulatory reform are driving demand for the new and emerging jobs detailed</w:t>
      </w:r>
      <w:r w:rsidR="00012AB8">
        <w:rPr>
          <w:szCs w:val="20"/>
          <w:lang w:eastAsia="en-AU"/>
        </w:rPr>
        <w:t xml:space="preserve"> </w:t>
      </w:r>
      <w:r>
        <w:rPr>
          <w:szCs w:val="20"/>
          <w:lang w:eastAsia="en-AU"/>
        </w:rPr>
        <w:t>in</w:t>
      </w:r>
      <w:r w:rsidR="00A330E5">
        <w:rPr>
          <w:rFonts w:asciiTheme="minorHAnsi" w:hAnsiTheme="minorHAnsi" w:cstheme="minorHAnsi"/>
          <w:szCs w:val="20"/>
          <w:lang w:eastAsia="en-AU"/>
        </w:rPr>
        <w:t xml:space="preserve"> Table 6</w:t>
      </w:r>
      <w:r>
        <w:rPr>
          <w:szCs w:val="20"/>
          <w:lang w:eastAsia="en-AU"/>
        </w:rPr>
        <w:t>. The emphasis on regulatory roles corresponds with ongoing concern about ethical compliance in the real estate sector. It will become increasingly valuable for agencies to employ workers skilled in legal compliance.</w:t>
      </w:r>
      <w:r w:rsidR="00C32967">
        <w:rPr>
          <w:szCs w:val="20"/>
          <w:lang w:eastAsia="en-AU"/>
        </w:rPr>
        <w:t xml:space="preserve"> Emerging occupations are defined as new, frequently advertised jobs which are substantially different to occupations already defined in ANZSCO.</w:t>
      </w:r>
      <w:r w:rsidR="00C32967">
        <w:rPr>
          <w:rStyle w:val="EndnoteReference"/>
          <w:szCs w:val="20"/>
          <w:lang w:eastAsia="en-AU"/>
        </w:rPr>
        <w:endnoteReference w:id="76"/>
      </w:r>
      <w:r w:rsidR="00C32967">
        <w:rPr>
          <w:szCs w:val="20"/>
          <w:lang w:eastAsia="en-AU"/>
        </w:rPr>
        <w:t xml:space="preserve"> </w:t>
      </w:r>
    </w:p>
    <w:p w14:paraId="5522669E" w14:textId="11B69D8E" w:rsidR="00DB11BD" w:rsidRPr="00B65E77" w:rsidRDefault="00DB11BD" w:rsidP="00D45895">
      <w:pPr>
        <w:keepNext/>
        <w:spacing w:before="240" w:line="257" w:lineRule="auto"/>
        <w:rPr>
          <w:rFonts w:eastAsia="Calibri" w:cs="Arial"/>
          <w:b/>
          <w:color w:val="000000"/>
          <w:szCs w:val="20"/>
          <w:lang w:val="en-AU" w:eastAsia="en-US"/>
        </w:rPr>
      </w:pPr>
      <w:bookmarkStart w:id="40" w:name="_Ref105163548"/>
      <w:r w:rsidRPr="00B65E77">
        <w:rPr>
          <w:rFonts w:eastAsia="Calibri" w:cs="Arial"/>
          <w:b/>
          <w:color w:val="000000"/>
          <w:szCs w:val="20"/>
          <w:lang w:val="en-AU" w:eastAsia="en-US"/>
        </w:rPr>
        <w:t xml:space="preserve">Table </w:t>
      </w:r>
      <w:r w:rsidRPr="00B65E77">
        <w:rPr>
          <w:rFonts w:eastAsia="Calibri" w:cs="Arial"/>
          <w:b/>
          <w:color w:val="000000"/>
          <w:szCs w:val="20"/>
          <w:lang w:val="en-AU" w:eastAsia="en-US"/>
        </w:rPr>
        <w:fldChar w:fldCharType="begin"/>
      </w:r>
      <w:r w:rsidRPr="00B65E77">
        <w:rPr>
          <w:rFonts w:eastAsia="Calibri" w:cs="Arial"/>
          <w:b/>
          <w:color w:val="000000"/>
          <w:szCs w:val="20"/>
          <w:lang w:val="en-AU" w:eastAsia="en-US"/>
        </w:rPr>
        <w:instrText xml:space="preserve"> SEQ Table \* ARABIC </w:instrText>
      </w:r>
      <w:r w:rsidRPr="00B65E77">
        <w:rPr>
          <w:rFonts w:eastAsia="Calibri" w:cs="Arial"/>
          <w:b/>
          <w:color w:val="000000"/>
          <w:szCs w:val="20"/>
          <w:lang w:val="en-AU" w:eastAsia="en-US"/>
        </w:rPr>
        <w:fldChar w:fldCharType="separate"/>
      </w:r>
      <w:r w:rsidR="00C435CB">
        <w:rPr>
          <w:rFonts w:eastAsia="Calibri" w:cs="Arial"/>
          <w:b/>
          <w:noProof/>
          <w:color w:val="000000"/>
          <w:szCs w:val="20"/>
          <w:lang w:val="en-AU" w:eastAsia="en-US"/>
        </w:rPr>
        <w:t>6</w:t>
      </w:r>
      <w:r w:rsidRPr="00B65E77">
        <w:rPr>
          <w:rFonts w:eastAsia="Calibri" w:cs="Arial"/>
          <w:b/>
          <w:color w:val="000000"/>
          <w:szCs w:val="20"/>
          <w:lang w:val="en-AU" w:eastAsia="en-US"/>
        </w:rPr>
        <w:fldChar w:fldCharType="end"/>
      </w:r>
      <w:bookmarkEnd w:id="40"/>
      <w:r w:rsidRPr="00B65E77">
        <w:rPr>
          <w:rFonts w:eastAsia="Calibri" w:cs="Arial"/>
          <w:b/>
          <w:color w:val="000000"/>
          <w:szCs w:val="20"/>
          <w:lang w:val="en-AU" w:eastAsia="en-US"/>
        </w:rPr>
        <w:t xml:space="preserve"> | Emerging occupations in the rental, hiring and real estate services industry</w:t>
      </w:r>
      <w:r w:rsidRPr="00B65E77">
        <w:rPr>
          <w:rFonts w:eastAsia="Calibri" w:cs="Arial"/>
          <w:b/>
          <w:color w:val="000000"/>
          <w:szCs w:val="20"/>
          <w:vertAlign w:val="superscript"/>
          <w:lang w:val="en-AU" w:eastAsia="en-US"/>
        </w:rPr>
        <w:endnoteReference w:id="77"/>
      </w:r>
    </w:p>
    <w:tbl>
      <w:tblPr>
        <w:tblStyle w:val="NOUSSideHeader1"/>
        <w:tblW w:w="0" w:type="auto"/>
        <w:tblLook w:val="04A0" w:firstRow="1" w:lastRow="0" w:firstColumn="1" w:lastColumn="0" w:noHBand="0" w:noVBand="1"/>
      </w:tblPr>
      <w:tblGrid>
        <w:gridCol w:w="4535"/>
        <w:gridCol w:w="4536"/>
      </w:tblGrid>
      <w:tr w:rsidR="00DB11BD" w:rsidRPr="00375681" w14:paraId="4BB0F7E3" w14:textId="77777777" w:rsidTr="00DE6317">
        <w:trPr>
          <w:cnfStyle w:val="100000000000" w:firstRow="1" w:lastRow="0" w:firstColumn="0" w:lastColumn="0" w:oddVBand="0" w:evenVBand="0" w:oddHBand="0" w:evenHBand="0" w:firstRowFirstColumn="0" w:firstRowLastColumn="0" w:lastRowFirstColumn="0" w:lastRowLastColumn="0"/>
        </w:trPr>
        <w:tc>
          <w:tcPr>
            <w:tcW w:w="9071" w:type="dxa"/>
            <w:gridSpan w:val="2"/>
            <w:tcBorders>
              <w:top w:val="single" w:sz="4" w:space="0" w:color="949494"/>
              <w:bottom w:val="single" w:sz="4" w:space="0" w:color="949494"/>
            </w:tcBorders>
            <w:shd w:val="clear" w:color="auto" w:fill="000000" w:themeFill="text1"/>
          </w:tcPr>
          <w:p w14:paraId="237B491F" w14:textId="77777777" w:rsidR="00DB11BD" w:rsidRPr="00375681" w:rsidRDefault="00DB11BD" w:rsidP="002965A1">
            <w:pPr>
              <w:pStyle w:val="NormalTablesQuote"/>
              <w:rPr>
                <w:color w:val="FFFFFF" w:themeColor="background1"/>
                <w:sz w:val="20"/>
              </w:rPr>
            </w:pPr>
            <w:r w:rsidRPr="00375681">
              <w:rPr>
                <w:color w:val="FFFFFF" w:themeColor="background1"/>
                <w:sz w:val="20"/>
              </w:rPr>
              <w:t>Emerging occupations</w:t>
            </w:r>
          </w:p>
        </w:tc>
      </w:tr>
      <w:tr w:rsidR="00DB11BD" w:rsidRPr="00375681" w14:paraId="1BAD8F0F" w14:textId="77777777" w:rsidTr="00227601">
        <w:trPr>
          <w:cnfStyle w:val="000000100000" w:firstRow="0" w:lastRow="0" w:firstColumn="0" w:lastColumn="0" w:oddVBand="0" w:evenVBand="0" w:oddHBand="1" w:evenHBand="0" w:firstRowFirstColumn="0" w:firstRowLastColumn="0" w:lastRowFirstColumn="0" w:lastRowLastColumn="0"/>
        </w:trPr>
        <w:tc>
          <w:tcPr>
            <w:tcW w:w="4535" w:type="dxa"/>
            <w:tcBorders>
              <w:top w:val="single" w:sz="4" w:space="0" w:color="949494"/>
              <w:bottom w:val="single" w:sz="4" w:space="0" w:color="949494"/>
              <w:right w:val="single" w:sz="4" w:space="0" w:color="949494"/>
            </w:tcBorders>
          </w:tcPr>
          <w:p w14:paraId="5F22A032" w14:textId="66F41052" w:rsidR="00DB11BD" w:rsidRPr="00375681" w:rsidRDefault="00DB11BD" w:rsidP="003C360E">
            <w:pPr>
              <w:numPr>
                <w:ilvl w:val="0"/>
                <w:numId w:val="27"/>
              </w:numPr>
              <w:suppressAutoHyphens/>
              <w:spacing w:before="60" w:after="60" w:line="257" w:lineRule="auto"/>
              <w:ind w:left="227" w:hanging="227"/>
              <w:rPr>
                <w:rFonts w:eastAsia="Times New Roman" w:cs="Times New Roman"/>
                <w:color w:val="000000"/>
                <w:szCs w:val="20"/>
                <w:lang w:val="en-AU" w:eastAsia="en-AU"/>
              </w:rPr>
            </w:pPr>
            <w:r w:rsidRPr="00375681">
              <w:rPr>
                <w:rFonts w:eastAsia="Times New Roman" w:cs="Times New Roman"/>
                <w:color w:val="000000"/>
                <w:szCs w:val="20"/>
                <w:lang w:val="en-AU" w:eastAsia="en-AU"/>
              </w:rPr>
              <w:t>Data analysts</w:t>
            </w:r>
          </w:p>
        </w:tc>
        <w:tc>
          <w:tcPr>
            <w:tcW w:w="4536" w:type="dxa"/>
            <w:tcBorders>
              <w:top w:val="single" w:sz="4" w:space="0" w:color="949494"/>
              <w:left w:val="single" w:sz="4" w:space="0" w:color="949494"/>
              <w:bottom w:val="single" w:sz="4" w:space="0" w:color="949494"/>
            </w:tcBorders>
          </w:tcPr>
          <w:p w14:paraId="4E688B1C" w14:textId="284486FC" w:rsidR="00DB11BD" w:rsidRPr="00375681" w:rsidRDefault="00DB11BD" w:rsidP="003C360E">
            <w:pPr>
              <w:numPr>
                <w:ilvl w:val="0"/>
                <w:numId w:val="27"/>
              </w:numPr>
              <w:suppressAutoHyphens/>
              <w:spacing w:before="60" w:after="60" w:line="257" w:lineRule="auto"/>
              <w:ind w:left="227" w:hanging="227"/>
              <w:rPr>
                <w:rFonts w:eastAsia="Times New Roman" w:cs="Times New Roman"/>
                <w:color w:val="000000"/>
                <w:szCs w:val="20"/>
                <w:lang w:val="en-AU" w:eastAsia="en-AU"/>
              </w:rPr>
            </w:pPr>
            <w:r w:rsidRPr="00375681">
              <w:rPr>
                <w:rFonts w:eastAsia="Times New Roman" w:cs="Times New Roman"/>
                <w:color w:val="000000"/>
                <w:szCs w:val="20"/>
                <w:lang w:val="en-AU" w:eastAsia="en-AU"/>
              </w:rPr>
              <w:t>Online buyer’s advocates</w:t>
            </w:r>
          </w:p>
        </w:tc>
      </w:tr>
      <w:tr w:rsidR="00DB11BD" w:rsidRPr="00375681" w14:paraId="5EBD35AE" w14:textId="77777777" w:rsidTr="00227601">
        <w:trPr>
          <w:cnfStyle w:val="000000010000" w:firstRow="0" w:lastRow="0" w:firstColumn="0" w:lastColumn="0" w:oddVBand="0" w:evenVBand="0" w:oddHBand="0" w:evenHBand="1" w:firstRowFirstColumn="0" w:firstRowLastColumn="0" w:lastRowFirstColumn="0" w:lastRowLastColumn="0"/>
        </w:trPr>
        <w:tc>
          <w:tcPr>
            <w:tcW w:w="4535" w:type="dxa"/>
            <w:tcBorders>
              <w:top w:val="single" w:sz="4" w:space="0" w:color="949494"/>
              <w:bottom w:val="single" w:sz="4" w:space="0" w:color="949494"/>
              <w:right w:val="single" w:sz="4" w:space="0" w:color="949494"/>
            </w:tcBorders>
          </w:tcPr>
          <w:p w14:paraId="6C55FCC7" w14:textId="2A8E546B" w:rsidR="00DB11BD" w:rsidRPr="00375681" w:rsidRDefault="00DB11BD" w:rsidP="003C360E">
            <w:pPr>
              <w:numPr>
                <w:ilvl w:val="0"/>
                <w:numId w:val="27"/>
              </w:numPr>
              <w:suppressAutoHyphens/>
              <w:spacing w:before="60" w:after="60" w:line="257" w:lineRule="auto"/>
              <w:ind w:left="227" w:hanging="227"/>
              <w:rPr>
                <w:rFonts w:eastAsia="Times New Roman" w:cs="Times New Roman"/>
                <w:color w:val="000000"/>
                <w:szCs w:val="20"/>
                <w:lang w:val="en-AU" w:eastAsia="en-AU"/>
              </w:rPr>
            </w:pPr>
            <w:r w:rsidRPr="00375681">
              <w:rPr>
                <w:rFonts w:eastAsia="Times New Roman" w:cs="Times New Roman"/>
                <w:color w:val="000000"/>
                <w:szCs w:val="20"/>
                <w:lang w:val="en-AU" w:eastAsia="en-AU"/>
              </w:rPr>
              <w:t>Owner’s corporation managers</w:t>
            </w:r>
          </w:p>
        </w:tc>
        <w:tc>
          <w:tcPr>
            <w:tcW w:w="4536" w:type="dxa"/>
            <w:tcBorders>
              <w:top w:val="single" w:sz="4" w:space="0" w:color="949494"/>
              <w:left w:val="single" w:sz="4" w:space="0" w:color="949494"/>
              <w:bottom w:val="single" w:sz="4" w:space="0" w:color="949494"/>
            </w:tcBorders>
          </w:tcPr>
          <w:p w14:paraId="39CF3F53" w14:textId="680D24C1" w:rsidR="00DB11BD" w:rsidRPr="00375681" w:rsidRDefault="00DB11BD" w:rsidP="003C360E">
            <w:pPr>
              <w:numPr>
                <w:ilvl w:val="0"/>
                <w:numId w:val="27"/>
              </w:numPr>
              <w:suppressAutoHyphens/>
              <w:spacing w:before="60" w:after="60" w:line="257" w:lineRule="auto"/>
              <w:ind w:left="227" w:hanging="227"/>
              <w:rPr>
                <w:rFonts w:eastAsia="Times New Roman" w:cs="Times New Roman"/>
                <w:color w:val="000000"/>
                <w:szCs w:val="20"/>
                <w:lang w:val="en-AU" w:eastAsia="en-AU"/>
              </w:rPr>
            </w:pPr>
            <w:r w:rsidRPr="00375681">
              <w:rPr>
                <w:rFonts w:eastAsia="Times New Roman" w:cs="Times New Roman"/>
                <w:color w:val="000000"/>
                <w:szCs w:val="20"/>
                <w:lang w:val="en-AU" w:eastAsia="en-AU"/>
              </w:rPr>
              <w:t>Pricing analysts</w:t>
            </w:r>
          </w:p>
        </w:tc>
      </w:tr>
      <w:tr w:rsidR="00DB11BD" w:rsidRPr="00375681" w14:paraId="76F3E414" w14:textId="77777777" w:rsidTr="00227601">
        <w:trPr>
          <w:cnfStyle w:val="000000100000" w:firstRow="0" w:lastRow="0" w:firstColumn="0" w:lastColumn="0" w:oddVBand="0" w:evenVBand="0" w:oddHBand="1" w:evenHBand="0" w:firstRowFirstColumn="0" w:firstRowLastColumn="0" w:lastRowFirstColumn="0" w:lastRowLastColumn="0"/>
        </w:trPr>
        <w:tc>
          <w:tcPr>
            <w:tcW w:w="4535" w:type="dxa"/>
            <w:tcBorders>
              <w:top w:val="single" w:sz="4" w:space="0" w:color="949494"/>
              <w:bottom w:val="single" w:sz="4" w:space="0" w:color="949494"/>
              <w:right w:val="single" w:sz="4" w:space="0" w:color="949494"/>
            </w:tcBorders>
          </w:tcPr>
          <w:p w14:paraId="1BC14EF2" w14:textId="6F3EEEC6" w:rsidR="00DB11BD" w:rsidRPr="00375681" w:rsidRDefault="00DB11BD" w:rsidP="003C360E">
            <w:pPr>
              <w:numPr>
                <w:ilvl w:val="0"/>
                <w:numId w:val="27"/>
              </w:numPr>
              <w:suppressAutoHyphens/>
              <w:spacing w:before="60" w:after="60" w:line="257" w:lineRule="auto"/>
              <w:ind w:left="227" w:hanging="227"/>
              <w:rPr>
                <w:rFonts w:eastAsia="Times New Roman" w:cs="Times New Roman"/>
                <w:color w:val="000000"/>
                <w:szCs w:val="20"/>
                <w:lang w:val="en-AU" w:eastAsia="en-AU"/>
              </w:rPr>
            </w:pPr>
            <w:r w:rsidRPr="00375681">
              <w:rPr>
                <w:rFonts w:eastAsia="Times New Roman" w:cs="Times New Roman"/>
                <w:color w:val="000000"/>
                <w:szCs w:val="20"/>
                <w:lang w:val="en-AU" w:eastAsia="en-AU"/>
              </w:rPr>
              <w:t>Regulatory affairs specialists</w:t>
            </w:r>
          </w:p>
        </w:tc>
        <w:tc>
          <w:tcPr>
            <w:tcW w:w="4536" w:type="dxa"/>
            <w:tcBorders>
              <w:top w:val="single" w:sz="4" w:space="0" w:color="949494"/>
              <w:left w:val="single" w:sz="4" w:space="0" w:color="949494"/>
              <w:bottom w:val="single" w:sz="4" w:space="0" w:color="949494"/>
            </w:tcBorders>
          </w:tcPr>
          <w:p w14:paraId="61FE619E" w14:textId="2EA3CAD3" w:rsidR="00DB11BD" w:rsidRPr="00375681" w:rsidRDefault="00DB11BD" w:rsidP="003C360E">
            <w:pPr>
              <w:numPr>
                <w:ilvl w:val="0"/>
                <w:numId w:val="27"/>
              </w:numPr>
              <w:suppressAutoHyphens/>
              <w:spacing w:before="60" w:after="60" w:line="257" w:lineRule="auto"/>
              <w:ind w:left="227" w:hanging="227"/>
              <w:rPr>
                <w:rFonts w:eastAsia="Times New Roman" w:cs="Times New Roman"/>
                <w:color w:val="000000"/>
                <w:szCs w:val="20"/>
                <w:lang w:val="en-AU" w:eastAsia="en-AU"/>
              </w:rPr>
            </w:pPr>
            <w:r w:rsidRPr="00375681">
              <w:rPr>
                <w:rFonts w:eastAsia="Times New Roman" w:cs="Times New Roman"/>
                <w:color w:val="000000"/>
                <w:szCs w:val="20"/>
                <w:lang w:val="en-AU" w:eastAsia="en-AU"/>
              </w:rPr>
              <w:t>Regulatory compliance officers</w:t>
            </w:r>
          </w:p>
        </w:tc>
      </w:tr>
    </w:tbl>
    <w:p w14:paraId="5D0BC4B3" w14:textId="5687D8AE" w:rsidR="00DB11BD" w:rsidRPr="006752C2" w:rsidRDefault="00DB11BD" w:rsidP="00504888">
      <w:pPr>
        <w:pStyle w:val="Heading2"/>
      </w:pPr>
      <w:bookmarkStart w:id="41" w:name="_Toc97583928"/>
      <w:bookmarkStart w:id="42" w:name="_Toc101971753"/>
      <w:bookmarkStart w:id="43" w:name="_Toc102119495"/>
      <w:bookmarkStart w:id="44" w:name="_Toc104969256"/>
      <w:bookmarkStart w:id="45" w:name="_Toc111118560"/>
      <w:r>
        <w:t>Skills shortages in the rental, hiring and real estate services industry require more immediate rectification than occupational shortages</w:t>
      </w:r>
      <w:bookmarkEnd w:id="41"/>
      <w:bookmarkEnd w:id="42"/>
      <w:bookmarkEnd w:id="43"/>
      <w:bookmarkEnd w:id="44"/>
      <w:bookmarkEnd w:id="45"/>
    </w:p>
    <w:p w14:paraId="2785ED88" w14:textId="57FECE1E" w:rsidR="00DB11BD" w:rsidRDefault="00104A24" w:rsidP="00504888">
      <w:pPr>
        <w:spacing w:line="256" w:lineRule="auto"/>
        <w:rPr>
          <w:lang w:eastAsia="en-AU"/>
        </w:rPr>
      </w:pPr>
      <w:r>
        <w:rPr>
          <w:lang w:eastAsia="en-AU"/>
        </w:rPr>
        <w:t xml:space="preserve">The rental, hiring and real estate industry </w:t>
      </w:r>
      <w:r w:rsidR="00BE7FD9">
        <w:rPr>
          <w:lang w:eastAsia="en-AU"/>
        </w:rPr>
        <w:t xml:space="preserve">has </w:t>
      </w:r>
      <w:r w:rsidR="009E146D">
        <w:rPr>
          <w:lang w:eastAsia="en-AU"/>
        </w:rPr>
        <w:t>few occupations currently in shortage.</w:t>
      </w:r>
      <w:r w:rsidR="00CA6771">
        <w:rPr>
          <w:lang w:eastAsia="en-AU"/>
        </w:rPr>
        <w:t xml:space="preserve"> </w:t>
      </w:r>
      <w:r w:rsidR="00A5187B" w:rsidRPr="00FA5A34">
        <w:rPr>
          <w:rFonts w:eastAsia="Calibri" w:cs="Arial"/>
          <w:color w:val="000000"/>
          <w:szCs w:val="22"/>
          <w:lang w:val="en-AU" w:eastAsia="en-AU"/>
        </w:rPr>
        <w:t xml:space="preserve">A shortage exists when employers are unable to fill or have considerable difficulty filling vacancies for an occupation at current levels of remuneration and conditions of employment, and in reasonably accessible locations. </w:t>
      </w:r>
      <w:r w:rsidR="00A5187B">
        <w:rPr>
          <w:rFonts w:eastAsia="Calibri" w:cs="Arial"/>
          <w:color w:val="000000"/>
          <w:szCs w:val="22"/>
          <w:lang w:val="en-AU" w:eastAsia="en-AU"/>
        </w:rPr>
        <w:t xml:space="preserve">Where an occupation specialisation is in shortage, the occupation will be treated as in shortage. </w:t>
      </w:r>
    </w:p>
    <w:p w14:paraId="57F64077" w14:textId="4D07E0F6" w:rsidR="00DB11BD" w:rsidRDefault="00DB11BD" w:rsidP="00504888">
      <w:pPr>
        <w:spacing w:line="256" w:lineRule="auto"/>
        <w:rPr>
          <w:lang w:eastAsia="en-AU"/>
        </w:rPr>
      </w:pPr>
      <w:r>
        <w:rPr>
          <w:lang w:eastAsia="en-AU"/>
        </w:rPr>
        <w:t xml:space="preserve">The </w:t>
      </w:r>
      <w:r w:rsidR="008F2327">
        <w:rPr>
          <w:lang w:eastAsia="en-AU"/>
        </w:rPr>
        <w:t xml:space="preserve">National Skills Commission’s </w:t>
      </w:r>
      <w:r>
        <w:rPr>
          <w:lang w:eastAsia="en-AU"/>
        </w:rPr>
        <w:t xml:space="preserve">Skills Priority List identifies no </w:t>
      </w:r>
      <w:r w:rsidR="00AD6CAF">
        <w:rPr>
          <w:lang w:eastAsia="en-AU"/>
        </w:rPr>
        <w:t xml:space="preserve">current </w:t>
      </w:r>
      <w:r w:rsidR="0040329E">
        <w:rPr>
          <w:lang w:eastAsia="en-AU"/>
        </w:rPr>
        <w:t>occupational</w:t>
      </w:r>
      <w:r>
        <w:rPr>
          <w:lang w:eastAsia="en-AU"/>
        </w:rPr>
        <w:t xml:space="preserve"> shortages in rental, hiring and real estate services</w:t>
      </w:r>
      <w:r w:rsidR="008F2327">
        <w:rPr>
          <w:lang w:eastAsia="en-AU"/>
        </w:rPr>
        <w:t xml:space="preserve"> for Victoria</w:t>
      </w:r>
      <w:r>
        <w:rPr>
          <w:lang w:eastAsia="en-AU"/>
        </w:rPr>
        <w:t>.</w:t>
      </w:r>
      <w:r w:rsidR="005C7F73">
        <w:rPr>
          <w:rStyle w:val="EndnoteReference"/>
          <w:lang w:eastAsia="en-AU"/>
        </w:rPr>
        <w:endnoteReference w:id="78"/>
      </w:r>
      <w:r>
        <w:rPr>
          <w:lang w:eastAsia="en-AU"/>
        </w:rPr>
        <w:t xml:space="preserve"> However,</w:t>
      </w:r>
      <w:r w:rsidR="008F2327">
        <w:rPr>
          <w:lang w:eastAsia="en-AU"/>
        </w:rPr>
        <w:t xml:space="preserve"> consultation with</w:t>
      </w:r>
      <w:r>
        <w:rPr>
          <w:lang w:eastAsia="en-AU"/>
        </w:rPr>
        <w:t xml:space="preserve"> </w:t>
      </w:r>
      <w:r w:rsidR="00061687">
        <w:rPr>
          <w:lang w:eastAsia="en-AU"/>
        </w:rPr>
        <w:t>industry</w:t>
      </w:r>
      <w:r>
        <w:rPr>
          <w:lang w:eastAsia="en-AU"/>
        </w:rPr>
        <w:t xml:space="preserve"> </w:t>
      </w:r>
      <w:r w:rsidR="008F2327">
        <w:rPr>
          <w:lang w:eastAsia="en-AU"/>
        </w:rPr>
        <w:t xml:space="preserve">as part of the development of the Skills Plan </w:t>
      </w:r>
      <w:r>
        <w:rPr>
          <w:lang w:eastAsia="en-AU"/>
        </w:rPr>
        <w:t>indicat</w:t>
      </w:r>
      <w:r w:rsidR="00061687">
        <w:rPr>
          <w:lang w:eastAsia="en-AU"/>
        </w:rPr>
        <w:t>ed</w:t>
      </w:r>
      <w:r>
        <w:rPr>
          <w:lang w:eastAsia="en-AU"/>
        </w:rPr>
        <w:t xml:space="preserve"> that shortages may exist in specific regions </w:t>
      </w:r>
      <w:r w:rsidR="00196F27">
        <w:rPr>
          <w:lang w:eastAsia="en-AU"/>
        </w:rPr>
        <w:t>or</w:t>
      </w:r>
      <w:r>
        <w:rPr>
          <w:lang w:eastAsia="en-AU"/>
        </w:rPr>
        <w:t xml:space="preserve"> occupations such as general clerks and receptionists. </w:t>
      </w:r>
      <w:r w:rsidR="000F4FE6">
        <w:rPr>
          <w:lang w:eastAsia="en-AU"/>
        </w:rPr>
        <w:t>Industry</w:t>
      </w:r>
      <w:r w:rsidR="00EC4638">
        <w:rPr>
          <w:lang w:eastAsia="en-AU"/>
        </w:rPr>
        <w:t xml:space="preserve"> also</w:t>
      </w:r>
      <w:r w:rsidR="008D6B8A">
        <w:rPr>
          <w:lang w:eastAsia="en-AU"/>
        </w:rPr>
        <w:t xml:space="preserve"> highlighted d</w:t>
      </w:r>
      <w:r>
        <w:rPr>
          <w:lang w:eastAsia="en-AU"/>
        </w:rPr>
        <w:t>emand for real estate agents may drive shortages in the future</w:t>
      </w:r>
      <w:r w:rsidR="00EC4638">
        <w:rPr>
          <w:lang w:eastAsia="en-AU"/>
        </w:rPr>
        <w:t xml:space="preserve"> (Table 7)</w:t>
      </w:r>
      <w:r>
        <w:rPr>
          <w:lang w:eastAsia="en-AU"/>
        </w:rPr>
        <w:t xml:space="preserve">. This is underpinned by a requirement that real estate agents </w:t>
      </w:r>
      <w:r w:rsidR="00290FCD">
        <w:rPr>
          <w:lang w:eastAsia="en-AU"/>
        </w:rPr>
        <w:t xml:space="preserve">need to </w:t>
      </w:r>
      <w:r>
        <w:rPr>
          <w:lang w:eastAsia="en-AU"/>
        </w:rPr>
        <w:t xml:space="preserve">have completed a Certificate IV in Real Estate Practice </w:t>
      </w:r>
      <w:r w:rsidR="00290FCD">
        <w:rPr>
          <w:lang w:eastAsia="en-AU"/>
        </w:rPr>
        <w:t>to</w:t>
      </w:r>
      <w:r>
        <w:rPr>
          <w:lang w:eastAsia="en-AU"/>
        </w:rPr>
        <w:t xml:space="preserve"> perform full duties (e.g., conduct inspections), which </w:t>
      </w:r>
      <w:r w:rsidR="00D151CB">
        <w:rPr>
          <w:lang w:eastAsia="en-AU"/>
        </w:rPr>
        <w:t>requires</w:t>
      </w:r>
      <w:r>
        <w:rPr>
          <w:lang w:eastAsia="en-AU"/>
        </w:rPr>
        <w:t xml:space="preserve"> the existing workforce to provide supervision until employees are fully qualified. </w:t>
      </w:r>
      <w:r w:rsidR="005F7AE7">
        <w:rPr>
          <w:lang w:eastAsia="en-AU"/>
        </w:rPr>
        <w:t>Real</w:t>
      </w:r>
      <w:r>
        <w:rPr>
          <w:lang w:eastAsia="en-AU"/>
        </w:rPr>
        <w:t xml:space="preserve"> estate agents that wish to open their own business are required to hold a Diploma of Property (Agency Management) and have operated for at least one year.</w:t>
      </w:r>
    </w:p>
    <w:p w14:paraId="57FB034D" w14:textId="5F386EEE" w:rsidR="00DB11BD" w:rsidRPr="00B65E77" w:rsidRDefault="00DB11BD" w:rsidP="0053748C">
      <w:pPr>
        <w:keepNext/>
        <w:spacing w:before="240" w:line="257" w:lineRule="auto"/>
        <w:rPr>
          <w:rFonts w:eastAsia="Calibri" w:cs="Arial"/>
          <w:b/>
          <w:color w:val="000000"/>
          <w:szCs w:val="20"/>
          <w:lang w:val="en-AU" w:eastAsia="en-US"/>
        </w:rPr>
      </w:pPr>
      <w:bookmarkStart w:id="46" w:name="_Ref105163624"/>
      <w:r w:rsidRPr="00B65E77">
        <w:rPr>
          <w:rFonts w:eastAsia="Calibri" w:cs="Arial"/>
          <w:b/>
          <w:color w:val="000000"/>
          <w:szCs w:val="20"/>
          <w:lang w:val="en-AU" w:eastAsia="en-US"/>
        </w:rPr>
        <w:lastRenderedPageBreak/>
        <w:t xml:space="preserve">Table </w:t>
      </w:r>
      <w:r w:rsidRPr="00B65E77">
        <w:rPr>
          <w:rFonts w:eastAsia="Calibri" w:cs="Arial"/>
          <w:b/>
          <w:color w:val="000000"/>
          <w:szCs w:val="20"/>
          <w:lang w:val="en-AU" w:eastAsia="en-US"/>
        </w:rPr>
        <w:fldChar w:fldCharType="begin"/>
      </w:r>
      <w:r w:rsidRPr="00B65E77">
        <w:rPr>
          <w:rFonts w:eastAsia="Calibri" w:cs="Arial"/>
          <w:b/>
          <w:color w:val="000000"/>
          <w:szCs w:val="20"/>
          <w:lang w:val="en-AU" w:eastAsia="en-US"/>
        </w:rPr>
        <w:instrText xml:space="preserve"> SEQ Table \* ARABIC </w:instrText>
      </w:r>
      <w:r w:rsidRPr="00B65E77">
        <w:rPr>
          <w:rFonts w:eastAsia="Calibri" w:cs="Arial"/>
          <w:b/>
          <w:color w:val="000000"/>
          <w:szCs w:val="20"/>
          <w:lang w:val="en-AU" w:eastAsia="en-US"/>
        </w:rPr>
        <w:fldChar w:fldCharType="separate"/>
      </w:r>
      <w:r w:rsidR="00C435CB">
        <w:rPr>
          <w:rFonts w:eastAsia="Calibri" w:cs="Arial"/>
          <w:b/>
          <w:noProof/>
          <w:color w:val="000000"/>
          <w:szCs w:val="20"/>
          <w:lang w:val="en-AU" w:eastAsia="en-US"/>
        </w:rPr>
        <w:t>7</w:t>
      </w:r>
      <w:r w:rsidRPr="00B65E77">
        <w:rPr>
          <w:rFonts w:eastAsia="Calibri" w:cs="Arial"/>
          <w:b/>
          <w:color w:val="000000"/>
          <w:szCs w:val="20"/>
          <w:lang w:val="en-AU" w:eastAsia="en-US"/>
        </w:rPr>
        <w:fldChar w:fldCharType="end"/>
      </w:r>
      <w:bookmarkEnd w:id="46"/>
      <w:r w:rsidRPr="00B65E77">
        <w:rPr>
          <w:rFonts w:eastAsia="Calibri" w:cs="Arial"/>
          <w:b/>
          <w:color w:val="000000"/>
          <w:szCs w:val="20"/>
          <w:lang w:val="en-AU" w:eastAsia="en-US"/>
        </w:rPr>
        <w:t xml:space="preserve"> | Occupational shortages facing the rental, hiring and real estate services industry</w:t>
      </w:r>
      <w:r w:rsidR="00A7554A" w:rsidRPr="00B65E77">
        <w:rPr>
          <w:rStyle w:val="EndnoteReference"/>
          <w:rFonts w:eastAsia="Calibri" w:cs="Arial"/>
          <w:b/>
          <w:szCs w:val="20"/>
          <w:lang w:val="en-AU" w:eastAsia="en-US"/>
        </w:rPr>
        <w:endnoteReference w:id="79"/>
      </w:r>
    </w:p>
    <w:tbl>
      <w:tblPr>
        <w:tblStyle w:val="NOUSSideHeader1"/>
        <w:tblW w:w="0" w:type="auto"/>
        <w:tblLook w:val="04A0" w:firstRow="1" w:lastRow="0" w:firstColumn="1" w:lastColumn="0" w:noHBand="0" w:noVBand="1"/>
      </w:tblPr>
      <w:tblGrid>
        <w:gridCol w:w="4535"/>
        <w:gridCol w:w="4536"/>
      </w:tblGrid>
      <w:tr w:rsidR="00DB11BD" w:rsidRPr="00375681" w14:paraId="31454766" w14:textId="77777777" w:rsidTr="00DE6317">
        <w:trPr>
          <w:cnfStyle w:val="100000000000" w:firstRow="1" w:lastRow="0" w:firstColumn="0" w:lastColumn="0" w:oddVBand="0" w:evenVBand="0" w:oddHBand="0" w:evenHBand="0" w:firstRowFirstColumn="0" w:firstRowLastColumn="0" w:lastRowFirstColumn="0" w:lastRowLastColumn="0"/>
        </w:trPr>
        <w:tc>
          <w:tcPr>
            <w:tcW w:w="9071" w:type="dxa"/>
            <w:gridSpan w:val="2"/>
            <w:tcBorders>
              <w:top w:val="single" w:sz="4" w:space="0" w:color="949494"/>
              <w:bottom w:val="single" w:sz="4" w:space="0" w:color="949494"/>
            </w:tcBorders>
            <w:shd w:val="clear" w:color="auto" w:fill="000000" w:themeFill="text1"/>
          </w:tcPr>
          <w:p w14:paraId="3486C521" w14:textId="77777777" w:rsidR="00DB11BD" w:rsidRPr="00375681" w:rsidRDefault="00DB11BD" w:rsidP="002965A1">
            <w:pPr>
              <w:pStyle w:val="NormalTablesQuote"/>
              <w:rPr>
                <w:color w:val="FFFFFF" w:themeColor="background1"/>
                <w:sz w:val="20"/>
              </w:rPr>
            </w:pPr>
            <w:r w:rsidRPr="00375681">
              <w:rPr>
                <w:color w:val="FFFFFF" w:themeColor="background1"/>
                <w:sz w:val="20"/>
              </w:rPr>
              <w:t>Occupational shortages</w:t>
            </w:r>
          </w:p>
        </w:tc>
      </w:tr>
      <w:tr w:rsidR="00DB11BD" w:rsidRPr="00375681" w14:paraId="5C87808E" w14:textId="77777777" w:rsidTr="00227601">
        <w:trPr>
          <w:cnfStyle w:val="000000100000" w:firstRow="0" w:lastRow="0" w:firstColumn="0" w:lastColumn="0" w:oddVBand="0" w:evenVBand="0" w:oddHBand="1" w:evenHBand="0" w:firstRowFirstColumn="0" w:firstRowLastColumn="0" w:lastRowFirstColumn="0" w:lastRowLastColumn="0"/>
        </w:trPr>
        <w:tc>
          <w:tcPr>
            <w:tcW w:w="4535" w:type="dxa"/>
            <w:tcBorders>
              <w:top w:val="single" w:sz="4" w:space="0" w:color="949494"/>
              <w:bottom w:val="single" w:sz="4" w:space="0" w:color="949494"/>
              <w:right w:val="single" w:sz="4" w:space="0" w:color="949494"/>
            </w:tcBorders>
            <w:vAlign w:val="top"/>
          </w:tcPr>
          <w:p w14:paraId="3F1DC865" w14:textId="33BD84B1" w:rsidR="00DB11BD" w:rsidRPr="00375681" w:rsidRDefault="00DB11BD" w:rsidP="003C360E">
            <w:pPr>
              <w:numPr>
                <w:ilvl w:val="0"/>
                <w:numId w:val="27"/>
              </w:numPr>
              <w:suppressAutoHyphens/>
              <w:spacing w:before="60" w:after="60" w:line="257" w:lineRule="auto"/>
              <w:ind w:left="227" w:hanging="227"/>
              <w:rPr>
                <w:rFonts w:eastAsia="Times New Roman" w:cs="Times New Roman"/>
                <w:color w:val="000000"/>
                <w:szCs w:val="20"/>
                <w:lang w:val="en-AU" w:eastAsia="en-AU"/>
              </w:rPr>
            </w:pPr>
            <w:r w:rsidRPr="00375681">
              <w:rPr>
                <w:rFonts w:eastAsia="Times New Roman" w:cs="Times New Roman"/>
                <w:color w:val="000000"/>
                <w:szCs w:val="20"/>
                <w:lang w:val="en-AU" w:eastAsia="en-AU"/>
              </w:rPr>
              <w:t>Clerks</w:t>
            </w:r>
          </w:p>
        </w:tc>
        <w:tc>
          <w:tcPr>
            <w:tcW w:w="4536" w:type="dxa"/>
            <w:tcBorders>
              <w:top w:val="single" w:sz="4" w:space="0" w:color="949494"/>
              <w:left w:val="single" w:sz="4" w:space="0" w:color="949494"/>
              <w:bottom w:val="single" w:sz="4" w:space="0" w:color="949494"/>
            </w:tcBorders>
            <w:vAlign w:val="top"/>
          </w:tcPr>
          <w:p w14:paraId="749D95C4" w14:textId="7CE2DCD7" w:rsidR="00DB11BD" w:rsidRPr="00375681" w:rsidRDefault="00DB11BD" w:rsidP="003C360E">
            <w:pPr>
              <w:numPr>
                <w:ilvl w:val="0"/>
                <w:numId w:val="27"/>
              </w:numPr>
              <w:suppressAutoHyphens/>
              <w:spacing w:before="60" w:after="60" w:line="257" w:lineRule="auto"/>
              <w:ind w:left="227" w:hanging="227"/>
              <w:rPr>
                <w:rFonts w:eastAsia="Times New Roman" w:cs="Times New Roman"/>
                <w:color w:val="000000"/>
                <w:szCs w:val="20"/>
                <w:lang w:val="en-AU" w:eastAsia="en-AU"/>
              </w:rPr>
            </w:pPr>
            <w:r w:rsidRPr="00375681">
              <w:rPr>
                <w:rFonts w:eastAsia="Times New Roman" w:cs="Times New Roman"/>
                <w:color w:val="000000"/>
                <w:szCs w:val="20"/>
                <w:lang w:val="en-AU" w:eastAsia="en-AU"/>
              </w:rPr>
              <w:t>Real estate agents</w:t>
            </w:r>
            <w:r w:rsidR="00AD6CAF" w:rsidRPr="00375681">
              <w:rPr>
                <w:rFonts w:eastAsia="Times New Roman" w:cs="Times New Roman"/>
                <w:color w:val="000000"/>
                <w:szCs w:val="20"/>
                <w:lang w:val="en-AU" w:eastAsia="en-AU"/>
              </w:rPr>
              <w:t xml:space="preserve"> (possible in the future)</w:t>
            </w:r>
          </w:p>
        </w:tc>
      </w:tr>
    </w:tbl>
    <w:p w14:paraId="5EB27EF5" w14:textId="1A9171FD" w:rsidR="00DB11BD" w:rsidRPr="00370F4F" w:rsidRDefault="00DB11BD" w:rsidP="00061687">
      <w:pPr>
        <w:spacing w:before="160"/>
      </w:pPr>
      <w:r>
        <w:t>Regulatory reform and technological advancements are driving skills shortages among the existing</w:t>
      </w:r>
      <w:r w:rsidR="00785B1C">
        <w:t xml:space="preserve"> </w:t>
      </w:r>
      <w:proofErr w:type="gramStart"/>
      <w:r>
        <w:t>workforce</w:t>
      </w:r>
      <w:proofErr w:type="gramEnd"/>
      <w:r>
        <w:t>. As described above, there</w:t>
      </w:r>
      <w:r w:rsidRPr="00D72794">
        <w:t xml:space="preserve"> is a growing emphasis on ethics, compliance and digital literacy</w:t>
      </w:r>
      <w:r>
        <w:t xml:space="preserve">. Property </w:t>
      </w:r>
      <w:r w:rsidRPr="00D72794">
        <w:t>managers</w:t>
      </w:r>
      <w:r>
        <w:t xml:space="preserve"> who work with vulnerable renters </w:t>
      </w:r>
      <w:r w:rsidR="005E0C4A">
        <w:t xml:space="preserve">who </w:t>
      </w:r>
      <w:r>
        <w:t xml:space="preserve">now receive more robust legal protection before </w:t>
      </w:r>
      <w:r w:rsidR="00910215">
        <w:t>eviction</w:t>
      </w:r>
      <w:r>
        <w:t xml:space="preserve"> will need skills in engagement</w:t>
      </w:r>
      <w:r w:rsidR="009E6B4D">
        <w:t xml:space="preserve"> and negotiation</w:t>
      </w:r>
      <w:r>
        <w:t>.</w:t>
      </w:r>
      <w:r>
        <w:rPr>
          <w:rStyle w:val="EndnoteReference"/>
        </w:rPr>
        <w:endnoteReference w:id="80"/>
      </w:r>
      <w:r>
        <w:t xml:space="preserve"> General skills that enable greater career progression and enhance management of agencies are also in shortage.</w:t>
      </w:r>
    </w:p>
    <w:p w14:paraId="00BD569F" w14:textId="366AAFCE" w:rsidR="00DB11BD" w:rsidRDefault="00DB11BD" w:rsidP="00AC496A">
      <w:pPr>
        <w:rPr>
          <w:lang w:eastAsia="en-AU"/>
        </w:rPr>
      </w:pPr>
      <w:r w:rsidRPr="005B2313">
        <w:rPr>
          <w:lang w:eastAsia="en-AU"/>
        </w:rPr>
        <w:t>A list of specific skills shortages</w:t>
      </w:r>
      <w:r>
        <w:rPr>
          <w:lang w:eastAsia="en-AU"/>
        </w:rPr>
        <w:t xml:space="preserve"> across the </w:t>
      </w:r>
      <w:r>
        <w:t xml:space="preserve">rental, hiring and real estate services </w:t>
      </w:r>
      <w:r>
        <w:rPr>
          <w:lang w:eastAsia="en-AU"/>
        </w:rPr>
        <w:t>workforce</w:t>
      </w:r>
      <w:r w:rsidRPr="005B2313">
        <w:rPr>
          <w:lang w:eastAsia="en-AU"/>
        </w:rPr>
        <w:t xml:space="preserve"> is shown in</w:t>
      </w:r>
      <w:r w:rsidR="00A330E5">
        <w:rPr>
          <w:lang w:eastAsia="en-AU"/>
        </w:rPr>
        <w:t xml:space="preserve"> Table 8</w:t>
      </w:r>
      <w:r w:rsidRPr="00370F4F">
        <w:rPr>
          <w:lang w:eastAsia="en-AU"/>
        </w:rPr>
        <w:t xml:space="preserve">. </w:t>
      </w:r>
    </w:p>
    <w:p w14:paraId="4F9580F2" w14:textId="71BB1233" w:rsidR="00DB11BD" w:rsidRPr="00B65E77" w:rsidRDefault="00DB11BD" w:rsidP="008F26DF">
      <w:pPr>
        <w:pStyle w:val="Caption"/>
        <w:rPr>
          <w:sz w:val="20"/>
          <w:szCs w:val="20"/>
        </w:rPr>
      </w:pPr>
      <w:bookmarkStart w:id="47" w:name="_Ref105163657"/>
      <w:r w:rsidRPr="00B65E77">
        <w:rPr>
          <w:sz w:val="20"/>
          <w:szCs w:val="20"/>
        </w:rPr>
        <w:t xml:space="preserve">Table </w:t>
      </w:r>
      <w:r w:rsidRPr="00B65E77">
        <w:rPr>
          <w:sz w:val="20"/>
          <w:szCs w:val="20"/>
        </w:rPr>
        <w:fldChar w:fldCharType="begin"/>
      </w:r>
      <w:r w:rsidRPr="00B65E77">
        <w:rPr>
          <w:sz w:val="20"/>
          <w:szCs w:val="20"/>
        </w:rPr>
        <w:instrText>SEQ Table \* ARABIC</w:instrText>
      </w:r>
      <w:r w:rsidRPr="00B65E77">
        <w:rPr>
          <w:sz w:val="20"/>
          <w:szCs w:val="20"/>
        </w:rPr>
        <w:fldChar w:fldCharType="separate"/>
      </w:r>
      <w:r w:rsidR="00C435CB">
        <w:rPr>
          <w:noProof/>
          <w:sz w:val="20"/>
          <w:szCs w:val="20"/>
        </w:rPr>
        <w:t>8</w:t>
      </w:r>
      <w:r w:rsidRPr="00B65E77">
        <w:rPr>
          <w:sz w:val="20"/>
          <w:szCs w:val="20"/>
        </w:rPr>
        <w:fldChar w:fldCharType="end"/>
      </w:r>
      <w:bookmarkEnd w:id="47"/>
      <w:r w:rsidRPr="00B65E77">
        <w:rPr>
          <w:sz w:val="20"/>
          <w:szCs w:val="20"/>
        </w:rPr>
        <w:t xml:space="preserve"> | Skills shortages facing the rental, hiring and real estate services industry</w:t>
      </w:r>
      <w:r w:rsidR="00160185" w:rsidRPr="00B65E77">
        <w:rPr>
          <w:rStyle w:val="EndnoteReference"/>
          <w:sz w:val="20"/>
          <w:szCs w:val="20"/>
        </w:rPr>
        <w:endnoteReference w:id="81"/>
      </w:r>
    </w:p>
    <w:tbl>
      <w:tblPr>
        <w:tblStyle w:val="NOUSSideHeader1"/>
        <w:tblW w:w="0" w:type="auto"/>
        <w:tblLook w:val="04A0" w:firstRow="1" w:lastRow="0" w:firstColumn="1" w:lastColumn="0" w:noHBand="0" w:noVBand="1"/>
      </w:tblPr>
      <w:tblGrid>
        <w:gridCol w:w="4535"/>
        <w:gridCol w:w="4536"/>
      </w:tblGrid>
      <w:tr w:rsidR="00DB11BD" w:rsidRPr="00375681" w14:paraId="51271895" w14:textId="77777777" w:rsidTr="00DE6317">
        <w:trPr>
          <w:cnfStyle w:val="100000000000" w:firstRow="1" w:lastRow="0" w:firstColumn="0" w:lastColumn="0" w:oddVBand="0" w:evenVBand="0" w:oddHBand="0" w:evenHBand="0" w:firstRowFirstColumn="0" w:firstRowLastColumn="0" w:lastRowFirstColumn="0" w:lastRowLastColumn="0"/>
        </w:trPr>
        <w:tc>
          <w:tcPr>
            <w:tcW w:w="9071" w:type="dxa"/>
            <w:gridSpan w:val="2"/>
            <w:tcBorders>
              <w:top w:val="single" w:sz="4" w:space="0" w:color="949494"/>
              <w:bottom w:val="single" w:sz="4" w:space="0" w:color="949494"/>
            </w:tcBorders>
            <w:shd w:val="clear" w:color="auto" w:fill="000000" w:themeFill="text1"/>
          </w:tcPr>
          <w:p w14:paraId="339AB539" w14:textId="68364464" w:rsidR="00DB11BD" w:rsidRPr="00375681" w:rsidRDefault="00DB11BD" w:rsidP="00925BD3">
            <w:pPr>
              <w:pStyle w:val="NormalTablesQuote"/>
              <w:rPr>
                <w:color w:val="FFFFFF" w:themeColor="background1"/>
                <w:sz w:val="20"/>
              </w:rPr>
            </w:pPr>
            <w:r w:rsidRPr="00375681">
              <w:rPr>
                <w:color w:val="FFFFFF" w:themeColor="background1"/>
                <w:sz w:val="20"/>
              </w:rPr>
              <w:t>Skills shortages</w:t>
            </w:r>
          </w:p>
        </w:tc>
      </w:tr>
      <w:tr w:rsidR="00DB11BD" w:rsidRPr="00375681" w14:paraId="49182441" w14:textId="77777777" w:rsidTr="00B8732E">
        <w:trPr>
          <w:cnfStyle w:val="000000100000" w:firstRow="0" w:lastRow="0" w:firstColumn="0" w:lastColumn="0" w:oddVBand="0" w:evenVBand="0" w:oddHBand="1" w:evenHBand="0" w:firstRowFirstColumn="0" w:firstRowLastColumn="0" w:lastRowFirstColumn="0" w:lastRowLastColumn="0"/>
        </w:trPr>
        <w:tc>
          <w:tcPr>
            <w:tcW w:w="4535" w:type="dxa"/>
            <w:tcBorders>
              <w:top w:val="single" w:sz="4" w:space="0" w:color="949494"/>
              <w:bottom w:val="single" w:sz="4" w:space="0" w:color="949494"/>
              <w:right w:val="single" w:sz="4" w:space="0" w:color="949494"/>
            </w:tcBorders>
          </w:tcPr>
          <w:p w14:paraId="63E6F3E7" w14:textId="79DC33B2" w:rsidR="00DB11BD" w:rsidRPr="00375681" w:rsidRDefault="00DB11BD" w:rsidP="003C360E">
            <w:pPr>
              <w:numPr>
                <w:ilvl w:val="0"/>
                <w:numId w:val="27"/>
              </w:numPr>
              <w:suppressAutoHyphens/>
              <w:spacing w:before="60" w:after="60" w:line="257" w:lineRule="auto"/>
              <w:ind w:left="227" w:hanging="227"/>
              <w:rPr>
                <w:rFonts w:eastAsia="Times New Roman" w:cs="Times New Roman"/>
                <w:color w:val="000000"/>
                <w:szCs w:val="20"/>
                <w:lang w:val="en-AU" w:eastAsia="en-AU"/>
              </w:rPr>
            </w:pPr>
            <w:r w:rsidRPr="00375681">
              <w:rPr>
                <w:rFonts w:eastAsia="Times New Roman" w:cs="Times New Roman"/>
                <w:color w:val="000000"/>
                <w:szCs w:val="20"/>
                <w:lang w:val="en-AU" w:eastAsia="en-AU"/>
              </w:rPr>
              <w:t>Business management</w:t>
            </w:r>
          </w:p>
        </w:tc>
        <w:tc>
          <w:tcPr>
            <w:tcW w:w="4536" w:type="dxa"/>
            <w:tcBorders>
              <w:top w:val="single" w:sz="4" w:space="0" w:color="949494"/>
              <w:left w:val="single" w:sz="4" w:space="0" w:color="949494"/>
              <w:bottom w:val="single" w:sz="4" w:space="0" w:color="949494"/>
            </w:tcBorders>
          </w:tcPr>
          <w:p w14:paraId="2E27D4B6" w14:textId="267736BF" w:rsidR="00DB11BD" w:rsidRPr="00375681" w:rsidRDefault="00DB11BD" w:rsidP="003C360E">
            <w:pPr>
              <w:numPr>
                <w:ilvl w:val="0"/>
                <w:numId w:val="27"/>
              </w:numPr>
              <w:suppressAutoHyphens/>
              <w:spacing w:before="60" w:after="60" w:line="257" w:lineRule="auto"/>
              <w:ind w:left="227" w:hanging="227"/>
              <w:rPr>
                <w:rFonts w:eastAsia="Times New Roman" w:cs="Times New Roman"/>
                <w:color w:val="000000"/>
                <w:szCs w:val="20"/>
                <w:lang w:val="en-AU" w:eastAsia="en-AU"/>
              </w:rPr>
            </w:pPr>
            <w:r w:rsidRPr="00375681">
              <w:rPr>
                <w:rFonts w:eastAsia="Times New Roman" w:cs="Times New Roman"/>
                <w:color w:val="000000"/>
                <w:szCs w:val="20"/>
                <w:lang w:val="en-AU" w:eastAsia="en-AU"/>
              </w:rPr>
              <w:t>Digital capability</w:t>
            </w:r>
          </w:p>
        </w:tc>
      </w:tr>
      <w:tr w:rsidR="00DB11BD" w:rsidRPr="00375681" w14:paraId="5502A2B6" w14:textId="77777777" w:rsidTr="00B8732E">
        <w:trPr>
          <w:cnfStyle w:val="000000010000" w:firstRow="0" w:lastRow="0" w:firstColumn="0" w:lastColumn="0" w:oddVBand="0" w:evenVBand="0" w:oddHBand="0" w:evenHBand="1" w:firstRowFirstColumn="0" w:firstRowLastColumn="0" w:lastRowFirstColumn="0" w:lastRowLastColumn="0"/>
        </w:trPr>
        <w:tc>
          <w:tcPr>
            <w:tcW w:w="4535" w:type="dxa"/>
            <w:tcBorders>
              <w:top w:val="single" w:sz="4" w:space="0" w:color="949494"/>
              <w:bottom w:val="single" w:sz="4" w:space="0" w:color="949494"/>
              <w:right w:val="single" w:sz="4" w:space="0" w:color="949494"/>
            </w:tcBorders>
          </w:tcPr>
          <w:p w14:paraId="2E4EE587" w14:textId="467BF97B" w:rsidR="00DB11BD" w:rsidRPr="00375681" w:rsidRDefault="00DB11BD" w:rsidP="003C360E">
            <w:pPr>
              <w:numPr>
                <w:ilvl w:val="0"/>
                <w:numId w:val="27"/>
              </w:numPr>
              <w:suppressAutoHyphens/>
              <w:spacing w:before="60" w:after="60" w:line="257" w:lineRule="auto"/>
              <w:ind w:left="227" w:hanging="227"/>
              <w:rPr>
                <w:rFonts w:eastAsia="Times New Roman" w:cs="Times New Roman"/>
                <w:color w:val="000000"/>
                <w:szCs w:val="20"/>
                <w:lang w:val="en-AU" w:eastAsia="en-AU"/>
              </w:rPr>
            </w:pPr>
            <w:r w:rsidRPr="00375681">
              <w:rPr>
                <w:rFonts w:eastAsia="Times New Roman" w:cs="Times New Roman"/>
                <w:color w:val="000000"/>
                <w:szCs w:val="20"/>
                <w:lang w:val="en-AU" w:eastAsia="en-AU"/>
              </w:rPr>
              <w:t>Empathy and engagement (for vulnerable cohorts)</w:t>
            </w:r>
          </w:p>
        </w:tc>
        <w:tc>
          <w:tcPr>
            <w:tcW w:w="4536" w:type="dxa"/>
            <w:tcBorders>
              <w:top w:val="single" w:sz="4" w:space="0" w:color="949494"/>
              <w:left w:val="single" w:sz="4" w:space="0" w:color="949494"/>
              <w:bottom w:val="single" w:sz="4" w:space="0" w:color="949494"/>
            </w:tcBorders>
          </w:tcPr>
          <w:p w14:paraId="23C844C3" w14:textId="1D1EB116" w:rsidR="00DB11BD" w:rsidRPr="00375681" w:rsidRDefault="00DB11BD" w:rsidP="003C360E">
            <w:pPr>
              <w:numPr>
                <w:ilvl w:val="0"/>
                <w:numId w:val="27"/>
              </w:numPr>
              <w:suppressAutoHyphens/>
              <w:spacing w:before="60" w:after="60" w:line="257" w:lineRule="auto"/>
              <w:ind w:left="227" w:hanging="227"/>
              <w:rPr>
                <w:rFonts w:eastAsia="Times New Roman" w:cs="Times New Roman"/>
                <w:color w:val="000000"/>
                <w:szCs w:val="20"/>
                <w:lang w:val="en-AU" w:eastAsia="en-AU"/>
              </w:rPr>
            </w:pPr>
            <w:r w:rsidRPr="00375681">
              <w:rPr>
                <w:rFonts w:eastAsia="Times New Roman" w:cs="Times New Roman"/>
                <w:color w:val="000000"/>
                <w:szCs w:val="20"/>
                <w:lang w:val="en-AU" w:eastAsia="en-AU"/>
              </w:rPr>
              <w:t>Entrepreneurship</w:t>
            </w:r>
          </w:p>
        </w:tc>
      </w:tr>
      <w:tr w:rsidR="00DB11BD" w:rsidRPr="00375681" w14:paraId="135C3901" w14:textId="77777777" w:rsidTr="00B8732E">
        <w:trPr>
          <w:cnfStyle w:val="000000100000" w:firstRow="0" w:lastRow="0" w:firstColumn="0" w:lastColumn="0" w:oddVBand="0" w:evenVBand="0" w:oddHBand="1" w:evenHBand="0" w:firstRowFirstColumn="0" w:firstRowLastColumn="0" w:lastRowFirstColumn="0" w:lastRowLastColumn="0"/>
        </w:trPr>
        <w:tc>
          <w:tcPr>
            <w:tcW w:w="4535" w:type="dxa"/>
            <w:tcBorders>
              <w:top w:val="single" w:sz="4" w:space="0" w:color="949494"/>
              <w:bottom w:val="single" w:sz="4" w:space="0" w:color="949494"/>
              <w:right w:val="single" w:sz="4" w:space="0" w:color="949494"/>
            </w:tcBorders>
          </w:tcPr>
          <w:p w14:paraId="64C6ABAB" w14:textId="3D7C64D2" w:rsidR="00DB11BD" w:rsidRPr="00375681" w:rsidRDefault="00DB11BD" w:rsidP="003C360E">
            <w:pPr>
              <w:numPr>
                <w:ilvl w:val="0"/>
                <w:numId w:val="27"/>
              </w:numPr>
              <w:suppressAutoHyphens/>
              <w:spacing w:before="60" w:after="60" w:line="257" w:lineRule="auto"/>
              <w:ind w:left="227" w:hanging="227"/>
              <w:rPr>
                <w:rFonts w:eastAsia="Times New Roman" w:cs="Times New Roman"/>
                <w:color w:val="000000"/>
                <w:szCs w:val="20"/>
                <w:lang w:val="en-AU" w:eastAsia="en-AU"/>
              </w:rPr>
            </w:pPr>
            <w:r w:rsidRPr="00375681">
              <w:rPr>
                <w:rFonts w:eastAsia="Times New Roman" w:cs="Times New Roman"/>
                <w:color w:val="000000"/>
                <w:szCs w:val="20"/>
                <w:lang w:val="en-AU" w:eastAsia="en-AU"/>
              </w:rPr>
              <w:t>Ethics and compliance</w:t>
            </w:r>
          </w:p>
        </w:tc>
        <w:tc>
          <w:tcPr>
            <w:tcW w:w="4536" w:type="dxa"/>
            <w:tcBorders>
              <w:top w:val="single" w:sz="4" w:space="0" w:color="949494"/>
              <w:left w:val="single" w:sz="4" w:space="0" w:color="949494"/>
              <w:bottom w:val="single" w:sz="4" w:space="0" w:color="949494"/>
            </w:tcBorders>
          </w:tcPr>
          <w:p w14:paraId="34B4B3A3" w14:textId="68349F3C" w:rsidR="00DB11BD" w:rsidRPr="00375681" w:rsidRDefault="00DB11BD" w:rsidP="003C360E">
            <w:pPr>
              <w:numPr>
                <w:ilvl w:val="0"/>
                <w:numId w:val="27"/>
              </w:numPr>
              <w:suppressAutoHyphens/>
              <w:spacing w:before="60" w:after="60" w:line="257" w:lineRule="auto"/>
              <w:ind w:left="227" w:hanging="227"/>
              <w:rPr>
                <w:rFonts w:eastAsia="Times New Roman" w:cs="Times New Roman"/>
                <w:color w:val="000000"/>
                <w:szCs w:val="20"/>
                <w:lang w:val="en-AU" w:eastAsia="en-AU"/>
              </w:rPr>
            </w:pPr>
            <w:r w:rsidRPr="00375681">
              <w:rPr>
                <w:rFonts w:eastAsia="Times New Roman" w:cs="Times New Roman"/>
                <w:color w:val="000000"/>
                <w:szCs w:val="20"/>
                <w:lang w:val="en-AU" w:eastAsia="en-AU"/>
              </w:rPr>
              <w:t>Planning and organising</w:t>
            </w:r>
          </w:p>
        </w:tc>
      </w:tr>
      <w:tr w:rsidR="00DB11BD" w:rsidRPr="00375681" w14:paraId="4427BFC8" w14:textId="77777777" w:rsidTr="00B8732E">
        <w:trPr>
          <w:cnfStyle w:val="000000010000" w:firstRow="0" w:lastRow="0" w:firstColumn="0" w:lastColumn="0" w:oddVBand="0" w:evenVBand="0" w:oddHBand="0" w:evenHBand="1" w:firstRowFirstColumn="0" w:firstRowLastColumn="0" w:lastRowFirstColumn="0" w:lastRowLastColumn="0"/>
        </w:trPr>
        <w:tc>
          <w:tcPr>
            <w:tcW w:w="4535" w:type="dxa"/>
            <w:tcBorders>
              <w:top w:val="single" w:sz="4" w:space="0" w:color="949494"/>
              <w:bottom w:val="single" w:sz="4" w:space="0" w:color="949494"/>
              <w:right w:val="single" w:sz="4" w:space="0" w:color="949494"/>
            </w:tcBorders>
          </w:tcPr>
          <w:p w14:paraId="329781B7" w14:textId="45CD9D8F" w:rsidR="00DB11BD" w:rsidRPr="00375681" w:rsidRDefault="00DB11BD" w:rsidP="003C360E">
            <w:pPr>
              <w:numPr>
                <w:ilvl w:val="0"/>
                <w:numId w:val="27"/>
              </w:numPr>
              <w:suppressAutoHyphens/>
              <w:spacing w:before="60" w:after="60" w:line="257" w:lineRule="auto"/>
              <w:ind w:left="227" w:hanging="227"/>
              <w:rPr>
                <w:rFonts w:eastAsia="Times New Roman" w:cs="Times New Roman"/>
                <w:color w:val="000000"/>
                <w:szCs w:val="20"/>
                <w:lang w:val="en-AU" w:eastAsia="en-AU"/>
              </w:rPr>
            </w:pPr>
            <w:r w:rsidRPr="00375681">
              <w:rPr>
                <w:rFonts w:eastAsia="Times New Roman" w:cs="Times New Roman"/>
                <w:color w:val="000000"/>
                <w:szCs w:val="20"/>
                <w:lang w:val="en-AU" w:eastAsia="en-AU"/>
              </w:rPr>
              <w:t>Regulatory and legislative literacy</w:t>
            </w:r>
          </w:p>
        </w:tc>
        <w:tc>
          <w:tcPr>
            <w:tcW w:w="4536" w:type="dxa"/>
            <w:tcBorders>
              <w:top w:val="single" w:sz="4" w:space="0" w:color="949494"/>
              <w:left w:val="single" w:sz="4" w:space="0" w:color="949494"/>
              <w:bottom w:val="single" w:sz="4" w:space="0" w:color="949494"/>
            </w:tcBorders>
          </w:tcPr>
          <w:p w14:paraId="79581B99" w14:textId="7C224BD7" w:rsidR="00DB11BD" w:rsidRPr="00375681" w:rsidRDefault="00DB11BD" w:rsidP="003C360E">
            <w:pPr>
              <w:numPr>
                <w:ilvl w:val="0"/>
                <w:numId w:val="27"/>
              </w:numPr>
              <w:suppressAutoHyphens/>
              <w:spacing w:before="60" w:after="60" w:line="257" w:lineRule="auto"/>
              <w:ind w:left="227" w:hanging="227"/>
              <w:rPr>
                <w:rFonts w:eastAsia="Times New Roman" w:cs="Times New Roman"/>
                <w:color w:val="000000"/>
                <w:szCs w:val="20"/>
                <w:lang w:val="en-AU" w:eastAsia="en-AU"/>
              </w:rPr>
            </w:pPr>
            <w:r w:rsidRPr="00375681">
              <w:rPr>
                <w:rFonts w:eastAsia="Times New Roman" w:cs="Times New Roman"/>
                <w:color w:val="000000"/>
                <w:szCs w:val="20"/>
                <w:lang w:val="en-AU" w:eastAsia="en-AU"/>
              </w:rPr>
              <w:t>Teamwork</w:t>
            </w:r>
          </w:p>
        </w:tc>
      </w:tr>
    </w:tbl>
    <w:p w14:paraId="407F6B82" w14:textId="77777777" w:rsidR="00CF3FAF" w:rsidRDefault="00CF3FAF" w:rsidP="00CF3FAF">
      <w:pPr>
        <w:pStyle w:val="Heading1"/>
      </w:pPr>
      <w:bookmarkStart w:id="48" w:name="_Toc111118561"/>
      <w:bookmarkStart w:id="49" w:name="_Toc97583929"/>
      <w:bookmarkStart w:id="50" w:name="_Toc99009788"/>
      <w:bookmarkStart w:id="51" w:name="_Toc96584157"/>
      <w:r>
        <w:lastRenderedPageBreak/>
        <w:t>Education and training pipeline</w:t>
      </w:r>
      <w:bookmarkEnd w:id="48"/>
    </w:p>
    <w:p w14:paraId="734C2D05" w14:textId="4BF49741" w:rsidR="00CF3FAF" w:rsidRDefault="00A5187B" w:rsidP="00CF3FAF">
      <w:pPr>
        <w:spacing w:after="0" w:line="240" w:lineRule="auto"/>
        <w:rPr>
          <w:lang w:eastAsia="en-AU"/>
        </w:rPr>
      </w:pPr>
      <w:r>
        <w:rPr>
          <w:lang w:eastAsia="en-AU"/>
        </w:rPr>
        <w:t>T</w:t>
      </w:r>
      <w:r w:rsidR="00CF3FAF">
        <w:rPr>
          <w:lang w:eastAsia="en-AU"/>
        </w:rPr>
        <w:t>here were around 4,070 enrolments in rental, hiring and real estate services related VET qualifications in 2020</w:t>
      </w:r>
      <w:r w:rsidR="00CF3FAF">
        <w:rPr>
          <w:rStyle w:val="FootnoteReference"/>
          <w:lang w:eastAsia="en-AU"/>
        </w:rPr>
        <w:footnoteReference w:id="14"/>
      </w:r>
      <w:r w:rsidR="00CF3FAF">
        <w:rPr>
          <w:lang w:eastAsia="en-AU"/>
        </w:rPr>
        <w:t xml:space="preserve"> and close to 1,150 relevant enrolments in Higher Education in 2019.</w:t>
      </w:r>
      <w:r w:rsidR="00CF3FAF">
        <w:rPr>
          <w:rStyle w:val="EndnoteReference"/>
          <w:lang w:eastAsia="en-AU"/>
        </w:rPr>
        <w:endnoteReference w:id="82"/>
      </w:r>
      <w:r w:rsidR="00CF3FAF" w:rsidRPr="00E86120">
        <w:rPr>
          <w:vertAlign w:val="superscript"/>
          <w:lang w:eastAsia="en-AU"/>
        </w:rPr>
        <w:t>,</w:t>
      </w:r>
      <w:r w:rsidR="00CF3FAF">
        <w:rPr>
          <w:rStyle w:val="EndnoteReference"/>
          <w:lang w:eastAsia="en-AU"/>
        </w:rPr>
        <w:endnoteReference w:id="83"/>
      </w:r>
      <w:r w:rsidR="00CF3FAF">
        <w:rPr>
          <w:lang w:eastAsia="en-AU"/>
        </w:rPr>
        <w:t xml:space="preserve"> This should translate to more than 4,200</w:t>
      </w:r>
      <w:r w:rsidR="00CF3FAF">
        <w:rPr>
          <w:rStyle w:val="FootnoteReference"/>
          <w:lang w:eastAsia="en-AU"/>
        </w:rPr>
        <w:footnoteReference w:id="15"/>
      </w:r>
      <w:r w:rsidR="00CF3FAF">
        <w:rPr>
          <w:lang w:eastAsia="en-AU"/>
        </w:rPr>
        <w:t xml:space="preserve"> </w:t>
      </w:r>
      <w:r>
        <w:rPr>
          <w:lang w:eastAsia="en-AU"/>
        </w:rPr>
        <w:t xml:space="preserve">graduating </w:t>
      </w:r>
      <w:r w:rsidR="00CF3FAF">
        <w:rPr>
          <w:lang w:eastAsia="en-AU"/>
        </w:rPr>
        <w:t xml:space="preserve">students entering the workforce each year with relevant qualifications, </w:t>
      </w:r>
      <w:r w:rsidR="00D151CB">
        <w:rPr>
          <w:lang w:eastAsia="en-AU"/>
        </w:rPr>
        <w:t xml:space="preserve">suggesting a strong likelihood of </w:t>
      </w:r>
      <w:r w:rsidR="00CF3FAF">
        <w:rPr>
          <w:lang w:eastAsia="en-AU"/>
        </w:rPr>
        <w:t>meet</w:t>
      </w:r>
      <w:r w:rsidR="00D151CB">
        <w:rPr>
          <w:lang w:eastAsia="en-AU"/>
        </w:rPr>
        <w:t>ing</w:t>
      </w:r>
      <w:r w:rsidR="00CF3FAF">
        <w:rPr>
          <w:lang w:eastAsia="en-AU"/>
        </w:rPr>
        <w:t xml:space="preserve"> projected demand</w:t>
      </w:r>
      <w:r w:rsidR="00851E50">
        <w:rPr>
          <w:lang w:eastAsia="en-AU"/>
        </w:rPr>
        <w:t>,</w:t>
      </w:r>
      <w:r w:rsidR="00CF3FAF">
        <w:rPr>
          <w:lang w:eastAsia="en-AU"/>
        </w:rPr>
        <w:t xml:space="preserve"> </w:t>
      </w:r>
      <w:r w:rsidR="00851E50">
        <w:rPr>
          <w:lang w:eastAsia="en-AU"/>
        </w:rPr>
        <w:t>although some</w:t>
      </w:r>
      <w:r w:rsidR="00CF3FAF">
        <w:rPr>
          <w:lang w:eastAsia="en-AU"/>
        </w:rPr>
        <w:t xml:space="preserve"> will seek employment in other industries. </w:t>
      </w:r>
      <w:r w:rsidR="00CF3FAF" w:rsidRPr="00D958F8">
        <w:rPr>
          <w:lang w:eastAsia="en-AU"/>
        </w:rPr>
        <w:t xml:space="preserve">For further detail, see the collaborative response </w:t>
      </w:r>
      <w:r w:rsidR="00851E50">
        <w:rPr>
          <w:lang w:eastAsia="en-AU"/>
        </w:rPr>
        <w:t>toward the end of this report</w:t>
      </w:r>
      <w:r w:rsidR="00CF3FAF" w:rsidRPr="00D958F8">
        <w:rPr>
          <w:lang w:eastAsia="en-AU"/>
        </w:rPr>
        <w:t xml:space="preserve">. </w:t>
      </w:r>
      <w:r w:rsidR="00CF3FAF" w:rsidRPr="00D958F8">
        <w:rPr>
          <w:lang w:eastAsia="en-AU"/>
        </w:rPr>
        <w:tab/>
      </w:r>
    </w:p>
    <w:p w14:paraId="4C680E01" w14:textId="77777777" w:rsidR="00CF3FAF" w:rsidRDefault="00CF3FAF" w:rsidP="00CF3FAF">
      <w:pPr>
        <w:pStyle w:val="Heading2"/>
      </w:pPr>
      <w:bookmarkStart w:id="52" w:name="_Toc111118562"/>
      <w:r>
        <w:t>VET remains a vital pathway into the real estate sector</w:t>
      </w:r>
      <w:bookmarkEnd w:id="52"/>
    </w:p>
    <w:tbl>
      <w:tblPr>
        <w:tblStyle w:val="TableGrid"/>
        <w:tblpPr w:leftFromText="181" w:rightFromText="181" w:topFromText="142" w:bottomFromText="142" w:vertAnchor="text" w:horzAnchor="margin" w:tblpY="1656"/>
        <w:tblOverlap w:val="never"/>
        <w:tblW w:w="5000" w:type="pct"/>
        <w:tblBorders>
          <w:top w:val="single" w:sz="18" w:space="0" w:color="000000" w:themeColor="text1"/>
          <w:left w:val="single" w:sz="18" w:space="0" w:color="000000" w:themeColor="text1"/>
          <w:bottom w:val="single" w:sz="18" w:space="0" w:color="000000" w:themeColor="text1"/>
          <w:right w:val="single" w:sz="18" w:space="0" w:color="000000" w:themeColor="text1"/>
          <w:insideH w:val="none" w:sz="0" w:space="0" w:color="auto"/>
          <w:insideV w:val="none" w:sz="0" w:space="0" w:color="auto"/>
        </w:tblBorders>
        <w:shd w:val="clear" w:color="auto" w:fill="FFFFFF" w:themeFill="background1"/>
        <w:tblCellMar>
          <w:top w:w="142" w:type="dxa"/>
          <w:left w:w="170" w:type="dxa"/>
          <w:bottom w:w="142" w:type="dxa"/>
          <w:right w:w="170" w:type="dxa"/>
        </w:tblCellMar>
        <w:tblLook w:val="04A0" w:firstRow="1" w:lastRow="0" w:firstColumn="1" w:lastColumn="0" w:noHBand="0" w:noVBand="1"/>
      </w:tblPr>
      <w:tblGrid>
        <w:gridCol w:w="9025"/>
      </w:tblGrid>
      <w:tr w:rsidR="00CF3FAF" w:rsidRPr="00730286" w14:paraId="1F5514E0" w14:textId="77777777" w:rsidTr="00DE6317">
        <w:trPr>
          <w:trHeight w:val="395"/>
        </w:trPr>
        <w:tc>
          <w:tcPr>
            <w:tcW w:w="9041" w:type="dxa"/>
            <w:shd w:val="clear" w:color="auto" w:fill="FFFFFF" w:themeFill="background1"/>
          </w:tcPr>
          <w:p w14:paraId="4EEE1980" w14:textId="77777777" w:rsidR="00CF3FAF" w:rsidRPr="008703DC" w:rsidRDefault="00CF3FAF" w:rsidP="0058069B">
            <w:pPr>
              <w:rPr>
                <w:i/>
                <w:iCs/>
              </w:rPr>
            </w:pPr>
            <w:r>
              <w:rPr>
                <w:lang w:val="en-AU" w:eastAsia="en-US"/>
              </w:rPr>
              <w:t>I</w:t>
            </w:r>
            <w:r>
              <w:t>n 2020, there were approximately 4,</w:t>
            </w:r>
            <w:r w:rsidRPr="003A6348">
              <w:t>0</w:t>
            </w:r>
            <w:r>
              <w:t>50 enrolments in Victoria in the Certificate IV in Real Estate Practice, with the majority enrolled prior to commencing employment.</w:t>
            </w:r>
          </w:p>
        </w:tc>
      </w:tr>
    </w:tbl>
    <w:p w14:paraId="1E0E92E5" w14:textId="77777777" w:rsidR="00CF3FAF" w:rsidRPr="00452B7D" w:rsidRDefault="00CF3FAF" w:rsidP="00CF3FAF">
      <w:pPr>
        <w:spacing w:line="257" w:lineRule="auto"/>
        <w:rPr>
          <w:rFonts w:eastAsia="Calibri" w:cs="Arial"/>
          <w:color w:val="000000"/>
          <w:szCs w:val="22"/>
          <w:lang w:val="en-AU" w:eastAsia="en-AU"/>
        </w:rPr>
      </w:pPr>
      <w:r>
        <w:t>VET will continue as a significant channel of education supply to the rental, hiring and real estate services workforce, with 36 per cent of workers holding a VET level qualification as their highest level of education.</w:t>
      </w:r>
      <w:r>
        <w:rPr>
          <w:rStyle w:val="EndnoteReference"/>
        </w:rPr>
        <w:endnoteReference w:id="84"/>
      </w:r>
      <w:r>
        <w:t xml:space="preserve"> </w:t>
      </w:r>
      <w:r>
        <w:rPr>
          <w:rFonts w:eastAsia="Calibri" w:cs="Arial"/>
          <w:color w:val="000000"/>
          <w:szCs w:val="22"/>
          <w:lang w:val="en-AU" w:eastAsia="en-AU"/>
        </w:rPr>
        <w:t xml:space="preserve">VET is likely to become a more vital pathway for workers in this industry amid recent regulatory reforms to the real estate sector, requiring real estate agents (a top employing occupation) to hold a </w:t>
      </w:r>
      <w:r w:rsidRPr="00C64CEF">
        <w:rPr>
          <w:lang w:val="en-AU"/>
        </w:rPr>
        <w:t xml:space="preserve">Certificate IV in </w:t>
      </w:r>
      <w:r>
        <w:rPr>
          <w:lang w:val="en-AU"/>
        </w:rPr>
        <w:t xml:space="preserve">Real Estate Practice and </w:t>
      </w:r>
      <w:r w:rsidRPr="0077056D">
        <w:rPr>
          <w:lang w:val="en-AU" w:eastAsia="en-AU"/>
        </w:rPr>
        <w:t xml:space="preserve">accounts for almost all VET activity for </w:t>
      </w:r>
      <w:r>
        <w:rPr>
          <w:lang w:val="en-AU" w:eastAsia="en-AU"/>
        </w:rPr>
        <w:t xml:space="preserve">the industry. </w:t>
      </w:r>
      <w:r>
        <w:rPr>
          <w:lang w:eastAsia="en-AU"/>
        </w:rPr>
        <w:t>By contrast, VET is not a significant pathway for the other rental and leasing sector.</w:t>
      </w:r>
    </w:p>
    <w:p w14:paraId="45AF514C" w14:textId="77777777" w:rsidR="00C64DF2" w:rsidRPr="00D013E4" w:rsidRDefault="00C64DF2" w:rsidP="00C64DF2">
      <w:pPr>
        <w:pStyle w:val="Heading2"/>
        <w:rPr>
          <w:lang w:val="en-AU" w:eastAsia="en-AU"/>
        </w:rPr>
      </w:pPr>
      <w:r w:rsidRPr="00D013E4">
        <w:rPr>
          <w:lang w:val="en-AU" w:eastAsia="en-AU"/>
        </w:rPr>
        <w:t>VET Activity</w:t>
      </w:r>
    </w:p>
    <w:p w14:paraId="000D7EFF" w14:textId="77777777" w:rsidR="00373C99" w:rsidRDefault="00373C99" w:rsidP="00373C99">
      <w:pPr>
        <w:rPr>
          <w:szCs w:val="20"/>
          <w:lang w:eastAsia="en-US"/>
        </w:rPr>
      </w:pPr>
      <w:r>
        <w:rPr>
          <w:szCs w:val="20"/>
          <w:lang w:eastAsia="en-US"/>
        </w:rPr>
        <w:t xml:space="preserve">People </w:t>
      </w:r>
      <w:proofErr w:type="spellStart"/>
      <w:r>
        <w:rPr>
          <w:szCs w:val="20"/>
          <w:lang w:eastAsia="en-US"/>
        </w:rPr>
        <w:t>enrol</w:t>
      </w:r>
      <w:proofErr w:type="spellEnd"/>
      <w:r>
        <w:rPr>
          <w:szCs w:val="20"/>
          <w:lang w:eastAsia="en-US"/>
        </w:rPr>
        <w:t xml:space="preserve"> in VET courses </w:t>
      </w:r>
      <w:r w:rsidRPr="00FA5A34">
        <w:rPr>
          <w:szCs w:val="20"/>
          <w:lang w:eastAsia="en-US"/>
        </w:rPr>
        <w:t xml:space="preserve">for </w:t>
      </w:r>
      <w:r>
        <w:rPr>
          <w:szCs w:val="20"/>
          <w:lang w:eastAsia="en-US"/>
        </w:rPr>
        <w:t xml:space="preserve">one of </w:t>
      </w:r>
      <w:r w:rsidRPr="00FA5A34">
        <w:rPr>
          <w:szCs w:val="20"/>
          <w:lang w:eastAsia="en-US"/>
        </w:rPr>
        <w:t xml:space="preserve">three main reasons: </w:t>
      </w:r>
    </w:p>
    <w:p w14:paraId="20CDB19D" w14:textId="77777777" w:rsidR="00373C99" w:rsidRPr="0028694D" w:rsidRDefault="00373C99" w:rsidP="00373C99">
      <w:pPr>
        <w:pStyle w:val="ListParagraph"/>
        <w:numPr>
          <w:ilvl w:val="0"/>
          <w:numId w:val="41"/>
        </w:numPr>
        <w:rPr>
          <w:szCs w:val="20"/>
          <w:vertAlign w:val="superscript"/>
          <w:lang w:eastAsia="en-US"/>
        </w:rPr>
      </w:pPr>
      <w:r w:rsidRPr="00FA5A34">
        <w:rPr>
          <w:szCs w:val="20"/>
          <w:lang w:eastAsia="en-US"/>
        </w:rPr>
        <w:t>to prepare for employment</w:t>
      </w:r>
    </w:p>
    <w:p w14:paraId="0E2397A0" w14:textId="77777777" w:rsidR="00373C99" w:rsidRPr="0028694D" w:rsidRDefault="00373C99" w:rsidP="00373C99">
      <w:pPr>
        <w:pStyle w:val="ListParagraph"/>
        <w:numPr>
          <w:ilvl w:val="0"/>
          <w:numId w:val="41"/>
        </w:numPr>
        <w:rPr>
          <w:szCs w:val="20"/>
          <w:vertAlign w:val="superscript"/>
          <w:lang w:eastAsia="en-US"/>
        </w:rPr>
      </w:pPr>
      <w:r w:rsidRPr="00FA5A34">
        <w:rPr>
          <w:szCs w:val="20"/>
          <w:lang w:eastAsia="en-US"/>
        </w:rPr>
        <w:t>to support current employment</w:t>
      </w:r>
    </w:p>
    <w:p w14:paraId="067C9019" w14:textId="77777777" w:rsidR="00373C99" w:rsidRPr="0028694D" w:rsidRDefault="00373C99" w:rsidP="00373C99">
      <w:pPr>
        <w:pStyle w:val="ListParagraph"/>
        <w:numPr>
          <w:ilvl w:val="0"/>
          <w:numId w:val="41"/>
        </w:numPr>
        <w:rPr>
          <w:szCs w:val="20"/>
          <w:vertAlign w:val="superscript"/>
          <w:lang w:eastAsia="en-US"/>
        </w:rPr>
      </w:pPr>
      <w:r w:rsidRPr="00FA5A34">
        <w:rPr>
          <w:szCs w:val="20"/>
          <w:lang w:eastAsia="en-US"/>
        </w:rPr>
        <w:t>to progress their careers</w:t>
      </w:r>
      <w:r>
        <w:rPr>
          <w:szCs w:val="20"/>
          <w:lang w:eastAsia="en-US"/>
        </w:rPr>
        <w:t xml:space="preserve"> within the industry</w:t>
      </w:r>
      <w:r w:rsidRPr="00FA5A34">
        <w:rPr>
          <w:szCs w:val="20"/>
          <w:lang w:eastAsia="en-US"/>
        </w:rPr>
        <w:t>.</w:t>
      </w:r>
      <w:r>
        <w:rPr>
          <w:szCs w:val="20"/>
          <w:lang w:eastAsia="en-US"/>
        </w:rPr>
        <w:t xml:space="preserve"> </w:t>
      </w:r>
    </w:p>
    <w:p w14:paraId="3026138A" w14:textId="69E42E5B" w:rsidR="00CF3FAF" w:rsidRDefault="00CF3FAF" w:rsidP="00CF3FAF">
      <w:pPr>
        <w:rPr>
          <w:szCs w:val="20"/>
          <w:lang w:eastAsia="en-US"/>
        </w:rPr>
      </w:pPr>
      <w:r>
        <w:rPr>
          <w:color w:val="000000"/>
          <w:lang w:eastAsia="en-US"/>
        </w:rPr>
        <w:t xml:space="preserve">This equates to training </w:t>
      </w:r>
      <w:proofErr w:type="spellStart"/>
      <w:r>
        <w:rPr>
          <w:szCs w:val="20"/>
          <w:lang w:eastAsia="en-US"/>
        </w:rPr>
        <w:t>categorised</w:t>
      </w:r>
      <w:proofErr w:type="spellEnd"/>
      <w:r>
        <w:rPr>
          <w:szCs w:val="20"/>
          <w:lang w:eastAsia="en-US"/>
        </w:rPr>
        <w:t xml:space="preserve"> as prior to employment; with employment (as an apprenticeship or traineeship) and upskilling once qualified as shown in</w:t>
      </w:r>
      <w:r w:rsidR="00B33F38">
        <w:t xml:space="preserve"> Table 9</w:t>
      </w:r>
      <w:r>
        <w:rPr>
          <w:szCs w:val="20"/>
          <w:lang w:eastAsia="en-US"/>
        </w:rPr>
        <w:t>. The table shows the enrolments in 2020 VET courses on</w:t>
      </w:r>
      <w:r w:rsidRPr="00CB0058">
        <w:rPr>
          <w:szCs w:val="20"/>
          <w:lang w:eastAsia="en-US"/>
        </w:rPr>
        <w:t xml:space="preserve"> the Victorian </w:t>
      </w:r>
      <w:r w:rsidRPr="00034670">
        <w:rPr>
          <w:szCs w:val="20"/>
          <w:lang w:eastAsia="en-US"/>
        </w:rPr>
        <w:t>Funded Course List</w:t>
      </w:r>
      <w:r>
        <w:rPr>
          <w:szCs w:val="20"/>
          <w:lang w:eastAsia="en-US"/>
        </w:rPr>
        <w:t xml:space="preserve"> (FCL) and the Victorian Funded Skill Set List (FSSL)</w:t>
      </w:r>
      <w:r w:rsidRPr="00034670">
        <w:rPr>
          <w:szCs w:val="20"/>
          <w:vertAlign w:val="superscript"/>
          <w:lang w:eastAsia="en-US"/>
        </w:rPr>
        <w:endnoteReference w:id="85"/>
      </w:r>
      <w:r w:rsidRPr="00E86120">
        <w:rPr>
          <w:szCs w:val="20"/>
          <w:vertAlign w:val="superscript"/>
          <w:lang w:eastAsia="en-US"/>
        </w:rPr>
        <w:t>,</w:t>
      </w:r>
      <w:r>
        <w:rPr>
          <w:rStyle w:val="EndnoteReference"/>
          <w:szCs w:val="20"/>
          <w:lang w:eastAsia="en-US"/>
        </w:rPr>
        <w:endnoteReference w:id="86"/>
      </w:r>
      <w:r>
        <w:rPr>
          <w:szCs w:val="20"/>
          <w:lang w:eastAsia="en-US"/>
        </w:rPr>
        <w:t xml:space="preserve"> </w:t>
      </w:r>
      <w:r w:rsidRPr="00B7729A">
        <w:rPr>
          <w:szCs w:val="20"/>
          <w:lang w:eastAsia="en-US"/>
        </w:rPr>
        <w:t>related to this industry and against each category</w:t>
      </w:r>
      <w:r>
        <w:rPr>
          <w:szCs w:val="20"/>
          <w:lang w:eastAsia="en-US"/>
        </w:rPr>
        <w:t>. The enrolment numbers are drawn from Total VET Activity (TVA) which comprises enrolments supported by public funding or private contribution.</w:t>
      </w:r>
    </w:p>
    <w:p w14:paraId="3FC85F63" w14:textId="25051E6A" w:rsidR="00CF3FAF" w:rsidRDefault="00CF3FAF" w:rsidP="00CF3FAF">
      <w:pPr>
        <w:rPr>
          <w:szCs w:val="20"/>
          <w:lang w:eastAsia="en-US"/>
        </w:rPr>
      </w:pPr>
      <w:r>
        <w:rPr>
          <w:szCs w:val="20"/>
          <w:lang w:eastAsia="en-US"/>
        </w:rPr>
        <w:t xml:space="preserve">As part of preparing this report, industry representatives have provided their perspectives on the purpose of these qualifications, which is </w:t>
      </w:r>
      <w:proofErr w:type="spellStart"/>
      <w:r>
        <w:rPr>
          <w:szCs w:val="20"/>
          <w:lang w:eastAsia="en-US"/>
        </w:rPr>
        <w:t>summarised</w:t>
      </w:r>
      <w:proofErr w:type="spellEnd"/>
      <w:r>
        <w:rPr>
          <w:szCs w:val="20"/>
          <w:lang w:eastAsia="en-US"/>
        </w:rPr>
        <w:t xml:space="preserve"> in </w:t>
      </w:r>
      <w:r w:rsidR="00176835">
        <w:rPr>
          <w:szCs w:val="20"/>
          <w:lang w:eastAsia="en-US"/>
        </w:rPr>
        <w:t xml:space="preserve">Figure 2 </w:t>
      </w:r>
      <w:r>
        <w:rPr>
          <w:szCs w:val="20"/>
          <w:lang w:eastAsia="en-US"/>
        </w:rPr>
        <w:t xml:space="preserve">and helps to read </w:t>
      </w:r>
      <w:r w:rsidR="00B33F38">
        <w:rPr>
          <w:szCs w:val="20"/>
          <w:lang w:eastAsia="en-US"/>
        </w:rPr>
        <w:t>Table 9</w:t>
      </w:r>
      <w:r>
        <w:rPr>
          <w:szCs w:val="20"/>
          <w:lang w:eastAsia="en-US"/>
        </w:rPr>
        <w:t>.</w:t>
      </w:r>
    </w:p>
    <w:p w14:paraId="05003308" w14:textId="2C4A8D1E" w:rsidR="00CF3FAF" w:rsidRPr="00E86120" w:rsidRDefault="00CF3FAF" w:rsidP="00CF3FAF">
      <w:pPr>
        <w:pStyle w:val="Caption"/>
        <w:keepNext/>
        <w:rPr>
          <w:sz w:val="20"/>
          <w:szCs w:val="20"/>
        </w:rPr>
      </w:pPr>
      <w:r w:rsidRPr="00E86120">
        <w:rPr>
          <w:sz w:val="20"/>
          <w:szCs w:val="20"/>
        </w:rPr>
        <w:lastRenderedPageBreak/>
        <w:t xml:space="preserve">Figure </w:t>
      </w:r>
      <w:r w:rsidRPr="00E86120">
        <w:rPr>
          <w:sz w:val="20"/>
          <w:szCs w:val="20"/>
        </w:rPr>
        <w:fldChar w:fldCharType="begin"/>
      </w:r>
      <w:r w:rsidRPr="00E86120">
        <w:rPr>
          <w:sz w:val="20"/>
          <w:szCs w:val="20"/>
        </w:rPr>
        <w:instrText xml:space="preserve"> SEQ Figure \* ARABIC </w:instrText>
      </w:r>
      <w:r w:rsidRPr="00E86120">
        <w:rPr>
          <w:sz w:val="20"/>
          <w:szCs w:val="20"/>
        </w:rPr>
        <w:fldChar w:fldCharType="separate"/>
      </w:r>
      <w:r w:rsidR="00C435CB">
        <w:rPr>
          <w:noProof/>
          <w:sz w:val="20"/>
          <w:szCs w:val="20"/>
        </w:rPr>
        <w:t>2</w:t>
      </w:r>
      <w:r w:rsidRPr="00E86120">
        <w:rPr>
          <w:sz w:val="20"/>
          <w:szCs w:val="20"/>
        </w:rPr>
        <w:fldChar w:fldCharType="end"/>
      </w:r>
      <w:r w:rsidRPr="00E86120">
        <w:rPr>
          <w:sz w:val="20"/>
          <w:szCs w:val="20"/>
        </w:rPr>
        <w:t xml:space="preserve"> | VET pipeline key</w:t>
      </w:r>
    </w:p>
    <w:tbl>
      <w:tblPr>
        <w:tblStyle w:val="TableGrid"/>
        <w:tblpPr w:leftFromText="181" w:rightFromText="181" w:topFromText="142" w:bottomFromText="142" w:vertAnchor="text" w:horzAnchor="margin" w:tblpY="13"/>
        <w:tblOverlap w:val="never"/>
        <w:tblW w:w="5000" w:type="pct"/>
        <w:tblBorders>
          <w:top w:val="single" w:sz="18" w:space="0" w:color="000000" w:themeColor="text1"/>
          <w:left w:val="single" w:sz="18" w:space="0" w:color="000000" w:themeColor="text1"/>
          <w:bottom w:val="single" w:sz="18" w:space="0" w:color="000000" w:themeColor="text1"/>
          <w:right w:val="single" w:sz="18" w:space="0" w:color="000000" w:themeColor="text1"/>
          <w:insideH w:val="none" w:sz="0" w:space="0" w:color="auto"/>
          <w:insideV w:val="none" w:sz="0" w:space="0" w:color="auto"/>
        </w:tblBorders>
        <w:shd w:val="clear" w:color="auto" w:fill="FFFFFF" w:themeFill="background1"/>
        <w:tblCellMar>
          <w:top w:w="142" w:type="dxa"/>
          <w:left w:w="170" w:type="dxa"/>
          <w:bottom w:w="142" w:type="dxa"/>
          <w:right w:w="170" w:type="dxa"/>
        </w:tblCellMar>
        <w:tblLook w:val="04A0" w:firstRow="1" w:lastRow="0" w:firstColumn="1" w:lastColumn="0" w:noHBand="0" w:noVBand="1"/>
      </w:tblPr>
      <w:tblGrid>
        <w:gridCol w:w="9025"/>
      </w:tblGrid>
      <w:tr w:rsidR="00CF3FAF" w:rsidRPr="00730286" w14:paraId="18D3D0F2" w14:textId="77777777" w:rsidTr="00144246">
        <w:trPr>
          <w:trHeight w:val="538"/>
        </w:trPr>
        <w:tc>
          <w:tcPr>
            <w:tcW w:w="9041" w:type="dxa"/>
            <w:shd w:val="clear" w:color="auto" w:fill="FFFFFF" w:themeFill="background1"/>
          </w:tcPr>
          <w:p w14:paraId="73B27A1E" w14:textId="77777777" w:rsidR="00CF3FAF" w:rsidRDefault="00CF3FAF" w:rsidP="0058069B">
            <w:pPr>
              <w:pStyle w:val="NormalTablesListBullet"/>
              <w:numPr>
                <w:ilvl w:val="0"/>
                <w:numId w:val="20"/>
              </w:numPr>
              <w:tabs>
                <w:tab w:val="clear" w:pos="567"/>
                <w:tab w:val="num" w:pos="284"/>
              </w:tabs>
              <w:ind w:left="284" w:hanging="284"/>
            </w:pPr>
            <w:r>
              <w:rPr>
                <w:sz w:val="28"/>
                <w:szCs w:val="28"/>
                <w:vertAlign w:val="superscript"/>
              </w:rPr>
              <w:t>‘</w:t>
            </w:r>
            <w:r w:rsidRPr="0073233E">
              <w:rPr>
                <w:sz w:val="28"/>
                <w:szCs w:val="28"/>
                <w:vertAlign w:val="superscript"/>
              </w:rPr>
              <w:t>AT</w:t>
            </w:r>
            <w:r>
              <w:rPr>
                <w:sz w:val="28"/>
                <w:szCs w:val="28"/>
                <w:vertAlign w:val="superscript"/>
              </w:rPr>
              <w:t xml:space="preserve">’ </w:t>
            </w:r>
            <w:r>
              <w:t xml:space="preserve">indicates a classroom-based course is also available as an </w:t>
            </w:r>
            <w:r w:rsidRPr="00221755">
              <w:t>apprenticeship or traineeship option</w:t>
            </w:r>
          </w:p>
          <w:p w14:paraId="2103C44A" w14:textId="77777777" w:rsidR="00CF3FAF" w:rsidRDefault="00CF3FAF" w:rsidP="0058069B">
            <w:pPr>
              <w:pStyle w:val="NormalTablesListBullet"/>
              <w:numPr>
                <w:ilvl w:val="0"/>
                <w:numId w:val="20"/>
              </w:numPr>
              <w:tabs>
                <w:tab w:val="clear" w:pos="567"/>
                <w:tab w:val="num" w:pos="284"/>
              </w:tabs>
              <w:ind w:left="284" w:hanging="284"/>
            </w:pPr>
            <w:r>
              <w:rPr>
                <w:sz w:val="28"/>
                <w:szCs w:val="28"/>
                <w:vertAlign w:val="superscript"/>
                <w:lang w:eastAsia="en-AU"/>
              </w:rPr>
              <w:t>‘</w:t>
            </w:r>
            <w:r w:rsidRPr="0073233E">
              <w:rPr>
                <w:sz w:val="28"/>
                <w:szCs w:val="28"/>
                <w:vertAlign w:val="superscript"/>
                <w:lang w:eastAsia="en-AU"/>
              </w:rPr>
              <w:t>Q</w:t>
            </w:r>
            <w:r>
              <w:rPr>
                <w:sz w:val="28"/>
                <w:szCs w:val="28"/>
                <w:vertAlign w:val="superscript"/>
                <w:lang w:eastAsia="en-AU"/>
              </w:rPr>
              <w:t>’</w:t>
            </w:r>
            <w:r w:rsidRPr="00221755">
              <w:rPr>
                <w:lang w:eastAsia="en-AU"/>
              </w:rPr>
              <w:t xml:space="preserve"> indicates</w:t>
            </w:r>
            <w:r>
              <w:rPr>
                <w:lang w:eastAsia="en-AU"/>
              </w:rPr>
              <w:t xml:space="preserve"> industry values the course as a qualification</w:t>
            </w:r>
          </w:p>
          <w:p w14:paraId="288E1A3C" w14:textId="77777777" w:rsidR="00CF3FAF" w:rsidRDefault="00CF3FAF" w:rsidP="0058069B">
            <w:pPr>
              <w:pStyle w:val="NormalTablesListBullet"/>
              <w:numPr>
                <w:ilvl w:val="0"/>
                <w:numId w:val="20"/>
              </w:numPr>
              <w:tabs>
                <w:tab w:val="clear" w:pos="567"/>
                <w:tab w:val="num" w:pos="284"/>
              </w:tabs>
              <w:ind w:left="284" w:hanging="284"/>
            </w:pPr>
            <w:r>
              <w:rPr>
                <w:sz w:val="28"/>
                <w:szCs w:val="28"/>
                <w:vertAlign w:val="superscript"/>
              </w:rPr>
              <w:t>‘</w:t>
            </w:r>
            <w:r w:rsidRPr="0073233E">
              <w:rPr>
                <w:sz w:val="28"/>
                <w:szCs w:val="28"/>
                <w:vertAlign w:val="superscript"/>
              </w:rPr>
              <w:t>SS</w:t>
            </w:r>
            <w:r>
              <w:rPr>
                <w:sz w:val="28"/>
                <w:szCs w:val="28"/>
                <w:vertAlign w:val="superscript"/>
              </w:rPr>
              <w:t xml:space="preserve">’ </w:t>
            </w:r>
            <w:r>
              <w:t>indicates industry values the course as a skill set</w:t>
            </w:r>
          </w:p>
          <w:p w14:paraId="6E9130FB" w14:textId="77777777" w:rsidR="00CF3FAF" w:rsidRDefault="00CF3FAF" w:rsidP="0058069B">
            <w:pPr>
              <w:pStyle w:val="NormalTablesListBullet"/>
              <w:numPr>
                <w:ilvl w:val="0"/>
                <w:numId w:val="20"/>
              </w:numPr>
              <w:tabs>
                <w:tab w:val="clear" w:pos="567"/>
                <w:tab w:val="num" w:pos="284"/>
              </w:tabs>
              <w:ind w:left="284" w:hanging="284"/>
            </w:pPr>
            <w:r>
              <w:rPr>
                <w:sz w:val="28"/>
                <w:szCs w:val="28"/>
                <w:vertAlign w:val="superscript"/>
              </w:rPr>
              <w:t>‘</w:t>
            </w:r>
            <w:r w:rsidRPr="0073233E">
              <w:rPr>
                <w:sz w:val="28"/>
                <w:szCs w:val="28"/>
                <w:vertAlign w:val="superscript"/>
              </w:rPr>
              <w:t>EIR</w:t>
            </w:r>
            <w:r>
              <w:rPr>
                <w:sz w:val="28"/>
                <w:szCs w:val="28"/>
                <w:vertAlign w:val="superscript"/>
              </w:rPr>
              <w:t xml:space="preserve">’ </w:t>
            </w:r>
            <w:r>
              <w:t xml:space="preserve">indicates it is an Endorsed Industry Requirement as noted by industry </w:t>
            </w:r>
          </w:p>
          <w:p w14:paraId="53110E6F" w14:textId="77777777" w:rsidR="00CF3FAF" w:rsidRDefault="00CF3FAF" w:rsidP="0058069B">
            <w:pPr>
              <w:pStyle w:val="NormalTablesListBullet"/>
              <w:numPr>
                <w:ilvl w:val="0"/>
                <w:numId w:val="20"/>
              </w:numPr>
              <w:tabs>
                <w:tab w:val="clear" w:pos="567"/>
                <w:tab w:val="num" w:pos="284"/>
              </w:tabs>
              <w:ind w:left="284" w:hanging="284"/>
            </w:pPr>
            <w:r>
              <w:rPr>
                <w:sz w:val="28"/>
                <w:szCs w:val="28"/>
                <w:vertAlign w:val="superscript"/>
              </w:rPr>
              <w:t>‘</w:t>
            </w:r>
            <w:r w:rsidRPr="0073233E">
              <w:rPr>
                <w:sz w:val="28"/>
                <w:szCs w:val="28"/>
                <w:vertAlign w:val="superscript"/>
              </w:rPr>
              <w:t>OL</w:t>
            </w:r>
            <w:r>
              <w:rPr>
                <w:sz w:val="28"/>
                <w:szCs w:val="28"/>
                <w:vertAlign w:val="superscript"/>
              </w:rPr>
              <w:t xml:space="preserve">’ </w:t>
            </w:r>
            <w:r>
              <w:t>indicates the course leads to an Occupational License as noted by industry</w:t>
            </w:r>
          </w:p>
          <w:p w14:paraId="50639EE6" w14:textId="77777777" w:rsidR="00CF3FAF" w:rsidRPr="000D69D5" w:rsidRDefault="00CF3FAF" w:rsidP="0058069B">
            <w:pPr>
              <w:pStyle w:val="NormalTablesListBullet"/>
              <w:numPr>
                <w:ilvl w:val="0"/>
                <w:numId w:val="0"/>
              </w:numPr>
            </w:pPr>
            <w:r>
              <w:t xml:space="preserve">Note: Industry </w:t>
            </w:r>
            <w:r w:rsidRPr="00221755">
              <w:t>has not provided feedback on all qualifications and where indicated; each value assignment can be reviewed in the future</w:t>
            </w:r>
            <w:r>
              <w:t>.</w:t>
            </w:r>
          </w:p>
        </w:tc>
      </w:tr>
    </w:tbl>
    <w:p w14:paraId="539B28E4" w14:textId="77777777" w:rsidR="00CF3FAF" w:rsidRDefault="00CF3FAF" w:rsidP="00CF3FAF">
      <w:pPr>
        <w:spacing w:line="240" w:lineRule="auto"/>
        <w:rPr>
          <w:rFonts w:eastAsia="Calibri" w:cs="Arial"/>
          <w:b/>
          <w:color w:val="000000"/>
          <w:sz w:val="18"/>
          <w:szCs w:val="18"/>
          <w:lang w:val="en-AU" w:eastAsia="en-US"/>
        </w:rPr>
      </w:pPr>
    </w:p>
    <w:p w14:paraId="027C8DB8" w14:textId="385A5D74" w:rsidR="00CF3FAF" w:rsidRDefault="00CF3FAF" w:rsidP="00CF3FAF">
      <w:pPr>
        <w:spacing w:line="240" w:lineRule="auto"/>
        <w:rPr>
          <w:rFonts w:eastAsia="Calibri" w:cs="Arial"/>
          <w:b/>
          <w:color w:val="000000"/>
          <w:sz w:val="18"/>
          <w:szCs w:val="18"/>
          <w:lang w:val="en-AU" w:eastAsia="en-US"/>
        </w:rPr>
      </w:pPr>
      <w:r w:rsidRPr="00D12650">
        <w:rPr>
          <w:rFonts w:eastAsia="Calibri" w:cs="Arial"/>
          <w:b/>
          <w:color w:val="000000"/>
          <w:szCs w:val="20"/>
          <w:lang w:val="en-AU" w:eastAsia="en-US"/>
        </w:rPr>
        <w:t xml:space="preserve">Table </w:t>
      </w:r>
      <w:r w:rsidRPr="00D12650">
        <w:rPr>
          <w:rFonts w:eastAsia="Calibri" w:cs="Arial"/>
          <w:b/>
          <w:bCs/>
          <w:color w:val="000000"/>
          <w:szCs w:val="20"/>
          <w:lang w:val="en-AU" w:eastAsia="en-US"/>
        </w:rPr>
        <w:fldChar w:fldCharType="begin"/>
      </w:r>
      <w:r w:rsidRPr="00D12650">
        <w:rPr>
          <w:rFonts w:eastAsia="Calibri" w:cs="Arial"/>
          <w:b/>
          <w:color w:val="000000"/>
          <w:szCs w:val="20"/>
          <w:lang w:val="en-AU" w:eastAsia="en-US"/>
        </w:rPr>
        <w:instrText xml:space="preserve"> SEQ Table \* ARABIC </w:instrText>
      </w:r>
      <w:r w:rsidRPr="00D12650">
        <w:rPr>
          <w:rFonts w:eastAsia="Calibri" w:cs="Arial"/>
          <w:b/>
          <w:bCs/>
          <w:color w:val="000000"/>
          <w:szCs w:val="20"/>
          <w:lang w:val="en-AU" w:eastAsia="en-US"/>
        </w:rPr>
        <w:fldChar w:fldCharType="separate"/>
      </w:r>
      <w:r w:rsidR="00C435CB">
        <w:rPr>
          <w:rFonts w:eastAsia="Calibri" w:cs="Arial"/>
          <w:b/>
          <w:noProof/>
          <w:color w:val="000000"/>
          <w:szCs w:val="20"/>
          <w:lang w:val="en-AU" w:eastAsia="en-US"/>
        </w:rPr>
        <w:t>9</w:t>
      </w:r>
      <w:r w:rsidRPr="00D12650">
        <w:rPr>
          <w:rFonts w:eastAsia="Calibri" w:cs="Arial"/>
          <w:b/>
          <w:bCs/>
          <w:color w:val="000000"/>
          <w:szCs w:val="20"/>
          <w:lang w:val="en-AU" w:eastAsia="en-US"/>
        </w:rPr>
        <w:fldChar w:fldCharType="end"/>
      </w:r>
      <w:r w:rsidRPr="00D12650">
        <w:rPr>
          <w:rFonts w:eastAsia="Calibri" w:cs="Arial"/>
          <w:b/>
          <w:color w:val="000000"/>
          <w:szCs w:val="20"/>
          <w:lang w:val="en-AU" w:eastAsia="en-US"/>
        </w:rPr>
        <w:t xml:space="preserve"> | </w:t>
      </w:r>
      <w:r w:rsidR="00D12650">
        <w:rPr>
          <w:rFonts w:eastAsia="Calibri" w:cs="Arial"/>
          <w:b/>
          <w:color w:val="000000"/>
          <w:szCs w:val="20"/>
          <w:lang w:val="en-AU" w:eastAsia="en-US"/>
        </w:rPr>
        <w:t xml:space="preserve">Victorian </w:t>
      </w:r>
      <w:r w:rsidRPr="00D12650">
        <w:rPr>
          <w:rFonts w:eastAsia="Calibri" w:cs="Arial"/>
          <w:b/>
          <w:color w:val="000000"/>
          <w:szCs w:val="20"/>
          <w:lang w:val="en-AU" w:eastAsia="en-US"/>
        </w:rPr>
        <w:t>VET pipeline for rental, hiring and real estate services</w:t>
      </w:r>
      <w:r w:rsidR="00DE252D" w:rsidRPr="00D12650">
        <w:rPr>
          <w:rStyle w:val="FootnoteReference"/>
          <w:sz w:val="22"/>
          <w:szCs w:val="22"/>
        </w:rPr>
        <w:footnoteReference w:id="16"/>
      </w:r>
    </w:p>
    <w:tbl>
      <w:tblPr>
        <w:tblW w:w="5000" w:type="pct"/>
        <w:tblLook w:val="04A0" w:firstRow="1" w:lastRow="0" w:firstColumn="1" w:lastColumn="0" w:noHBand="0" w:noVBand="1"/>
      </w:tblPr>
      <w:tblGrid>
        <w:gridCol w:w="6848"/>
        <w:gridCol w:w="2177"/>
      </w:tblGrid>
      <w:tr w:rsidR="00CF3FAF" w:rsidRPr="00375681" w14:paraId="539F0CC8" w14:textId="77777777" w:rsidTr="00E40AA6">
        <w:trPr>
          <w:trHeight w:val="288"/>
        </w:trPr>
        <w:tc>
          <w:tcPr>
            <w:tcW w:w="3794" w:type="pct"/>
            <w:tcBorders>
              <w:top w:val="single" w:sz="18" w:space="0" w:color="auto"/>
              <w:left w:val="single" w:sz="18" w:space="0" w:color="auto"/>
              <w:bottom w:val="single" w:sz="18" w:space="0" w:color="000000" w:themeColor="text1"/>
            </w:tcBorders>
            <w:shd w:val="clear" w:color="auto" w:fill="000000" w:themeFill="text1"/>
            <w:noWrap/>
            <w:vAlign w:val="bottom"/>
            <w:hideMark/>
          </w:tcPr>
          <w:p w14:paraId="7F558BFB" w14:textId="77777777" w:rsidR="00CF3FAF" w:rsidRPr="00375681" w:rsidRDefault="00CF3FAF" w:rsidP="0058069B">
            <w:pPr>
              <w:spacing w:after="0" w:line="240" w:lineRule="auto"/>
              <w:rPr>
                <w:rFonts w:eastAsia="Times New Roman" w:cs="Arial"/>
                <w:b/>
                <w:bCs/>
                <w:color w:val="FFFFFF" w:themeColor="background1"/>
                <w:szCs w:val="20"/>
                <w:lang w:val="en-AU" w:eastAsia="en-AU"/>
              </w:rPr>
            </w:pPr>
            <w:r w:rsidRPr="00375681">
              <w:rPr>
                <w:rFonts w:eastAsia="Times New Roman" w:cs="Arial"/>
                <w:b/>
                <w:bCs/>
                <w:color w:val="FFFFFF" w:themeColor="background1"/>
                <w:szCs w:val="20"/>
                <w:lang w:val="en-AU" w:eastAsia="en-AU"/>
              </w:rPr>
              <w:t>Prior to employment</w:t>
            </w:r>
          </w:p>
        </w:tc>
        <w:tc>
          <w:tcPr>
            <w:tcW w:w="1206" w:type="pct"/>
            <w:tcBorders>
              <w:top w:val="single" w:sz="18" w:space="0" w:color="auto"/>
              <w:bottom w:val="single" w:sz="18" w:space="0" w:color="000000" w:themeColor="text1"/>
              <w:right w:val="single" w:sz="18" w:space="0" w:color="auto"/>
            </w:tcBorders>
            <w:shd w:val="clear" w:color="auto" w:fill="000000" w:themeFill="text1"/>
            <w:noWrap/>
            <w:vAlign w:val="bottom"/>
            <w:hideMark/>
          </w:tcPr>
          <w:p w14:paraId="0FE8089C" w14:textId="77777777" w:rsidR="00CF3FAF" w:rsidRPr="00375681" w:rsidRDefault="00CF3FAF" w:rsidP="0058069B">
            <w:pPr>
              <w:spacing w:after="0" w:line="240" w:lineRule="auto"/>
              <w:jc w:val="right"/>
              <w:rPr>
                <w:rFonts w:eastAsia="Times New Roman" w:cs="Arial"/>
                <w:b/>
                <w:bCs/>
                <w:color w:val="000000"/>
                <w:szCs w:val="20"/>
                <w:lang w:val="en-AU" w:eastAsia="en-AU"/>
              </w:rPr>
            </w:pPr>
          </w:p>
        </w:tc>
      </w:tr>
      <w:tr w:rsidR="00E15126" w:rsidRPr="00375681" w14:paraId="24C5655C" w14:textId="77777777" w:rsidTr="00E40AA6">
        <w:trPr>
          <w:trHeight w:val="288"/>
        </w:trPr>
        <w:tc>
          <w:tcPr>
            <w:tcW w:w="3794" w:type="pct"/>
            <w:tcBorders>
              <w:top w:val="single" w:sz="18" w:space="0" w:color="000000" w:themeColor="text1"/>
              <w:left w:val="single" w:sz="18" w:space="0" w:color="auto"/>
              <w:bottom w:val="single" w:sz="18" w:space="0" w:color="000000" w:themeColor="text1"/>
              <w:right w:val="nil"/>
            </w:tcBorders>
            <w:shd w:val="clear" w:color="auto" w:fill="FFFFFF" w:themeFill="background1"/>
            <w:noWrap/>
            <w:vAlign w:val="bottom"/>
            <w:hideMark/>
          </w:tcPr>
          <w:p w14:paraId="17BA32C5" w14:textId="77777777" w:rsidR="00CF3FAF" w:rsidRPr="00375681" w:rsidRDefault="00CF3FAF" w:rsidP="0058069B">
            <w:pPr>
              <w:spacing w:after="0" w:line="240" w:lineRule="auto"/>
              <w:rPr>
                <w:rFonts w:eastAsia="Times New Roman" w:cs="Arial"/>
                <w:b/>
                <w:bCs/>
                <w:color w:val="000000" w:themeColor="text1"/>
                <w:szCs w:val="20"/>
                <w:lang w:val="en-AU" w:eastAsia="en-AU"/>
              </w:rPr>
            </w:pPr>
            <w:r w:rsidRPr="00375681">
              <w:rPr>
                <w:rFonts w:eastAsia="Times New Roman" w:cs="Arial"/>
                <w:b/>
                <w:bCs/>
                <w:color w:val="000000" w:themeColor="text1"/>
                <w:szCs w:val="20"/>
                <w:lang w:val="en-AU" w:eastAsia="en-AU"/>
              </w:rPr>
              <w:t>Qualifications (3,930 TVA enrolments 2020)</w:t>
            </w:r>
          </w:p>
        </w:tc>
        <w:tc>
          <w:tcPr>
            <w:tcW w:w="1206" w:type="pct"/>
            <w:tcBorders>
              <w:top w:val="single" w:sz="18" w:space="0" w:color="000000" w:themeColor="text1"/>
              <w:left w:val="nil"/>
              <w:bottom w:val="single" w:sz="18" w:space="0" w:color="000000" w:themeColor="text1"/>
              <w:right w:val="single" w:sz="18" w:space="0" w:color="auto"/>
            </w:tcBorders>
            <w:shd w:val="clear" w:color="auto" w:fill="FFFFFF" w:themeFill="background1"/>
            <w:noWrap/>
            <w:vAlign w:val="bottom"/>
            <w:hideMark/>
          </w:tcPr>
          <w:p w14:paraId="5D3A686F" w14:textId="77777777" w:rsidR="00CF3FAF" w:rsidRPr="00375681" w:rsidRDefault="00CF3FAF" w:rsidP="0058069B">
            <w:pPr>
              <w:spacing w:after="0" w:line="240" w:lineRule="auto"/>
              <w:jc w:val="right"/>
              <w:rPr>
                <w:rFonts w:eastAsia="Times New Roman" w:cs="Arial"/>
                <w:color w:val="000000" w:themeColor="text1"/>
                <w:szCs w:val="20"/>
                <w:lang w:val="en-AU" w:eastAsia="en-AU"/>
              </w:rPr>
            </w:pPr>
          </w:p>
        </w:tc>
      </w:tr>
      <w:tr w:rsidR="00CF3FAF" w:rsidRPr="00375681" w14:paraId="06F52A40" w14:textId="77777777" w:rsidTr="00E40AA6">
        <w:trPr>
          <w:trHeight w:val="288"/>
        </w:trPr>
        <w:tc>
          <w:tcPr>
            <w:tcW w:w="3794" w:type="pct"/>
            <w:tcBorders>
              <w:top w:val="single" w:sz="18" w:space="0" w:color="000000" w:themeColor="text1"/>
              <w:left w:val="single" w:sz="18" w:space="0" w:color="auto"/>
              <w:bottom w:val="nil"/>
              <w:right w:val="nil"/>
            </w:tcBorders>
            <w:shd w:val="clear" w:color="auto" w:fill="auto"/>
            <w:noWrap/>
            <w:vAlign w:val="bottom"/>
            <w:hideMark/>
          </w:tcPr>
          <w:p w14:paraId="43CE37A3" w14:textId="77777777" w:rsidR="00CF3FAF" w:rsidRPr="00375681" w:rsidRDefault="00CF3FAF" w:rsidP="0058069B">
            <w:pPr>
              <w:spacing w:after="0" w:line="240" w:lineRule="auto"/>
              <w:ind w:firstLineChars="100" w:firstLine="201"/>
              <w:rPr>
                <w:rFonts w:eastAsia="Times New Roman" w:cs="Arial"/>
                <w:b/>
                <w:bCs/>
                <w:color w:val="000000"/>
                <w:szCs w:val="20"/>
                <w:lang w:val="en-AU" w:eastAsia="en-AU"/>
              </w:rPr>
            </w:pPr>
            <w:r w:rsidRPr="00375681">
              <w:rPr>
                <w:rFonts w:eastAsia="Times New Roman" w:cs="Arial"/>
                <w:b/>
                <w:bCs/>
                <w:color w:val="000000"/>
                <w:szCs w:val="20"/>
                <w:lang w:val="en-AU" w:eastAsia="en-AU"/>
              </w:rPr>
              <w:t>Certificate IV</w:t>
            </w:r>
          </w:p>
        </w:tc>
        <w:tc>
          <w:tcPr>
            <w:tcW w:w="1206" w:type="pct"/>
            <w:tcBorders>
              <w:top w:val="single" w:sz="18" w:space="0" w:color="000000" w:themeColor="text1"/>
              <w:left w:val="nil"/>
              <w:bottom w:val="nil"/>
              <w:right w:val="single" w:sz="18" w:space="0" w:color="auto"/>
            </w:tcBorders>
            <w:shd w:val="clear" w:color="auto" w:fill="auto"/>
            <w:noWrap/>
            <w:vAlign w:val="bottom"/>
            <w:hideMark/>
          </w:tcPr>
          <w:p w14:paraId="5939516A" w14:textId="77777777" w:rsidR="00CF3FAF" w:rsidRPr="00375681" w:rsidRDefault="00CF3FAF" w:rsidP="0058069B">
            <w:pPr>
              <w:spacing w:after="0" w:line="240" w:lineRule="auto"/>
              <w:jc w:val="right"/>
              <w:rPr>
                <w:rFonts w:eastAsia="Times New Roman" w:cs="Arial"/>
                <w:b/>
                <w:bCs/>
                <w:color w:val="000000"/>
                <w:szCs w:val="20"/>
                <w:lang w:val="en-AU" w:eastAsia="en-AU"/>
              </w:rPr>
            </w:pPr>
            <w:r w:rsidRPr="00375681">
              <w:rPr>
                <w:rFonts w:eastAsia="Times New Roman" w:cs="Arial"/>
                <w:b/>
                <w:bCs/>
                <w:color w:val="000000"/>
                <w:szCs w:val="20"/>
                <w:lang w:val="en-AU" w:eastAsia="en-AU"/>
              </w:rPr>
              <w:t>3,930</w:t>
            </w:r>
          </w:p>
        </w:tc>
      </w:tr>
      <w:tr w:rsidR="00CF3FAF" w:rsidRPr="00375681" w14:paraId="693354C5" w14:textId="77777777" w:rsidTr="00E40AA6">
        <w:trPr>
          <w:trHeight w:val="288"/>
        </w:trPr>
        <w:tc>
          <w:tcPr>
            <w:tcW w:w="3794" w:type="pct"/>
            <w:tcBorders>
              <w:top w:val="nil"/>
              <w:left w:val="single" w:sz="18" w:space="0" w:color="auto"/>
              <w:bottom w:val="single" w:sz="18" w:space="0" w:color="000000" w:themeColor="text1"/>
              <w:right w:val="nil"/>
            </w:tcBorders>
            <w:shd w:val="clear" w:color="auto" w:fill="auto"/>
            <w:noWrap/>
            <w:vAlign w:val="bottom"/>
            <w:hideMark/>
          </w:tcPr>
          <w:p w14:paraId="06628B75" w14:textId="77777777" w:rsidR="00CF3FAF" w:rsidRPr="00375681" w:rsidRDefault="00CF3FAF" w:rsidP="0058069B">
            <w:pPr>
              <w:spacing w:after="0" w:line="240" w:lineRule="auto"/>
              <w:ind w:firstLineChars="200" w:firstLine="400"/>
              <w:rPr>
                <w:rFonts w:eastAsia="Times New Roman" w:cs="Arial"/>
                <w:color w:val="000000"/>
                <w:szCs w:val="20"/>
                <w:lang w:val="en-AU" w:eastAsia="en-AU"/>
              </w:rPr>
            </w:pPr>
            <w:r w:rsidRPr="00375681">
              <w:rPr>
                <w:rFonts w:eastAsia="Times New Roman" w:cs="Arial"/>
                <w:color w:val="000000"/>
                <w:szCs w:val="20"/>
                <w:lang w:val="en-AU" w:eastAsia="en-AU"/>
              </w:rPr>
              <w:t>Certificate IV in Real Estate Practice (Q,AT,EIR)</w:t>
            </w:r>
          </w:p>
        </w:tc>
        <w:tc>
          <w:tcPr>
            <w:tcW w:w="1206" w:type="pct"/>
            <w:tcBorders>
              <w:top w:val="nil"/>
              <w:left w:val="nil"/>
              <w:bottom w:val="single" w:sz="18" w:space="0" w:color="000000" w:themeColor="text1"/>
              <w:right w:val="single" w:sz="18" w:space="0" w:color="auto"/>
            </w:tcBorders>
            <w:shd w:val="clear" w:color="auto" w:fill="auto"/>
            <w:noWrap/>
            <w:vAlign w:val="bottom"/>
            <w:hideMark/>
          </w:tcPr>
          <w:p w14:paraId="0D8CAF72" w14:textId="77777777" w:rsidR="00CF3FAF" w:rsidRPr="00375681" w:rsidRDefault="00CF3FAF" w:rsidP="0058069B">
            <w:pPr>
              <w:spacing w:after="0" w:line="240" w:lineRule="auto"/>
              <w:jc w:val="right"/>
              <w:rPr>
                <w:rFonts w:eastAsia="Times New Roman" w:cs="Arial"/>
                <w:color w:val="000000"/>
                <w:szCs w:val="20"/>
                <w:lang w:val="en-AU" w:eastAsia="en-AU"/>
              </w:rPr>
            </w:pPr>
            <w:r w:rsidRPr="00375681">
              <w:rPr>
                <w:rFonts w:eastAsia="Times New Roman" w:cs="Arial"/>
                <w:color w:val="000000"/>
                <w:szCs w:val="20"/>
                <w:lang w:val="en-AU" w:eastAsia="en-AU"/>
              </w:rPr>
              <w:t>3,930</w:t>
            </w:r>
          </w:p>
        </w:tc>
      </w:tr>
      <w:tr w:rsidR="00CF3FAF" w:rsidRPr="00375681" w14:paraId="379263F1" w14:textId="77777777" w:rsidTr="00E40AA6">
        <w:trPr>
          <w:trHeight w:val="288"/>
        </w:trPr>
        <w:tc>
          <w:tcPr>
            <w:tcW w:w="3794" w:type="pct"/>
            <w:tcBorders>
              <w:top w:val="single" w:sz="18" w:space="0" w:color="000000" w:themeColor="text1"/>
              <w:left w:val="single" w:sz="18" w:space="0" w:color="auto"/>
              <w:bottom w:val="single" w:sz="18" w:space="0" w:color="000000" w:themeColor="text1"/>
              <w:right w:val="nil"/>
            </w:tcBorders>
            <w:shd w:val="clear" w:color="auto" w:fill="000000" w:themeFill="text1"/>
            <w:noWrap/>
            <w:vAlign w:val="bottom"/>
            <w:hideMark/>
          </w:tcPr>
          <w:p w14:paraId="7147F7C9" w14:textId="77777777" w:rsidR="00CF3FAF" w:rsidRPr="00375681" w:rsidRDefault="00CF3FAF" w:rsidP="0058069B">
            <w:pPr>
              <w:spacing w:after="0" w:line="240" w:lineRule="auto"/>
              <w:rPr>
                <w:rFonts w:eastAsia="Times New Roman" w:cs="Arial"/>
                <w:b/>
                <w:bCs/>
                <w:color w:val="FFFFFF" w:themeColor="background1"/>
                <w:szCs w:val="20"/>
                <w:lang w:val="en-AU" w:eastAsia="en-AU"/>
              </w:rPr>
            </w:pPr>
            <w:r w:rsidRPr="00375681">
              <w:rPr>
                <w:rFonts w:eastAsia="Times New Roman" w:cs="Arial"/>
                <w:b/>
                <w:bCs/>
                <w:color w:val="FFFFFF" w:themeColor="background1"/>
                <w:szCs w:val="20"/>
                <w:lang w:val="en-AU" w:eastAsia="en-AU"/>
              </w:rPr>
              <w:t>With employment (apprenticeship and traineeship)</w:t>
            </w:r>
          </w:p>
        </w:tc>
        <w:tc>
          <w:tcPr>
            <w:tcW w:w="1206" w:type="pct"/>
            <w:tcBorders>
              <w:top w:val="single" w:sz="18" w:space="0" w:color="000000" w:themeColor="text1"/>
              <w:left w:val="nil"/>
              <w:bottom w:val="single" w:sz="18" w:space="0" w:color="000000" w:themeColor="text1"/>
              <w:right w:val="single" w:sz="18" w:space="0" w:color="auto"/>
            </w:tcBorders>
            <w:shd w:val="clear" w:color="auto" w:fill="000000" w:themeFill="text1"/>
            <w:noWrap/>
            <w:vAlign w:val="bottom"/>
            <w:hideMark/>
          </w:tcPr>
          <w:p w14:paraId="70F9BB46" w14:textId="77777777" w:rsidR="00CF3FAF" w:rsidRPr="00375681" w:rsidRDefault="00CF3FAF" w:rsidP="0058069B">
            <w:pPr>
              <w:spacing w:after="0" w:line="240" w:lineRule="auto"/>
              <w:jc w:val="right"/>
              <w:rPr>
                <w:rFonts w:eastAsia="Times New Roman" w:cs="Arial"/>
                <w:b/>
                <w:bCs/>
                <w:color w:val="000000"/>
                <w:szCs w:val="20"/>
                <w:lang w:val="en-AU" w:eastAsia="en-AU"/>
              </w:rPr>
            </w:pPr>
          </w:p>
        </w:tc>
      </w:tr>
      <w:tr w:rsidR="00E15126" w:rsidRPr="00375681" w14:paraId="621FFD22" w14:textId="77777777" w:rsidTr="00E40AA6">
        <w:trPr>
          <w:trHeight w:val="288"/>
        </w:trPr>
        <w:tc>
          <w:tcPr>
            <w:tcW w:w="3794" w:type="pct"/>
            <w:tcBorders>
              <w:top w:val="single" w:sz="18" w:space="0" w:color="000000" w:themeColor="text1"/>
              <w:left w:val="single" w:sz="18" w:space="0" w:color="auto"/>
              <w:bottom w:val="single" w:sz="18" w:space="0" w:color="000000" w:themeColor="text1"/>
              <w:right w:val="nil"/>
            </w:tcBorders>
            <w:shd w:val="clear" w:color="auto" w:fill="FFFFFF" w:themeFill="background1"/>
            <w:noWrap/>
            <w:vAlign w:val="bottom"/>
            <w:hideMark/>
          </w:tcPr>
          <w:p w14:paraId="0610E39B" w14:textId="77777777" w:rsidR="00CF3FAF" w:rsidRPr="00375681" w:rsidRDefault="00CF3FAF" w:rsidP="0058069B">
            <w:pPr>
              <w:spacing w:after="0" w:line="240" w:lineRule="auto"/>
              <w:rPr>
                <w:rFonts w:eastAsia="Times New Roman" w:cs="Arial"/>
                <w:b/>
                <w:bCs/>
                <w:color w:val="000000" w:themeColor="text1"/>
                <w:szCs w:val="20"/>
                <w:lang w:val="en-AU" w:eastAsia="en-AU"/>
              </w:rPr>
            </w:pPr>
            <w:r w:rsidRPr="00375681">
              <w:rPr>
                <w:rFonts w:eastAsia="Times New Roman" w:cs="Arial"/>
                <w:b/>
                <w:bCs/>
                <w:color w:val="000000" w:themeColor="text1"/>
                <w:szCs w:val="20"/>
                <w:lang w:val="en-AU" w:eastAsia="en-AU"/>
              </w:rPr>
              <w:t>Qualifications (121 TVA enrolments 2020)</w:t>
            </w:r>
          </w:p>
        </w:tc>
        <w:tc>
          <w:tcPr>
            <w:tcW w:w="1206" w:type="pct"/>
            <w:tcBorders>
              <w:top w:val="single" w:sz="18" w:space="0" w:color="000000" w:themeColor="text1"/>
              <w:left w:val="nil"/>
              <w:bottom w:val="single" w:sz="18" w:space="0" w:color="000000" w:themeColor="text1"/>
              <w:right w:val="single" w:sz="18" w:space="0" w:color="auto"/>
            </w:tcBorders>
            <w:shd w:val="clear" w:color="auto" w:fill="FFFFFF" w:themeFill="background1"/>
            <w:noWrap/>
            <w:vAlign w:val="bottom"/>
            <w:hideMark/>
          </w:tcPr>
          <w:p w14:paraId="50F8569F" w14:textId="77777777" w:rsidR="00CF3FAF" w:rsidRPr="00375681" w:rsidRDefault="00CF3FAF" w:rsidP="0058069B">
            <w:pPr>
              <w:spacing w:after="0" w:line="240" w:lineRule="auto"/>
              <w:jc w:val="right"/>
              <w:rPr>
                <w:rFonts w:eastAsia="Times New Roman" w:cs="Arial"/>
                <w:color w:val="000000" w:themeColor="text1"/>
                <w:szCs w:val="20"/>
                <w:lang w:val="en-AU" w:eastAsia="en-AU"/>
              </w:rPr>
            </w:pPr>
          </w:p>
        </w:tc>
      </w:tr>
      <w:tr w:rsidR="00CF3FAF" w:rsidRPr="00375681" w14:paraId="1C8C750F" w14:textId="77777777" w:rsidTr="00E40AA6">
        <w:trPr>
          <w:trHeight w:val="288"/>
        </w:trPr>
        <w:tc>
          <w:tcPr>
            <w:tcW w:w="3794" w:type="pct"/>
            <w:tcBorders>
              <w:top w:val="single" w:sz="18" w:space="0" w:color="000000" w:themeColor="text1"/>
              <w:left w:val="single" w:sz="18" w:space="0" w:color="auto"/>
              <w:bottom w:val="nil"/>
              <w:right w:val="nil"/>
            </w:tcBorders>
            <w:shd w:val="clear" w:color="auto" w:fill="auto"/>
            <w:noWrap/>
            <w:vAlign w:val="bottom"/>
            <w:hideMark/>
          </w:tcPr>
          <w:p w14:paraId="003EE65C" w14:textId="77777777" w:rsidR="00CF3FAF" w:rsidRPr="00375681" w:rsidRDefault="00CF3FAF" w:rsidP="0058069B">
            <w:pPr>
              <w:spacing w:after="0" w:line="240" w:lineRule="auto"/>
              <w:ind w:firstLineChars="100" w:firstLine="201"/>
              <w:rPr>
                <w:rFonts w:eastAsia="Times New Roman" w:cs="Arial"/>
                <w:b/>
                <w:bCs/>
                <w:color w:val="000000"/>
                <w:szCs w:val="20"/>
                <w:lang w:val="en-AU" w:eastAsia="en-AU"/>
              </w:rPr>
            </w:pPr>
            <w:r w:rsidRPr="00375681">
              <w:rPr>
                <w:rFonts w:eastAsia="Times New Roman" w:cs="Arial"/>
                <w:b/>
                <w:bCs/>
                <w:color w:val="000000"/>
                <w:szCs w:val="20"/>
                <w:lang w:val="en-AU" w:eastAsia="en-AU"/>
              </w:rPr>
              <w:t>Certificate IV</w:t>
            </w:r>
          </w:p>
        </w:tc>
        <w:tc>
          <w:tcPr>
            <w:tcW w:w="1206" w:type="pct"/>
            <w:tcBorders>
              <w:top w:val="single" w:sz="18" w:space="0" w:color="000000" w:themeColor="text1"/>
              <w:left w:val="nil"/>
              <w:bottom w:val="nil"/>
              <w:right w:val="single" w:sz="18" w:space="0" w:color="auto"/>
            </w:tcBorders>
            <w:shd w:val="clear" w:color="auto" w:fill="auto"/>
            <w:noWrap/>
            <w:vAlign w:val="bottom"/>
            <w:hideMark/>
          </w:tcPr>
          <w:p w14:paraId="08180535" w14:textId="77777777" w:rsidR="00CF3FAF" w:rsidRPr="00375681" w:rsidRDefault="00CF3FAF" w:rsidP="0058069B">
            <w:pPr>
              <w:spacing w:after="0" w:line="240" w:lineRule="auto"/>
              <w:jc w:val="right"/>
              <w:rPr>
                <w:rFonts w:eastAsia="Times New Roman" w:cs="Arial"/>
                <w:b/>
                <w:bCs/>
                <w:color w:val="000000"/>
                <w:szCs w:val="20"/>
                <w:lang w:val="en-AU" w:eastAsia="en-AU"/>
              </w:rPr>
            </w:pPr>
            <w:r w:rsidRPr="00375681">
              <w:rPr>
                <w:rFonts w:eastAsia="Times New Roman" w:cs="Arial"/>
                <w:b/>
                <w:bCs/>
                <w:color w:val="000000"/>
                <w:szCs w:val="20"/>
                <w:lang w:val="en-AU" w:eastAsia="en-AU"/>
              </w:rPr>
              <w:t>121</w:t>
            </w:r>
          </w:p>
        </w:tc>
      </w:tr>
      <w:tr w:rsidR="00CF3FAF" w:rsidRPr="00375681" w14:paraId="775EC838" w14:textId="77777777" w:rsidTr="00E40AA6">
        <w:trPr>
          <w:trHeight w:val="288"/>
        </w:trPr>
        <w:tc>
          <w:tcPr>
            <w:tcW w:w="3794" w:type="pct"/>
            <w:tcBorders>
              <w:top w:val="nil"/>
              <w:left w:val="single" w:sz="18" w:space="0" w:color="auto"/>
              <w:bottom w:val="single" w:sz="18" w:space="0" w:color="000000" w:themeColor="text1"/>
              <w:right w:val="nil"/>
            </w:tcBorders>
            <w:shd w:val="clear" w:color="auto" w:fill="auto"/>
            <w:noWrap/>
            <w:vAlign w:val="bottom"/>
            <w:hideMark/>
          </w:tcPr>
          <w:p w14:paraId="53738825" w14:textId="77777777" w:rsidR="00CF3FAF" w:rsidRPr="00375681" w:rsidRDefault="00CF3FAF" w:rsidP="0058069B">
            <w:pPr>
              <w:spacing w:after="0" w:line="240" w:lineRule="auto"/>
              <w:ind w:firstLineChars="200" w:firstLine="400"/>
              <w:rPr>
                <w:rFonts w:eastAsia="Times New Roman" w:cs="Arial"/>
                <w:color w:val="000000"/>
                <w:szCs w:val="20"/>
                <w:lang w:val="en-AU" w:eastAsia="en-AU"/>
              </w:rPr>
            </w:pPr>
            <w:r w:rsidRPr="00375681">
              <w:rPr>
                <w:rFonts w:eastAsia="Times New Roman" w:cs="Arial"/>
                <w:color w:val="000000"/>
                <w:szCs w:val="20"/>
                <w:lang w:val="en-AU" w:eastAsia="en-AU"/>
              </w:rPr>
              <w:t>Certificate IV in Real Estate Practice (Q,EIR)</w:t>
            </w:r>
          </w:p>
        </w:tc>
        <w:tc>
          <w:tcPr>
            <w:tcW w:w="1206" w:type="pct"/>
            <w:tcBorders>
              <w:top w:val="nil"/>
              <w:left w:val="nil"/>
              <w:bottom w:val="single" w:sz="18" w:space="0" w:color="000000" w:themeColor="text1"/>
              <w:right w:val="single" w:sz="18" w:space="0" w:color="auto"/>
            </w:tcBorders>
            <w:shd w:val="clear" w:color="auto" w:fill="auto"/>
            <w:noWrap/>
            <w:vAlign w:val="bottom"/>
            <w:hideMark/>
          </w:tcPr>
          <w:p w14:paraId="123ADDE1" w14:textId="77777777" w:rsidR="00CF3FAF" w:rsidRPr="00375681" w:rsidRDefault="00CF3FAF" w:rsidP="0058069B">
            <w:pPr>
              <w:spacing w:after="0" w:line="240" w:lineRule="auto"/>
              <w:jc w:val="right"/>
              <w:rPr>
                <w:rFonts w:eastAsia="Times New Roman" w:cs="Arial"/>
                <w:color w:val="000000"/>
                <w:szCs w:val="20"/>
                <w:lang w:val="en-AU" w:eastAsia="en-AU"/>
              </w:rPr>
            </w:pPr>
            <w:r w:rsidRPr="00375681">
              <w:rPr>
                <w:rFonts w:eastAsia="Times New Roman" w:cs="Arial"/>
                <w:color w:val="000000"/>
                <w:szCs w:val="20"/>
                <w:lang w:val="en-AU" w:eastAsia="en-AU"/>
              </w:rPr>
              <w:t>121</w:t>
            </w:r>
          </w:p>
        </w:tc>
      </w:tr>
      <w:tr w:rsidR="00CF3FAF" w:rsidRPr="00375681" w14:paraId="35C13EAF" w14:textId="77777777" w:rsidTr="00E40AA6">
        <w:trPr>
          <w:trHeight w:val="288"/>
        </w:trPr>
        <w:tc>
          <w:tcPr>
            <w:tcW w:w="3794" w:type="pct"/>
            <w:tcBorders>
              <w:top w:val="single" w:sz="18" w:space="0" w:color="000000" w:themeColor="text1"/>
              <w:left w:val="single" w:sz="18" w:space="0" w:color="auto"/>
              <w:bottom w:val="single" w:sz="18" w:space="0" w:color="000000" w:themeColor="text1"/>
              <w:right w:val="nil"/>
            </w:tcBorders>
            <w:shd w:val="clear" w:color="auto" w:fill="000000" w:themeFill="text1"/>
            <w:noWrap/>
            <w:vAlign w:val="bottom"/>
            <w:hideMark/>
          </w:tcPr>
          <w:p w14:paraId="0A33F120" w14:textId="77777777" w:rsidR="00CF3FAF" w:rsidRPr="00375681" w:rsidRDefault="00CF3FAF" w:rsidP="0058069B">
            <w:pPr>
              <w:spacing w:after="0" w:line="240" w:lineRule="auto"/>
              <w:rPr>
                <w:rFonts w:eastAsia="Times New Roman" w:cs="Arial"/>
                <w:b/>
                <w:bCs/>
                <w:color w:val="FFFFFF" w:themeColor="background1"/>
                <w:szCs w:val="20"/>
                <w:lang w:val="en-AU" w:eastAsia="en-AU"/>
              </w:rPr>
            </w:pPr>
            <w:r w:rsidRPr="00375681">
              <w:rPr>
                <w:rFonts w:eastAsia="Times New Roman" w:cs="Arial"/>
                <w:b/>
                <w:bCs/>
                <w:color w:val="FFFFFF" w:themeColor="background1"/>
                <w:szCs w:val="20"/>
                <w:lang w:val="en-AU" w:eastAsia="en-AU"/>
              </w:rPr>
              <w:t>Upskilling once qualified</w:t>
            </w:r>
          </w:p>
        </w:tc>
        <w:tc>
          <w:tcPr>
            <w:tcW w:w="1206" w:type="pct"/>
            <w:tcBorders>
              <w:top w:val="single" w:sz="18" w:space="0" w:color="000000" w:themeColor="text1"/>
              <w:left w:val="nil"/>
              <w:bottom w:val="single" w:sz="18" w:space="0" w:color="000000" w:themeColor="text1"/>
              <w:right w:val="single" w:sz="18" w:space="0" w:color="auto"/>
            </w:tcBorders>
            <w:shd w:val="clear" w:color="auto" w:fill="000000" w:themeFill="text1"/>
            <w:noWrap/>
            <w:vAlign w:val="bottom"/>
            <w:hideMark/>
          </w:tcPr>
          <w:p w14:paraId="05B617F1" w14:textId="77777777" w:rsidR="00CF3FAF" w:rsidRPr="00375681" w:rsidRDefault="00CF3FAF" w:rsidP="0058069B">
            <w:pPr>
              <w:spacing w:after="0" w:line="240" w:lineRule="auto"/>
              <w:jc w:val="right"/>
              <w:rPr>
                <w:rFonts w:eastAsia="Times New Roman" w:cs="Arial"/>
                <w:b/>
                <w:bCs/>
                <w:color w:val="000000"/>
                <w:szCs w:val="20"/>
                <w:lang w:val="en-AU" w:eastAsia="en-AU"/>
              </w:rPr>
            </w:pPr>
          </w:p>
        </w:tc>
      </w:tr>
      <w:tr w:rsidR="00E15126" w:rsidRPr="00375681" w14:paraId="2057923A" w14:textId="77777777" w:rsidTr="00E40AA6">
        <w:trPr>
          <w:trHeight w:val="288"/>
        </w:trPr>
        <w:tc>
          <w:tcPr>
            <w:tcW w:w="3794" w:type="pct"/>
            <w:tcBorders>
              <w:top w:val="single" w:sz="18" w:space="0" w:color="000000" w:themeColor="text1"/>
              <w:left w:val="single" w:sz="18" w:space="0" w:color="auto"/>
              <w:bottom w:val="single" w:sz="18" w:space="0" w:color="000000" w:themeColor="text1"/>
              <w:right w:val="nil"/>
            </w:tcBorders>
            <w:shd w:val="clear" w:color="auto" w:fill="FFFFFF" w:themeFill="background1"/>
            <w:noWrap/>
            <w:vAlign w:val="bottom"/>
            <w:hideMark/>
          </w:tcPr>
          <w:p w14:paraId="518E9A03" w14:textId="77777777" w:rsidR="00CF3FAF" w:rsidRPr="00375681" w:rsidRDefault="00CF3FAF" w:rsidP="0058069B">
            <w:pPr>
              <w:spacing w:after="0" w:line="240" w:lineRule="auto"/>
              <w:rPr>
                <w:rFonts w:eastAsia="Times New Roman" w:cs="Arial"/>
                <w:b/>
                <w:bCs/>
                <w:color w:val="000000" w:themeColor="text1"/>
                <w:szCs w:val="20"/>
                <w:lang w:val="en-AU" w:eastAsia="en-AU"/>
              </w:rPr>
            </w:pPr>
            <w:r w:rsidRPr="00375681">
              <w:rPr>
                <w:rFonts w:eastAsia="Times New Roman" w:cs="Arial"/>
                <w:b/>
                <w:bCs/>
                <w:color w:val="000000" w:themeColor="text1"/>
                <w:szCs w:val="20"/>
                <w:lang w:val="en-AU" w:eastAsia="en-AU"/>
              </w:rPr>
              <w:t>Qualifications (17 TVA enrolments 2020)</w:t>
            </w:r>
          </w:p>
        </w:tc>
        <w:tc>
          <w:tcPr>
            <w:tcW w:w="1206" w:type="pct"/>
            <w:tcBorders>
              <w:top w:val="single" w:sz="18" w:space="0" w:color="000000" w:themeColor="text1"/>
              <w:left w:val="nil"/>
              <w:bottom w:val="single" w:sz="18" w:space="0" w:color="000000" w:themeColor="text1"/>
              <w:right w:val="single" w:sz="18" w:space="0" w:color="auto"/>
            </w:tcBorders>
            <w:shd w:val="clear" w:color="auto" w:fill="FFFFFF" w:themeFill="background1"/>
            <w:noWrap/>
            <w:vAlign w:val="bottom"/>
            <w:hideMark/>
          </w:tcPr>
          <w:p w14:paraId="66B74825" w14:textId="77777777" w:rsidR="00CF3FAF" w:rsidRPr="00375681" w:rsidRDefault="00CF3FAF" w:rsidP="0058069B">
            <w:pPr>
              <w:spacing w:after="0" w:line="240" w:lineRule="auto"/>
              <w:jc w:val="right"/>
              <w:rPr>
                <w:rFonts w:eastAsia="Times New Roman" w:cs="Arial"/>
                <w:color w:val="000000" w:themeColor="text1"/>
                <w:szCs w:val="20"/>
                <w:lang w:val="en-AU" w:eastAsia="en-AU"/>
              </w:rPr>
            </w:pPr>
          </w:p>
        </w:tc>
      </w:tr>
      <w:tr w:rsidR="00CF3FAF" w:rsidRPr="00375681" w14:paraId="0A47EB64" w14:textId="77777777" w:rsidTr="00E40AA6">
        <w:trPr>
          <w:trHeight w:val="288"/>
        </w:trPr>
        <w:tc>
          <w:tcPr>
            <w:tcW w:w="3794" w:type="pct"/>
            <w:tcBorders>
              <w:top w:val="single" w:sz="18" w:space="0" w:color="000000" w:themeColor="text1"/>
              <w:left w:val="single" w:sz="18" w:space="0" w:color="auto"/>
              <w:bottom w:val="nil"/>
              <w:right w:val="nil"/>
            </w:tcBorders>
            <w:shd w:val="clear" w:color="auto" w:fill="auto"/>
            <w:noWrap/>
            <w:vAlign w:val="bottom"/>
            <w:hideMark/>
          </w:tcPr>
          <w:p w14:paraId="5A918C4B" w14:textId="77777777" w:rsidR="00CF3FAF" w:rsidRPr="00375681" w:rsidRDefault="00CF3FAF" w:rsidP="0058069B">
            <w:pPr>
              <w:spacing w:after="0" w:line="240" w:lineRule="auto"/>
              <w:ind w:firstLineChars="100" w:firstLine="201"/>
              <w:rPr>
                <w:rFonts w:eastAsia="Times New Roman" w:cs="Arial"/>
                <w:b/>
                <w:bCs/>
                <w:color w:val="000000"/>
                <w:szCs w:val="20"/>
                <w:lang w:val="en-AU" w:eastAsia="en-AU"/>
              </w:rPr>
            </w:pPr>
            <w:r w:rsidRPr="00375681">
              <w:rPr>
                <w:rFonts w:eastAsia="Times New Roman" w:cs="Arial"/>
                <w:b/>
                <w:bCs/>
                <w:color w:val="000000"/>
                <w:szCs w:val="20"/>
                <w:lang w:val="en-AU" w:eastAsia="en-AU"/>
              </w:rPr>
              <w:t>Diploma</w:t>
            </w:r>
          </w:p>
        </w:tc>
        <w:tc>
          <w:tcPr>
            <w:tcW w:w="1206" w:type="pct"/>
            <w:tcBorders>
              <w:top w:val="single" w:sz="18" w:space="0" w:color="000000" w:themeColor="text1"/>
              <w:left w:val="nil"/>
              <w:bottom w:val="nil"/>
              <w:right w:val="single" w:sz="18" w:space="0" w:color="auto"/>
            </w:tcBorders>
            <w:shd w:val="clear" w:color="auto" w:fill="auto"/>
            <w:noWrap/>
            <w:vAlign w:val="bottom"/>
            <w:hideMark/>
          </w:tcPr>
          <w:p w14:paraId="1CBFEF31" w14:textId="77777777" w:rsidR="00CF3FAF" w:rsidRPr="00375681" w:rsidRDefault="00CF3FAF" w:rsidP="0058069B">
            <w:pPr>
              <w:spacing w:after="0" w:line="240" w:lineRule="auto"/>
              <w:jc w:val="right"/>
              <w:rPr>
                <w:rFonts w:eastAsia="Times New Roman" w:cs="Arial"/>
                <w:b/>
                <w:bCs/>
                <w:color w:val="000000"/>
                <w:szCs w:val="20"/>
                <w:lang w:val="en-AU" w:eastAsia="en-AU"/>
              </w:rPr>
            </w:pPr>
            <w:r w:rsidRPr="00375681">
              <w:rPr>
                <w:rFonts w:eastAsia="Times New Roman" w:cs="Arial"/>
                <w:b/>
                <w:bCs/>
                <w:color w:val="000000"/>
                <w:szCs w:val="20"/>
                <w:lang w:val="en-AU" w:eastAsia="en-AU"/>
              </w:rPr>
              <w:t>17</w:t>
            </w:r>
          </w:p>
        </w:tc>
      </w:tr>
      <w:tr w:rsidR="00CF3FAF" w:rsidRPr="00375681" w14:paraId="78EBDE78" w14:textId="77777777" w:rsidTr="00E40AA6">
        <w:trPr>
          <w:trHeight w:val="288"/>
        </w:trPr>
        <w:tc>
          <w:tcPr>
            <w:tcW w:w="3794" w:type="pct"/>
            <w:tcBorders>
              <w:top w:val="nil"/>
              <w:left w:val="single" w:sz="18" w:space="0" w:color="auto"/>
              <w:bottom w:val="nil"/>
              <w:right w:val="nil"/>
            </w:tcBorders>
            <w:shd w:val="clear" w:color="auto" w:fill="auto"/>
            <w:noWrap/>
            <w:vAlign w:val="bottom"/>
            <w:hideMark/>
          </w:tcPr>
          <w:p w14:paraId="041E24D6" w14:textId="77777777" w:rsidR="00CF3FAF" w:rsidRPr="00375681" w:rsidRDefault="00CF3FAF" w:rsidP="0058069B">
            <w:pPr>
              <w:spacing w:after="0" w:line="240" w:lineRule="auto"/>
              <w:ind w:firstLineChars="200" w:firstLine="400"/>
              <w:rPr>
                <w:rFonts w:eastAsia="Times New Roman" w:cs="Arial"/>
                <w:color w:val="000000"/>
                <w:szCs w:val="20"/>
                <w:lang w:val="en-AU" w:eastAsia="en-AU"/>
              </w:rPr>
            </w:pPr>
            <w:r w:rsidRPr="00375681">
              <w:rPr>
                <w:rFonts w:eastAsia="Times New Roman" w:cs="Arial"/>
                <w:color w:val="000000"/>
                <w:szCs w:val="20"/>
                <w:lang w:val="en-AU" w:eastAsia="en-AU"/>
              </w:rPr>
              <w:t>Diploma of Property (Agency Management) (Q,EIR)</w:t>
            </w:r>
          </w:p>
        </w:tc>
        <w:tc>
          <w:tcPr>
            <w:tcW w:w="1206" w:type="pct"/>
            <w:tcBorders>
              <w:top w:val="nil"/>
              <w:left w:val="nil"/>
              <w:bottom w:val="nil"/>
              <w:right w:val="single" w:sz="18" w:space="0" w:color="auto"/>
            </w:tcBorders>
            <w:shd w:val="clear" w:color="auto" w:fill="auto"/>
            <w:noWrap/>
            <w:vAlign w:val="bottom"/>
            <w:hideMark/>
          </w:tcPr>
          <w:p w14:paraId="1377E07D" w14:textId="77777777" w:rsidR="00CF3FAF" w:rsidRPr="00375681" w:rsidRDefault="00CF3FAF" w:rsidP="0058069B">
            <w:pPr>
              <w:spacing w:after="0" w:line="240" w:lineRule="auto"/>
              <w:jc w:val="right"/>
              <w:rPr>
                <w:rFonts w:eastAsia="Times New Roman" w:cs="Arial"/>
                <w:color w:val="000000"/>
                <w:szCs w:val="20"/>
                <w:lang w:val="en-AU" w:eastAsia="en-AU"/>
              </w:rPr>
            </w:pPr>
            <w:r w:rsidRPr="00375681">
              <w:rPr>
                <w:rFonts w:eastAsia="Times New Roman" w:cs="Arial"/>
                <w:color w:val="000000"/>
                <w:szCs w:val="20"/>
                <w:lang w:val="en-AU" w:eastAsia="en-AU"/>
              </w:rPr>
              <w:t>17</w:t>
            </w:r>
          </w:p>
        </w:tc>
      </w:tr>
      <w:tr w:rsidR="00CF3FAF" w:rsidRPr="00375681" w14:paraId="424A9D83" w14:textId="77777777" w:rsidTr="00E40AA6">
        <w:trPr>
          <w:trHeight w:val="288"/>
        </w:trPr>
        <w:tc>
          <w:tcPr>
            <w:tcW w:w="5000" w:type="pct"/>
            <w:gridSpan w:val="2"/>
            <w:tcBorders>
              <w:top w:val="single" w:sz="4" w:space="0" w:color="A6A6A6"/>
              <w:left w:val="single" w:sz="18" w:space="0" w:color="auto"/>
              <w:bottom w:val="single" w:sz="18" w:space="0" w:color="auto"/>
              <w:right w:val="single" w:sz="18" w:space="0" w:color="auto"/>
            </w:tcBorders>
            <w:shd w:val="clear" w:color="auto" w:fill="000000" w:themeFill="text1"/>
            <w:hideMark/>
          </w:tcPr>
          <w:p w14:paraId="0BC2913E" w14:textId="72C86547" w:rsidR="00CF3FAF" w:rsidRPr="00375681" w:rsidRDefault="00CF3FAF" w:rsidP="0058069B">
            <w:pPr>
              <w:spacing w:after="0" w:line="240" w:lineRule="auto"/>
              <w:rPr>
                <w:rFonts w:eastAsia="Times New Roman" w:cs="Arial"/>
                <w:color w:val="FFFFFF" w:themeColor="background1"/>
                <w:szCs w:val="20"/>
                <w:lang w:val="en-AU" w:eastAsia="en-AU"/>
              </w:rPr>
            </w:pPr>
            <w:r w:rsidRPr="00375681">
              <w:rPr>
                <w:rFonts w:eastAsia="Times New Roman" w:cs="Arial"/>
                <w:color w:val="FFFFFF" w:themeColor="background1"/>
                <w:szCs w:val="20"/>
                <w:lang w:val="en-AU" w:eastAsia="en-AU"/>
              </w:rPr>
              <w:t>Note</w:t>
            </w:r>
            <w:r w:rsidR="00DA24A5">
              <w:rPr>
                <w:rFonts w:eastAsia="Times New Roman" w:cs="Arial"/>
                <w:color w:val="FFFFFF" w:themeColor="background1"/>
                <w:szCs w:val="20"/>
                <w:lang w:val="en-AU" w:eastAsia="en-AU"/>
              </w:rPr>
              <w:t xml:space="preserve"> for Table 9:</w:t>
            </w:r>
            <w:r w:rsidRPr="00375681">
              <w:rPr>
                <w:rFonts w:eastAsia="Times New Roman" w:cs="Arial"/>
                <w:color w:val="FFFFFF" w:themeColor="background1"/>
                <w:szCs w:val="20"/>
                <w:lang w:val="en-AU" w:eastAsia="en-AU"/>
              </w:rPr>
              <w:t xml:space="preserve"> Enrolment figures in the table above are as reported by NCVER, Total VET student and courses 2020: program enrolment. There may be instances where program enrolments are not reported by providers to NCVER and therefore not included in the enrolment figures in the total VET training activity data. Total VET activity for 2021 is expected to be released in August 2022.</w:t>
            </w:r>
          </w:p>
        </w:tc>
      </w:tr>
    </w:tbl>
    <w:p w14:paraId="438987F3" w14:textId="77777777" w:rsidR="00CF3FAF" w:rsidRDefault="00CF3FAF" w:rsidP="00CF3FAF">
      <w:pPr>
        <w:keepNext/>
        <w:spacing w:line="240" w:lineRule="auto"/>
        <w:rPr>
          <w:rFonts w:eastAsia="Calibri" w:cs="Arial"/>
          <w:b/>
          <w:color w:val="000000"/>
          <w:sz w:val="18"/>
          <w:szCs w:val="18"/>
          <w:lang w:val="en-AU" w:eastAsia="en-US"/>
        </w:rPr>
      </w:pPr>
    </w:p>
    <w:p w14:paraId="0E315B8F" w14:textId="77777777" w:rsidR="00CF3FAF" w:rsidRPr="0091080B" w:rsidRDefault="00CF3FAF" w:rsidP="00CF3FAF">
      <w:pPr>
        <w:pStyle w:val="Heading2"/>
        <w:rPr>
          <w:sz w:val="18"/>
          <w:szCs w:val="18"/>
        </w:rPr>
      </w:pPr>
      <w:bookmarkStart w:id="53" w:name="_Toc111118563"/>
      <w:r>
        <w:t>Higher education is not a significant pathway into the industry but offers targeted qualifications</w:t>
      </w:r>
      <w:bookmarkEnd w:id="53"/>
    </w:p>
    <w:p w14:paraId="16922E1B" w14:textId="77777777" w:rsidR="00CF3FAF" w:rsidRDefault="00CF3FAF" w:rsidP="00CF3FAF">
      <w:r>
        <w:t>Higher education also provides a pathway into the rental, hiring and real estate services industry, with 31 per cent of workers holding a degree or above as their highest level of education.</w:t>
      </w:r>
      <w:r>
        <w:rPr>
          <w:rStyle w:val="EndnoteReference"/>
        </w:rPr>
        <w:endnoteReference w:id="87"/>
      </w:r>
      <w:r>
        <w:t xml:space="preserve"> Activity is </w:t>
      </w:r>
      <w:r>
        <w:lastRenderedPageBreak/>
        <w:t>concentrated in a small number of targeted qualifications that support the real estate sector. The other rental and leasing sub-sectors do not rely significantly on these qualifications.</w:t>
      </w:r>
    </w:p>
    <w:p w14:paraId="00FF7B48" w14:textId="77777777" w:rsidR="00CF3FAF" w:rsidRDefault="00CF3FAF" w:rsidP="00CF3FAF">
      <w:pPr>
        <w:rPr>
          <w:lang w:eastAsia="en-AU"/>
        </w:rPr>
      </w:pPr>
      <w:r>
        <w:t>Occupations in the industry</w:t>
      </w:r>
      <w:r w:rsidRPr="00EA2A7F">
        <w:t xml:space="preserve"> </w:t>
      </w:r>
      <w:r>
        <w:t>that</w:t>
      </w:r>
      <w:r w:rsidRPr="00EA2A7F">
        <w:t xml:space="preserve"> </w:t>
      </w:r>
      <w:r>
        <w:t>are relevant to</w:t>
      </w:r>
      <w:r w:rsidRPr="00EA2A7F">
        <w:t xml:space="preserve"> higher education qualifications are projected to grow over the next five year</w:t>
      </w:r>
      <w:r>
        <w:t>s</w:t>
      </w:r>
      <w:r w:rsidRPr="00EA2A7F">
        <w:t>.</w:t>
      </w:r>
      <w:r w:rsidRPr="00EA2A7F">
        <w:rPr>
          <w:rStyle w:val="EndnoteReference"/>
        </w:rPr>
        <w:endnoteReference w:id="88"/>
      </w:r>
      <w:r w:rsidRPr="00EA2A7F">
        <w:t xml:space="preserve"> </w:t>
      </w:r>
      <w:r>
        <w:rPr>
          <w:lang w:eastAsia="en-AU"/>
        </w:rPr>
        <w:t>These qualifications provide workers with opportunities to deepen their understanding of the real estate sector and equip students with skills relevant to operating their own agencies.</w:t>
      </w:r>
    </w:p>
    <w:p w14:paraId="642938D8" w14:textId="7EB76B4D" w:rsidR="00CF3FAF" w:rsidRDefault="00CF3FAF" w:rsidP="00CF3FAF">
      <w:pPr>
        <w:pStyle w:val="CommentText"/>
      </w:pPr>
      <w:r w:rsidRPr="00A35B21">
        <w:t xml:space="preserve">In 2019, there </w:t>
      </w:r>
      <w:r w:rsidRPr="008F553C">
        <w:t xml:space="preserve">were </w:t>
      </w:r>
      <w:r>
        <w:t>c</w:t>
      </w:r>
      <w:r w:rsidRPr="001C3FC1">
        <w:t>lose to</w:t>
      </w:r>
      <w:r>
        <w:t xml:space="preserve"> 1,</w:t>
      </w:r>
      <w:r w:rsidRPr="001C3FC1">
        <w:t>150</w:t>
      </w:r>
      <w:r>
        <w:t xml:space="preserve"> </w:t>
      </w:r>
      <w:r w:rsidRPr="00AE54F2">
        <w:t xml:space="preserve">equivalent full-time study </w:t>
      </w:r>
      <w:proofErr w:type="gramStart"/>
      <w:r w:rsidRPr="00AE54F2">
        <w:t>load</w:t>
      </w:r>
      <w:proofErr w:type="gramEnd"/>
      <w:r>
        <w:t xml:space="preserve"> (EFTSL)</w:t>
      </w:r>
      <w:r>
        <w:rPr>
          <w:rStyle w:val="FootnoteReference"/>
        </w:rPr>
        <w:footnoteReference w:id="17"/>
      </w:r>
      <w:r>
        <w:t xml:space="preserve"> enrolments across real estate related courses delivered by Victorian universities.</w:t>
      </w:r>
      <w:r>
        <w:rPr>
          <w:rStyle w:val="EndnoteReference"/>
        </w:rPr>
        <w:endnoteReference w:id="89"/>
      </w:r>
      <w:r>
        <w:t xml:space="preserve"> </w:t>
      </w:r>
      <w:r w:rsidRPr="005411C0">
        <w:t xml:space="preserve">The </w:t>
      </w:r>
      <w:r>
        <w:t>rental, hiring and real estate</w:t>
      </w:r>
      <w:r w:rsidRPr="005411C0">
        <w:t xml:space="preserve"> services industry pipeline in the </w:t>
      </w:r>
      <w:r>
        <w:t>higher education</w:t>
      </w:r>
      <w:r w:rsidRPr="005411C0">
        <w:t xml:space="preserve"> system is shown</w:t>
      </w:r>
      <w:r w:rsidRPr="00AE54F2">
        <w:t xml:space="preserve"> in</w:t>
      </w:r>
      <w:r w:rsidRPr="006F5A02">
        <w:rPr>
          <w:rFonts w:asciiTheme="minorHAnsi" w:hAnsiTheme="minorHAnsi" w:cstheme="minorHAnsi"/>
        </w:rPr>
        <w:t xml:space="preserve"> </w:t>
      </w:r>
      <w:r w:rsidR="00B22A84">
        <w:rPr>
          <w:rFonts w:asciiTheme="minorHAnsi" w:hAnsiTheme="minorHAnsi" w:cstheme="minorHAnsi"/>
        </w:rPr>
        <w:t>Table 10</w:t>
      </w:r>
      <w:r w:rsidRPr="00AE54F2">
        <w:t xml:space="preserve">. Only courses </w:t>
      </w:r>
      <w:r>
        <w:t xml:space="preserve">with more than 100 </w:t>
      </w:r>
      <w:r w:rsidRPr="00AE54F2">
        <w:t>EFTSL</w:t>
      </w:r>
      <w:r>
        <w:t xml:space="preserve"> </w:t>
      </w:r>
      <w:r w:rsidRPr="00AE54F2">
        <w:t xml:space="preserve">are included. </w:t>
      </w:r>
      <w:r>
        <w:t xml:space="preserve">Noting </w:t>
      </w:r>
      <w:r w:rsidRPr="00AE54F2">
        <w:rPr>
          <w:color w:val="auto"/>
        </w:rPr>
        <w:t>many of these courses serve multiple industries</w:t>
      </w:r>
      <w:r>
        <w:rPr>
          <w:color w:val="auto"/>
        </w:rPr>
        <w:t>,</w:t>
      </w:r>
      <w:r w:rsidRPr="00AE54F2">
        <w:rPr>
          <w:color w:val="auto"/>
        </w:rPr>
        <w:t xml:space="preserve"> the total EFTSL numbers are reflective of this broader pipeline.</w:t>
      </w:r>
    </w:p>
    <w:p w14:paraId="1C769F72" w14:textId="1BF74B8C" w:rsidR="00CF3FAF" w:rsidRPr="00E86120" w:rsidRDefault="00CF3FAF" w:rsidP="00CF3FAF">
      <w:pPr>
        <w:keepNext/>
        <w:spacing w:before="240" w:line="257" w:lineRule="auto"/>
        <w:rPr>
          <w:rFonts w:eastAsia="Calibri" w:cs="Arial"/>
          <w:b/>
          <w:color w:val="000000"/>
          <w:szCs w:val="20"/>
          <w:lang w:val="en-AU" w:eastAsia="en-US"/>
        </w:rPr>
      </w:pPr>
      <w:r w:rsidRPr="00E86120">
        <w:rPr>
          <w:rFonts w:eastAsia="Calibri" w:cs="Arial"/>
          <w:b/>
          <w:color w:val="000000"/>
          <w:szCs w:val="20"/>
          <w:lang w:val="en-AU" w:eastAsia="en-US"/>
        </w:rPr>
        <w:t xml:space="preserve">Table </w:t>
      </w:r>
      <w:r w:rsidRPr="00E86120">
        <w:rPr>
          <w:rFonts w:eastAsia="Calibri" w:cs="Arial"/>
          <w:b/>
          <w:color w:val="000000"/>
          <w:szCs w:val="20"/>
          <w:lang w:val="en-AU" w:eastAsia="en-US"/>
        </w:rPr>
        <w:fldChar w:fldCharType="begin"/>
      </w:r>
      <w:r w:rsidRPr="00E86120">
        <w:rPr>
          <w:rFonts w:eastAsia="Calibri" w:cs="Arial"/>
          <w:b/>
          <w:color w:val="000000"/>
          <w:szCs w:val="20"/>
          <w:lang w:val="en-AU" w:eastAsia="en-US"/>
        </w:rPr>
        <w:instrText xml:space="preserve"> SEQ Table \* ARABIC </w:instrText>
      </w:r>
      <w:r w:rsidRPr="00E86120">
        <w:rPr>
          <w:rFonts w:eastAsia="Calibri" w:cs="Arial"/>
          <w:b/>
          <w:color w:val="000000"/>
          <w:szCs w:val="20"/>
          <w:lang w:val="en-AU" w:eastAsia="en-US"/>
        </w:rPr>
        <w:fldChar w:fldCharType="separate"/>
      </w:r>
      <w:r w:rsidR="00C435CB">
        <w:rPr>
          <w:rFonts w:eastAsia="Calibri" w:cs="Arial"/>
          <w:b/>
          <w:noProof/>
          <w:color w:val="000000"/>
          <w:szCs w:val="20"/>
          <w:lang w:val="en-AU" w:eastAsia="en-US"/>
        </w:rPr>
        <w:t>10</w:t>
      </w:r>
      <w:r w:rsidRPr="00E86120">
        <w:rPr>
          <w:rFonts w:eastAsia="Calibri" w:cs="Arial"/>
          <w:b/>
          <w:color w:val="000000"/>
          <w:szCs w:val="20"/>
          <w:lang w:val="en-AU" w:eastAsia="en-US"/>
        </w:rPr>
        <w:fldChar w:fldCharType="end"/>
      </w:r>
      <w:r w:rsidRPr="00E86120">
        <w:rPr>
          <w:rFonts w:eastAsia="Calibri" w:cs="Arial"/>
          <w:b/>
          <w:color w:val="000000"/>
          <w:szCs w:val="20"/>
          <w:lang w:val="en-AU" w:eastAsia="en-US"/>
        </w:rPr>
        <w:t xml:space="preserve"> | Higher education pipeline for rental, hiring and real estate services</w:t>
      </w:r>
      <w:r w:rsidR="004778BB">
        <w:rPr>
          <w:rFonts w:eastAsia="Calibri" w:cs="Arial"/>
          <w:b/>
          <w:color w:val="000000"/>
          <w:szCs w:val="20"/>
          <w:lang w:val="en-AU" w:eastAsia="en-US"/>
        </w:rPr>
        <w:t xml:space="preserve"> in Victoria</w:t>
      </w:r>
      <w:r w:rsidRPr="00E86120">
        <w:rPr>
          <w:rFonts w:eastAsia="Calibri" w:cs="Arial"/>
          <w:b/>
          <w:color w:val="000000"/>
          <w:szCs w:val="20"/>
          <w:lang w:val="en-AU" w:eastAsia="en-US"/>
        </w:rPr>
        <w:t>, high enrolment courses with EFTSL over 100</w:t>
      </w:r>
      <w:r w:rsidRPr="00E86120">
        <w:rPr>
          <w:rStyle w:val="EndnoteReference"/>
          <w:rFonts w:eastAsia="Calibri" w:cs="Arial"/>
          <w:b/>
          <w:szCs w:val="20"/>
          <w:lang w:val="en-AU" w:eastAsia="en-US"/>
        </w:rPr>
        <w:endnoteReference w:id="90"/>
      </w:r>
      <w:r w:rsidR="000D5D68">
        <w:rPr>
          <w:rStyle w:val="FootnoteReference"/>
          <w:rFonts w:eastAsia="Calibri" w:cs="Arial"/>
          <w:b/>
          <w:szCs w:val="20"/>
          <w:lang w:val="en-AU" w:eastAsia="en-US"/>
        </w:rPr>
        <w:footnoteReference w:id="18"/>
      </w:r>
    </w:p>
    <w:tbl>
      <w:tblPr>
        <w:tblStyle w:val="TableGrid-Header"/>
        <w:tblW w:w="0" w:type="auto"/>
        <w:tblLook w:val="04A0" w:firstRow="1" w:lastRow="0" w:firstColumn="1" w:lastColumn="0" w:noHBand="0" w:noVBand="1"/>
      </w:tblPr>
      <w:tblGrid>
        <w:gridCol w:w="4530"/>
        <w:gridCol w:w="4531"/>
      </w:tblGrid>
      <w:tr w:rsidR="00CF3FAF" w:rsidRPr="00375681" w14:paraId="72AE8807" w14:textId="77777777" w:rsidTr="006C7625">
        <w:trPr>
          <w:cnfStyle w:val="100000000000" w:firstRow="1" w:lastRow="0" w:firstColumn="0" w:lastColumn="0" w:oddVBand="0" w:evenVBand="0" w:oddHBand="0" w:evenHBand="0" w:firstRowFirstColumn="0" w:firstRowLastColumn="0" w:lastRowFirstColumn="0" w:lastRowLastColumn="0"/>
          <w:trHeight w:val="348"/>
        </w:trPr>
        <w:tc>
          <w:tcPr>
            <w:tcW w:w="9061" w:type="dxa"/>
            <w:gridSpan w:val="2"/>
            <w:shd w:val="clear" w:color="auto" w:fill="000000" w:themeFill="text1"/>
            <w:vAlign w:val="center"/>
          </w:tcPr>
          <w:p w14:paraId="0DCFA9B7" w14:textId="77777777" w:rsidR="00CF3FAF" w:rsidRPr="00375681" w:rsidRDefault="00CF3FAF" w:rsidP="0058069B">
            <w:pPr>
              <w:pStyle w:val="NormalTablesQuote"/>
              <w:rPr>
                <w:b/>
                <w:bCs/>
                <w:color w:val="FFFFFF" w:themeColor="background1"/>
                <w:sz w:val="20"/>
              </w:rPr>
            </w:pPr>
            <w:r w:rsidRPr="00375681">
              <w:rPr>
                <w:b/>
                <w:bCs/>
                <w:color w:val="FFFFFF" w:themeColor="background1"/>
                <w:sz w:val="20"/>
              </w:rPr>
              <w:t>Other Management and Commerce (1,146 EFTSL, Victoria, 2019)</w:t>
            </w:r>
          </w:p>
        </w:tc>
      </w:tr>
      <w:tr w:rsidR="00CF3FAF" w:rsidRPr="00375681" w14:paraId="049FF493" w14:textId="77777777" w:rsidTr="0058069B">
        <w:tc>
          <w:tcPr>
            <w:tcW w:w="4530" w:type="dxa"/>
          </w:tcPr>
          <w:p w14:paraId="2CA55760" w14:textId="01F8BB0C" w:rsidR="00CF3FAF" w:rsidRPr="00375681" w:rsidRDefault="00CF3FAF" w:rsidP="0058069B">
            <w:pPr>
              <w:pStyle w:val="TableExpbullet"/>
              <w:rPr>
                <w:sz w:val="20"/>
                <w:szCs w:val="20"/>
              </w:rPr>
            </w:pPr>
            <w:r w:rsidRPr="00375681">
              <w:rPr>
                <w:b/>
                <w:bCs/>
                <w:sz w:val="20"/>
                <w:szCs w:val="20"/>
              </w:rPr>
              <w:t>A</w:t>
            </w:r>
            <w:r w:rsidR="00DE252D" w:rsidRPr="00375681">
              <w:rPr>
                <w:b/>
                <w:bCs/>
                <w:sz w:val="20"/>
                <w:szCs w:val="20"/>
              </w:rPr>
              <w:t xml:space="preserve">ustralian </w:t>
            </w:r>
            <w:r w:rsidRPr="00375681">
              <w:rPr>
                <w:b/>
                <w:bCs/>
                <w:sz w:val="20"/>
                <w:szCs w:val="20"/>
              </w:rPr>
              <w:t>Q</w:t>
            </w:r>
            <w:r w:rsidR="00DE252D" w:rsidRPr="00375681">
              <w:rPr>
                <w:b/>
                <w:bCs/>
                <w:sz w:val="20"/>
                <w:szCs w:val="20"/>
              </w:rPr>
              <w:t xml:space="preserve">ualification </w:t>
            </w:r>
            <w:r w:rsidRPr="00375681">
              <w:rPr>
                <w:b/>
                <w:bCs/>
                <w:sz w:val="20"/>
                <w:szCs w:val="20"/>
              </w:rPr>
              <w:t>F</w:t>
            </w:r>
            <w:r w:rsidR="00DE252D" w:rsidRPr="00375681">
              <w:rPr>
                <w:b/>
                <w:bCs/>
                <w:sz w:val="20"/>
                <w:szCs w:val="20"/>
              </w:rPr>
              <w:t>ramework</w:t>
            </w:r>
            <w:r w:rsidRPr="00375681">
              <w:rPr>
                <w:b/>
                <w:bCs/>
                <w:sz w:val="20"/>
                <w:szCs w:val="20"/>
              </w:rPr>
              <w:t xml:space="preserve"> 9+ (e.g., Master and above) (337 EFTSL)</w:t>
            </w:r>
          </w:p>
        </w:tc>
        <w:tc>
          <w:tcPr>
            <w:tcW w:w="4531" w:type="dxa"/>
          </w:tcPr>
          <w:p w14:paraId="5E15C7D4" w14:textId="77777777" w:rsidR="00CF3FAF" w:rsidRPr="00375681" w:rsidRDefault="00CF3FAF" w:rsidP="0058069B">
            <w:pPr>
              <w:pStyle w:val="TableExpbullet"/>
              <w:ind w:left="0" w:firstLine="0"/>
              <w:rPr>
                <w:b/>
                <w:bCs/>
                <w:sz w:val="20"/>
                <w:szCs w:val="20"/>
              </w:rPr>
            </w:pPr>
            <w:r w:rsidRPr="00375681">
              <w:rPr>
                <w:b/>
                <w:bCs/>
                <w:sz w:val="20"/>
                <w:szCs w:val="20"/>
              </w:rPr>
              <w:t>AQF 5-8 (e.g., Diploma, Bachelor, Hons) (809 EFTSL)</w:t>
            </w:r>
          </w:p>
        </w:tc>
      </w:tr>
      <w:tr w:rsidR="00CF3FAF" w:rsidRPr="00375681" w14:paraId="141DA860" w14:textId="77777777" w:rsidTr="0058069B">
        <w:tc>
          <w:tcPr>
            <w:tcW w:w="4530" w:type="dxa"/>
          </w:tcPr>
          <w:p w14:paraId="077655BE" w14:textId="77777777" w:rsidR="00CF3FAF" w:rsidRPr="00375681" w:rsidRDefault="00CF3FAF" w:rsidP="0058069B">
            <w:pPr>
              <w:numPr>
                <w:ilvl w:val="0"/>
                <w:numId w:val="25"/>
              </w:numPr>
              <w:spacing w:before="60" w:after="60" w:line="257" w:lineRule="auto"/>
              <w:ind w:left="227" w:hanging="227"/>
              <w:rPr>
                <w:rFonts w:eastAsia="Calibri" w:cs="Arial"/>
                <w:color w:val="000000"/>
                <w:szCs w:val="20"/>
              </w:rPr>
            </w:pPr>
            <w:r w:rsidRPr="00375681">
              <w:rPr>
                <w:rFonts w:eastAsia="Calibri" w:cs="Arial"/>
                <w:color w:val="000000"/>
                <w:szCs w:val="20"/>
              </w:rPr>
              <w:t>Master of Property (337)</w:t>
            </w:r>
          </w:p>
        </w:tc>
        <w:tc>
          <w:tcPr>
            <w:tcW w:w="4531" w:type="dxa"/>
          </w:tcPr>
          <w:p w14:paraId="61C3FF30" w14:textId="77777777" w:rsidR="00CF3FAF" w:rsidRPr="00375681" w:rsidRDefault="00CF3FAF" w:rsidP="0058069B">
            <w:pPr>
              <w:pStyle w:val="TableNBullet"/>
              <w:rPr>
                <w:rFonts w:eastAsia="Calibri"/>
                <w:sz w:val="20"/>
                <w:szCs w:val="20"/>
              </w:rPr>
            </w:pPr>
            <w:r w:rsidRPr="00375681">
              <w:rPr>
                <w:rFonts w:eastAsia="Calibri"/>
                <w:sz w:val="20"/>
                <w:szCs w:val="20"/>
              </w:rPr>
              <w:t>Bachelor of Property and Real Estate (347)</w:t>
            </w:r>
          </w:p>
          <w:p w14:paraId="3721B1E0" w14:textId="77777777" w:rsidR="00CF3FAF" w:rsidRPr="00375681" w:rsidRDefault="00CF3FAF" w:rsidP="0058069B">
            <w:pPr>
              <w:pStyle w:val="TableNBullet"/>
              <w:rPr>
                <w:rFonts w:eastAsia="Calibri"/>
                <w:sz w:val="20"/>
                <w:szCs w:val="20"/>
              </w:rPr>
            </w:pPr>
            <w:r w:rsidRPr="00375681">
              <w:rPr>
                <w:rFonts w:eastAsia="Calibri"/>
                <w:sz w:val="20"/>
                <w:szCs w:val="20"/>
              </w:rPr>
              <w:t>Bachelor of Applied Science (Property and Valuation) (Hons) (246)</w:t>
            </w:r>
          </w:p>
          <w:p w14:paraId="22B1A542" w14:textId="77777777" w:rsidR="00CF3FAF" w:rsidRPr="00375681" w:rsidRDefault="00CF3FAF" w:rsidP="0058069B">
            <w:pPr>
              <w:pStyle w:val="TableNBullet"/>
              <w:rPr>
                <w:sz w:val="20"/>
                <w:szCs w:val="20"/>
              </w:rPr>
            </w:pPr>
            <w:r w:rsidRPr="00375681">
              <w:rPr>
                <w:rFonts w:eastAsia="Calibri"/>
                <w:sz w:val="20"/>
                <w:szCs w:val="20"/>
              </w:rPr>
              <w:t>Bachelor of Property and Real Estate/Bachelor of Commerce (216)</w:t>
            </w:r>
          </w:p>
        </w:tc>
      </w:tr>
    </w:tbl>
    <w:p w14:paraId="3FBF2221" w14:textId="1FDB09C4" w:rsidR="00DB11BD" w:rsidRPr="00301D6B" w:rsidRDefault="00DB11BD" w:rsidP="00C233CA">
      <w:pPr>
        <w:pStyle w:val="Heading1"/>
        <w:rPr>
          <w:lang w:val="en-AU"/>
        </w:rPr>
      </w:pPr>
      <w:bookmarkStart w:id="54" w:name="_Toc111118564"/>
      <w:r>
        <w:lastRenderedPageBreak/>
        <w:t>Workforce priorities</w:t>
      </w:r>
      <w:bookmarkEnd w:id="49"/>
      <w:bookmarkEnd w:id="50"/>
      <w:bookmarkEnd w:id="54"/>
    </w:p>
    <w:p w14:paraId="3EC54FF5" w14:textId="104B9AC3" w:rsidR="00DB11BD" w:rsidRPr="006274D5" w:rsidRDefault="00DB11BD" w:rsidP="00954486">
      <w:pPr>
        <w:pStyle w:val="Heading2"/>
      </w:pPr>
      <w:bookmarkStart w:id="55" w:name="_Toc96701874"/>
      <w:bookmarkStart w:id="56" w:name="_Toc97583930"/>
      <w:bookmarkStart w:id="57" w:name="_Toc101971755"/>
      <w:bookmarkStart w:id="58" w:name="_Toc102119497"/>
      <w:bookmarkStart w:id="59" w:name="_Toc104969258"/>
      <w:bookmarkStart w:id="60" w:name="_Toc111118565"/>
      <w:bookmarkEnd w:id="51"/>
      <w:r>
        <w:t xml:space="preserve">Key workforce priorities </w:t>
      </w:r>
      <w:proofErr w:type="spellStart"/>
      <w:r>
        <w:t>cent</w:t>
      </w:r>
      <w:r w:rsidR="005B47BA">
        <w:t>re</w:t>
      </w:r>
      <w:proofErr w:type="spellEnd"/>
      <w:r>
        <w:t xml:space="preserve"> on </w:t>
      </w:r>
      <w:bookmarkEnd w:id="55"/>
      <w:r>
        <w:t xml:space="preserve">improving quality pathways to employment and increasing </w:t>
      </w:r>
      <w:proofErr w:type="spellStart"/>
      <w:r>
        <w:t>specialised</w:t>
      </w:r>
      <w:proofErr w:type="spellEnd"/>
      <w:r>
        <w:t xml:space="preserve"> </w:t>
      </w:r>
      <w:bookmarkEnd w:id="56"/>
      <w:bookmarkEnd w:id="57"/>
      <w:bookmarkEnd w:id="58"/>
      <w:r w:rsidR="002056AD">
        <w:t>micro-credentials</w:t>
      </w:r>
      <w:bookmarkEnd w:id="59"/>
      <w:bookmarkEnd w:id="60"/>
    </w:p>
    <w:p w14:paraId="329940D9" w14:textId="7BBBA29E" w:rsidR="00DB11BD" w:rsidRDefault="00DB11BD" w:rsidP="00954486">
      <w:pPr>
        <w:rPr>
          <w:szCs w:val="20"/>
        </w:rPr>
      </w:pPr>
      <w:r>
        <w:rPr>
          <w:szCs w:val="20"/>
        </w:rPr>
        <w:t xml:space="preserve">The </w:t>
      </w:r>
      <w:r>
        <w:t xml:space="preserve">rental, hiring and real estate services </w:t>
      </w:r>
      <w:r>
        <w:rPr>
          <w:szCs w:val="20"/>
        </w:rPr>
        <w:t xml:space="preserve">industry </w:t>
      </w:r>
      <w:r w:rsidR="003E1D22">
        <w:rPr>
          <w:szCs w:val="20"/>
        </w:rPr>
        <w:t>needs</w:t>
      </w:r>
      <w:r>
        <w:rPr>
          <w:szCs w:val="20"/>
        </w:rPr>
        <w:t xml:space="preserve"> to ensure that its workforce has the skills it requires to meet industry needs. The workforce needs to keep pace with regulatory reform. The number of public complaints that are being made against workers in the real estate sector for non-compliance with new and existing laws (e.g., underquoting) suggests this is a concern.</w:t>
      </w:r>
    </w:p>
    <w:p w14:paraId="5268BDD7" w14:textId="0F464428" w:rsidR="00DB11BD" w:rsidRDefault="00DB11BD" w:rsidP="00954486">
      <w:pPr>
        <w:rPr>
          <w:szCs w:val="20"/>
        </w:rPr>
      </w:pPr>
      <w:r>
        <w:rPr>
          <w:szCs w:val="20"/>
        </w:rPr>
        <w:t xml:space="preserve">Key challenges exist to address the supply and skill of </w:t>
      </w:r>
      <w:r w:rsidR="00096267">
        <w:rPr>
          <w:szCs w:val="20"/>
        </w:rPr>
        <w:t>workers</w:t>
      </w:r>
      <w:r>
        <w:rPr>
          <w:szCs w:val="20"/>
        </w:rPr>
        <w:t xml:space="preserve">. Some challenges extend beyond the remit of the Skills Plan, such as industry awards and remuneration. Other challenges focus on fewer than required individuals choosing to enter the industry and difficulty retaining existing workers.  </w:t>
      </w:r>
    </w:p>
    <w:p w14:paraId="1747C6B6" w14:textId="52A15092" w:rsidR="00DB11BD" w:rsidRPr="000B0ECC" w:rsidRDefault="0016379C" w:rsidP="00954486">
      <w:pPr>
        <w:rPr>
          <w:lang w:eastAsia="en-AU"/>
        </w:rPr>
      </w:pPr>
      <w:r>
        <w:rPr>
          <w:szCs w:val="20"/>
        </w:rPr>
        <w:t xml:space="preserve">Two </w:t>
      </w:r>
      <w:r w:rsidR="00DB11BD" w:rsidDel="002C7CD3">
        <w:rPr>
          <w:szCs w:val="20"/>
        </w:rPr>
        <w:t xml:space="preserve">key </w:t>
      </w:r>
      <w:r w:rsidR="00DB11BD">
        <w:rPr>
          <w:szCs w:val="20"/>
        </w:rPr>
        <w:t>priorities for the industry</w:t>
      </w:r>
      <w:r>
        <w:rPr>
          <w:szCs w:val="20"/>
        </w:rPr>
        <w:t xml:space="preserve"> are identified</w:t>
      </w:r>
      <w:r w:rsidR="00DB11BD">
        <w:rPr>
          <w:szCs w:val="20"/>
        </w:rPr>
        <w:t xml:space="preserve">. </w:t>
      </w:r>
      <w:r w:rsidR="00DB11BD">
        <w:rPr>
          <w:lang w:eastAsia="en-AU"/>
        </w:rPr>
        <w:t xml:space="preserve">Responsibility for delivering on these priorities lies with many stakeholders, however education and training has a key role to play. </w:t>
      </w:r>
    </w:p>
    <w:p w14:paraId="67A44138" w14:textId="63DF1806" w:rsidR="00DB11BD" w:rsidRPr="00944E1D" w:rsidRDefault="00DB11BD" w:rsidP="00031C19">
      <w:pPr>
        <w:pStyle w:val="Heading3"/>
        <w:rPr>
          <w:szCs w:val="20"/>
        </w:rPr>
      </w:pPr>
      <w:r w:rsidRPr="00944E1D">
        <w:t xml:space="preserve">Adapt employment and education practices to align with </w:t>
      </w:r>
      <w:r w:rsidR="00717E95">
        <w:t>the new minimum qualification for real estate agents</w:t>
      </w:r>
    </w:p>
    <w:p w14:paraId="6CB658A6" w14:textId="15B16B41" w:rsidR="00DB11BD" w:rsidRPr="002D742B" w:rsidRDefault="006F33C9" w:rsidP="00031C19">
      <w:r>
        <w:t xml:space="preserve">The </w:t>
      </w:r>
      <w:r w:rsidR="00DB11BD" w:rsidRPr="002D742B">
        <w:t>Certificate IV in</w:t>
      </w:r>
      <w:r w:rsidR="00EA58CF">
        <w:t xml:space="preserve"> Real Estate Practice</w:t>
      </w:r>
      <w:r w:rsidR="00DB11BD" w:rsidRPr="002D742B">
        <w:t xml:space="preserve"> is the new minimum qualification for real estate agents. Agents’ representatives are also required to complete 18 units of competency before becoming licensed. </w:t>
      </w:r>
      <w:r w:rsidR="00CE325A">
        <w:t>As required by</w:t>
      </w:r>
      <w:r w:rsidR="00CD352B" w:rsidRPr="002D742B">
        <w:t xml:space="preserve"> </w:t>
      </w:r>
      <w:r w:rsidR="00FE7D66">
        <w:t xml:space="preserve">Victoria’s </w:t>
      </w:r>
      <w:r w:rsidR="00CD352B" w:rsidRPr="002D742B">
        <w:t xml:space="preserve">Business Licensing </w:t>
      </w:r>
      <w:r w:rsidR="00FE7D66">
        <w:t>Authority</w:t>
      </w:r>
      <w:r w:rsidR="00CD352B">
        <w:t>, a</w:t>
      </w:r>
      <w:r w:rsidR="00B86BFE">
        <w:t>n</w:t>
      </w:r>
      <w:r w:rsidR="00020B22">
        <w:t xml:space="preserve"> employee of a real estate agency</w:t>
      </w:r>
      <w:r w:rsidR="00DB11BD" w:rsidRPr="002D742B">
        <w:t xml:space="preserve"> cannot attend an auction or open </w:t>
      </w:r>
      <w:r w:rsidR="001976A3">
        <w:t>house</w:t>
      </w:r>
      <w:r w:rsidR="00DB11BD" w:rsidRPr="002D742B">
        <w:t xml:space="preserve"> inspection</w:t>
      </w:r>
      <w:r w:rsidR="00913052">
        <w:t xml:space="preserve"> in an active capacity</w:t>
      </w:r>
      <w:r w:rsidR="00DB11BD" w:rsidRPr="002D742B">
        <w:t xml:space="preserve"> without either a real estate agent or agent’s representative </w:t>
      </w:r>
      <w:proofErr w:type="spellStart"/>
      <w:r w:rsidR="00DB11BD" w:rsidRPr="002D742B">
        <w:t>licence</w:t>
      </w:r>
      <w:proofErr w:type="spellEnd"/>
      <w:r w:rsidR="00DB11BD" w:rsidRPr="002D742B">
        <w:t xml:space="preserve">. This </w:t>
      </w:r>
      <w:r w:rsidR="009250A3">
        <w:t>creates</w:t>
      </w:r>
      <w:r w:rsidR="00DB11BD" w:rsidRPr="002D742B">
        <w:t xml:space="preserve"> a barrier to obtaining practical experience and employment through a traineeship pathway – previously, fewer units were required </w:t>
      </w:r>
      <w:r w:rsidR="00645294">
        <w:t>for completion</w:t>
      </w:r>
      <w:r w:rsidR="00DB11BD" w:rsidRPr="002D742B">
        <w:t xml:space="preserve"> to become licensed as an agent’s representative and attend on-site</w:t>
      </w:r>
      <w:r w:rsidR="00A0167A">
        <w:t xml:space="preserve"> inspections and auctions</w:t>
      </w:r>
      <w:r w:rsidR="00DB11BD" w:rsidRPr="002D742B">
        <w:t xml:space="preserve">. </w:t>
      </w:r>
    </w:p>
    <w:p w14:paraId="697E69F5" w14:textId="1CAB8A92" w:rsidR="00DB11BD" w:rsidRPr="00944E1D" w:rsidRDefault="00DB11BD" w:rsidP="00031C19">
      <w:r w:rsidRPr="002D742B">
        <w:t xml:space="preserve">Strategic workforce planning will be required to ensure that the workforce pipeline matches demand and keeps pace with market fluctuations. The industry </w:t>
      </w:r>
      <w:r w:rsidR="002A6E44">
        <w:t>can</w:t>
      </w:r>
      <w:r w:rsidRPr="002D742B">
        <w:t xml:space="preserve"> also explore opportunities to align learner experience with employment practices within the remit of the new regulations. Practical work experience is essential to ensure that learners are job</w:t>
      </w:r>
      <w:r>
        <w:t xml:space="preserve"> </w:t>
      </w:r>
      <w:r w:rsidRPr="002D742B">
        <w:t xml:space="preserve">ready. </w:t>
      </w:r>
      <w:r w:rsidR="009F50FD">
        <w:t>The industry</w:t>
      </w:r>
      <w:r w:rsidRPr="002D742B">
        <w:t xml:space="preserve"> is challenged to provide this to learners that may increasingly opt for a classroom-based pathway that is less time-consuming.</w:t>
      </w:r>
    </w:p>
    <w:p w14:paraId="6159ED64" w14:textId="6EB690A5" w:rsidR="00DB11BD" w:rsidRPr="00944E1D" w:rsidRDefault="00DB11BD" w:rsidP="00031C19">
      <w:r w:rsidRPr="00944E1D">
        <w:t xml:space="preserve">The industry </w:t>
      </w:r>
      <w:r w:rsidR="002A6E44">
        <w:t>can</w:t>
      </w:r>
      <w:r w:rsidRPr="00944E1D">
        <w:t xml:space="preserve"> also focus on cultivating a robust understanding of regulatory requirements and compliance with professional development opportunities, informed by recent changes to rental laws and an increasing number of complaints regarding agent conduct and underquoting in Victoria.</w:t>
      </w:r>
    </w:p>
    <w:p w14:paraId="27AF3D2A" w14:textId="526815A4" w:rsidR="00D14369" w:rsidRPr="00B65E77" w:rsidRDefault="00D14369" w:rsidP="00D14369">
      <w:pPr>
        <w:pStyle w:val="Caption"/>
        <w:keepNext/>
        <w:rPr>
          <w:sz w:val="20"/>
          <w:szCs w:val="20"/>
        </w:rPr>
      </w:pPr>
      <w:r w:rsidRPr="00B65E77">
        <w:rPr>
          <w:sz w:val="20"/>
          <w:szCs w:val="20"/>
        </w:rPr>
        <w:t xml:space="preserve">Table </w:t>
      </w:r>
      <w:r w:rsidR="009D7386" w:rsidRPr="00B65E77">
        <w:rPr>
          <w:sz w:val="20"/>
          <w:szCs w:val="20"/>
        </w:rPr>
        <w:fldChar w:fldCharType="begin"/>
      </w:r>
      <w:r w:rsidR="009D7386" w:rsidRPr="00B65E77">
        <w:rPr>
          <w:sz w:val="20"/>
          <w:szCs w:val="20"/>
        </w:rPr>
        <w:instrText xml:space="preserve"> SEQ Table \* ARABIC </w:instrText>
      </w:r>
      <w:r w:rsidR="009D7386" w:rsidRPr="00B65E77">
        <w:rPr>
          <w:sz w:val="20"/>
          <w:szCs w:val="20"/>
        </w:rPr>
        <w:fldChar w:fldCharType="separate"/>
      </w:r>
      <w:r w:rsidR="00C435CB">
        <w:rPr>
          <w:noProof/>
          <w:sz w:val="20"/>
          <w:szCs w:val="20"/>
        </w:rPr>
        <w:t>11</w:t>
      </w:r>
      <w:r w:rsidR="009D7386" w:rsidRPr="00B65E77">
        <w:rPr>
          <w:sz w:val="20"/>
          <w:szCs w:val="20"/>
        </w:rPr>
        <w:fldChar w:fldCharType="end"/>
      </w:r>
      <w:r w:rsidRPr="00B65E77">
        <w:rPr>
          <w:sz w:val="20"/>
          <w:szCs w:val="20"/>
        </w:rPr>
        <w:t xml:space="preserve"> | Issues to address </w:t>
      </w:r>
      <w:r w:rsidR="006122B0" w:rsidRPr="00B65E77">
        <w:rPr>
          <w:sz w:val="20"/>
          <w:szCs w:val="20"/>
        </w:rPr>
        <w:t xml:space="preserve">to </w:t>
      </w:r>
      <w:r w:rsidR="00E05D11" w:rsidRPr="00B65E77">
        <w:rPr>
          <w:sz w:val="20"/>
          <w:szCs w:val="20"/>
        </w:rPr>
        <w:t>align with new regulations</w:t>
      </w:r>
    </w:p>
    <w:tbl>
      <w:tblPr>
        <w:tblStyle w:val="NOUSSideHeader3"/>
        <w:tblW w:w="0" w:type="auto"/>
        <w:tblBorders>
          <w:top w:val="single" w:sz="18" w:space="0" w:color="auto"/>
          <w:left w:val="single" w:sz="18" w:space="0" w:color="auto"/>
          <w:bottom w:val="single" w:sz="18" w:space="0" w:color="auto"/>
          <w:right w:val="single" w:sz="18" w:space="0" w:color="auto"/>
          <w:insideH w:val="none" w:sz="0" w:space="0" w:color="auto"/>
        </w:tblBorders>
        <w:shd w:val="clear" w:color="auto" w:fill="FFFFFF" w:themeFill="background1"/>
        <w:tblLook w:val="04A0" w:firstRow="1" w:lastRow="0" w:firstColumn="1" w:lastColumn="0" w:noHBand="0" w:noVBand="1"/>
      </w:tblPr>
      <w:tblGrid>
        <w:gridCol w:w="9025"/>
      </w:tblGrid>
      <w:tr w:rsidR="00F77C14" w14:paraId="0E199870" w14:textId="77777777" w:rsidTr="000F4A56">
        <w:trPr>
          <w:cnfStyle w:val="100000000000" w:firstRow="1" w:lastRow="0" w:firstColumn="0" w:lastColumn="0" w:oddVBand="0" w:evenVBand="0" w:oddHBand="0" w:evenHBand="0" w:firstRowFirstColumn="0" w:firstRowLastColumn="0" w:lastRowFirstColumn="0" w:lastRowLastColumn="0"/>
        </w:trPr>
        <w:tc>
          <w:tcPr>
            <w:tcW w:w="9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000BCD07" w14:textId="00A97D58" w:rsidR="00F77C14" w:rsidRDefault="00013125" w:rsidP="00F77C14">
            <w:pPr>
              <w:pStyle w:val="NormalTablesListBullet"/>
            </w:pPr>
            <w:r>
              <w:t xml:space="preserve">Regulatory changes </w:t>
            </w:r>
            <w:r w:rsidR="00643FF9">
              <w:t>that pose</w:t>
            </w:r>
            <w:r>
              <w:t xml:space="preserve"> </w:t>
            </w:r>
            <w:r w:rsidR="000F589C">
              <w:t xml:space="preserve">new </w:t>
            </w:r>
            <w:r>
              <w:t xml:space="preserve">barriers to </w:t>
            </w:r>
            <w:r w:rsidR="005A7DB3">
              <w:t>obtaining practical experience and employment</w:t>
            </w:r>
            <w:r w:rsidR="005A2CDD">
              <w:t xml:space="preserve"> for new employees </w:t>
            </w:r>
            <w:r w:rsidR="004A29A7">
              <w:t>that have not yet achieved the Certificate IV in Real Estate Practice.</w:t>
            </w:r>
          </w:p>
          <w:p w14:paraId="566C26CE" w14:textId="10018DF0" w:rsidR="00D00A7F" w:rsidRDefault="00B204F3" w:rsidP="00D14369">
            <w:pPr>
              <w:pStyle w:val="NormalTablesListBullet"/>
            </w:pPr>
            <w:r>
              <w:t>R</w:t>
            </w:r>
            <w:r w:rsidR="00A63020">
              <w:t>espond</w:t>
            </w:r>
            <w:r>
              <w:t>ing</w:t>
            </w:r>
            <w:r w:rsidR="00A63020">
              <w:t xml:space="preserve"> to changing regulatory requirements</w:t>
            </w:r>
            <w:r>
              <w:t xml:space="preserve"> that lift expectations for agent conduct</w:t>
            </w:r>
            <w:r w:rsidR="00CC5952">
              <w:t>.</w:t>
            </w:r>
          </w:p>
        </w:tc>
      </w:tr>
    </w:tbl>
    <w:p w14:paraId="6CD8044C" w14:textId="77777777" w:rsidR="00F77C14" w:rsidRPr="00944E1D" w:rsidRDefault="00F77C14" w:rsidP="00031C19"/>
    <w:p w14:paraId="0C14E809" w14:textId="3FA69838" w:rsidR="00DB11BD" w:rsidRPr="00944E1D" w:rsidRDefault="00DB11BD" w:rsidP="00031C19">
      <w:pPr>
        <w:pStyle w:val="Heading3"/>
      </w:pPr>
      <w:r w:rsidRPr="00944E1D">
        <w:t xml:space="preserve">Provide career advancement opportunities by developing </w:t>
      </w:r>
      <w:proofErr w:type="spellStart"/>
      <w:r w:rsidRPr="00944E1D">
        <w:t>specialised</w:t>
      </w:r>
      <w:proofErr w:type="spellEnd"/>
      <w:r w:rsidRPr="00944E1D">
        <w:t xml:space="preserve"> skills in the real estate sector</w:t>
      </w:r>
      <w:r w:rsidR="00717E95">
        <w:t>, such as auctioneering or valuation through further study</w:t>
      </w:r>
    </w:p>
    <w:p w14:paraId="1F8ED40E" w14:textId="2D1E149C" w:rsidR="00DB11BD" w:rsidRDefault="00DB11BD" w:rsidP="00114B41">
      <w:r w:rsidRPr="00944E1D">
        <w:t xml:space="preserve">Workers encounter a diverse range of roles once they complete entry-level training. Some of these roles require </w:t>
      </w:r>
      <w:proofErr w:type="spellStart"/>
      <w:r w:rsidRPr="00944E1D">
        <w:t>specialised</w:t>
      </w:r>
      <w:proofErr w:type="spellEnd"/>
      <w:r w:rsidRPr="00944E1D">
        <w:t xml:space="preserve"> skills, such as auctioneering and valuation. Senior roles require business management and human resources skills across the industry. The industry therefore needs to build </w:t>
      </w:r>
      <w:proofErr w:type="spellStart"/>
      <w:r w:rsidRPr="00944E1D">
        <w:t>specialised</w:t>
      </w:r>
      <w:proofErr w:type="spellEnd"/>
      <w:r w:rsidRPr="00944E1D">
        <w:t xml:space="preserve"> skills for workers in the real estate sector to meet current and future role demands. </w:t>
      </w:r>
      <w:r w:rsidR="004E6808">
        <w:t>Advice provided through industry engagement with the Victorian Skills Authority</w:t>
      </w:r>
      <w:r w:rsidR="007C1CC0">
        <w:t xml:space="preserve"> can help identify where existing courses and units may be of value to do this. </w:t>
      </w:r>
      <w:r w:rsidRPr="00944E1D">
        <w:t xml:space="preserve">Career advancement opportunities will also increase retention, address skills </w:t>
      </w:r>
      <w:r w:rsidR="00E27170" w:rsidRPr="00944E1D">
        <w:t>shortages,</w:t>
      </w:r>
      <w:r w:rsidRPr="00944E1D">
        <w:t xml:space="preserve"> and meet future demand.</w:t>
      </w:r>
    </w:p>
    <w:p w14:paraId="7C72572B" w14:textId="3FA39E62" w:rsidR="006122B0" w:rsidRPr="00B65E77" w:rsidRDefault="006122B0" w:rsidP="006122B0">
      <w:pPr>
        <w:pStyle w:val="Caption"/>
        <w:keepNext/>
        <w:rPr>
          <w:sz w:val="20"/>
          <w:szCs w:val="20"/>
        </w:rPr>
      </w:pPr>
      <w:r w:rsidRPr="00B65E77">
        <w:rPr>
          <w:sz w:val="20"/>
          <w:szCs w:val="20"/>
        </w:rPr>
        <w:lastRenderedPageBreak/>
        <w:t xml:space="preserve">Table </w:t>
      </w:r>
      <w:r w:rsidR="009D7386" w:rsidRPr="00B65E77">
        <w:rPr>
          <w:sz w:val="20"/>
          <w:szCs w:val="20"/>
        </w:rPr>
        <w:fldChar w:fldCharType="begin"/>
      </w:r>
      <w:r w:rsidR="009D7386" w:rsidRPr="00B65E77">
        <w:rPr>
          <w:sz w:val="20"/>
          <w:szCs w:val="20"/>
        </w:rPr>
        <w:instrText xml:space="preserve"> SEQ Table \* ARABIC </w:instrText>
      </w:r>
      <w:r w:rsidR="009D7386" w:rsidRPr="00B65E77">
        <w:rPr>
          <w:sz w:val="20"/>
          <w:szCs w:val="20"/>
        </w:rPr>
        <w:fldChar w:fldCharType="separate"/>
      </w:r>
      <w:r w:rsidR="00C435CB">
        <w:rPr>
          <w:noProof/>
          <w:sz w:val="20"/>
          <w:szCs w:val="20"/>
        </w:rPr>
        <w:t>12</w:t>
      </w:r>
      <w:r w:rsidR="009D7386" w:rsidRPr="00B65E77">
        <w:rPr>
          <w:sz w:val="20"/>
          <w:szCs w:val="20"/>
        </w:rPr>
        <w:fldChar w:fldCharType="end"/>
      </w:r>
      <w:r w:rsidRPr="00B65E77">
        <w:rPr>
          <w:sz w:val="20"/>
          <w:szCs w:val="20"/>
        </w:rPr>
        <w:t xml:space="preserve"> | Issues to address to provide career advancement opportunities</w:t>
      </w:r>
    </w:p>
    <w:tbl>
      <w:tblPr>
        <w:tblStyle w:val="NOUSSideHeader3"/>
        <w:tblW w:w="0" w:type="auto"/>
        <w:tblBorders>
          <w:top w:val="single" w:sz="18" w:space="0" w:color="auto"/>
          <w:left w:val="single" w:sz="18" w:space="0" w:color="auto"/>
          <w:bottom w:val="single" w:sz="18" w:space="0" w:color="auto"/>
          <w:right w:val="single" w:sz="18" w:space="0" w:color="auto"/>
          <w:insideH w:val="none" w:sz="0" w:space="0" w:color="auto"/>
        </w:tblBorders>
        <w:shd w:val="clear" w:color="auto" w:fill="FFFFFF" w:themeFill="background1"/>
        <w:tblLook w:val="04A0" w:firstRow="1" w:lastRow="0" w:firstColumn="1" w:lastColumn="0" w:noHBand="0" w:noVBand="1"/>
      </w:tblPr>
      <w:tblGrid>
        <w:gridCol w:w="9025"/>
      </w:tblGrid>
      <w:tr w:rsidR="00767CAA" w14:paraId="4BD81234" w14:textId="77777777" w:rsidTr="000F4A56">
        <w:trPr>
          <w:cnfStyle w:val="100000000000" w:firstRow="1" w:lastRow="0" w:firstColumn="0" w:lastColumn="0" w:oddVBand="0" w:evenVBand="0" w:oddHBand="0" w:evenHBand="0" w:firstRowFirstColumn="0" w:firstRowLastColumn="0" w:lastRowFirstColumn="0" w:lastRowLastColumn="0"/>
        </w:trPr>
        <w:tc>
          <w:tcPr>
            <w:tcW w:w="9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4F2AC0F0" w14:textId="0EEB7C20" w:rsidR="00677E31" w:rsidRDefault="00210941" w:rsidP="009C5814">
            <w:pPr>
              <w:pStyle w:val="NormalTablesListBullet"/>
            </w:pPr>
            <w:r>
              <w:t>High level of c</w:t>
            </w:r>
            <w:r w:rsidR="00677E31">
              <w:t>hurn in entry</w:t>
            </w:r>
            <w:r w:rsidR="00B370D3">
              <w:t>-</w:t>
            </w:r>
            <w:r w:rsidR="00677E31">
              <w:t>level work</w:t>
            </w:r>
            <w:r w:rsidR="00D6680E">
              <w:t>force</w:t>
            </w:r>
            <w:r w:rsidR="00100961">
              <w:t>.</w:t>
            </w:r>
            <w:r>
              <w:t xml:space="preserve"> </w:t>
            </w:r>
          </w:p>
          <w:p w14:paraId="109F56F8" w14:textId="7B05A360" w:rsidR="00767CAA" w:rsidRDefault="00B100AC" w:rsidP="009C5814">
            <w:pPr>
              <w:pStyle w:val="NormalTablesListBullet"/>
            </w:pPr>
            <w:r>
              <w:t>Growing demand for specialised roles in the real estate sector</w:t>
            </w:r>
            <w:r w:rsidR="00100961">
              <w:t>.</w:t>
            </w:r>
          </w:p>
        </w:tc>
      </w:tr>
    </w:tbl>
    <w:p w14:paraId="05E75144" w14:textId="77777777" w:rsidR="00DB11BD" w:rsidRDefault="00DB11BD" w:rsidP="00180AD3">
      <w:pPr>
        <w:spacing w:line="276" w:lineRule="auto"/>
        <w:rPr>
          <w:rFonts w:eastAsiaTheme="majorEastAsia" w:cs="Times New Roman (Headings CS)"/>
          <w:b/>
          <w:color w:val="000000" w:themeColor="text1"/>
          <w:sz w:val="32"/>
          <w:szCs w:val="32"/>
        </w:rPr>
      </w:pPr>
      <w:bookmarkStart w:id="61" w:name="_Toc99009790"/>
      <w:r>
        <w:br w:type="page"/>
      </w:r>
    </w:p>
    <w:p w14:paraId="578C3883" w14:textId="0E024662" w:rsidR="00DB11BD" w:rsidRDefault="00C32967" w:rsidP="00455021">
      <w:pPr>
        <w:pStyle w:val="Heading1"/>
        <w:rPr>
          <w:lang w:val="en-AU"/>
        </w:rPr>
      </w:pPr>
      <w:bookmarkStart w:id="62" w:name="_Toc111118566"/>
      <w:bookmarkEnd w:id="61"/>
      <w:r>
        <w:rPr>
          <w:lang w:val="en-AU"/>
        </w:rPr>
        <w:lastRenderedPageBreak/>
        <w:t>Collaborative response</w:t>
      </w:r>
      <w:bookmarkEnd w:id="62"/>
    </w:p>
    <w:p w14:paraId="22E14BCA" w14:textId="77777777" w:rsidR="00FD5CF5" w:rsidRPr="00A14893" w:rsidRDefault="00FD5CF5" w:rsidP="00FD5CF5">
      <w:pPr>
        <w:pStyle w:val="Heading2"/>
      </w:pPr>
      <w:bookmarkStart w:id="63" w:name="_Toc104969263"/>
      <w:bookmarkStart w:id="64" w:name="_Toc111118567"/>
      <w:r w:rsidRPr="00A14893">
        <w:t xml:space="preserve">The education and training response </w:t>
      </w:r>
      <w:r>
        <w:t>can</w:t>
      </w:r>
      <w:r w:rsidRPr="00A14893">
        <w:t xml:space="preserve"> </w:t>
      </w:r>
      <w:r>
        <w:t>better align</w:t>
      </w:r>
      <w:r w:rsidRPr="00A14893">
        <w:t xml:space="preserve"> with </w:t>
      </w:r>
      <w:r>
        <w:t>industry needs and regulatory reform</w:t>
      </w:r>
      <w:bookmarkEnd w:id="63"/>
      <w:bookmarkEnd w:id="64"/>
    </w:p>
    <w:p w14:paraId="7D116829" w14:textId="4251F6E8" w:rsidR="00434C04" w:rsidRPr="00434C04" w:rsidRDefault="00434C04" w:rsidP="008F7FA2">
      <w:pPr>
        <w:pStyle w:val="NormalTablesListNumber"/>
        <w:numPr>
          <w:ilvl w:val="0"/>
          <w:numId w:val="0"/>
        </w:numPr>
        <w:rPr>
          <w:lang w:eastAsia="en-AU"/>
        </w:rPr>
      </w:pPr>
      <w:r w:rsidRPr="00434C04">
        <w:rPr>
          <w:lang w:eastAsia="en-AU"/>
        </w:rPr>
        <w:t xml:space="preserve">The education and training response has a key role to play in helping to address the </w:t>
      </w:r>
      <w:r>
        <w:rPr>
          <w:lang w:eastAsia="en-AU"/>
        </w:rPr>
        <w:t xml:space="preserve">two </w:t>
      </w:r>
      <w:r w:rsidRPr="00434C04">
        <w:rPr>
          <w:lang w:eastAsia="en-AU"/>
        </w:rPr>
        <w:t xml:space="preserve">key workforce issues for the industry: </w:t>
      </w:r>
    </w:p>
    <w:p w14:paraId="3142239F" w14:textId="32C1D80A" w:rsidR="006A6F19" w:rsidRPr="006A6F19" w:rsidRDefault="006A6F19" w:rsidP="00E82627">
      <w:pPr>
        <w:pStyle w:val="NormalTablesListNumber"/>
        <w:numPr>
          <w:ilvl w:val="0"/>
          <w:numId w:val="36"/>
        </w:numPr>
        <w:rPr>
          <w:lang w:eastAsia="en-AU"/>
        </w:rPr>
      </w:pPr>
      <w:r>
        <w:rPr>
          <w:lang w:eastAsia="en-AU"/>
        </w:rPr>
        <w:t>A</w:t>
      </w:r>
      <w:r w:rsidR="00F30B50" w:rsidRPr="00B9388F">
        <w:rPr>
          <w:lang w:eastAsia="en-AU"/>
        </w:rPr>
        <w:t xml:space="preserve">dapt employment and education practices to align with </w:t>
      </w:r>
      <w:r w:rsidR="00717E95">
        <w:rPr>
          <w:lang w:eastAsia="en-AU"/>
        </w:rPr>
        <w:t>the new minimum qualification for real estate agents</w:t>
      </w:r>
      <w:r w:rsidR="00C23921">
        <w:rPr>
          <w:szCs w:val="20"/>
        </w:rPr>
        <w:t xml:space="preserve"> </w:t>
      </w:r>
    </w:p>
    <w:p w14:paraId="26BD0B32" w14:textId="27ED114F" w:rsidR="006A6F19" w:rsidRDefault="006A6F19" w:rsidP="006A6F19">
      <w:pPr>
        <w:pStyle w:val="NormalTablesListNumber"/>
        <w:rPr>
          <w:lang w:eastAsia="en-AU"/>
        </w:rPr>
      </w:pPr>
      <w:r>
        <w:rPr>
          <w:szCs w:val="20"/>
        </w:rPr>
        <w:t>P</w:t>
      </w:r>
      <w:r w:rsidR="00F30B50" w:rsidRPr="00B9388F">
        <w:rPr>
          <w:szCs w:val="20"/>
        </w:rPr>
        <w:t>rovid</w:t>
      </w:r>
      <w:r w:rsidR="00C23921">
        <w:rPr>
          <w:szCs w:val="20"/>
        </w:rPr>
        <w:t>e</w:t>
      </w:r>
      <w:r w:rsidR="00F30B50" w:rsidRPr="00B9388F">
        <w:rPr>
          <w:szCs w:val="20"/>
        </w:rPr>
        <w:t xml:space="preserve"> career advancement opportunities by developing specialised skills in the real estate sector</w:t>
      </w:r>
      <w:r w:rsidR="0089073B">
        <w:rPr>
          <w:szCs w:val="20"/>
        </w:rPr>
        <w:t>, such as auctioneering or valuation through further study</w:t>
      </w:r>
      <w:r w:rsidR="00F30B50" w:rsidRPr="00ED0CCD">
        <w:t>.</w:t>
      </w:r>
      <w:r w:rsidR="00F30B50">
        <w:t xml:space="preserve"> </w:t>
      </w:r>
    </w:p>
    <w:p w14:paraId="7F72DF85" w14:textId="7C51510C" w:rsidR="00F30B50" w:rsidRDefault="00F30B50" w:rsidP="006A6F19">
      <w:pPr>
        <w:pStyle w:val="NormalTablesListNumber"/>
        <w:numPr>
          <w:ilvl w:val="0"/>
          <w:numId w:val="0"/>
        </w:numPr>
        <w:rPr>
          <w:lang w:eastAsia="en-AU"/>
        </w:rPr>
      </w:pPr>
      <w:r>
        <w:t>The education and training</w:t>
      </w:r>
      <w:r w:rsidRPr="00CD73C4">
        <w:rPr>
          <w:lang w:eastAsia="en-AU"/>
        </w:rPr>
        <w:t xml:space="preserve"> </w:t>
      </w:r>
      <w:r w:rsidR="003B5F72">
        <w:rPr>
          <w:lang w:eastAsia="en-AU"/>
        </w:rPr>
        <w:t>system</w:t>
      </w:r>
      <w:r>
        <w:rPr>
          <w:lang w:eastAsia="en-AU"/>
        </w:rPr>
        <w:t xml:space="preserve"> has a key role to play in addressing these workforce priorities.</w:t>
      </w:r>
    </w:p>
    <w:p w14:paraId="6DB9A750" w14:textId="1B41ED27" w:rsidR="007352F7" w:rsidRDefault="00FD5CF5" w:rsidP="00FD5CF5">
      <w:pPr>
        <w:rPr>
          <w:lang w:eastAsia="en-AU"/>
        </w:rPr>
      </w:pPr>
      <w:r>
        <w:rPr>
          <w:lang w:eastAsia="en-AU"/>
        </w:rPr>
        <w:t xml:space="preserve">The education and training </w:t>
      </w:r>
      <w:r w:rsidR="00776F13">
        <w:rPr>
          <w:lang w:eastAsia="en-AU"/>
        </w:rPr>
        <w:t>response</w:t>
      </w:r>
      <w:r>
        <w:rPr>
          <w:lang w:eastAsia="en-AU"/>
        </w:rPr>
        <w:t xml:space="preserve"> </w:t>
      </w:r>
      <w:r w:rsidR="00776F13">
        <w:rPr>
          <w:lang w:eastAsia="en-AU"/>
        </w:rPr>
        <w:t xml:space="preserve">will be critical to ensure </w:t>
      </w:r>
      <w:r>
        <w:rPr>
          <w:lang w:eastAsia="en-AU"/>
        </w:rPr>
        <w:t xml:space="preserve">regulatory reform </w:t>
      </w:r>
      <w:r w:rsidR="00776F13">
        <w:rPr>
          <w:lang w:eastAsia="en-AU"/>
        </w:rPr>
        <w:t>is upheld whilst ensuring</w:t>
      </w:r>
      <w:r>
        <w:rPr>
          <w:lang w:eastAsia="en-AU"/>
        </w:rPr>
        <w:t xml:space="preserve"> industry </w:t>
      </w:r>
      <w:r w:rsidR="00776F13">
        <w:rPr>
          <w:lang w:eastAsia="en-AU"/>
        </w:rPr>
        <w:t xml:space="preserve">continues to have the skilled workforce it needs </w:t>
      </w:r>
      <w:r>
        <w:rPr>
          <w:lang w:eastAsia="en-AU"/>
        </w:rPr>
        <w:t xml:space="preserve">to meet demand. As described above, </w:t>
      </w:r>
      <w:r w:rsidR="00100961">
        <w:rPr>
          <w:lang w:eastAsia="en-AU"/>
        </w:rPr>
        <w:t>recent</w:t>
      </w:r>
      <w:r w:rsidR="00BE7BA2">
        <w:rPr>
          <w:lang w:eastAsia="en-AU"/>
        </w:rPr>
        <w:t xml:space="preserve"> changes to</w:t>
      </w:r>
      <w:r>
        <w:rPr>
          <w:lang w:eastAsia="en-AU"/>
        </w:rPr>
        <w:t xml:space="preserve"> regulation prevent students from shadowing fully licensed operators until they have completed a prescribed number of units. </w:t>
      </w:r>
      <w:r w:rsidR="006C6329">
        <w:rPr>
          <w:lang w:eastAsia="en-AU"/>
        </w:rPr>
        <w:t>Consultation highlighted that t</w:t>
      </w:r>
      <w:r>
        <w:rPr>
          <w:lang w:eastAsia="en-AU"/>
        </w:rPr>
        <w:t>his compromises job-readiness and encourages students to obtain a classroom-based qualification as soon as possible. A</w:t>
      </w:r>
      <w:r w:rsidR="006173F6">
        <w:rPr>
          <w:lang w:eastAsia="en-AU"/>
        </w:rPr>
        <w:t xml:space="preserve"> possible</w:t>
      </w:r>
      <w:r>
        <w:rPr>
          <w:lang w:eastAsia="en-AU"/>
        </w:rPr>
        <w:t xml:space="preserve"> area of focus </w:t>
      </w:r>
      <w:r w:rsidR="006173F6">
        <w:rPr>
          <w:lang w:eastAsia="en-AU"/>
        </w:rPr>
        <w:t xml:space="preserve">is </w:t>
      </w:r>
      <w:r w:rsidR="006C6329">
        <w:rPr>
          <w:lang w:eastAsia="en-AU"/>
        </w:rPr>
        <w:t>to</w:t>
      </w:r>
      <w:r>
        <w:rPr>
          <w:lang w:eastAsia="en-AU"/>
        </w:rPr>
        <w:t xml:space="preserve"> </w:t>
      </w:r>
      <w:r w:rsidR="006C6329">
        <w:rPr>
          <w:lang w:eastAsia="en-AU"/>
        </w:rPr>
        <w:t>improve</w:t>
      </w:r>
      <w:r>
        <w:rPr>
          <w:lang w:eastAsia="en-AU"/>
        </w:rPr>
        <w:t xml:space="preserve"> practical experience </w:t>
      </w:r>
      <w:r w:rsidR="006C6329">
        <w:rPr>
          <w:lang w:eastAsia="en-AU"/>
        </w:rPr>
        <w:t>for current and future workers</w:t>
      </w:r>
      <w:r w:rsidR="005D31D0">
        <w:rPr>
          <w:lang w:eastAsia="en-AU"/>
        </w:rPr>
        <w:t>, in line with new regulations</w:t>
      </w:r>
      <w:r>
        <w:rPr>
          <w:lang w:eastAsia="en-AU"/>
        </w:rPr>
        <w:t xml:space="preserve">. </w:t>
      </w:r>
    </w:p>
    <w:p w14:paraId="0852DB1F" w14:textId="4ADDD59B" w:rsidR="00FD5CF5" w:rsidRDefault="007352F7" w:rsidP="00FD5CF5">
      <w:r>
        <w:rPr>
          <w:rFonts w:eastAsia="Calibri" w:cs="Arial"/>
          <w:noProof/>
          <w:color w:val="000000"/>
          <w:szCs w:val="22"/>
          <w:lang w:val="en-AU" w:eastAsia="en-AU"/>
        </w:rPr>
        <w:t>The education and training response can</w:t>
      </w:r>
      <w:r w:rsidR="00622BD2">
        <w:rPr>
          <w:rFonts w:eastAsia="Calibri" w:cs="Arial"/>
          <w:noProof/>
          <w:color w:val="000000"/>
          <w:szCs w:val="22"/>
          <w:lang w:val="en-AU" w:eastAsia="en-AU"/>
        </w:rPr>
        <w:t xml:space="preserve"> also</w:t>
      </w:r>
      <w:r w:rsidR="00B45FBD">
        <w:rPr>
          <w:rFonts w:eastAsia="Calibri" w:cs="Arial"/>
          <w:noProof/>
          <w:color w:val="000000"/>
          <w:szCs w:val="22"/>
          <w:lang w:val="en-AU" w:eastAsia="en-AU"/>
        </w:rPr>
        <w:t xml:space="preserve"> </w:t>
      </w:r>
      <w:r>
        <w:rPr>
          <w:rFonts w:eastAsia="Calibri" w:cs="Arial"/>
          <w:noProof/>
          <w:color w:val="000000"/>
          <w:szCs w:val="22"/>
          <w:lang w:val="en-AU" w:eastAsia="en-AU"/>
        </w:rPr>
        <w:t xml:space="preserve">support </w:t>
      </w:r>
      <w:r w:rsidR="00B249EB">
        <w:rPr>
          <w:rFonts w:eastAsia="Calibri" w:cs="Arial"/>
          <w:noProof/>
          <w:color w:val="000000"/>
          <w:szCs w:val="22"/>
          <w:lang w:val="en-AU" w:eastAsia="en-AU"/>
        </w:rPr>
        <w:t xml:space="preserve">qualified </w:t>
      </w:r>
      <w:r>
        <w:rPr>
          <w:rFonts w:eastAsia="Calibri" w:cs="Arial"/>
          <w:noProof/>
          <w:color w:val="000000"/>
          <w:szCs w:val="22"/>
          <w:lang w:val="en-AU" w:eastAsia="en-AU"/>
        </w:rPr>
        <w:t xml:space="preserve">workers to </w:t>
      </w:r>
      <w:r w:rsidRPr="00BF1502">
        <w:rPr>
          <w:lang w:eastAsia="en-AU"/>
        </w:rPr>
        <w:t xml:space="preserve">advance their </w:t>
      </w:r>
      <w:r w:rsidR="0086497B">
        <w:rPr>
          <w:lang w:eastAsia="en-AU"/>
        </w:rPr>
        <w:t xml:space="preserve">skill set through </w:t>
      </w:r>
      <w:r w:rsidRPr="00BF1502">
        <w:rPr>
          <w:lang w:eastAsia="en-AU"/>
        </w:rPr>
        <w:t>micro-credentials, short courses and full qualifications</w:t>
      </w:r>
      <w:r w:rsidR="00AD7C7F">
        <w:rPr>
          <w:lang w:eastAsia="en-AU"/>
        </w:rPr>
        <w:t xml:space="preserve"> to keep pace with market fluctuations and changing skill demands</w:t>
      </w:r>
      <w:r w:rsidRPr="00BF1502">
        <w:rPr>
          <w:lang w:eastAsia="en-AU"/>
        </w:rPr>
        <w:t xml:space="preserve">. </w:t>
      </w:r>
      <w:r w:rsidRPr="00BF1502">
        <w:t>For example, the system could</w:t>
      </w:r>
      <w:r w:rsidR="008E024E">
        <w:t xml:space="preserve"> explore</w:t>
      </w:r>
      <w:r w:rsidRPr="00BF1502">
        <w:t xml:space="preserve"> introduc</w:t>
      </w:r>
      <w:r w:rsidR="008E024E">
        <w:t>ing</w:t>
      </w:r>
      <w:r w:rsidRPr="00BF1502">
        <w:t xml:space="preserve"> a sector-specific short course or promote existing small business qualifications, such as a Certificate IV in Entrepreneurship and New Business.</w:t>
      </w:r>
      <w:r w:rsidRPr="00BF1502">
        <w:rPr>
          <w:rStyle w:val="EndnoteReference"/>
        </w:rPr>
        <w:endnoteReference w:id="91"/>
      </w:r>
      <w:r w:rsidRPr="00BF1502">
        <w:t xml:space="preserve"> Similarly, specific training or qualifications for auctioneering and valuing could assist in cultivating the right skills to match industry demands.</w:t>
      </w:r>
      <w:r w:rsidRPr="00BF1502">
        <w:rPr>
          <w:rStyle w:val="EndnoteReference"/>
        </w:rPr>
        <w:endnoteReference w:id="92"/>
      </w:r>
      <w:r w:rsidRPr="00BF1502">
        <w:t xml:space="preserve"> </w:t>
      </w:r>
      <w:r w:rsidRPr="00BF1502">
        <w:rPr>
          <w:lang w:eastAsia="en-AU"/>
        </w:rPr>
        <w:t>Industry partnerships</w:t>
      </w:r>
      <w:r w:rsidR="00002FFB">
        <w:rPr>
          <w:lang w:eastAsia="en-AU"/>
        </w:rPr>
        <w:t xml:space="preserve"> can </w:t>
      </w:r>
      <w:r w:rsidRPr="00BF1502">
        <w:rPr>
          <w:lang w:eastAsia="en-AU"/>
        </w:rPr>
        <w:t>assist in ensuring content is practical and relevant.</w:t>
      </w:r>
      <w:r>
        <w:t xml:space="preserve"> </w:t>
      </w:r>
      <w:r w:rsidRPr="00BF1502">
        <w:t>These opportunities also give workers avenues for career advancement, increasing attraction and retention.</w:t>
      </w:r>
    </w:p>
    <w:p w14:paraId="45510360" w14:textId="473AC6C4" w:rsidR="008B7B50" w:rsidRPr="00AD44CE" w:rsidRDefault="000F4FE6" w:rsidP="00FD5CF5">
      <w:pPr>
        <w:rPr>
          <w:lang w:eastAsia="en-AU"/>
        </w:rPr>
      </w:pPr>
      <w:r>
        <w:t>The</w:t>
      </w:r>
      <w:r w:rsidR="008B7B50">
        <w:rPr>
          <w:lang w:eastAsia="en-AU"/>
        </w:rPr>
        <w:t xml:space="preserve"> r</w:t>
      </w:r>
      <w:r w:rsidR="008B7B50" w:rsidRPr="00BF1502">
        <w:rPr>
          <w:lang w:eastAsia="en-AU"/>
        </w:rPr>
        <w:t xml:space="preserve">egulatory context of the real estate sector and ongoing concern regarding agent conduct highlights the importance of </w:t>
      </w:r>
      <w:r w:rsidR="00072797">
        <w:rPr>
          <w:lang w:eastAsia="en-AU"/>
        </w:rPr>
        <w:t>workers having the</w:t>
      </w:r>
      <w:r w:rsidR="008B7B50" w:rsidRPr="00BF1502">
        <w:rPr>
          <w:lang w:eastAsia="en-AU"/>
        </w:rPr>
        <w:t xml:space="preserve"> skills and </w:t>
      </w:r>
      <w:r w:rsidR="00072797">
        <w:rPr>
          <w:lang w:eastAsia="en-AU"/>
        </w:rPr>
        <w:t>knowledge</w:t>
      </w:r>
      <w:r w:rsidR="008B7B50" w:rsidRPr="00BF1502">
        <w:rPr>
          <w:lang w:eastAsia="en-AU"/>
        </w:rPr>
        <w:t xml:space="preserve"> </w:t>
      </w:r>
      <w:r w:rsidR="00072797">
        <w:rPr>
          <w:lang w:eastAsia="en-AU"/>
        </w:rPr>
        <w:t xml:space="preserve">required to uphold their </w:t>
      </w:r>
      <w:r w:rsidR="008B7B50" w:rsidRPr="00BF1502">
        <w:rPr>
          <w:lang w:eastAsia="en-AU"/>
        </w:rPr>
        <w:t xml:space="preserve">legislative and ethical obligations. The education and training response </w:t>
      </w:r>
      <w:r w:rsidR="008B7B50">
        <w:rPr>
          <w:lang w:eastAsia="en-AU"/>
        </w:rPr>
        <w:t>can</w:t>
      </w:r>
      <w:r w:rsidR="008B7B50" w:rsidRPr="00BF1502">
        <w:rPr>
          <w:lang w:eastAsia="en-AU"/>
        </w:rPr>
        <w:t xml:space="preserve"> focus on continuing professional development opportunities </w:t>
      </w:r>
      <w:r w:rsidR="00EC139A">
        <w:rPr>
          <w:lang w:eastAsia="en-AU"/>
        </w:rPr>
        <w:t>that</w:t>
      </w:r>
      <w:r w:rsidR="008B7B50" w:rsidRPr="00BF1502">
        <w:rPr>
          <w:lang w:eastAsia="en-AU"/>
        </w:rPr>
        <w:t xml:space="preserve"> actively engender ethical practices. This </w:t>
      </w:r>
      <w:r w:rsidR="008B7B50">
        <w:rPr>
          <w:lang w:eastAsia="en-AU"/>
        </w:rPr>
        <w:t>can</w:t>
      </w:r>
      <w:r w:rsidR="008B7B50" w:rsidRPr="00BF1502">
        <w:rPr>
          <w:lang w:eastAsia="en-AU"/>
        </w:rPr>
        <w:t xml:space="preserve"> </w:t>
      </w:r>
      <w:r w:rsidR="005358E2">
        <w:rPr>
          <w:lang w:eastAsia="en-AU"/>
        </w:rPr>
        <w:t>benefit from</w:t>
      </w:r>
      <w:r w:rsidR="008B7B50" w:rsidRPr="00BF1502">
        <w:rPr>
          <w:lang w:eastAsia="en-AU"/>
        </w:rPr>
        <w:t xml:space="preserve"> increase</w:t>
      </w:r>
      <w:r w:rsidR="005358E2">
        <w:rPr>
          <w:lang w:eastAsia="en-AU"/>
        </w:rPr>
        <w:t>d</w:t>
      </w:r>
      <w:r w:rsidR="008B7B50" w:rsidRPr="00BF1502">
        <w:rPr>
          <w:lang w:eastAsia="en-AU"/>
        </w:rPr>
        <w:t xml:space="preserve"> industry </w:t>
      </w:r>
      <w:r w:rsidR="005358E2">
        <w:rPr>
          <w:lang w:eastAsia="en-AU"/>
        </w:rPr>
        <w:t>exposure</w:t>
      </w:r>
      <w:r w:rsidR="008B7B50" w:rsidRPr="00BF1502">
        <w:rPr>
          <w:lang w:eastAsia="en-AU"/>
        </w:rPr>
        <w:t xml:space="preserve"> for students.</w:t>
      </w:r>
    </w:p>
    <w:p w14:paraId="318A22DC" w14:textId="35CE93FD" w:rsidR="00DB11BD" w:rsidRDefault="00DB11BD" w:rsidP="006A0D14">
      <w:pPr>
        <w:pStyle w:val="Heading2"/>
      </w:pPr>
      <w:bookmarkStart w:id="65" w:name="_Toc99408096"/>
      <w:bookmarkStart w:id="66" w:name="_Toc101971760"/>
      <w:bookmarkStart w:id="67" w:name="_Toc102119502"/>
      <w:bookmarkStart w:id="68" w:name="_Toc104969264"/>
      <w:bookmarkStart w:id="69" w:name="_Toc111118568"/>
      <w:r>
        <w:t>There are opportunities to improve how industry develops capability and meets workforce demand</w:t>
      </w:r>
      <w:bookmarkEnd w:id="65"/>
      <w:bookmarkEnd w:id="66"/>
      <w:bookmarkEnd w:id="67"/>
      <w:bookmarkEnd w:id="68"/>
      <w:bookmarkEnd w:id="69"/>
    </w:p>
    <w:p w14:paraId="70B88249" w14:textId="77777777" w:rsidR="00F30B50" w:rsidRDefault="00F30B50" w:rsidP="00F30B50">
      <w:pPr>
        <w:rPr>
          <w:lang w:eastAsia="en-AU"/>
        </w:rPr>
      </w:pPr>
      <w:r w:rsidRPr="00A14893">
        <w:rPr>
          <w:lang w:eastAsia="en-AU"/>
        </w:rPr>
        <w:t xml:space="preserve">The education and training </w:t>
      </w:r>
      <w:r>
        <w:rPr>
          <w:lang w:eastAsia="en-AU"/>
        </w:rPr>
        <w:t>response</w:t>
      </w:r>
      <w:r w:rsidRPr="00A14893">
        <w:rPr>
          <w:lang w:eastAsia="en-AU"/>
        </w:rPr>
        <w:t xml:space="preserve"> alone cannot deliver on the </w:t>
      </w:r>
      <w:r>
        <w:rPr>
          <w:lang w:eastAsia="en-AU"/>
        </w:rPr>
        <w:t>two</w:t>
      </w:r>
      <w:r w:rsidRPr="00A14893">
        <w:rPr>
          <w:lang w:eastAsia="en-AU"/>
        </w:rPr>
        <w:t xml:space="preserve"> workforce priorities to improve how the </w:t>
      </w:r>
      <w:r>
        <w:rPr>
          <w:lang w:eastAsia="en-AU"/>
        </w:rPr>
        <w:t>rental, hiring and real estate services</w:t>
      </w:r>
      <w:r w:rsidRPr="00A14893">
        <w:rPr>
          <w:lang w:eastAsia="en-AU"/>
        </w:rPr>
        <w:t xml:space="preserve"> industry attracts and manages talent. It is critical that the system works together with government and industry to support the training and skilling requirements necessary to meet future demand and deliver a coordinated response. </w:t>
      </w:r>
    </w:p>
    <w:p w14:paraId="4E8D7ED9" w14:textId="62961A64" w:rsidR="00DB11BD" w:rsidRDefault="00A349DC" w:rsidP="00195DC2">
      <w:pPr>
        <w:rPr>
          <w:lang w:eastAsia="en-AU"/>
        </w:rPr>
      </w:pPr>
      <w:r w:rsidRPr="002D742B">
        <w:t xml:space="preserve">Consultation revealed that some providers are now offering the course over four to six weeks with students able to obtain a </w:t>
      </w:r>
      <w:proofErr w:type="spellStart"/>
      <w:r w:rsidRPr="002D742B">
        <w:t>licence</w:t>
      </w:r>
      <w:proofErr w:type="spellEnd"/>
      <w:r w:rsidRPr="002D742B">
        <w:t xml:space="preserve"> to operate as an agent’s representative or real estate agent with no practical experience. This is inconsistent with the intent of regulatory reform and risks unethical practice.</w:t>
      </w:r>
      <w:r w:rsidR="007352F7">
        <w:t xml:space="preserve"> </w:t>
      </w:r>
      <w:r w:rsidR="000366ED">
        <w:t>I</w:t>
      </w:r>
      <w:r w:rsidR="00DB11BD">
        <w:t>ndustry</w:t>
      </w:r>
      <w:r w:rsidR="00DB11BD" w:rsidRPr="002D742B">
        <w:t xml:space="preserve"> </w:t>
      </w:r>
      <w:r w:rsidR="002A6E44">
        <w:t>can</w:t>
      </w:r>
      <w:r w:rsidR="00DB11BD" w:rsidRPr="002D742B">
        <w:t xml:space="preserve"> consider offer</w:t>
      </w:r>
      <w:r w:rsidR="00D87CA9">
        <w:t>ing</w:t>
      </w:r>
      <w:r w:rsidR="00DB11BD" w:rsidRPr="002D742B">
        <w:t xml:space="preserve"> or simulat</w:t>
      </w:r>
      <w:r w:rsidR="00D87CA9">
        <w:t>ing</w:t>
      </w:r>
      <w:r w:rsidR="00DB11BD" w:rsidRPr="002D742B">
        <w:t xml:space="preserve"> practical experience for students </w:t>
      </w:r>
      <w:r w:rsidR="00DB11BD" w:rsidRPr="002D742B">
        <w:rPr>
          <w:lang w:eastAsia="en-AU"/>
        </w:rPr>
        <w:t>to learn from experienced practitioners and ensure they are job-ready within the scope of the new regulations.</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EE7C50" w14:paraId="74ECA0CD" w14:textId="77777777" w:rsidTr="00EE7C50">
        <w:tc>
          <w:tcPr>
            <w:tcW w:w="9061" w:type="dxa"/>
          </w:tcPr>
          <w:p w14:paraId="6F24E185" w14:textId="0FD92BDE" w:rsidR="00EE7C50" w:rsidRPr="00EE7C50" w:rsidRDefault="00EE7C50" w:rsidP="00195DC2">
            <w:pPr>
              <w:rPr>
                <w:iCs/>
                <w:sz w:val="18"/>
                <w:szCs w:val="18"/>
                <w:lang w:val="en-AU"/>
              </w:rPr>
            </w:pPr>
            <w:r w:rsidRPr="00B0436F">
              <w:rPr>
                <w:iCs/>
                <w:szCs w:val="20"/>
                <w:lang w:val="en-AU"/>
              </w:rPr>
              <w:t>The rental, hiring and real estate services industry can focus on adapting to new regulations and developing specialised skills to meet workforce demand.</w:t>
            </w:r>
          </w:p>
        </w:tc>
      </w:tr>
    </w:tbl>
    <w:p w14:paraId="2C94CC83" w14:textId="77777777" w:rsidR="00EE7C50" w:rsidRPr="002D742B" w:rsidRDefault="00EE7C50" w:rsidP="00195DC2"/>
    <w:p w14:paraId="2733CB96" w14:textId="77777777" w:rsidR="00BA09E5" w:rsidRDefault="00BA09E5" w:rsidP="00195DC2"/>
    <w:p w14:paraId="2E7D7ABA" w14:textId="77777777" w:rsidR="00BA09E5" w:rsidRDefault="00BA09E5" w:rsidP="00195DC2"/>
    <w:p w14:paraId="12CE572D" w14:textId="46C281B5" w:rsidR="00DB11BD" w:rsidRPr="00BF1502" w:rsidRDefault="00EB3CA6" w:rsidP="00195DC2">
      <w:pPr>
        <w:rPr>
          <w:lang w:eastAsia="en-AU"/>
        </w:rPr>
      </w:pPr>
      <w:r>
        <w:t>I</w:t>
      </w:r>
      <w:r w:rsidR="00DB11BD" w:rsidRPr="00BF1502">
        <w:rPr>
          <w:lang w:eastAsia="en-AU"/>
        </w:rPr>
        <w:t xml:space="preserve">ndustry </w:t>
      </w:r>
      <w:r w:rsidR="002A6E44">
        <w:rPr>
          <w:lang w:eastAsia="en-AU"/>
        </w:rPr>
        <w:t>can</w:t>
      </w:r>
      <w:r w:rsidR="00DB11BD" w:rsidRPr="00BF1502">
        <w:rPr>
          <w:lang w:eastAsia="en-AU"/>
        </w:rPr>
        <w:t xml:space="preserve"> </w:t>
      </w:r>
      <w:r>
        <w:rPr>
          <w:lang w:eastAsia="en-AU"/>
        </w:rPr>
        <w:t xml:space="preserve">also </w:t>
      </w:r>
      <w:proofErr w:type="spellStart"/>
      <w:r w:rsidR="00DB11BD" w:rsidRPr="00BF1502">
        <w:rPr>
          <w:lang w:eastAsia="en-AU"/>
        </w:rPr>
        <w:t>maximise</w:t>
      </w:r>
      <w:proofErr w:type="spellEnd"/>
      <w:r w:rsidR="00DB11BD" w:rsidRPr="00BF1502">
        <w:rPr>
          <w:lang w:eastAsia="en-AU"/>
        </w:rPr>
        <w:t xml:space="preserve"> the new entry pathway for real estate agent</w:t>
      </w:r>
      <w:r w:rsidR="00DB11BD">
        <w:rPr>
          <w:lang w:eastAsia="en-AU"/>
        </w:rPr>
        <w:t xml:space="preserve">s and </w:t>
      </w:r>
      <w:r w:rsidR="00DB11BD" w:rsidRPr="00BF1502">
        <w:rPr>
          <w:lang w:eastAsia="en-AU"/>
        </w:rPr>
        <w:t xml:space="preserve">focus on </w:t>
      </w:r>
      <w:r w:rsidR="00DB11BD">
        <w:rPr>
          <w:lang w:eastAsia="en-AU"/>
        </w:rPr>
        <w:t xml:space="preserve">both </w:t>
      </w:r>
      <w:r w:rsidR="00DB11BD" w:rsidRPr="00BF1502">
        <w:rPr>
          <w:lang w:eastAsia="en-AU"/>
        </w:rPr>
        <w:t>protecting the quality of the pathway</w:t>
      </w:r>
      <w:r w:rsidR="00DB11BD">
        <w:rPr>
          <w:lang w:eastAsia="en-AU"/>
        </w:rPr>
        <w:t xml:space="preserve"> and removing barriers to practical experience where possible</w:t>
      </w:r>
      <w:r w:rsidR="00DB11BD" w:rsidRPr="00BF1502">
        <w:rPr>
          <w:lang w:eastAsia="en-AU"/>
        </w:rPr>
        <w:t xml:space="preserve">. </w:t>
      </w:r>
      <w:r w:rsidR="00DB11BD">
        <w:rPr>
          <w:lang w:eastAsia="en-AU"/>
        </w:rPr>
        <w:t xml:space="preserve">Both industry and the education and training response </w:t>
      </w:r>
      <w:r w:rsidR="002A6E44">
        <w:rPr>
          <w:lang w:eastAsia="en-AU"/>
        </w:rPr>
        <w:t>can</w:t>
      </w:r>
      <w:r w:rsidR="00DB11BD">
        <w:rPr>
          <w:lang w:eastAsia="en-AU"/>
        </w:rPr>
        <w:t xml:space="preserve"> be alert to the </w:t>
      </w:r>
      <w:r w:rsidR="00DB11BD" w:rsidRPr="00BF1502">
        <w:rPr>
          <w:lang w:eastAsia="en-AU"/>
        </w:rPr>
        <w:t>risk that</w:t>
      </w:r>
      <w:r w:rsidR="00DB11BD">
        <w:rPr>
          <w:lang w:eastAsia="en-AU"/>
        </w:rPr>
        <w:t xml:space="preserve"> private </w:t>
      </w:r>
      <w:r w:rsidR="00DB11BD" w:rsidRPr="00BF1502">
        <w:rPr>
          <w:lang w:eastAsia="en-AU"/>
        </w:rPr>
        <w:t xml:space="preserve">providers will offer courses inconsistent with the intent of regulatory reforms. </w:t>
      </w:r>
      <w:r w:rsidR="00AD7120">
        <w:rPr>
          <w:lang w:eastAsia="en-AU"/>
        </w:rPr>
        <w:t>Industry also has a role in ensuring that any practical experience is facilitated by supervisors with an up</w:t>
      </w:r>
      <w:r w:rsidR="00896622">
        <w:rPr>
          <w:lang w:eastAsia="en-AU"/>
        </w:rPr>
        <w:t>-</w:t>
      </w:r>
      <w:r w:rsidR="00AD7120">
        <w:rPr>
          <w:lang w:eastAsia="en-AU"/>
        </w:rPr>
        <w:t>to</w:t>
      </w:r>
      <w:r w:rsidR="00896622">
        <w:rPr>
          <w:lang w:eastAsia="en-AU"/>
        </w:rPr>
        <w:t>-</w:t>
      </w:r>
      <w:r w:rsidR="00AD7120">
        <w:rPr>
          <w:lang w:eastAsia="en-AU"/>
        </w:rPr>
        <w:t>date understanding of regulatory requirements.</w:t>
      </w:r>
    </w:p>
    <w:p w14:paraId="649EA662" w14:textId="30A1D7A0" w:rsidR="007352F7" w:rsidRDefault="004312DC" w:rsidP="007352F7">
      <w:pPr>
        <w:rPr>
          <w:lang w:eastAsia="en-AU"/>
        </w:rPr>
      </w:pPr>
      <w:r>
        <w:rPr>
          <w:lang w:eastAsia="en-AU"/>
        </w:rPr>
        <w:t xml:space="preserve">Given the barriers and time to entry for new real estate agents, industry will also need to revisit job design and existing recruitment and retention policies and practices to ensure that its workforce can meet fluctuating demand. </w:t>
      </w:r>
      <w:r w:rsidR="007352F7">
        <w:rPr>
          <w:lang w:eastAsia="en-AU"/>
        </w:rPr>
        <w:t xml:space="preserve">Industry plays a significant role in giving the existing workforce the space, </w:t>
      </w:r>
      <w:r w:rsidR="00AD7120">
        <w:rPr>
          <w:lang w:eastAsia="en-AU"/>
        </w:rPr>
        <w:t>time,</w:t>
      </w:r>
      <w:r w:rsidR="007352F7">
        <w:rPr>
          <w:lang w:eastAsia="en-AU"/>
        </w:rPr>
        <w:t xml:space="preserve"> and opportunity to cultivate </w:t>
      </w:r>
      <w:proofErr w:type="spellStart"/>
      <w:r w:rsidR="007352F7">
        <w:rPr>
          <w:lang w:eastAsia="en-AU"/>
        </w:rPr>
        <w:t>specialised</w:t>
      </w:r>
      <w:proofErr w:type="spellEnd"/>
      <w:r w:rsidR="007352F7">
        <w:rPr>
          <w:lang w:eastAsia="en-AU"/>
        </w:rPr>
        <w:t xml:space="preserve"> skills and to ensure that employees are supported to grow their careers. Flexible work arrangements, funding and study leave will assist to achieve this objective. </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EE7C50" w14:paraId="5034C590" w14:textId="77777777" w:rsidTr="00EE7C50">
        <w:tc>
          <w:tcPr>
            <w:tcW w:w="9061" w:type="dxa"/>
          </w:tcPr>
          <w:p w14:paraId="1644110A" w14:textId="77777777" w:rsidR="00EE7C50" w:rsidRPr="00EC1BCF" w:rsidRDefault="00EE7C50" w:rsidP="00EE7C50">
            <w:pPr>
              <w:rPr>
                <w:b/>
                <w:bCs/>
              </w:rPr>
            </w:pPr>
            <w:r w:rsidRPr="00EC1BCF">
              <w:rPr>
                <w:b/>
                <w:bCs/>
              </w:rPr>
              <w:t>Actions for consideration for</w:t>
            </w:r>
            <w:r>
              <w:rPr>
                <w:b/>
                <w:bCs/>
              </w:rPr>
              <w:t xml:space="preserve"> education,</w:t>
            </w:r>
            <w:r w:rsidRPr="00EC1BCF">
              <w:rPr>
                <w:b/>
                <w:bCs/>
              </w:rPr>
              <w:t xml:space="preserve"> industry</w:t>
            </w:r>
            <w:r>
              <w:rPr>
                <w:b/>
                <w:bCs/>
              </w:rPr>
              <w:t>,</w:t>
            </w:r>
            <w:r w:rsidRPr="00EC1BCF">
              <w:rPr>
                <w:b/>
                <w:bCs/>
              </w:rPr>
              <w:t xml:space="preserve"> and government</w:t>
            </w:r>
          </w:p>
          <w:p w14:paraId="4C4E5924" w14:textId="77777777" w:rsidR="00EE7C50" w:rsidRPr="006A72B0" w:rsidRDefault="00EE7C50" w:rsidP="00EE7C50">
            <w:pPr>
              <w:pStyle w:val="NormalTablesListBullet"/>
            </w:pPr>
            <w:r w:rsidRPr="006A72B0">
              <w:t>Increase practical experience opportunities for students seeking to become real estate agents</w:t>
            </w:r>
            <w:r>
              <w:t>.</w:t>
            </w:r>
          </w:p>
          <w:p w14:paraId="74BEA6DF" w14:textId="77777777" w:rsidR="00EE7C50" w:rsidRDefault="00EE7C50" w:rsidP="00EE7C50">
            <w:pPr>
              <w:pStyle w:val="NormalTablesListBullet"/>
            </w:pPr>
            <w:r w:rsidRPr="006A72B0">
              <w:t>Facilitate specialisation with targeted education and training opportunities in areas such as auctioneering and valuation</w:t>
            </w:r>
            <w:r>
              <w:t>.</w:t>
            </w:r>
          </w:p>
          <w:p w14:paraId="11E9C4EF" w14:textId="48A89395" w:rsidR="00EE7C50" w:rsidRDefault="00EE7C50" w:rsidP="00EE7C50">
            <w:pPr>
              <w:pStyle w:val="NormalTablesListBullet"/>
            </w:pPr>
            <w:r>
              <w:t>Ensure existing workforce practices and recruitment policies respond effectively to fluctuations in demand across the industry and the time taken to train new agents.</w:t>
            </w:r>
          </w:p>
        </w:tc>
      </w:tr>
    </w:tbl>
    <w:p w14:paraId="37593044" w14:textId="77777777" w:rsidR="00EE7C50" w:rsidRDefault="00EE7C50" w:rsidP="007352F7">
      <w:pPr>
        <w:rPr>
          <w:lang w:eastAsia="en-AU"/>
        </w:rPr>
      </w:pPr>
    </w:p>
    <w:p w14:paraId="5675C77A" w14:textId="53F75DAF" w:rsidR="007352F7" w:rsidRPr="00BF1502" w:rsidRDefault="007352F7" w:rsidP="006A0D14">
      <w:pPr>
        <w:rPr>
          <w:lang w:eastAsia="en-AU"/>
        </w:rPr>
      </w:pPr>
    </w:p>
    <w:p w14:paraId="39D5B322" w14:textId="0626C160" w:rsidR="00D4719B" w:rsidRDefault="00D4719B" w:rsidP="00D4719B">
      <w:pPr>
        <w:rPr>
          <w:lang w:eastAsia="en-AU"/>
        </w:rPr>
      </w:pPr>
    </w:p>
    <w:p w14:paraId="048146BB" w14:textId="27C7E372" w:rsidR="003F5771" w:rsidRDefault="00AE7A76" w:rsidP="00B259EA">
      <w:r>
        <w:t xml:space="preserve"> </w:t>
      </w:r>
    </w:p>
    <w:p w14:paraId="0433ABB7" w14:textId="50BF345E" w:rsidR="003F5771" w:rsidRDefault="003F5771" w:rsidP="00B259EA"/>
    <w:p w14:paraId="731B1B17" w14:textId="2D5BC265" w:rsidR="003F5771" w:rsidRDefault="003F5771" w:rsidP="00B259EA"/>
    <w:p w14:paraId="6539CAFE" w14:textId="58CAA88C" w:rsidR="003F5771" w:rsidRDefault="003F5771" w:rsidP="00B259EA"/>
    <w:p w14:paraId="48D7A705" w14:textId="142F4DCD" w:rsidR="00DB11BD" w:rsidRDefault="00DB11BD" w:rsidP="00B259EA"/>
    <w:p w14:paraId="75C862EC" w14:textId="2387F371" w:rsidR="00DB11BD" w:rsidRDefault="00DB11BD" w:rsidP="00B259EA"/>
    <w:p w14:paraId="31930BB2" w14:textId="713476BD" w:rsidR="00DB11BD" w:rsidRDefault="00DB11BD" w:rsidP="00B259EA"/>
    <w:p w14:paraId="04BC3104" w14:textId="42B11FC6" w:rsidR="00DB11BD" w:rsidRDefault="00DB11BD" w:rsidP="00B259EA"/>
    <w:p w14:paraId="201CC70C" w14:textId="0B0CE237" w:rsidR="00DB11BD" w:rsidRDefault="00DB11BD" w:rsidP="00B259EA"/>
    <w:p w14:paraId="084F1D11" w14:textId="5E1ADAC8" w:rsidR="00DB11BD" w:rsidRDefault="00DB11BD" w:rsidP="00B259EA"/>
    <w:p w14:paraId="3C59E76C" w14:textId="600FE982" w:rsidR="00DB11BD" w:rsidRDefault="00DB11BD" w:rsidP="00B259EA"/>
    <w:p w14:paraId="071CC6CC" w14:textId="76033408" w:rsidR="003F5771" w:rsidRDefault="003F5771" w:rsidP="00B259EA"/>
    <w:p w14:paraId="73F01263" w14:textId="5BFE46FD" w:rsidR="003F5771" w:rsidRDefault="003F5771" w:rsidP="00B259EA"/>
    <w:p w14:paraId="1B3D56BC" w14:textId="77777777" w:rsidR="00D67406" w:rsidRDefault="00D67406">
      <w:pPr>
        <w:spacing w:line="276" w:lineRule="auto"/>
        <w:ind w:left="714" w:hanging="357"/>
        <w:rPr>
          <w:rFonts w:eastAsiaTheme="majorEastAsia" w:cs="Times New Roman (Headings CS)"/>
          <w:b/>
          <w:color w:val="000000" w:themeColor="text1"/>
          <w:sz w:val="32"/>
          <w:szCs w:val="32"/>
          <w:lang w:val="en-AU"/>
        </w:rPr>
      </w:pPr>
      <w:r>
        <w:rPr>
          <w:lang w:val="en-AU"/>
        </w:rPr>
        <w:br w:type="page"/>
      </w:r>
    </w:p>
    <w:p w14:paraId="073F22AE" w14:textId="77777777" w:rsidR="0062137F" w:rsidRDefault="0062137F" w:rsidP="0062137F">
      <w:pPr>
        <w:pStyle w:val="Heading1"/>
        <w:rPr>
          <w:lang w:val="en-AU" w:eastAsia="en-AU"/>
        </w:rPr>
      </w:pPr>
      <w:bookmarkStart w:id="70" w:name="_Toc111118569"/>
      <w:r>
        <w:rPr>
          <w:lang w:val="en-AU" w:eastAsia="en-AU"/>
        </w:rPr>
        <w:lastRenderedPageBreak/>
        <w:t>Appendix A: Data methodology</w:t>
      </w:r>
      <w:bookmarkEnd w:id="70"/>
    </w:p>
    <w:p w14:paraId="08C45726" w14:textId="77777777" w:rsidR="00691CEC" w:rsidRDefault="00691CEC" w:rsidP="00691CEC">
      <w:pPr>
        <w:pStyle w:val="Heading2"/>
      </w:pPr>
      <w:bookmarkStart w:id="71" w:name="_Toc104969322"/>
      <w:bookmarkStart w:id="72" w:name="_Toc111118959"/>
      <w:bookmarkStart w:id="73" w:name="_Toc104969266"/>
      <w:bookmarkStart w:id="74" w:name="_Toc111118570"/>
      <w:r>
        <w:t>VSA Employment Model overview</w:t>
      </w:r>
    </w:p>
    <w:p w14:paraId="6F4FF6E9" w14:textId="77777777" w:rsidR="00691CEC" w:rsidRDefault="00691CEC" w:rsidP="00691CEC">
      <w:r>
        <w:t>The VSA Employment Model produces estimates of:</w:t>
      </w:r>
    </w:p>
    <w:p w14:paraId="69C04BFE" w14:textId="77777777" w:rsidR="00691CEC" w:rsidRPr="004C0752" w:rsidRDefault="00691CEC" w:rsidP="00691CEC">
      <w:pPr>
        <w:pStyle w:val="ListBullet2"/>
      </w:pPr>
      <w:r w:rsidRPr="004C0752">
        <w:t>projected employment growth between 2022 and 2025</w:t>
      </w:r>
    </w:p>
    <w:p w14:paraId="11303926" w14:textId="77777777" w:rsidR="00691CEC" w:rsidRPr="004C0752" w:rsidRDefault="00691CEC" w:rsidP="00691CEC">
      <w:pPr>
        <w:pStyle w:val="ListBullet2"/>
      </w:pPr>
      <w:r w:rsidRPr="004C0752">
        <w:t>projected retirements between 2022 and 2025</w:t>
      </w:r>
    </w:p>
    <w:p w14:paraId="020D3389" w14:textId="77777777" w:rsidR="00691CEC" w:rsidRDefault="00691CEC" w:rsidP="00691CEC">
      <w:pPr>
        <w:pStyle w:val="ListBullet2"/>
      </w:pPr>
      <w:r>
        <w:t xml:space="preserve">projected </w:t>
      </w:r>
      <w:r w:rsidRPr="004C0752">
        <w:t>total new workers needed between 2022 and 2025.</w:t>
      </w:r>
    </w:p>
    <w:p w14:paraId="4F7EC23F" w14:textId="4A3BA4CE" w:rsidR="00691CEC" w:rsidRDefault="00E4086C" w:rsidP="00691CEC">
      <w:r>
        <w:t xml:space="preserve">Table 13 </w:t>
      </w:r>
      <w:r w:rsidR="00691CEC">
        <w:t>further defines the model outputs and identifies the primary source for each output.</w:t>
      </w:r>
    </w:p>
    <w:p w14:paraId="4CEEBC8F" w14:textId="24DED318" w:rsidR="00691CEC" w:rsidRPr="00E4086C" w:rsidRDefault="00691CEC" w:rsidP="00691CEC">
      <w:pPr>
        <w:pStyle w:val="Caption"/>
        <w:spacing w:before="240" w:after="160" w:line="257" w:lineRule="auto"/>
        <w:rPr>
          <w:sz w:val="20"/>
          <w:szCs w:val="20"/>
        </w:rPr>
      </w:pPr>
      <w:bookmarkStart w:id="75" w:name="_Ref99640485"/>
      <w:r w:rsidRPr="00E4086C">
        <w:rPr>
          <w:sz w:val="20"/>
          <w:szCs w:val="20"/>
        </w:rPr>
        <w:t xml:space="preserve">Table </w:t>
      </w:r>
      <w:r w:rsidRPr="00E4086C">
        <w:rPr>
          <w:sz w:val="20"/>
          <w:szCs w:val="20"/>
        </w:rPr>
        <w:fldChar w:fldCharType="begin"/>
      </w:r>
      <w:r w:rsidRPr="00E4086C">
        <w:rPr>
          <w:sz w:val="20"/>
          <w:szCs w:val="20"/>
        </w:rPr>
        <w:instrText>SEQ Table \* ARABIC</w:instrText>
      </w:r>
      <w:r w:rsidRPr="00E4086C">
        <w:rPr>
          <w:sz w:val="20"/>
          <w:szCs w:val="20"/>
        </w:rPr>
        <w:fldChar w:fldCharType="separate"/>
      </w:r>
      <w:r w:rsidR="00C435CB">
        <w:rPr>
          <w:noProof/>
          <w:sz w:val="20"/>
          <w:szCs w:val="20"/>
        </w:rPr>
        <w:t>13</w:t>
      </w:r>
      <w:r w:rsidRPr="00E4086C">
        <w:rPr>
          <w:sz w:val="20"/>
          <w:szCs w:val="20"/>
        </w:rPr>
        <w:fldChar w:fldCharType="end"/>
      </w:r>
      <w:bookmarkEnd w:id="75"/>
      <w:r w:rsidRPr="00E4086C">
        <w:rPr>
          <w:sz w:val="20"/>
          <w:szCs w:val="20"/>
        </w:rPr>
        <w:t xml:space="preserve"> | Employment model outputs</w:t>
      </w:r>
    </w:p>
    <w:tbl>
      <w:tblPr>
        <w:tblStyle w:val="TableGrid-Header"/>
        <w:tblpPr w:leftFromText="181" w:rightFromText="181" w:bottomFromText="142" w:vertAnchor="text" w:tblpY="1"/>
        <w:tblOverlap w:val="never"/>
        <w:tblW w:w="5000" w:type="pct"/>
        <w:tblLayout w:type="fixed"/>
        <w:tblLook w:val="04A0" w:firstRow="1" w:lastRow="0" w:firstColumn="1" w:lastColumn="0" w:noHBand="0" w:noVBand="1"/>
      </w:tblPr>
      <w:tblGrid>
        <w:gridCol w:w="1276"/>
        <w:gridCol w:w="2598"/>
        <w:gridCol w:w="2598"/>
        <w:gridCol w:w="2599"/>
      </w:tblGrid>
      <w:tr w:rsidR="00691CEC" w:rsidRPr="00375681" w14:paraId="2423EF0E" w14:textId="77777777" w:rsidTr="00375681">
        <w:trPr>
          <w:cnfStyle w:val="100000000000" w:firstRow="1" w:lastRow="0" w:firstColumn="0" w:lastColumn="0" w:oddVBand="0" w:evenVBand="0" w:oddHBand="0" w:evenHBand="0" w:firstRowFirstColumn="0" w:firstRowLastColumn="0" w:lastRowFirstColumn="0" w:lastRowLastColumn="0"/>
          <w:trHeight w:val="706"/>
        </w:trPr>
        <w:tc>
          <w:tcPr>
            <w:tcW w:w="1276" w:type="dxa"/>
            <w:shd w:val="clear" w:color="auto" w:fill="000000" w:themeFill="text1"/>
          </w:tcPr>
          <w:p w14:paraId="7DC4AA57" w14:textId="77777777" w:rsidR="00691CEC" w:rsidRPr="00375681" w:rsidRDefault="00691CEC" w:rsidP="0058069B">
            <w:pPr>
              <w:pStyle w:val="NormalTables"/>
              <w:rPr>
                <w:color w:val="FFFFFF" w:themeColor="background1"/>
                <w:szCs w:val="20"/>
              </w:rPr>
            </w:pPr>
          </w:p>
        </w:tc>
        <w:tc>
          <w:tcPr>
            <w:tcW w:w="2599" w:type="dxa"/>
            <w:shd w:val="clear" w:color="auto" w:fill="000000" w:themeFill="text1"/>
          </w:tcPr>
          <w:p w14:paraId="7CC7B720" w14:textId="77777777" w:rsidR="00691CEC" w:rsidRPr="00375681" w:rsidRDefault="00691CEC" w:rsidP="0058069B">
            <w:pPr>
              <w:pStyle w:val="NormalTables"/>
              <w:rPr>
                <w:b w:val="0"/>
                <w:color w:val="FFFFFF" w:themeColor="background1"/>
                <w:szCs w:val="20"/>
                <w:lang w:eastAsia="ja-JP"/>
              </w:rPr>
            </w:pPr>
            <w:r w:rsidRPr="00375681">
              <w:rPr>
                <w:color w:val="FFFFFF" w:themeColor="background1"/>
                <w:szCs w:val="20"/>
                <w:lang w:eastAsia="ja-JP"/>
              </w:rPr>
              <w:t xml:space="preserve">Employment growth </w:t>
            </w:r>
          </w:p>
          <w:p w14:paraId="14C939A5" w14:textId="77777777" w:rsidR="00691CEC" w:rsidRPr="00375681" w:rsidRDefault="00691CEC" w:rsidP="0058069B">
            <w:pPr>
              <w:pStyle w:val="NormalTables"/>
              <w:rPr>
                <w:color w:val="FFFFFF" w:themeColor="background1"/>
                <w:szCs w:val="20"/>
                <w:lang w:eastAsia="ja-JP"/>
              </w:rPr>
            </w:pPr>
            <w:r w:rsidRPr="00375681">
              <w:rPr>
                <w:color w:val="FFFFFF" w:themeColor="background1"/>
                <w:szCs w:val="20"/>
                <w:lang w:eastAsia="ja-JP"/>
              </w:rPr>
              <w:t>2022-25</w:t>
            </w:r>
          </w:p>
        </w:tc>
        <w:tc>
          <w:tcPr>
            <w:tcW w:w="2599" w:type="dxa"/>
            <w:shd w:val="clear" w:color="auto" w:fill="000000" w:themeFill="text1"/>
          </w:tcPr>
          <w:p w14:paraId="06B51B87" w14:textId="77777777" w:rsidR="00691CEC" w:rsidRPr="00375681" w:rsidRDefault="00691CEC" w:rsidP="0058069B">
            <w:pPr>
              <w:pStyle w:val="NormalTables"/>
              <w:rPr>
                <w:b w:val="0"/>
                <w:color w:val="FFFFFF" w:themeColor="background1"/>
                <w:szCs w:val="20"/>
                <w:lang w:eastAsia="ja-JP"/>
              </w:rPr>
            </w:pPr>
            <w:bookmarkStart w:id="76" w:name="_Ref105150812"/>
            <w:r w:rsidRPr="00375681">
              <w:rPr>
                <w:color w:val="FFFFFF" w:themeColor="background1"/>
                <w:szCs w:val="20"/>
                <w:lang w:eastAsia="ja-JP"/>
              </w:rPr>
              <w:t>Retirements</w:t>
            </w:r>
          </w:p>
          <w:p w14:paraId="6CEDC070" w14:textId="77777777" w:rsidR="00691CEC" w:rsidRPr="00375681" w:rsidRDefault="00691CEC" w:rsidP="0058069B">
            <w:pPr>
              <w:pStyle w:val="NormalTables"/>
              <w:rPr>
                <w:color w:val="FFFFFF" w:themeColor="background1"/>
                <w:szCs w:val="20"/>
                <w:lang w:eastAsia="ja-JP"/>
              </w:rPr>
            </w:pPr>
            <w:r w:rsidRPr="00375681">
              <w:rPr>
                <w:color w:val="FFFFFF" w:themeColor="background1"/>
                <w:szCs w:val="20"/>
                <w:lang w:eastAsia="ja-JP"/>
              </w:rPr>
              <w:t>2022-25</w:t>
            </w:r>
            <w:bookmarkEnd w:id="76"/>
          </w:p>
        </w:tc>
        <w:tc>
          <w:tcPr>
            <w:tcW w:w="2600" w:type="dxa"/>
            <w:shd w:val="clear" w:color="auto" w:fill="000000" w:themeFill="text1"/>
          </w:tcPr>
          <w:p w14:paraId="77FC83F1" w14:textId="77777777" w:rsidR="00691CEC" w:rsidRPr="00375681" w:rsidRDefault="00691CEC" w:rsidP="0058069B">
            <w:pPr>
              <w:pStyle w:val="NormalTables"/>
              <w:rPr>
                <w:b w:val="0"/>
                <w:color w:val="FFFFFF" w:themeColor="background1"/>
                <w:szCs w:val="20"/>
                <w:lang w:eastAsia="ja-JP"/>
              </w:rPr>
            </w:pPr>
            <w:r w:rsidRPr="00375681">
              <w:rPr>
                <w:color w:val="FFFFFF" w:themeColor="background1"/>
                <w:szCs w:val="20"/>
                <w:lang w:eastAsia="ja-JP"/>
              </w:rPr>
              <w:t>New workers needed</w:t>
            </w:r>
          </w:p>
          <w:p w14:paraId="2D5EAD1D" w14:textId="77777777" w:rsidR="00691CEC" w:rsidRPr="00375681" w:rsidRDefault="00691CEC" w:rsidP="0058069B">
            <w:pPr>
              <w:pStyle w:val="NormalTables"/>
              <w:rPr>
                <w:color w:val="FFFFFF" w:themeColor="background1"/>
                <w:szCs w:val="20"/>
                <w:lang w:eastAsia="ja-JP"/>
              </w:rPr>
            </w:pPr>
            <w:r w:rsidRPr="00375681">
              <w:rPr>
                <w:color w:val="FFFFFF" w:themeColor="background1"/>
                <w:szCs w:val="20"/>
                <w:lang w:eastAsia="ja-JP"/>
              </w:rPr>
              <w:t>2022-25</w:t>
            </w:r>
          </w:p>
        </w:tc>
      </w:tr>
      <w:tr w:rsidR="00CD57BC" w:rsidRPr="00375681" w14:paraId="7F56323E" w14:textId="77777777" w:rsidTr="00375681">
        <w:trPr>
          <w:trHeight w:val="70"/>
        </w:trPr>
        <w:tc>
          <w:tcPr>
            <w:tcW w:w="1276" w:type="dxa"/>
            <w:shd w:val="clear" w:color="auto" w:fill="000000" w:themeFill="text1"/>
          </w:tcPr>
          <w:p w14:paraId="1196A46F" w14:textId="77777777" w:rsidR="00CD57BC" w:rsidRPr="00375681" w:rsidRDefault="00CD57BC" w:rsidP="00CD57BC">
            <w:pPr>
              <w:pStyle w:val="NormalTables"/>
              <w:rPr>
                <w:b/>
                <w:bCs/>
                <w:color w:val="FFFFFF" w:themeColor="background1"/>
                <w:szCs w:val="20"/>
              </w:rPr>
            </w:pPr>
            <w:r w:rsidRPr="00375681">
              <w:rPr>
                <w:b/>
                <w:bCs/>
                <w:color w:val="FFFFFF" w:themeColor="background1"/>
                <w:szCs w:val="20"/>
              </w:rPr>
              <w:t>Definition</w:t>
            </w:r>
          </w:p>
        </w:tc>
        <w:tc>
          <w:tcPr>
            <w:tcW w:w="2599" w:type="dxa"/>
          </w:tcPr>
          <w:p w14:paraId="5B2F0094" w14:textId="22DFB4CB" w:rsidR="00CD57BC" w:rsidRPr="00375681" w:rsidRDefault="00CD57BC" w:rsidP="00CD57BC">
            <w:pPr>
              <w:pStyle w:val="NormalTables"/>
              <w:rPr>
                <w:szCs w:val="20"/>
                <w:lang w:eastAsia="ja-JP"/>
              </w:rPr>
            </w:pPr>
            <w:r w:rsidRPr="00375681">
              <w:rPr>
                <w:szCs w:val="20"/>
                <w:lang w:eastAsia="ja-JP"/>
              </w:rPr>
              <w:t>Change in the number of workers employed from 2022 to 2025</w:t>
            </w:r>
          </w:p>
        </w:tc>
        <w:tc>
          <w:tcPr>
            <w:tcW w:w="2599" w:type="dxa"/>
          </w:tcPr>
          <w:p w14:paraId="353607D5" w14:textId="7B279E7E" w:rsidR="00CD57BC" w:rsidRPr="00375681" w:rsidRDefault="00CD57BC" w:rsidP="00CD57BC">
            <w:pPr>
              <w:pStyle w:val="NormalTables"/>
              <w:rPr>
                <w:szCs w:val="20"/>
                <w:lang w:eastAsia="ja-JP"/>
              </w:rPr>
            </w:pPr>
            <w:r w:rsidRPr="00375681">
              <w:rPr>
                <w:szCs w:val="20"/>
                <w:lang w:eastAsia="ja-JP"/>
              </w:rPr>
              <w:t>Workers expected to permanently leave the workforce from 2022 to 2025</w:t>
            </w:r>
          </w:p>
        </w:tc>
        <w:tc>
          <w:tcPr>
            <w:tcW w:w="2600" w:type="dxa"/>
          </w:tcPr>
          <w:p w14:paraId="74D73697" w14:textId="070C0F21" w:rsidR="00CD57BC" w:rsidRPr="00375681" w:rsidRDefault="00CD57BC" w:rsidP="00CD57BC">
            <w:pPr>
              <w:pStyle w:val="NormalTables"/>
              <w:rPr>
                <w:szCs w:val="20"/>
                <w:lang w:eastAsia="ja-JP"/>
              </w:rPr>
            </w:pPr>
            <w:r w:rsidRPr="00375681">
              <w:rPr>
                <w:szCs w:val="20"/>
                <w:lang w:eastAsia="ja-JP"/>
              </w:rPr>
              <w:t>Workers needed from 2022 to 2025 to meet demand from growing employment and to replace retirees</w:t>
            </w:r>
          </w:p>
        </w:tc>
      </w:tr>
      <w:tr w:rsidR="00CD57BC" w:rsidRPr="00375681" w14:paraId="68B2F917" w14:textId="77777777" w:rsidTr="00375681">
        <w:trPr>
          <w:trHeight w:val="328"/>
        </w:trPr>
        <w:tc>
          <w:tcPr>
            <w:tcW w:w="1276" w:type="dxa"/>
            <w:shd w:val="clear" w:color="auto" w:fill="000000" w:themeFill="text1"/>
          </w:tcPr>
          <w:p w14:paraId="28D26A3D" w14:textId="77777777" w:rsidR="00CD57BC" w:rsidRPr="00375681" w:rsidRDefault="00CD57BC" w:rsidP="00CD57BC">
            <w:pPr>
              <w:pStyle w:val="NormalTables"/>
              <w:rPr>
                <w:b/>
                <w:bCs/>
                <w:szCs w:val="20"/>
              </w:rPr>
            </w:pPr>
            <w:r w:rsidRPr="00375681">
              <w:rPr>
                <w:b/>
                <w:bCs/>
                <w:szCs w:val="20"/>
              </w:rPr>
              <w:t>Primary source</w:t>
            </w:r>
          </w:p>
        </w:tc>
        <w:tc>
          <w:tcPr>
            <w:tcW w:w="2599" w:type="dxa"/>
          </w:tcPr>
          <w:p w14:paraId="2B42676D" w14:textId="74AD0FC5" w:rsidR="00CD57BC" w:rsidRPr="00375681" w:rsidRDefault="00CD57BC" w:rsidP="00CD57BC">
            <w:pPr>
              <w:pStyle w:val="NormalTables"/>
              <w:rPr>
                <w:szCs w:val="20"/>
                <w:lang w:eastAsia="ja-JP"/>
              </w:rPr>
            </w:pPr>
            <w:r w:rsidRPr="00375681">
              <w:rPr>
                <w:szCs w:val="20"/>
                <w:lang w:eastAsia="ja-JP"/>
              </w:rPr>
              <w:t>Benchmarked to the NSC Employment Projections</w:t>
            </w:r>
          </w:p>
        </w:tc>
        <w:tc>
          <w:tcPr>
            <w:tcW w:w="2599" w:type="dxa"/>
          </w:tcPr>
          <w:p w14:paraId="2D867C18" w14:textId="58ADA224" w:rsidR="00CD57BC" w:rsidRPr="00375681" w:rsidRDefault="00CD57BC" w:rsidP="00CD57BC">
            <w:pPr>
              <w:pStyle w:val="NormalTables"/>
              <w:rPr>
                <w:szCs w:val="20"/>
                <w:lang w:eastAsia="ja-JP"/>
              </w:rPr>
            </w:pPr>
            <w:r w:rsidRPr="00375681">
              <w:rPr>
                <w:szCs w:val="20"/>
                <w:lang w:eastAsia="ja-JP"/>
              </w:rPr>
              <w:t>Derived from retirement rates from Australian Census Longitudinal Dataset</w:t>
            </w:r>
          </w:p>
        </w:tc>
        <w:tc>
          <w:tcPr>
            <w:tcW w:w="2600" w:type="dxa"/>
          </w:tcPr>
          <w:p w14:paraId="1B5360BD" w14:textId="18321626" w:rsidR="00CD57BC" w:rsidRPr="00375681" w:rsidRDefault="00CD57BC" w:rsidP="00CD57BC">
            <w:pPr>
              <w:pStyle w:val="NormalTables"/>
              <w:rPr>
                <w:szCs w:val="20"/>
                <w:lang w:eastAsia="ja-JP"/>
              </w:rPr>
            </w:pPr>
            <w:r w:rsidRPr="00375681">
              <w:rPr>
                <w:szCs w:val="20"/>
                <w:lang w:eastAsia="ja-JP"/>
              </w:rPr>
              <w:t>The sum of employment growth and retirements</w:t>
            </w:r>
          </w:p>
        </w:tc>
      </w:tr>
    </w:tbl>
    <w:p w14:paraId="350ADDAB" w14:textId="77777777" w:rsidR="00691CEC" w:rsidRDefault="00691CEC" w:rsidP="00691CEC">
      <w:r>
        <w:t xml:space="preserve">All outputs are </w:t>
      </w:r>
      <w:r w:rsidRPr="00E802EC">
        <w:t>modelled at the occupation, industry and region level</w:t>
      </w:r>
      <w:r>
        <w:t>:</w:t>
      </w:r>
    </w:p>
    <w:p w14:paraId="7CE6BBB0" w14:textId="77777777" w:rsidR="00691CEC" w:rsidRPr="00E802EC" w:rsidRDefault="00691CEC" w:rsidP="00691CEC">
      <w:pPr>
        <w:pStyle w:val="ListBullet2"/>
      </w:pPr>
      <w:r>
        <w:t>o</w:t>
      </w:r>
      <w:r w:rsidRPr="00E802EC">
        <w:t>ccupations are defined by 4-digit occupation unit groups in the Australian and New Zealand Standard Classification of Occupations (ANZSCO)</w:t>
      </w:r>
    </w:p>
    <w:p w14:paraId="3ABB5596" w14:textId="7FD2B2A4" w:rsidR="00691CEC" w:rsidRPr="00E802EC" w:rsidRDefault="00691CEC" w:rsidP="00691CEC">
      <w:pPr>
        <w:pStyle w:val="ListBullet2"/>
      </w:pPr>
      <w:r>
        <w:t>i</w:t>
      </w:r>
      <w:r w:rsidRPr="00E802EC">
        <w:t xml:space="preserve">ndustries are defined by 1-digit industry divisions in the Australian and New Zealand </w:t>
      </w:r>
      <w:r w:rsidR="00CD57BC">
        <w:t xml:space="preserve">Standard </w:t>
      </w:r>
      <w:r w:rsidRPr="00E802EC">
        <w:t>Industrial Classification (ANZSIC)</w:t>
      </w:r>
    </w:p>
    <w:p w14:paraId="3FCF1EB4" w14:textId="77777777" w:rsidR="00691CEC" w:rsidRPr="00E802EC" w:rsidRDefault="00691CEC" w:rsidP="00691CEC">
      <w:pPr>
        <w:pStyle w:val="ListBullet2"/>
      </w:pPr>
      <w:r>
        <w:t>r</w:t>
      </w:r>
      <w:r w:rsidRPr="00E802EC">
        <w:t xml:space="preserve">egions are </w:t>
      </w:r>
      <w:r w:rsidRPr="00E802EC">
        <w:rPr>
          <w:lang w:eastAsia="en-AU"/>
        </w:rPr>
        <w:t xml:space="preserve">defined </w:t>
      </w:r>
      <w:r>
        <w:rPr>
          <w:lang w:eastAsia="en-AU"/>
        </w:rPr>
        <w:t xml:space="preserve">by </w:t>
      </w:r>
      <w:r w:rsidRPr="00E802EC">
        <w:rPr>
          <w:lang w:eastAsia="en-AU"/>
        </w:rPr>
        <w:t>the nine Regional Partnerships of Victoria as outlined by the Victorian Department of Jobs, Precincts and Regions</w:t>
      </w:r>
      <w:r>
        <w:rPr>
          <w:lang w:eastAsia="en-AU"/>
        </w:rPr>
        <w:t>.</w:t>
      </w:r>
    </w:p>
    <w:p w14:paraId="07D9B69C" w14:textId="77777777" w:rsidR="00691CEC" w:rsidRDefault="00691CEC" w:rsidP="00691CEC">
      <w:r>
        <w:t xml:space="preserve">Benchmark data from the </w:t>
      </w:r>
      <w:r w:rsidRPr="004C0752">
        <w:t>NSC</w:t>
      </w:r>
      <w:r>
        <w:t xml:space="preserve"> give estimates of projected employment growth. Using an approach called iterative proportional fitting, the detailed </w:t>
      </w:r>
      <w:r w:rsidRPr="00E802EC">
        <w:t xml:space="preserve">occupation, industry and region </w:t>
      </w:r>
      <w:r>
        <w:t xml:space="preserve">breakdowns are generated by applying the distribution of employment in ABS Census and other data to the benchmark projections. </w:t>
      </w:r>
    </w:p>
    <w:p w14:paraId="463F42A2" w14:textId="77777777" w:rsidR="00691CEC" w:rsidRDefault="00691CEC" w:rsidP="00691CEC">
      <w:r w:rsidRPr="00E802EC">
        <w:t xml:space="preserve">The model was developed by the VSA with the support of Nous and Deloitte Access Economics (DAE). The sections further below describe how the </w:t>
      </w:r>
      <w:r>
        <w:t>key outputs were modelled.</w:t>
      </w:r>
    </w:p>
    <w:tbl>
      <w:tblPr>
        <w:tblStyle w:val="NOUSSideHeader2"/>
        <w:tblpPr w:leftFromText="181" w:rightFromText="181" w:topFromText="142" w:bottomFromText="142" w:vertAnchor="text" w:horzAnchor="margin" w:tblpY="-35"/>
        <w:tblOverlap w:val="never"/>
        <w:tblW w:w="5087" w:type="pct"/>
        <w:tblBorders>
          <w:top w:val="single" w:sz="18" w:space="0" w:color="auto"/>
          <w:left w:val="single" w:sz="18" w:space="0" w:color="auto"/>
          <w:bottom w:val="single" w:sz="18" w:space="0" w:color="auto"/>
          <w:right w:val="single" w:sz="18" w:space="0" w:color="auto"/>
          <w:insideH w:val="none" w:sz="0" w:space="0" w:color="auto"/>
        </w:tblBorders>
        <w:tblCellMar>
          <w:top w:w="142" w:type="dxa"/>
          <w:left w:w="170" w:type="dxa"/>
          <w:bottom w:w="142" w:type="dxa"/>
          <w:right w:w="170" w:type="dxa"/>
        </w:tblCellMar>
        <w:tblLook w:val="04A0" w:firstRow="1" w:lastRow="0" w:firstColumn="1" w:lastColumn="0" w:noHBand="0" w:noVBand="1"/>
      </w:tblPr>
      <w:tblGrid>
        <w:gridCol w:w="9182"/>
      </w:tblGrid>
      <w:tr w:rsidR="00691CEC" w:rsidRPr="00276C1A" w14:paraId="1255FAA9" w14:textId="77777777" w:rsidTr="000F4A56">
        <w:trPr>
          <w:cnfStyle w:val="100000000000" w:firstRow="1" w:lastRow="0" w:firstColumn="0" w:lastColumn="0" w:oddVBand="0" w:evenVBand="0" w:oddHBand="0" w:evenHBand="0" w:firstRowFirstColumn="0" w:firstRowLastColumn="0" w:lastRowFirstColumn="0" w:lastRowLastColumn="0"/>
          <w:trHeight w:val="112"/>
        </w:trPr>
        <w:tc>
          <w:tcPr>
            <w:tcW w:w="919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03EC1107" w14:textId="77777777" w:rsidR="00691CEC" w:rsidRPr="004C0752" w:rsidRDefault="00691CEC" w:rsidP="0058069B">
            <w:pPr>
              <w:spacing w:after="160"/>
              <w:rPr>
                <w:szCs w:val="26"/>
              </w:rPr>
            </w:pPr>
            <w:r w:rsidRPr="004C0752">
              <w:rPr>
                <w:szCs w:val="26"/>
              </w:rPr>
              <w:t>The VSA Employment Model gives a best estimate of employment by industry, occupation and region. It provides an indication but does not, and cannot, tell the full story of the region’s economy.</w:t>
            </w:r>
          </w:p>
        </w:tc>
      </w:tr>
    </w:tbl>
    <w:p w14:paraId="5845CFEE" w14:textId="77777777" w:rsidR="003E76B6" w:rsidRDefault="003E76B6" w:rsidP="00691CEC">
      <w:pPr>
        <w:pStyle w:val="Heading2"/>
      </w:pPr>
    </w:p>
    <w:p w14:paraId="79BC0D97" w14:textId="77777777" w:rsidR="003E76B6" w:rsidRDefault="003E76B6">
      <w:pPr>
        <w:spacing w:line="276" w:lineRule="auto"/>
        <w:ind w:left="714" w:hanging="357"/>
        <w:rPr>
          <w:rFonts w:eastAsiaTheme="majorEastAsia" w:cstheme="majorBidi"/>
          <w:b/>
          <w:color w:val="000000" w:themeColor="text1"/>
          <w:sz w:val="26"/>
        </w:rPr>
      </w:pPr>
      <w:r>
        <w:br w:type="page"/>
      </w:r>
    </w:p>
    <w:p w14:paraId="077DD2F4" w14:textId="0946BC8C" w:rsidR="00691CEC" w:rsidRPr="00276C1A" w:rsidRDefault="00691CEC" w:rsidP="00691CEC">
      <w:pPr>
        <w:pStyle w:val="Heading2"/>
      </w:pPr>
      <w:r>
        <w:lastRenderedPageBreak/>
        <w:t>Employment growth, 2022-25</w:t>
      </w:r>
    </w:p>
    <w:p w14:paraId="01129EE8" w14:textId="359B36CC" w:rsidR="00691CEC" w:rsidRPr="007B7D58" w:rsidRDefault="00691CEC" w:rsidP="00691CEC">
      <w:r w:rsidRPr="007B7D58">
        <w:rPr>
          <w:b/>
        </w:rPr>
        <w:t>Source:</w:t>
      </w:r>
      <w:r w:rsidRPr="007B7D58">
        <w:rPr>
          <w:b/>
          <w:bCs/>
          <w:color w:val="8B96C6" w:themeColor="text2"/>
        </w:rPr>
        <w:t xml:space="preserve"> </w:t>
      </w:r>
      <w:r w:rsidRPr="007B7D58">
        <w:t>VSA</w:t>
      </w:r>
      <w:r w:rsidR="00244D5E" w:rsidRPr="007B7D58">
        <w:t xml:space="preserve"> and</w:t>
      </w:r>
      <w:r w:rsidRPr="007B7D58">
        <w:t xml:space="preserve"> Nous (2022), modelling of NSC (2022) Employment Projections</w:t>
      </w:r>
    </w:p>
    <w:p w14:paraId="4266C99A" w14:textId="77777777" w:rsidR="00691CEC" w:rsidRDefault="00691CEC" w:rsidP="00691CEC">
      <w:r>
        <w:t>This modelling takes the NSC Employment Projections as the benchmark data for 2022</w:t>
      </w:r>
      <w:r>
        <w:noBreakHyphen/>
        <w:t>25 and breaks it down into occupation by industry by region tables.</w:t>
      </w:r>
    </w:p>
    <w:p w14:paraId="7C50EFEF" w14:textId="77777777" w:rsidR="00691CEC" w:rsidRDefault="00691CEC" w:rsidP="00691CEC">
      <w:r>
        <w:t>The benchmark data sources provide ‘control totals’ for occupation, industry and region breakdowns independently. However, they do not provide the interaction between each of the variables. For example, they do not give the breakdown of occupations within industries.</w:t>
      </w:r>
    </w:p>
    <w:p w14:paraId="4811AB12" w14:textId="77777777" w:rsidR="00691CEC" w:rsidRDefault="00691CEC" w:rsidP="00691CEC">
      <w:r>
        <w:t xml:space="preserve">Iterative proportion fitting uses a detailed ‘seed’ data table with the necessary breakdowns from a representative dataset and scales that distribution to control totals in the new dataset. Over many iterations, the seed data is transformed to sum up to the occupation, industry and region control totals. </w:t>
      </w:r>
    </w:p>
    <w:p w14:paraId="68DCA622" w14:textId="07B4C37F" w:rsidR="00691CEC" w:rsidRDefault="00691CEC" w:rsidP="00691CEC">
      <w:r>
        <w:t xml:space="preserve">The seed data comes from the ABS Census 2016. The control totals for occupation and industry come from the NSC's Employment Projections, and the control totals for region come from the NSC’s Small Area </w:t>
      </w:r>
      <w:proofErr w:type="spellStart"/>
      <w:r>
        <w:t>Labour</w:t>
      </w:r>
      <w:proofErr w:type="spellEnd"/>
      <w:r>
        <w:t xml:space="preserve"> Markets data. </w:t>
      </w:r>
      <w:r w:rsidR="00E4086C">
        <w:t xml:space="preserve">Table 14 </w:t>
      </w:r>
      <w:r>
        <w:t>describes the inputs in detail.</w:t>
      </w:r>
    </w:p>
    <w:p w14:paraId="73DE42F6" w14:textId="77777777" w:rsidR="00691CEC" w:rsidRDefault="00691CEC" w:rsidP="00691CEC">
      <w:r w:rsidRPr="00276C1A">
        <w:t xml:space="preserve">The </w:t>
      </w:r>
      <w:r>
        <w:t>modelling results in:</w:t>
      </w:r>
    </w:p>
    <w:p w14:paraId="30BBC4B0" w14:textId="77777777" w:rsidR="00691CEC" w:rsidRDefault="00691CEC" w:rsidP="00691CEC">
      <w:pPr>
        <w:pStyle w:val="ListBullet2"/>
      </w:pPr>
      <w:r>
        <w:t>i</w:t>
      </w:r>
      <w:r w:rsidRPr="004C0752">
        <w:t xml:space="preserve">ndustry and occupation </w:t>
      </w:r>
      <w:r>
        <w:t>projections that align with the NSC Employment Projections</w:t>
      </w:r>
    </w:p>
    <w:p w14:paraId="2E756E61" w14:textId="77777777" w:rsidR="00691CEC" w:rsidRDefault="00691CEC" w:rsidP="00691CEC">
      <w:pPr>
        <w:pStyle w:val="ListBullet2"/>
      </w:pPr>
      <w:r>
        <w:t xml:space="preserve">regional data that matches the distribution across NSC Small Area </w:t>
      </w:r>
      <w:proofErr w:type="spellStart"/>
      <w:r>
        <w:t>Labour</w:t>
      </w:r>
      <w:proofErr w:type="spellEnd"/>
      <w:r>
        <w:t xml:space="preserve"> Markets</w:t>
      </w:r>
    </w:p>
    <w:p w14:paraId="6A183BEE" w14:textId="77777777" w:rsidR="00691CEC" w:rsidRPr="004C0752" w:rsidRDefault="00691CEC" w:rsidP="00691CEC">
      <w:pPr>
        <w:pStyle w:val="ListBullet2"/>
      </w:pPr>
      <w:r>
        <w:t>industry by occupation by region data tables that approximate the distribution within the ABS Census 2016</w:t>
      </w:r>
      <w:r w:rsidRPr="004C0752">
        <w:t>.</w:t>
      </w:r>
    </w:p>
    <w:p w14:paraId="3EBFF83F" w14:textId="1F95A728" w:rsidR="00691CEC" w:rsidRPr="00E4086C" w:rsidRDefault="00691CEC" w:rsidP="00691CEC">
      <w:pPr>
        <w:pStyle w:val="Caption"/>
        <w:rPr>
          <w:sz w:val="20"/>
          <w:szCs w:val="20"/>
        </w:rPr>
      </w:pPr>
      <w:bookmarkStart w:id="77" w:name="_Ref112757378"/>
      <w:r w:rsidRPr="00E4086C">
        <w:rPr>
          <w:sz w:val="20"/>
          <w:szCs w:val="20"/>
        </w:rPr>
        <w:t xml:space="preserve">Table </w:t>
      </w:r>
      <w:r w:rsidRPr="00E4086C">
        <w:rPr>
          <w:sz w:val="20"/>
          <w:szCs w:val="20"/>
        </w:rPr>
        <w:fldChar w:fldCharType="begin"/>
      </w:r>
      <w:r w:rsidRPr="00E4086C">
        <w:rPr>
          <w:sz w:val="20"/>
          <w:szCs w:val="20"/>
        </w:rPr>
        <w:instrText xml:space="preserve"> SEQ Table \* ARABIC </w:instrText>
      </w:r>
      <w:r w:rsidRPr="00E4086C">
        <w:rPr>
          <w:sz w:val="20"/>
          <w:szCs w:val="20"/>
        </w:rPr>
        <w:fldChar w:fldCharType="separate"/>
      </w:r>
      <w:r w:rsidR="00C435CB">
        <w:rPr>
          <w:noProof/>
          <w:sz w:val="20"/>
          <w:szCs w:val="20"/>
        </w:rPr>
        <w:t>14</w:t>
      </w:r>
      <w:r w:rsidRPr="00E4086C">
        <w:rPr>
          <w:noProof/>
          <w:sz w:val="20"/>
          <w:szCs w:val="20"/>
        </w:rPr>
        <w:fldChar w:fldCharType="end"/>
      </w:r>
      <w:bookmarkEnd w:id="77"/>
      <w:r w:rsidRPr="00E4086C">
        <w:rPr>
          <w:sz w:val="20"/>
          <w:szCs w:val="20"/>
        </w:rPr>
        <w:t xml:space="preserve"> | Data sources used to model employment growth from 2022 to 2025</w:t>
      </w:r>
    </w:p>
    <w:tbl>
      <w:tblPr>
        <w:tblStyle w:val="TableGrid-Header"/>
        <w:tblW w:w="0" w:type="auto"/>
        <w:tblLayout w:type="fixed"/>
        <w:tblLook w:val="04A0" w:firstRow="1" w:lastRow="0" w:firstColumn="1" w:lastColumn="0" w:noHBand="0" w:noVBand="1"/>
      </w:tblPr>
      <w:tblGrid>
        <w:gridCol w:w="1276"/>
        <w:gridCol w:w="2835"/>
        <w:gridCol w:w="4960"/>
      </w:tblGrid>
      <w:tr w:rsidR="00691CEC" w:rsidRPr="00375681" w14:paraId="138571EB" w14:textId="77777777" w:rsidTr="00A433AE">
        <w:trPr>
          <w:cnfStyle w:val="100000000000" w:firstRow="1" w:lastRow="0" w:firstColumn="0" w:lastColumn="0" w:oddVBand="0" w:evenVBand="0" w:oddHBand="0" w:evenHBand="0" w:firstRowFirstColumn="0" w:firstRowLastColumn="0" w:lastRowFirstColumn="0" w:lastRowLastColumn="0"/>
        </w:trPr>
        <w:tc>
          <w:tcPr>
            <w:tcW w:w="1276" w:type="dxa"/>
            <w:shd w:val="clear" w:color="auto" w:fill="000000" w:themeFill="text1"/>
          </w:tcPr>
          <w:p w14:paraId="65A35A1B" w14:textId="77777777" w:rsidR="00691CEC" w:rsidRPr="00375681" w:rsidDel="00775701" w:rsidRDefault="00691CEC" w:rsidP="0058069B">
            <w:pPr>
              <w:rPr>
                <w:szCs w:val="20"/>
              </w:rPr>
            </w:pPr>
            <w:r w:rsidRPr="00375681">
              <w:rPr>
                <w:szCs w:val="20"/>
              </w:rPr>
              <w:t>Type</w:t>
            </w:r>
          </w:p>
        </w:tc>
        <w:tc>
          <w:tcPr>
            <w:tcW w:w="2835" w:type="dxa"/>
            <w:shd w:val="clear" w:color="auto" w:fill="000000" w:themeFill="text1"/>
          </w:tcPr>
          <w:p w14:paraId="46C4BA1D" w14:textId="77777777" w:rsidR="00691CEC" w:rsidRPr="00375681" w:rsidRDefault="00691CEC" w:rsidP="0058069B">
            <w:pPr>
              <w:rPr>
                <w:szCs w:val="20"/>
              </w:rPr>
            </w:pPr>
            <w:r w:rsidRPr="00375681">
              <w:rPr>
                <w:szCs w:val="20"/>
              </w:rPr>
              <w:t>Data</w:t>
            </w:r>
          </w:p>
        </w:tc>
        <w:tc>
          <w:tcPr>
            <w:tcW w:w="4960" w:type="dxa"/>
            <w:shd w:val="clear" w:color="auto" w:fill="000000" w:themeFill="text1"/>
          </w:tcPr>
          <w:p w14:paraId="0424D17E" w14:textId="77777777" w:rsidR="00691CEC" w:rsidRPr="00375681" w:rsidRDefault="00691CEC" w:rsidP="0058069B">
            <w:pPr>
              <w:rPr>
                <w:szCs w:val="20"/>
              </w:rPr>
            </w:pPr>
            <w:r w:rsidRPr="00375681">
              <w:rPr>
                <w:szCs w:val="20"/>
              </w:rPr>
              <w:t>Source</w:t>
            </w:r>
          </w:p>
        </w:tc>
      </w:tr>
      <w:tr w:rsidR="00691CEC" w:rsidRPr="00375681" w14:paraId="0AC409F9" w14:textId="77777777" w:rsidTr="0058069B">
        <w:tc>
          <w:tcPr>
            <w:tcW w:w="1276" w:type="dxa"/>
          </w:tcPr>
          <w:p w14:paraId="016FFF1E" w14:textId="77777777" w:rsidR="00691CEC" w:rsidRPr="00375681" w:rsidRDefault="00691CEC" w:rsidP="0058069B">
            <w:pPr>
              <w:pStyle w:val="NormalTables"/>
              <w:rPr>
                <w:szCs w:val="20"/>
              </w:rPr>
            </w:pPr>
            <w:r w:rsidRPr="00375681">
              <w:rPr>
                <w:szCs w:val="20"/>
              </w:rPr>
              <w:t>Seed</w:t>
            </w:r>
          </w:p>
        </w:tc>
        <w:tc>
          <w:tcPr>
            <w:tcW w:w="2835" w:type="dxa"/>
          </w:tcPr>
          <w:p w14:paraId="409AE4F6" w14:textId="3BC7F4D7" w:rsidR="00691CEC" w:rsidRPr="00375681" w:rsidRDefault="00691CEC" w:rsidP="0058069B">
            <w:pPr>
              <w:pStyle w:val="NormalTables"/>
              <w:rPr>
                <w:szCs w:val="20"/>
              </w:rPr>
            </w:pPr>
            <w:r w:rsidRPr="00375681">
              <w:rPr>
                <w:szCs w:val="20"/>
              </w:rPr>
              <w:t xml:space="preserve">Employment </w:t>
            </w:r>
            <w:r w:rsidR="00EE7C50" w:rsidRPr="00375681">
              <w:rPr>
                <w:szCs w:val="20"/>
              </w:rPr>
              <w:t>by</w:t>
            </w:r>
            <w:r w:rsidRPr="00375681">
              <w:rPr>
                <w:szCs w:val="20"/>
              </w:rPr>
              <w:br/>
              <w:t xml:space="preserve">3-digit industry (ANZSIC3) </w:t>
            </w:r>
            <w:r w:rsidR="00EE7C50" w:rsidRPr="00375681">
              <w:rPr>
                <w:szCs w:val="20"/>
              </w:rPr>
              <w:t>by</w:t>
            </w:r>
            <w:r w:rsidRPr="00375681">
              <w:rPr>
                <w:szCs w:val="20"/>
              </w:rPr>
              <w:br/>
              <w:t xml:space="preserve">4-digit occupation (ANZSCO4) </w:t>
            </w:r>
            <w:r w:rsidR="00EE7C50" w:rsidRPr="00375681">
              <w:rPr>
                <w:szCs w:val="20"/>
              </w:rPr>
              <w:t>by</w:t>
            </w:r>
            <w:r w:rsidRPr="00375681">
              <w:rPr>
                <w:szCs w:val="20"/>
              </w:rPr>
              <w:br/>
              <w:t>Statistical Area Level 2 (SA2)</w:t>
            </w:r>
          </w:p>
        </w:tc>
        <w:tc>
          <w:tcPr>
            <w:tcW w:w="4960" w:type="dxa"/>
          </w:tcPr>
          <w:p w14:paraId="114E7AA7" w14:textId="77777777" w:rsidR="00691CEC" w:rsidRPr="00375681" w:rsidRDefault="00691CEC" w:rsidP="0058069B">
            <w:pPr>
              <w:pStyle w:val="NormalTables"/>
              <w:rPr>
                <w:szCs w:val="20"/>
              </w:rPr>
            </w:pPr>
            <w:r w:rsidRPr="00375681">
              <w:rPr>
                <w:szCs w:val="20"/>
              </w:rPr>
              <w:t xml:space="preserve">ABS, </w:t>
            </w:r>
            <w:r w:rsidRPr="00375681">
              <w:rPr>
                <w:b/>
                <w:bCs/>
                <w:szCs w:val="20"/>
              </w:rPr>
              <w:t>Census of Population and Housing</w:t>
            </w:r>
            <w:r w:rsidRPr="00375681">
              <w:rPr>
                <w:szCs w:val="20"/>
              </w:rPr>
              <w:t>, place of usual residence data</w:t>
            </w:r>
          </w:p>
        </w:tc>
      </w:tr>
      <w:tr w:rsidR="00691CEC" w:rsidRPr="00375681" w14:paraId="1A2CB635" w14:textId="77777777" w:rsidTr="0058069B">
        <w:tc>
          <w:tcPr>
            <w:tcW w:w="1276" w:type="dxa"/>
          </w:tcPr>
          <w:p w14:paraId="1DBF5CDE" w14:textId="77777777" w:rsidR="00691CEC" w:rsidRPr="00375681" w:rsidRDefault="00691CEC" w:rsidP="0058069B">
            <w:pPr>
              <w:pStyle w:val="NormalTables"/>
              <w:rPr>
                <w:szCs w:val="20"/>
              </w:rPr>
            </w:pPr>
            <w:r w:rsidRPr="00375681">
              <w:rPr>
                <w:szCs w:val="20"/>
              </w:rPr>
              <w:t>Control total</w:t>
            </w:r>
          </w:p>
        </w:tc>
        <w:tc>
          <w:tcPr>
            <w:tcW w:w="2835" w:type="dxa"/>
          </w:tcPr>
          <w:p w14:paraId="515A6818" w14:textId="65EEC637" w:rsidR="00691CEC" w:rsidRPr="00375681" w:rsidRDefault="00691CEC" w:rsidP="0058069B">
            <w:pPr>
              <w:pStyle w:val="NormalTables"/>
              <w:rPr>
                <w:szCs w:val="20"/>
              </w:rPr>
            </w:pPr>
            <w:r w:rsidRPr="00375681">
              <w:rPr>
                <w:szCs w:val="20"/>
              </w:rPr>
              <w:t xml:space="preserve">Employment </w:t>
            </w:r>
            <w:r w:rsidR="00EE7C50" w:rsidRPr="00375681">
              <w:rPr>
                <w:szCs w:val="20"/>
              </w:rPr>
              <w:t>by</w:t>
            </w:r>
            <w:r w:rsidRPr="00375681">
              <w:rPr>
                <w:szCs w:val="20"/>
              </w:rPr>
              <w:t xml:space="preserve"> SA2</w:t>
            </w:r>
          </w:p>
        </w:tc>
        <w:tc>
          <w:tcPr>
            <w:tcW w:w="4960" w:type="dxa"/>
          </w:tcPr>
          <w:p w14:paraId="14584A72" w14:textId="77777777" w:rsidR="00691CEC" w:rsidRPr="00375681" w:rsidRDefault="00691CEC" w:rsidP="0058069B">
            <w:pPr>
              <w:pStyle w:val="NormalTables"/>
              <w:rPr>
                <w:szCs w:val="20"/>
              </w:rPr>
            </w:pPr>
            <w:r w:rsidRPr="00375681">
              <w:rPr>
                <w:szCs w:val="20"/>
              </w:rPr>
              <w:t xml:space="preserve">NSC, </w:t>
            </w:r>
            <w:r w:rsidRPr="00375681">
              <w:rPr>
                <w:b/>
                <w:bCs/>
                <w:szCs w:val="20"/>
              </w:rPr>
              <w:t>Small Area Labour Markets</w:t>
            </w:r>
            <w:r w:rsidRPr="00375681">
              <w:rPr>
                <w:szCs w:val="20"/>
              </w:rPr>
              <w:t>, ‘SALM smoothed SA2 Datafiles (ASGS 2016) - March quarter 2022’.</w:t>
            </w:r>
          </w:p>
        </w:tc>
      </w:tr>
      <w:tr w:rsidR="00691CEC" w:rsidRPr="00375681" w14:paraId="0EEC978F" w14:textId="77777777" w:rsidTr="0058069B">
        <w:tc>
          <w:tcPr>
            <w:tcW w:w="1276" w:type="dxa"/>
          </w:tcPr>
          <w:p w14:paraId="4056CAF9" w14:textId="77777777" w:rsidR="00691CEC" w:rsidRPr="00375681" w:rsidRDefault="00691CEC" w:rsidP="0058069B">
            <w:pPr>
              <w:pStyle w:val="NormalTables"/>
              <w:rPr>
                <w:szCs w:val="20"/>
              </w:rPr>
            </w:pPr>
            <w:r w:rsidRPr="00375681">
              <w:rPr>
                <w:szCs w:val="20"/>
              </w:rPr>
              <w:t>Control total</w:t>
            </w:r>
          </w:p>
        </w:tc>
        <w:tc>
          <w:tcPr>
            <w:tcW w:w="2835" w:type="dxa"/>
          </w:tcPr>
          <w:p w14:paraId="5CB58361" w14:textId="168A12A0" w:rsidR="00691CEC" w:rsidRPr="00375681" w:rsidRDefault="00691CEC" w:rsidP="0058069B">
            <w:pPr>
              <w:pStyle w:val="NormalTables"/>
              <w:rPr>
                <w:szCs w:val="20"/>
              </w:rPr>
            </w:pPr>
            <w:r w:rsidRPr="00375681">
              <w:rPr>
                <w:szCs w:val="20"/>
              </w:rPr>
              <w:t xml:space="preserve">Employment </w:t>
            </w:r>
            <w:r w:rsidR="00EE7C50" w:rsidRPr="00375681">
              <w:rPr>
                <w:szCs w:val="20"/>
              </w:rPr>
              <w:t>by</w:t>
            </w:r>
            <w:r w:rsidRPr="00375681">
              <w:rPr>
                <w:szCs w:val="20"/>
              </w:rPr>
              <w:t xml:space="preserve"> ANZSIC1</w:t>
            </w:r>
          </w:p>
        </w:tc>
        <w:tc>
          <w:tcPr>
            <w:tcW w:w="4960" w:type="dxa"/>
          </w:tcPr>
          <w:p w14:paraId="3A7E00AC" w14:textId="77777777" w:rsidR="00691CEC" w:rsidRPr="00375681" w:rsidRDefault="00691CEC" w:rsidP="0058069B">
            <w:pPr>
              <w:pStyle w:val="NormalTables"/>
              <w:rPr>
                <w:szCs w:val="20"/>
              </w:rPr>
            </w:pPr>
            <w:r w:rsidRPr="00375681">
              <w:rPr>
                <w:szCs w:val="20"/>
              </w:rPr>
              <w:t xml:space="preserve">NSC, </w:t>
            </w:r>
            <w:r w:rsidRPr="00375681">
              <w:rPr>
                <w:b/>
                <w:bCs/>
                <w:szCs w:val="20"/>
              </w:rPr>
              <w:t>Employment Projections</w:t>
            </w:r>
            <w:r w:rsidRPr="00375681">
              <w:rPr>
                <w:i/>
                <w:iCs/>
                <w:szCs w:val="20"/>
              </w:rPr>
              <w:t xml:space="preserve">, </w:t>
            </w:r>
            <w:r w:rsidRPr="00375681">
              <w:rPr>
                <w:szCs w:val="20"/>
              </w:rPr>
              <w:t xml:space="preserve">2020-25 </w:t>
            </w:r>
          </w:p>
        </w:tc>
      </w:tr>
      <w:tr w:rsidR="00691CEC" w:rsidRPr="00375681" w14:paraId="78622949" w14:textId="77777777" w:rsidTr="0058069B">
        <w:tc>
          <w:tcPr>
            <w:tcW w:w="1276" w:type="dxa"/>
          </w:tcPr>
          <w:p w14:paraId="257F10F5" w14:textId="77777777" w:rsidR="00691CEC" w:rsidRPr="00375681" w:rsidRDefault="00691CEC" w:rsidP="0058069B">
            <w:pPr>
              <w:pStyle w:val="NormalTables"/>
              <w:rPr>
                <w:szCs w:val="20"/>
              </w:rPr>
            </w:pPr>
            <w:r w:rsidRPr="00375681">
              <w:rPr>
                <w:szCs w:val="20"/>
              </w:rPr>
              <w:t>Control total</w:t>
            </w:r>
          </w:p>
        </w:tc>
        <w:tc>
          <w:tcPr>
            <w:tcW w:w="2835" w:type="dxa"/>
          </w:tcPr>
          <w:p w14:paraId="16BA4FD6" w14:textId="27A59309" w:rsidR="00691CEC" w:rsidRPr="00375681" w:rsidRDefault="00691CEC" w:rsidP="0058069B">
            <w:pPr>
              <w:pStyle w:val="NormalTables"/>
              <w:rPr>
                <w:szCs w:val="20"/>
              </w:rPr>
            </w:pPr>
            <w:r w:rsidRPr="00375681">
              <w:rPr>
                <w:szCs w:val="20"/>
              </w:rPr>
              <w:t xml:space="preserve">Employment </w:t>
            </w:r>
            <w:r w:rsidR="00EE7C50" w:rsidRPr="00375681">
              <w:rPr>
                <w:szCs w:val="20"/>
              </w:rPr>
              <w:t>by</w:t>
            </w:r>
            <w:r w:rsidRPr="00375681">
              <w:rPr>
                <w:szCs w:val="20"/>
              </w:rPr>
              <w:t xml:space="preserve"> ANZSCO4</w:t>
            </w:r>
          </w:p>
        </w:tc>
        <w:tc>
          <w:tcPr>
            <w:tcW w:w="4960" w:type="dxa"/>
          </w:tcPr>
          <w:p w14:paraId="04958D80" w14:textId="77777777" w:rsidR="00691CEC" w:rsidRPr="00375681" w:rsidRDefault="00691CEC" w:rsidP="0058069B">
            <w:pPr>
              <w:pStyle w:val="NormalTables"/>
              <w:rPr>
                <w:szCs w:val="20"/>
              </w:rPr>
            </w:pPr>
            <w:r w:rsidRPr="00375681">
              <w:rPr>
                <w:szCs w:val="20"/>
              </w:rPr>
              <w:t xml:space="preserve">NSC, </w:t>
            </w:r>
            <w:r w:rsidRPr="00375681">
              <w:rPr>
                <w:b/>
                <w:bCs/>
                <w:szCs w:val="20"/>
              </w:rPr>
              <w:t>Employment Projections</w:t>
            </w:r>
            <w:r w:rsidRPr="00375681">
              <w:rPr>
                <w:i/>
                <w:iCs/>
                <w:szCs w:val="20"/>
              </w:rPr>
              <w:t xml:space="preserve">, </w:t>
            </w:r>
            <w:r w:rsidRPr="00375681">
              <w:rPr>
                <w:szCs w:val="20"/>
              </w:rPr>
              <w:t>2021-26</w:t>
            </w:r>
          </w:p>
        </w:tc>
      </w:tr>
    </w:tbl>
    <w:p w14:paraId="68D6C1CA" w14:textId="39EDE94D" w:rsidR="00691CEC" w:rsidRPr="00AE5F79" w:rsidRDefault="00691CEC" w:rsidP="00691CEC">
      <w:pPr>
        <w:rPr>
          <w:szCs w:val="20"/>
        </w:rPr>
      </w:pPr>
      <w:r w:rsidRPr="00AE5F79">
        <w:rPr>
          <w:rFonts w:eastAsiaTheme="minorEastAsia"/>
          <w:szCs w:val="20"/>
          <w:lang w:eastAsia="en-US"/>
        </w:rPr>
        <w:t>Notes</w:t>
      </w:r>
      <w:r w:rsidR="002C755F">
        <w:rPr>
          <w:rFonts w:eastAsiaTheme="minorEastAsia"/>
          <w:szCs w:val="20"/>
          <w:lang w:eastAsia="en-US"/>
        </w:rPr>
        <w:t xml:space="preserve"> for Table 14</w:t>
      </w:r>
      <w:r w:rsidRPr="00AE5F79">
        <w:rPr>
          <w:rFonts w:eastAsiaTheme="minorEastAsia"/>
          <w:szCs w:val="20"/>
          <w:lang w:eastAsia="en-US"/>
        </w:rPr>
        <w:t xml:space="preserve">: </w:t>
      </w:r>
    </w:p>
    <w:p w14:paraId="11D54E5C" w14:textId="77777777" w:rsidR="00691CEC" w:rsidRPr="00AE5F79" w:rsidRDefault="00691CEC" w:rsidP="00691CEC">
      <w:pPr>
        <w:pStyle w:val="ListNumber"/>
        <w:rPr>
          <w:szCs w:val="20"/>
          <w:lang w:eastAsia="en-US"/>
        </w:rPr>
      </w:pPr>
      <w:r w:rsidRPr="00AE5F79">
        <w:rPr>
          <w:szCs w:val="20"/>
          <w:lang w:eastAsia="en-US"/>
        </w:rPr>
        <w:t>Following the modelling, SA2 data is aggregated up to Regional Partnership region. Where an SA2 spans multiple regions, the estimates have been apportioned based on geographic area.</w:t>
      </w:r>
    </w:p>
    <w:p w14:paraId="3F2BC915" w14:textId="77777777" w:rsidR="00691CEC" w:rsidRPr="00AE5F79" w:rsidRDefault="00691CEC" w:rsidP="00691CEC">
      <w:pPr>
        <w:pStyle w:val="ListNumber"/>
        <w:rPr>
          <w:szCs w:val="20"/>
        </w:rPr>
      </w:pPr>
      <w:r w:rsidRPr="00AE5F79">
        <w:rPr>
          <w:szCs w:val="20"/>
          <w:lang w:eastAsia="en-US"/>
        </w:rPr>
        <w:t>The NSC industry projection is often not available until some months after the occupation projections. As at May 2022, there were no 2021 to 2026 ANZSIC1 by state forecasts available. The previous release of 2020 to 2025 ANZSIC1 by state forecasts were used and scaled up to match the Australian total employment numbers in the ANZSCO4 forecasts.</w:t>
      </w:r>
    </w:p>
    <w:p w14:paraId="7387102C" w14:textId="77777777" w:rsidR="00D027E6" w:rsidRDefault="00D027E6">
      <w:pPr>
        <w:spacing w:line="276" w:lineRule="auto"/>
        <w:ind w:left="714" w:hanging="357"/>
        <w:rPr>
          <w:rFonts w:eastAsiaTheme="majorEastAsia" w:cstheme="majorBidi"/>
          <w:b/>
          <w:color w:val="000000" w:themeColor="text1"/>
          <w:sz w:val="26"/>
        </w:rPr>
      </w:pPr>
      <w:r>
        <w:br w:type="page"/>
      </w:r>
    </w:p>
    <w:p w14:paraId="0DCE042C" w14:textId="6D79C4FD" w:rsidR="00691CEC" w:rsidRPr="00276C1A" w:rsidRDefault="00691CEC" w:rsidP="00691CEC">
      <w:pPr>
        <w:pStyle w:val="Heading2"/>
      </w:pPr>
      <w:r>
        <w:lastRenderedPageBreak/>
        <w:t>Retirements, 2022-25</w:t>
      </w:r>
    </w:p>
    <w:p w14:paraId="3382C1C9" w14:textId="77777777" w:rsidR="00691CEC" w:rsidRPr="007B7D58" w:rsidRDefault="00691CEC" w:rsidP="00691CEC">
      <w:r w:rsidRPr="007B7D58">
        <w:rPr>
          <w:b/>
          <w:bCs/>
        </w:rPr>
        <w:t>Source:</w:t>
      </w:r>
      <w:r w:rsidRPr="007B7D58">
        <w:t xml:space="preserve"> VSA, Deloitte Access Economics (DAE) and Nous (2022), Retirement projections 2022-2025</w:t>
      </w:r>
    </w:p>
    <w:p w14:paraId="3A50FF88" w14:textId="77777777" w:rsidR="00691CEC" w:rsidRPr="00276C1A" w:rsidRDefault="00691CEC" w:rsidP="00691CEC">
      <w:r w:rsidRPr="00276C1A">
        <w:t xml:space="preserve">Retirements are estimated by applying occupation-specific retirement rates to the employment </w:t>
      </w:r>
      <w:r>
        <w:t>projections</w:t>
      </w:r>
      <w:r w:rsidRPr="00276C1A">
        <w:t>.</w:t>
      </w:r>
    </w:p>
    <w:p w14:paraId="5067D122" w14:textId="77777777" w:rsidR="00691CEC" w:rsidRPr="00276C1A" w:rsidRDefault="00691CEC" w:rsidP="00691CEC">
      <w:r w:rsidRPr="00276C1A">
        <w:t xml:space="preserve">Using the Australian Census Longitudinal Dataset, an estimate of the size of the </w:t>
      </w:r>
      <w:proofErr w:type="spellStart"/>
      <w:r w:rsidRPr="00276C1A">
        <w:t>labour</w:t>
      </w:r>
      <w:proofErr w:type="spellEnd"/>
      <w:r w:rsidRPr="00276C1A">
        <w:t xml:space="preserve"> force aged 50 and over in 2016 was taken and compared to the size of the </w:t>
      </w:r>
      <w:proofErr w:type="spellStart"/>
      <w:r w:rsidRPr="00276C1A">
        <w:t>labour</w:t>
      </w:r>
      <w:proofErr w:type="spellEnd"/>
      <w:r w:rsidRPr="00276C1A">
        <w:t xml:space="preserve"> force aged 45 and over in 2011. After adjusting for migration, the gap is </w:t>
      </w:r>
      <w:r>
        <w:t xml:space="preserve">an estimate of </w:t>
      </w:r>
      <w:r w:rsidRPr="00276C1A">
        <w:t>retirement</w:t>
      </w:r>
      <w:r>
        <w:t>s</w:t>
      </w:r>
      <w:r w:rsidRPr="00276C1A">
        <w:t xml:space="preserve"> </w:t>
      </w:r>
      <w:r>
        <w:t xml:space="preserve">between </w:t>
      </w:r>
      <w:r w:rsidRPr="00276C1A">
        <w:t>2011 and 2016. The relative age structures of occupations in the Census 2011 were then used to estimate retirements at the detailed occupation level (ANZSCO4).</w:t>
      </w:r>
    </w:p>
    <w:p w14:paraId="39CEDF31" w14:textId="77777777" w:rsidR="00691CEC" w:rsidRPr="00276C1A" w:rsidRDefault="00691CEC" w:rsidP="00691CEC">
      <w:r w:rsidRPr="00276C1A">
        <w:t>The outputs were used to estimate an occupation-specific retirement rate, calculated as:</w:t>
      </w:r>
    </w:p>
    <w:p w14:paraId="50552C79" w14:textId="77777777" w:rsidR="00691CEC" w:rsidRPr="007B7D58" w:rsidRDefault="00691CEC" w:rsidP="00691CEC">
      <w:pPr>
        <w:ind w:firstLine="720"/>
        <w:rPr>
          <w:b/>
          <w:bCs/>
        </w:rPr>
      </w:pPr>
      <w:r w:rsidRPr="007B7D58">
        <w:rPr>
          <w:b/>
          <w:bCs/>
        </w:rPr>
        <w:t>Retirement rate = retirements between periods t and t+1 / employment at t</w:t>
      </w:r>
    </w:p>
    <w:p w14:paraId="6E97F758" w14:textId="77777777" w:rsidR="00691CEC" w:rsidRPr="00276C1A" w:rsidRDefault="00691CEC" w:rsidP="00691CEC">
      <w:r w:rsidRPr="00276C1A">
        <w:t xml:space="preserve">The retirement rates </w:t>
      </w:r>
      <w:r>
        <w:t xml:space="preserve">were applied </w:t>
      </w:r>
      <w:r w:rsidRPr="00276C1A">
        <w:t xml:space="preserve">to </w:t>
      </w:r>
      <w:r>
        <w:t xml:space="preserve">the </w:t>
      </w:r>
      <w:r w:rsidRPr="00276C1A">
        <w:t xml:space="preserve">employment </w:t>
      </w:r>
      <w:r>
        <w:t xml:space="preserve">projections </w:t>
      </w:r>
      <w:r w:rsidRPr="00276C1A">
        <w:t>to estimate the number of retirements between 202</w:t>
      </w:r>
      <w:r>
        <w:t>2</w:t>
      </w:r>
      <w:r w:rsidRPr="00276C1A">
        <w:t xml:space="preserve"> and 2025 at the region (Regional Partnerships), industry (ANZSIC1) and occupation (ANZSCO4) level.</w:t>
      </w:r>
    </w:p>
    <w:p w14:paraId="56F8DF8E" w14:textId="77777777" w:rsidR="00691CEC" w:rsidRDefault="00691CEC" w:rsidP="00691CEC">
      <w:pPr>
        <w:pStyle w:val="Heading2"/>
      </w:pPr>
      <w:r>
        <w:t>New workers needed, 2022-25</w:t>
      </w:r>
    </w:p>
    <w:p w14:paraId="24A53CB4" w14:textId="77777777" w:rsidR="00691CEC" w:rsidRDefault="00691CEC" w:rsidP="00691CEC">
      <w:r>
        <w:t xml:space="preserve">New workers needed is the simple sum of employment growth and retirements. It is calculated </w:t>
      </w:r>
      <w:r w:rsidRPr="00276C1A">
        <w:t>at the region (Regional Partnerships), industry (ANZSIC1) and occupation (ANZSCO4) level.</w:t>
      </w:r>
    </w:p>
    <w:p w14:paraId="7216915D" w14:textId="77777777" w:rsidR="00691CEC" w:rsidRDefault="00691CEC" w:rsidP="00691CEC">
      <w:pPr>
        <w:pStyle w:val="ListBullet2"/>
        <w:numPr>
          <w:ilvl w:val="0"/>
          <w:numId w:val="0"/>
        </w:numPr>
      </w:pPr>
      <w:r w:rsidRPr="004C0752">
        <w:rPr>
          <w:b/>
          <w:bCs/>
        </w:rPr>
        <w:t>New workers needed is an estimate of demand for workers to join an industry, occupation or region</w:t>
      </w:r>
      <w:r>
        <w:t>. In this model, demand comes from growth in employment (as business, government and other employers expand their operations) and the need to replace retirees who leave the workforce.</w:t>
      </w:r>
      <w:r>
        <w:rPr>
          <w:rStyle w:val="FootnoteReference"/>
        </w:rPr>
        <w:footnoteReference w:id="19"/>
      </w:r>
      <w:r>
        <w:t xml:space="preserve"> </w:t>
      </w:r>
    </w:p>
    <w:p w14:paraId="66D3A407" w14:textId="77777777" w:rsidR="00691CEC" w:rsidRDefault="00691CEC" w:rsidP="00691CEC">
      <w:pPr>
        <w:pStyle w:val="ListBullet2"/>
        <w:numPr>
          <w:ilvl w:val="0"/>
          <w:numId w:val="0"/>
        </w:numPr>
      </w:pPr>
      <w:r>
        <w:rPr>
          <w:b/>
          <w:bCs/>
        </w:rPr>
        <w:t>N</w:t>
      </w:r>
      <w:r w:rsidRPr="004C0752">
        <w:rPr>
          <w:b/>
          <w:bCs/>
        </w:rPr>
        <w:t>ew workers needed is not an estimate of skills shortage</w:t>
      </w:r>
      <w:r>
        <w:t xml:space="preserve">. In the VSA Employment Model, demand is always met by supply of new workers who enter the work force from study, unemployment, migration, a change in industry or occupation, or other avenues. </w:t>
      </w:r>
    </w:p>
    <w:p w14:paraId="60489B80" w14:textId="77777777" w:rsidR="00691CEC" w:rsidRDefault="00691CEC" w:rsidP="00691CEC">
      <w:pPr>
        <w:pStyle w:val="ListBullet2"/>
        <w:numPr>
          <w:ilvl w:val="0"/>
          <w:numId w:val="0"/>
        </w:numPr>
      </w:pPr>
      <w:r>
        <w:t>This means that the VSA Employment Model is not suitable for identifying current or future skill shortages. The Victorian Skills Plan draws on the National Skills Commission’s Skills Priority List and stakeholder feedback to identify skills shortages within industries and across Victoria.</w:t>
      </w:r>
    </w:p>
    <w:bookmarkEnd w:id="71"/>
    <w:bookmarkEnd w:id="72"/>
    <w:bookmarkEnd w:id="73"/>
    <w:bookmarkEnd w:id="74"/>
    <w:p w14:paraId="0C29DFD2" w14:textId="77777777" w:rsidR="0062137F" w:rsidRDefault="0062137F" w:rsidP="0062137F">
      <w:pPr>
        <w:spacing w:line="276" w:lineRule="auto"/>
        <w:rPr>
          <w:lang w:val="en-AU"/>
        </w:rPr>
      </w:pPr>
    </w:p>
    <w:p w14:paraId="6028B914" w14:textId="0B6711FD" w:rsidR="00D67406" w:rsidRDefault="00D67406" w:rsidP="0062137F">
      <w:pPr>
        <w:spacing w:line="276" w:lineRule="auto"/>
        <w:rPr>
          <w:rFonts w:eastAsiaTheme="majorEastAsia" w:cs="Times New Roman (Headings CS)"/>
          <w:b/>
          <w:color w:val="000000" w:themeColor="text1"/>
          <w:sz w:val="32"/>
          <w:szCs w:val="32"/>
          <w:lang w:val="en-AU"/>
        </w:rPr>
      </w:pPr>
      <w:r>
        <w:rPr>
          <w:lang w:val="en-AU"/>
        </w:rPr>
        <w:br w:type="page"/>
      </w:r>
    </w:p>
    <w:p w14:paraId="3017458B" w14:textId="77777777" w:rsidR="0000092D" w:rsidRDefault="00F600AA" w:rsidP="00141819">
      <w:pPr>
        <w:pStyle w:val="Heading1"/>
        <w:rPr>
          <w:lang w:val="en-AU"/>
        </w:rPr>
      </w:pPr>
      <w:bookmarkStart w:id="78" w:name="_Toc111118572"/>
      <w:r>
        <w:rPr>
          <w:lang w:val="en-AU"/>
        </w:rPr>
        <w:lastRenderedPageBreak/>
        <w:t>Appendix B: V</w:t>
      </w:r>
      <w:r w:rsidR="00141819">
        <w:rPr>
          <w:lang w:val="en-AU"/>
        </w:rPr>
        <w:t>ictorian VET pipeline methodology</w:t>
      </w:r>
      <w:bookmarkEnd w:id="78"/>
    </w:p>
    <w:p w14:paraId="528AEF82" w14:textId="34E81D4D" w:rsidR="0000092D" w:rsidRPr="00503752" w:rsidRDefault="0000092D" w:rsidP="0000092D">
      <w:pPr>
        <w:keepNext/>
        <w:keepLines/>
        <w:spacing w:before="320"/>
        <w:outlineLvl w:val="1"/>
        <w:rPr>
          <w:rFonts w:eastAsia="SimHei" w:cs="Arial"/>
          <w:b/>
          <w:color w:val="000000"/>
          <w:sz w:val="26"/>
        </w:rPr>
      </w:pPr>
      <w:bookmarkStart w:id="79" w:name="_Toc104969269"/>
      <w:bookmarkStart w:id="80" w:name="_Toc111118573"/>
      <w:r w:rsidRPr="00503752">
        <w:rPr>
          <w:rFonts w:eastAsia="SimHei" w:cs="Arial"/>
          <w:b/>
          <w:color w:val="000000"/>
          <w:sz w:val="26"/>
        </w:rPr>
        <w:t>Enrolment</w:t>
      </w:r>
      <w:r w:rsidRPr="006F3E17">
        <w:rPr>
          <w:rFonts w:eastAsia="SimHei" w:cs="Arial"/>
          <w:b/>
          <w:color w:val="000000"/>
          <w:sz w:val="26"/>
        </w:rPr>
        <w:t xml:space="preserve"> </w:t>
      </w:r>
      <w:r w:rsidRPr="00503752">
        <w:rPr>
          <w:rFonts w:eastAsia="SimHei" w:cs="Arial"/>
          <w:b/>
          <w:color w:val="000000"/>
          <w:sz w:val="26"/>
        </w:rPr>
        <w:t>numbers</w:t>
      </w:r>
      <w:r>
        <w:rPr>
          <w:rFonts w:eastAsia="SimHei" w:cs="Arial"/>
          <w:b/>
          <w:color w:val="000000"/>
          <w:sz w:val="26"/>
        </w:rPr>
        <w:br/>
      </w:r>
      <w:r>
        <w:rPr>
          <w:rFonts w:eastAsia="SimHei" w:cs="Arial"/>
          <w:b/>
          <w:color w:val="000000"/>
          <w:sz w:val="26"/>
        </w:rPr>
        <w:br/>
      </w:r>
      <w:r w:rsidRPr="007023DA">
        <w:rPr>
          <w:rFonts w:eastAsia="Arial" w:cs="Arial"/>
          <w:b/>
          <w:bCs/>
          <w:szCs w:val="20"/>
        </w:rPr>
        <w:t>Sources:</w:t>
      </w:r>
      <w:r w:rsidRPr="00503752">
        <w:rPr>
          <w:rFonts w:eastAsia="Arial" w:cs="Arial"/>
          <w:szCs w:val="20"/>
        </w:rPr>
        <w:t xml:space="preserve"> </w:t>
      </w:r>
      <w:r w:rsidRPr="00503752">
        <w:rPr>
          <w:rFonts w:eastAsia="Arial" w:cs="Arial"/>
          <w:szCs w:val="20"/>
        </w:rPr>
        <w:br/>
        <w:t>N</w:t>
      </w:r>
      <w:r w:rsidR="000426D1">
        <w:rPr>
          <w:rFonts w:eastAsia="Arial" w:cs="Arial"/>
          <w:szCs w:val="20"/>
        </w:rPr>
        <w:t xml:space="preserve">ational Centre for </w:t>
      </w:r>
      <w:r w:rsidRPr="00503752">
        <w:rPr>
          <w:rFonts w:eastAsia="Arial" w:cs="Arial"/>
          <w:szCs w:val="20"/>
        </w:rPr>
        <w:t>V</w:t>
      </w:r>
      <w:r w:rsidR="000426D1">
        <w:rPr>
          <w:rFonts w:eastAsia="Arial" w:cs="Arial"/>
          <w:szCs w:val="20"/>
        </w:rPr>
        <w:t xml:space="preserve">ocational </w:t>
      </w:r>
      <w:r w:rsidRPr="00503752">
        <w:rPr>
          <w:rFonts w:eastAsia="Arial" w:cs="Arial"/>
          <w:szCs w:val="20"/>
        </w:rPr>
        <w:t>E</w:t>
      </w:r>
      <w:r w:rsidR="000426D1">
        <w:rPr>
          <w:rFonts w:eastAsia="Arial" w:cs="Arial"/>
          <w:szCs w:val="20"/>
        </w:rPr>
        <w:t xml:space="preserve">ducation </w:t>
      </w:r>
      <w:r w:rsidRPr="00503752">
        <w:rPr>
          <w:rFonts w:eastAsia="Arial" w:cs="Arial"/>
          <w:szCs w:val="20"/>
        </w:rPr>
        <w:t>R</w:t>
      </w:r>
      <w:r w:rsidR="000426D1">
        <w:rPr>
          <w:rFonts w:eastAsia="Arial" w:cs="Arial"/>
          <w:szCs w:val="20"/>
        </w:rPr>
        <w:t>esearch (NCVER)</w:t>
      </w:r>
      <w:r w:rsidRPr="00503752">
        <w:rPr>
          <w:rFonts w:eastAsia="Arial" w:cs="Arial"/>
          <w:szCs w:val="20"/>
        </w:rPr>
        <w:t xml:space="preserve"> (2021), Total VET students and courses 2020, available </w:t>
      </w:r>
      <w:hyperlink r:id="rId14" w:history="1">
        <w:r w:rsidRPr="00503752">
          <w:rPr>
            <w:rFonts w:eastAsia="Arial" w:cs="Arial"/>
            <w:color w:val="000000"/>
            <w:szCs w:val="20"/>
            <w:u w:val="single"/>
          </w:rPr>
          <w:t>here</w:t>
        </w:r>
      </w:hyperlink>
      <w:r w:rsidRPr="00503752">
        <w:rPr>
          <w:rFonts w:eastAsia="Arial" w:cs="Arial"/>
          <w:szCs w:val="20"/>
        </w:rPr>
        <w:t>.</w:t>
      </w:r>
      <w:r w:rsidRPr="00503752">
        <w:rPr>
          <w:rFonts w:eastAsia="Arial" w:cs="Arial"/>
          <w:szCs w:val="20"/>
        </w:rPr>
        <w:br/>
        <w:t xml:space="preserve">Victorian Department of Education and Training (2022), Funded Course List, available </w:t>
      </w:r>
      <w:hyperlink r:id="rId15" w:history="1">
        <w:r w:rsidRPr="00503752">
          <w:rPr>
            <w:rFonts w:eastAsia="Arial" w:cs="Arial"/>
            <w:color w:val="000000"/>
            <w:szCs w:val="20"/>
            <w:u w:val="single"/>
          </w:rPr>
          <w:t>here</w:t>
        </w:r>
      </w:hyperlink>
      <w:r w:rsidRPr="00503752">
        <w:rPr>
          <w:rFonts w:eastAsia="Arial" w:cs="Arial"/>
          <w:szCs w:val="20"/>
        </w:rPr>
        <w:t>.</w:t>
      </w:r>
      <w:r w:rsidRPr="00503752">
        <w:rPr>
          <w:rFonts w:eastAsia="Arial" w:cs="Arial"/>
          <w:szCs w:val="20"/>
        </w:rPr>
        <w:br/>
        <w:t xml:space="preserve">Victorian Department of Education and Training (2022), Funded Skill Set List, available </w:t>
      </w:r>
      <w:bookmarkEnd w:id="79"/>
      <w:r w:rsidR="00B2069A">
        <w:fldChar w:fldCharType="begin"/>
      </w:r>
      <w:r w:rsidR="00B2069A">
        <w:instrText xml:space="preserve"> HYPERLINK "https://www.education.vic.gov.au/training/providers/funding/Pages/fundedcourses.aspx?Redirect=1" </w:instrText>
      </w:r>
      <w:r w:rsidR="00B2069A">
        <w:fldChar w:fldCharType="separate"/>
      </w:r>
      <w:r w:rsidRPr="00503752">
        <w:rPr>
          <w:rFonts w:eastAsia="Arial" w:cs="Arial"/>
          <w:color w:val="000000"/>
          <w:szCs w:val="20"/>
          <w:u w:val="single"/>
        </w:rPr>
        <w:t>here</w:t>
      </w:r>
      <w:r w:rsidR="00B2069A">
        <w:rPr>
          <w:rFonts w:eastAsia="Arial" w:cs="Arial"/>
          <w:color w:val="000000"/>
          <w:szCs w:val="20"/>
          <w:u w:val="single"/>
        </w:rPr>
        <w:fldChar w:fldCharType="end"/>
      </w:r>
      <w:r w:rsidRPr="00503752">
        <w:rPr>
          <w:rFonts w:eastAsia="Arial" w:cs="Arial"/>
          <w:szCs w:val="20"/>
        </w:rPr>
        <w:t>.</w:t>
      </w:r>
      <w:bookmarkEnd w:id="80"/>
      <w:r w:rsidRPr="00503752">
        <w:rPr>
          <w:rFonts w:eastAsia="Arial" w:cs="Arial"/>
          <w:szCs w:val="20"/>
        </w:rPr>
        <w:t xml:space="preserve"> </w:t>
      </w:r>
    </w:p>
    <w:p w14:paraId="37133ED8" w14:textId="6FED2239" w:rsidR="0000092D" w:rsidRPr="00503752" w:rsidRDefault="0000092D" w:rsidP="0000092D">
      <w:pPr>
        <w:rPr>
          <w:rFonts w:eastAsia="Arial" w:cs="Arial"/>
          <w:szCs w:val="20"/>
        </w:rPr>
      </w:pPr>
      <w:r w:rsidRPr="00503752">
        <w:rPr>
          <w:rFonts w:eastAsia="Arial" w:cs="Arial"/>
          <w:szCs w:val="20"/>
        </w:rPr>
        <w:t>The Victorian VET pipeline table estimates the number of enrolments in each qualification and skill</w:t>
      </w:r>
      <w:r w:rsidR="00866F54">
        <w:rPr>
          <w:rFonts w:eastAsia="Arial" w:cs="Arial"/>
          <w:szCs w:val="20"/>
        </w:rPr>
        <w:t xml:space="preserve"> </w:t>
      </w:r>
      <w:r w:rsidRPr="00503752">
        <w:rPr>
          <w:rFonts w:eastAsia="Arial" w:cs="Arial"/>
          <w:szCs w:val="20"/>
        </w:rPr>
        <w:t xml:space="preserve">set for the 2020 academic year in Victoria. The NCVER total VET students and courses is used as the dataset. Only courses on the Victorian Funded Course List (FCL) and the Victorian Funded Skill Set List (FSSL) are included. </w:t>
      </w:r>
    </w:p>
    <w:p w14:paraId="785EBE88" w14:textId="77777777" w:rsidR="0000092D" w:rsidRPr="00503752" w:rsidRDefault="0000092D" w:rsidP="0000092D">
      <w:pPr>
        <w:rPr>
          <w:rFonts w:eastAsia="Arial" w:cs="Arial"/>
          <w:szCs w:val="20"/>
        </w:rPr>
      </w:pPr>
      <w:r w:rsidRPr="00503752">
        <w:rPr>
          <w:rFonts w:eastAsia="Arial" w:cs="Arial"/>
          <w:szCs w:val="20"/>
        </w:rPr>
        <w:t xml:space="preserve">The following steps were taken to develop the table: </w:t>
      </w:r>
    </w:p>
    <w:p w14:paraId="72608093" w14:textId="77777777" w:rsidR="00AE2B0B" w:rsidRDefault="00AE2B0B" w:rsidP="00E82627">
      <w:pPr>
        <w:pStyle w:val="NormalTablesListNumber"/>
        <w:rPr>
          <w:rFonts w:eastAsia="Arial" w:cs="Arial"/>
          <w:szCs w:val="20"/>
        </w:rPr>
      </w:pPr>
      <w:r>
        <w:rPr>
          <w:rFonts w:eastAsia="Arial" w:cs="Arial"/>
          <w:szCs w:val="20"/>
        </w:rPr>
        <w:t xml:space="preserve">Each course was reviewed by IAG members and allocated to </w:t>
      </w:r>
      <w:r w:rsidRPr="00E82627">
        <w:rPr>
          <w:rFonts w:eastAsia="Arial" w:cs="Arial"/>
          <w:b/>
          <w:szCs w:val="20"/>
        </w:rPr>
        <w:t>only one</w:t>
      </w:r>
      <w:r>
        <w:rPr>
          <w:rFonts w:eastAsia="Arial" w:cs="Arial"/>
          <w:szCs w:val="20"/>
        </w:rPr>
        <w:t xml:space="preserve"> of three main reasons for studying: to prepare for employment; to support current employment (apprenticeship or traineeship); and to progress their career. Each course is then listed under their respective allocation. </w:t>
      </w:r>
    </w:p>
    <w:p w14:paraId="7B316BCE" w14:textId="279B0F32" w:rsidR="00AE2B0B" w:rsidRDefault="00AE2B0B" w:rsidP="00E82627">
      <w:pPr>
        <w:pStyle w:val="NormalTablesListNumber"/>
        <w:rPr>
          <w:rFonts w:eastAsia="Arial" w:cs="Arial"/>
          <w:szCs w:val="20"/>
        </w:rPr>
      </w:pPr>
      <w:r>
        <w:rPr>
          <w:rFonts w:eastAsia="Arial" w:cs="Arial"/>
          <w:szCs w:val="20"/>
        </w:rPr>
        <w:t xml:space="preserve">The numbers of students who enrolled in that course in 2020 is then noted in </w:t>
      </w:r>
      <w:r w:rsidR="00E95DC6">
        <w:rPr>
          <w:rFonts w:eastAsia="Arial" w:cs="Arial"/>
          <w:szCs w:val="20"/>
        </w:rPr>
        <w:t>the VET pipeline table</w:t>
      </w:r>
      <w:r>
        <w:rPr>
          <w:rFonts w:eastAsia="Arial" w:cs="Arial"/>
          <w:szCs w:val="20"/>
        </w:rPr>
        <w:t xml:space="preserve">. </w:t>
      </w:r>
    </w:p>
    <w:p w14:paraId="3201A6F6" w14:textId="4FA891C7" w:rsidR="00AE2B0B" w:rsidRDefault="00AE2B0B" w:rsidP="00E82627">
      <w:pPr>
        <w:pStyle w:val="NormalTablesListNumber"/>
        <w:rPr>
          <w:rFonts w:eastAsia="Arial" w:cs="Arial"/>
          <w:szCs w:val="20"/>
        </w:rPr>
      </w:pPr>
      <w:r>
        <w:rPr>
          <w:rFonts w:eastAsia="Arial" w:cs="Arial"/>
          <w:szCs w:val="20"/>
        </w:rPr>
        <w:t xml:space="preserve">For courses that provide </w:t>
      </w:r>
      <w:r>
        <w:rPr>
          <w:rFonts w:eastAsia="Arial" w:cs="Arial"/>
          <w:b/>
          <w:szCs w:val="20"/>
        </w:rPr>
        <w:t>an apprenticeship and traineeship option and a classroom-based option</w:t>
      </w:r>
      <w:r>
        <w:rPr>
          <w:rFonts w:eastAsia="Arial" w:cs="Arial"/>
          <w:szCs w:val="20"/>
        </w:rPr>
        <w:t xml:space="preserve">, these courses are duplicated twice in the table, with enrolment numbers split across the other two options: the number of apprentice and trainee enrolments are </w:t>
      </w:r>
      <w:r w:rsidR="00E95DC6">
        <w:rPr>
          <w:rFonts w:eastAsia="Arial" w:cs="Arial"/>
          <w:szCs w:val="20"/>
        </w:rPr>
        <w:t>reported</w:t>
      </w:r>
      <w:r>
        <w:rPr>
          <w:rFonts w:eastAsia="Arial" w:cs="Arial"/>
          <w:szCs w:val="20"/>
        </w:rPr>
        <w:t xml:space="preserve"> under the header ‘with employment (apprenticeship and traineeship); the number of classroom-based enrolments is shown under the purpose for completing the classroom-based option (either to prepare for enrolment or to progress their career). An (‘</w:t>
      </w:r>
      <w:r>
        <w:rPr>
          <w:rFonts w:eastAsia="Arial" w:cs="Arial"/>
          <w:szCs w:val="20"/>
          <w:vertAlign w:val="superscript"/>
        </w:rPr>
        <w:t>AT’</w:t>
      </w:r>
      <w:r>
        <w:rPr>
          <w:rFonts w:eastAsia="Arial" w:cs="Arial"/>
          <w:szCs w:val="20"/>
        </w:rPr>
        <w:t xml:space="preserve">) is noted next to these duplicated classroom-based courses to indicate they are also delivered as an apprenticeship or traineeship. </w:t>
      </w:r>
    </w:p>
    <w:p w14:paraId="046EFF37" w14:textId="10ED6C51" w:rsidR="00AE2B0B" w:rsidRDefault="00AE2B0B" w:rsidP="00E82627">
      <w:pPr>
        <w:pStyle w:val="NormalTablesListNumber"/>
        <w:rPr>
          <w:rFonts w:eastAsia="Arial" w:cs="Arial"/>
          <w:szCs w:val="20"/>
        </w:rPr>
      </w:pPr>
      <w:r>
        <w:rPr>
          <w:rFonts w:eastAsia="Arial" w:cs="Arial"/>
          <w:szCs w:val="20"/>
        </w:rPr>
        <w:t>Where industry has provided feedback on the value of qualification or skill set, a (</w:t>
      </w:r>
      <w:r>
        <w:rPr>
          <w:rFonts w:eastAsia="Arial" w:cs="Arial"/>
          <w:szCs w:val="20"/>
          <w:vertAlign w:val="superscript"/>
        </w:rPr>
        <w:t>‘Q’</w:t>
      </w:r>
      <w:r>
        <w:rPr>
          <w:rFonts w:eastAsia="Arial" w:cs="Arial"/>
          <w:szCs w:val="20"/>
        </w:rPr>
        <w:t>) indicates it is valued as a qualification, while a (</w:t>
      </w:r>
      <w:r>
        <w:rPr>
          <w:rFonts w:eastAsia="Arial" w:cs="Arial"/>
          <w:szCs w:val="20"/>
          <w:vertAlign w:val="superscript"/>
        </w:rPr>
        <w:t>‘SS’</w:t>
      </w:r>
      <w:r>
        <w:rPr>
          <w:rFonts w:eastAsia="Arial" w:cs="Arial"/>
          <w:szCs w:val="20"/>
        </w:rPr>
        <w:t>) indicates it is valued as a skill</w:t>
      </w:r>
      <w:r w:rsidR="00E95DC6">
        <w:rPr>
          <w:rFonts w:eastAsia="Arial" w:cs="Arial"/>
          <w:szCs w:val="20"/>
        </w:rPr>
        <w:t xml:space="preserve"> </w:t>
      </w:r>
      <w:r>
        <w:rPr>
          <w:rFonts w:eastAsia="Arial" w:cs="Arial"/>
          <w:szCs w:val="20"/>
        </w:rPr>
        <w:t>set. A (</w:t>
      </w:r>
      <w:r>
        <w:rPr>
          <w:rFonts w:eastAsia="Arial" w:cs="Arial"/>
          <w:szCs w:val="20"/>
          <w:vertAlign w:val="superscript"/>
        </w:rPr>
        <w:t>‘EIR’</w:t>
      </w:r>
      <w:r>
        <w:rPr>
          <w:rFonts w:eastAsia="Arial" w:cs="Arial"/>
          <w:szCs w:val="20"/>
        </w:rPr>
        <w:t>) indicates it is an Endorsed Industry Requirement and (</w:t>
      </w:r>
      <w:r>
        <w:rPr>
          <w:rFonts w:eastAsia="Arial" w:cs="Arial"/>
          <w:szCs w:val="20"/>
          <w:vertAlign w:val="superscript"/>
        </w:rPr>
        <w:t>‘OL’</w:t>
      </w:r>
      <w:r>
        <w:rPr>
          <w:rFonts w:eastAsia="Arial" w:cs="Arial"/>
          <w:szCs w:val="20"/>
        </w:rPr>
        <w:t>) indicates it is an Occupational Licen</w:t>
      </w:r>
      <w:r w:rsidR="00F32EA9">
        <w:rPr>
          <w:rFonts w:eastAsia="Arial" w:cs="Arial"/>
          <w:szCs w:val="20"/>
        </w:rPr>
        <w:t>s</w:t>
      </w:r>
      <w:r>
        <w:rPr>
          <w:rFonts w:eastAsia="Arial" w:cs="Arial"/>
          <w:szCs w:val="20"/>
        </w:rPr>
        <w:t>e. Industry has not provided feedback on all qualifications and where indicated; and each value assignment can be reviewed in the future.</w:t>
      </w:r>
    </w:p>
    <w:p w14:paraId="31419E46" w14:textId="724C9D6E" w:rsidR="00AE2B0B" w:rsidRDefault="00AE2B0B" w:rsidP="00E82627">
      <w:pPr>
        <w:pStyle w:val="NormalTablesListNumber"/>
        <w:rPr>
          <w:rFonts w:eastAsia="Arial" w:cs="Arial"/>
          <w:szCs w:val="20"/>
        </w:rPr>
      </w:pPr>
      <w:r>
        <w:rPr>
          <w:rFonts w:eastAsia="Arial" w:cs="Arial"/>
          <w:szCs w:val="20"/>
        </w:rPr>
        <w:t xml:space="preserve">Numbers are then </w:t>
      </w:r>
      <w:r w:rsidR="00941F79">
        <w:rPr>
          <w:rFonts w:eastAsia="Arial" w:cs="Arial"/>
          <w:szCs w:val="20"/>
        </w:rPr>
        <w:t>totalled</w:t>
      </w:r>
      <w:r>
        <w:rPr>
          <w:rFonts w:eastAsia="Arial" w:cs="Arial"/>
          <w:szCs w:val="20"/>
        </w:rPr>
        <w:t xml:space="preserve"> in their respective headers above. </w:t>
      </w:r>
      <w:proofErr w:type="gramStart"/>
      <w:r>
        <w:rPr>
          <w:rFonts w:eastAsia="Arial" w:cs="Arial"/>
          <w:szCs w:val="20"/>
        </w:rPr>
        <w:t>For the purpose of</w:t>
      </w:r>
      <w:proofErr w:type="gramEnd"/>
      <w:r>
        <w:rPr>
          <w:rFonts w:eastAsia="Arial" w:cs="Arial"/>
          <w:szCs w:val="20"/>
        </w:rPr>
        <w:t xml:space="preserve"> the Skills Plan, the number of enrolments ‘prior to employment’ is a key focus for industry as it indicates how many students are being trained but are not yet employed.</w:t>
      </w:r>
    </w:p>
    <w:p w14:paraId="329DE5CB" w14:textId="77777777" w:rsidR="0000092D" w:rsidRPr="00503752" w:rsidRDefault="0000092D" w:rsidP="0000092D">
      <w:pPr>
        <w:suppressAutoHyphens/>
        <w:spacing w:after="60" w:line="257" w:lineRule="auto"/>
        <w:rPr>
          <w:rFonts w:eastAsia="Times New Roman" w:cs="Times New Roman"/>
          <w:color w:val="000000"/>
          <w:szCs w:val="19"/>
          <w:lang w:val="en-AU" w:eastAsia="en-AU"/>
        </w:rPr>
      </w:pPr>
    </w:p>
    <w:tbl>
      <w:tblPr>
        <w:tblStyle w:val="NOUSSideHeader21"/>
        <w:tblpPr w:leftFromText="181" w:rightFromText="181" w:topFromText="142" w:bottomFromText="142" w:vertAnchor="text" w:horzAnchor="margin" w:tblpY="-35"/>
        <w:tblOverlap w:val="never"/>
        <w:tblW w:w="5000" w:type="pct"/>
        <w:tblBorders>
          <w:top w:val="single" w:sz="18" w:space="0" w:color="000000" w:themeColor="text1"/>
          <w:left w:val="single" w:sz="18" w:space="0" w:color="000000" w:themeColor="text1"/>
          <w:bottom w:val="single" w:sz="18" w:space="0" w:color="000000" w:themeColor="text1"/>
          <w:right w:val="single" w:sz="18" w:space="0" w:color="000000" w:themeColor="text1"/>
          <w:insideH w:val="none" w:sz="0" w:space="0" w:color="auto"/>
          <w:insideV w:val="none" w:sz="0" w:space="0" w:color="auto"/>
        </w:tblBorders>
        <w:shd w:val="clear" w:color="auto" w:fill="FFFFFF" w:themeFill="background1"/>
        <w:tblCellMar>
          <w:top w:w="142" w:type="dxa"/>
          <w:left w:w="170" w:type="dxa"/>
          <w:bottom w:w="142" w:type="dxa"/>
          <w:right w:w="170" w:type="dxa"/>
        </w:tblCellMar>
        <w:tblLook w:val="04A0" w:firstRow="1" w:lastRow="0" w:firstColumn="1" w:lastColumn="0" w:noHBand="0" w:noVBand="1"/>
      </w:tblPr>
      <w:tblGrid>
        <w:gridCol w:w="9025"/>
      </w:tblGrid>
      <w:tr w:rsidR="0000092D" w:rsidRPr="00503752" w14:paraId="10D58DA9" w14:textId="77777777" w:rsidTr="00E15126">
        <w:trPr>
          <w:trHeight w:val="963"/>
        </w:trPr>
        <w:tc>
          <w:tcPr>
            <w:tcW w:w="9041" w:type="dxa"/>
            <w:shd w:val="clear" w:color="auto" w:fill="FFFFFF" w:themeFill="background1"/>
          </w:tcPr>
          <w:p w14:paraId="6E85748F" w14:textId="6B966B0C" w:rsidR="0000092D" w:rsidRPr="00503752" w:rsidRDefault="0000092D" w:rsidP="0070156D">
            <w:pPr>
              <w:rPr>
                <w:rFonts w:eastAsia="Arial" w:cs="Arial"/>
                <w:color w:val="000000"/>
                <w:szCs w:val="18"/>
              </w:rPr>
            </w:pPr>
            <w:r w:rsidRPr="00503752">
              <w:rPr>
                <w:rFonts w:eastAsia="Arial" w:cs="Arial"/>
                <w:color w:val="000000"/>
                <w:szCs w:val="18"/>
              </w:rPr>
              <w:t xml:space="preserve">The 2020 enrolment figures are a best estimate of the pipeline of workers for industry to draw on. The 2020 figures </w:t>
            </w:r>
            <w:r w:rsidR="0005570A" w:rsidRPr="00503752">
              <w:rPr>
                <w:rFonts w:eastAsia="Arial" w:cs="Arial"/>
                <w:color w:val="000000"/>
                <w:szCs w:val="18"/>
              </w:rPr>
              <w:t>were</w:t>
            </w:r>
            <w:r w:rsidRPr="00503752">
              <w:rPr>
                <w:rFonts w:eastAsia="Arial" w:cs="Arial"/>
                <w:color w:val="000000"/>
                <w:szCs w:val="18"/>
              </w:rPr>
              <w:t xml:space="preserve"> the latest dataset available from the NCVER at the time of developing the Skills Plan and will be updated in future iterations of this document. They intend to provide an indication of the pipeline but do not and cannot tell the full story of workforce supply. Factors such as completion rates and the COVID-19 pandemic during </w:t>
            </w:r>
            <w:r w:rsidR="005A0D12" w:rsidRPr="00503752">
              <w:rPr>
                <w:rFonts w:eastAsia="Arial" w:cs="Arial"/>
                <w:color w:val="000000"/>
                <w:szCs w:val="18"/>
              </w:rPr>
              <w:t xml:space="preserve">2020 </w:t>
            </w:r>
            <w:r w:rsidR="005A0D12" w:rsidRPr="005A0D12">
              <w:rPr>
                <w:rFonts w:eastAsia="Arial" w:cs="Arial"/>
                <w:color w:val="000000"/>
                <w:szCs w:val="18"/>
              </w:rPr>
              <w:t>are also likely to impact the availability of the future workforce.</w:t>
            </w:r>
          </w:p>
        </w:tc>
      </w:tr>
    </w:tbl>
    <w:p w14:paraId="6208F4A5" w14:textId="4BAC67CF" w:rsidR="0062137F" w:rsidRDefault="0062137F" w:rsidP="0000092D">
      <w:pPr>
        <w:rPr>
          <w:b/>
          <w:lang w:val="en-AU"/>
        </w:rPr>
      </w:pPr>
      <w:r>
        <w:rPr>
          <w:lang w:val="en-AU"/>
        </w:rPr>
        <w:br w:type="page"/>
      </w:r>
    </w:p>
    <w:p w14:paraId="27752FFD" w14:textId="77777777" w:rsidR="00F05FA6" w:rsidRDefault="00F05FA6" w:rsidP="00F05FA6">
      <w:pPr>
        <w:pStyle w:val="Heading1"/>
      </w:pPr>
      <w:bookmarkStart w:id="81" w:name="_Toc111118574"/>
      <w:r>
        <w:lastRenderedPageBreak/>
        <w:t>Appendix C: Stakeholder engagement process</w:t>
      </w:r>
      <w:bookmarkEnd w:id="81"/>
    </w:p>
    <w:p w14:paraId="5D485F61" w14:textId="52701C37" w:rsidR="009717D8" w:rsidRDefault="00F05FA6" w:rsidP="00F05FA6">
      <w:pPr>
        <w:spacing w:line="276" w:lineRule="auto"/>
      </w:pPr>
      <w:r>
        <w:t xml:space="preserve">Stakeholder engagements allowed VSA to test, update and validate the content of the </w:t>
      </w:r>
      <w:r w:rsidR="00F16CB9">
        <w:t>r</w:t>
      </w:r>
      <w:r>
        <w:t xml:space="preserve">ental, </w:t>
      </w:r>
      <w:r w:rsidR="00F16CB9">
        <w:t>h</w:t>
      </w:r>
      <w:r>
        <w:t xml:space="preserve">iring and </w:t>
      </w:r>
      <w:r w:rsidR="00F16CB9">
        <w:t>r</w:t>
      </w:r>
      <w:r>
        <w:t xml:space="preserve">eal </w:t>
      </w:r>
      <w:r w:rsidR="00F16CB9">
        <w:t>e</w:t>
      </w:r>
      <w:r>
        <w:t xml:space="preserve">state </w:t>
      </w:r>
      <w:r w:rsidR="00F16CB9">
        <w:t>s</w:t>
      </w:r>
      <w:r>
        <w:t xml:space="preserve">ervices industry insight report. Stakeholders from </w:t>
      </w:r>
      <w:proofErr w:type="spellStart"/>
      <w:r>
        <w:t>organisations</w:t>
      </w:r>
      <w:proofErr w:type="spellEnd"/>
      <w:r>
        <w:t xml:space="preserve"> in government, education and industry were engaged to provide input to the report and the Skills Plan more broadly. Specifically, stakeholders provided insight on economic outlook, workforce and skilling challenges and an education and training response across three rounds of consultations. Engagements guided initial thinking and research, as well as opportunities to test and revise the insights</w:t>
      </w:r>
      <w:r w:rsidR="00BF3BF5">
        <w:t xml:space="preserve">. We would like to thank the following </w:t>
      </w:r>
      <w:proofErr w:type="spellStart"/>
      <w:r w:rsidR="00BF3BF5">
        <w:t>organisations</w:t>
      </w:r>
      <w:proofErr w:type="spellEnd"/>
      <w:r w:rsidR="00BF3BF5">
        <w:t xml:space="preserve"> for their participation in the stakeholder engagement process.</w:t>
      </w:r>
      <w:r w:rsidR="00BF3BF5" w:rsidRPr="00FA5A34">
        <w:t xml:space="preserve"> </w:t>
      </w:r>
      <w:r w:rsidR="00BF3BF5">
        <w:t xml:space="preserve"> </w:t>
      </w:r>
      <w:r w:rsidR="00E4086C">
        <w:t xml:space="preserve">Table 15 </w:t>
      </w:r>
      <w:r w:rsidR="00BF3BF5">
        <w:t xml:space="preserve">lists the </w:t>
      </w:r>
      <w:proofErr w:type="spellStart"/>
      <w:r w:rsidR="00BF3BF5">
        <w:t>organisations</w:t>
      </w:r>
      <w:proofErr w:type="spellEnd"/>
      <w:r w:rsidR="00BF3BF5">
        <w:t xml:space="preserve"> involved</w:t>
      </w:r>
      <w:r>
        <w:t>.</w:t>
      </w:r>
    </w:p>
    <w:p w14:paraId="04E7CA03" w14:textId="512A00DF" w:rsidR="00790DBC" w:rsidRPr="00E86120" w:rsidRDefault="00790DBC" w:rsidP="00790DBC">
      <w:pPr>
        <w:pStyle w:val="Caption"/>
        <w:rPr>
          <w:sz w:val="20"/>
          <w:szCs w:val="20"/>
        </w:rPr>
      </w:pPr>
      <w:bookmarkStart w:id="82" w:name="_Ref105165096"/>
      <w:r w:rsidRPr="00E86120">
        <w:rPr>
          <w:sz w:val="20"/>
          <w:szCs w:val="20"/>
        </w:rPr>
        <w:t xml:space="preserve">Table </w:t>
      </w:r>
      <w:r w:rsidR="009D7386" w:rsidRPr="00E86120">
        <w:rPr>
          <w:sz w:val="20"/>
          <w:szCs w:val="20"/>
        </w:rPr>
        <w:fldChar w:fldCharType="begin"/>
      </w:r>
      <w:r w:rsidR="009D7386" w:rsidRPr="00E86120">
        <w:rPr>
          <w:sz w:val="20"/>
          <w:szCs w:val="20"/>
        </w:rPr>
        <w:instrText xml:space="preserve"> SEQ Table \* ARABIC </w:instrText>
      </w:r>
      <w:r w:rsidR="009D7386" w:rsidRPr="00E86120">
        <w:rPr>
          <w:sz w:val="20"/>
          <w:szCs w:val="20"/>
        </w:rPr>
        <w:fldChar w:fldCharType="separate"/>
      </w:r>
      <w:r w:rsidR="00C435CB">
        <w:rPr>
          <w:noProof/>
          <w:sz w:val="20"/>
          <w:szCs w:val="20"/>
        </w:rPr>
        <w:t>15</w:t>
      </w:r>
      <w:r w:rsidR="009D7386" w:rsidRPr="00E86120">
        <w:rPr>
          <w:sz w:val="20"/>
          <w:szCs w:val="20"/>
        </w:rPr>
        <w:fldChar w:fldCharType="end"/>
      </w:r>
      <w:bookmarkEnd w:id="82"/>
      <w:r w:rsidRPr="00E86120">
        <w:rPr>
          <w:sz w:val="20"/>
          <w:szCs w:val="20"/>
        </w:rPr>
        <w:t xml:space="preserve"> </w:t>
      </w:r>
      <w:r w:rsidR="00D80803" w:rsidRPr="00E86120">
        <w:rPr>
          <w:sz w:val="20"/>
          <w:szCs w:val="20"/>
        </w:rPr>
        <w:t xml:space="preserve">| </w:t>
      </w:r>
      <w:r w:rsidR="002066B7" w:rsidRPr="00E86120">
        <w:rPr>
          <w:sz w:val="20"/>
          <w:szCs w:val="20"/>
        </w:rPr>
        <w:t xml:space="preserve">Consultation </w:t>
      </w:r>
      <w:r w:rsidR="006A6621" w:rsidRPr="00E86120">
        <w:rPr>
          <w:sz w:val="20"/>
          <w:szCs w:val="20"/>
        </w:rPr>
        <w:t>p</w:t>
      </w:r>
      <w:r w:rsidR="00D80803" w:rsidRPr="00E86120">
        <w:rPr>
          <w:sz w:val="20"/>
          <w:szCs w:val="20"/>
        </w:rPr>
        <w:t xml:space="preserve">articipants </w:t>
      </w:r>
    </w:p>
    <w:tbl>
      <w:tblPr>
        <w:tblStyle w:val="TableGrid-Header"/>
        <w:tblW w:w="8954" w:type="dxa"/>
        <w:tblLook w:val="04A0" w:firstRow="1" w:lastRow="0" w:firstColumn="1" w:lastColumn="0" w:noHBand="0" w:noVBand="1"/>
      </w:tblPr>
      <w:tblGrid>
        <w:gridCol w:w="8907"/>
        <w:gridCol w:w="47"/>
      </w:tblGrid>
      <w:tr w:rsidR="00E15126" w:rsidRPr="00E15126" w14:paraId="45DCD21B" w14:textId="77777777" w:rsidTr="00E15126">
        <w:trPr>
          <w:gridAfter w:val="1"/>
          <w:cnfStyle w:val="100000000000" w:firstRow="1" w:lastRow="0" w:firstColumn="0" w:lastColumn="0" w:oddVBand="0" w:evenVBand="0" w:oddHBand="0" w:evenHBand="0" w:firstRowFirstColumn="0" w:firstRowLastColumn="0" w:lastRowFirstColumn="0" w:lastRowLastColumn="0"/>
          <w:wAfter w:w="47" w:type="dxa"/>
          <w:trHeight w:val="305"/>
        </w:trPr>
        <w:tc>
          <w:tcPr>
            <w:tcW w:w="8907"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000000" w:themeFill="text1"/>
          </w:tcPr>
          <w:p w14:paraId="13A89806" w14:textId="77777777" w:rsidR="00FC1E4D" w:rsidRPr="00E15126" w:rsidRDefault="00FC1E4D" w:rsidP="001774BF">
            <w:pPr>
              <w:pStyle w:val="TableNheader"/>
              <w:rPr>
                <w:b/>
                <w:bCs/>
                <w:color w:val="FFFFFF" w:themeColor="background1"/>
              </w:rPr>
            </w:pPr>
            <w:r w:rsidRPr="00E15126">
              <w:rPr>
                <w:b/>
                <w:bCs/>
                <w:color w:val="FFFFFF" w:themeColor="background1"/>
              </w:rPr>
              <w:t>Organisation</w:t>
            </w:r>
          </w:p>
        </w:tc>
      </w:tr>
      <w:tr w:rsidR="000C77E7" w:rsidRPr="003E77A3" w14:paraId="788A7518" w14:textId="77777777" w:rsidTr="0058069B">
        <w:trPr>
          <w:trHeight w:val="305"/>
        </w:trPr>
        <w:tc>
          <w:tcPr>
            <w:tcW w:w="8954" w:type="dxa"/>
            <w:gridSpan w:val="2"/>
            <w:vAlign w:val="bottom"/>
          </w:tcPr>
          <w:p w14:paraId="00FCAD21" w14:textId="413ADF78" w:rsidR="000C77E7" w:rsidRPr="000C77E7" w:rsidRDefault="000C77E7" w:rsidP="000C77E7">
            <w:pPr>
              <w:pStyle w:val="NormalTables"/>
              <w:rPr>
                <w:rFonts w:asciiTheme="minorHAnsi" w:hAnsiTheme="minorHAnsi" w:cstheme="minorHAnsi"/>
                <w:szCs w:val="20"/>
                <w:lang w:val="en-US"/>
              </w:rPr>
            </w:pPr>
            <w:r w:rsidRPr="000C77E7">
              <w:rPr>
                <w:rFonts w:asciiTheme="minorHAnsi" w:hAnsiTheme="minorHAnsi" w:cstheme="minorHAnsi"/>
                <w:color w:val="000000"/>
                <w:szCs w:val="20"/>
              </w:rPr>
              <w:t>Australasian Security Industry Association Ltd</w:t>
            </w:r>
          </w:p>
        </w:tc>
      </w:tr>
      <w:tr w:rsidR="000C77E7" w:rsidRPr="00C53B21" w14:paraId="193E0E9C" w14:textId="77777777" w:rsidTr="0058069B">
        <w:trPr>
          <w:trHeight w:val="305"/>
        </w:trPr>
        <w:tc>
          <w:tcPr>
            <w:tcW w:w="8954" w:type="dxa"/>
            <w:gridSpan w:val="2"/>
            <w:vAlign w:val="bottom"/>
          </w:tcPr>
          <w:p w14:paraId="0F570A97" w14:textId="1494D0FC" w:rsidR="000C77E7" w:rsidRPr="000C77E7" w:rsidRDefault="000C77E7" w:rsidP="000C77E7">
            <w:pPr>
              <w:pStyle w:val="NormalTables"/>
              <w:rPr>
                <w:rFonts w:asciiTheme="minorHAnsi" w:hAnsiTheme="minorHAnsi" w:cstheme="minorHAnsi"/>
                <w:szCs w:val="20"/>
                <w:lang w:val="en-US"/>
              </w:rPr>
            </w:pPr>
            <w:r w:rsidRPr="000C77E7">
              <w:rPr>
                <w:rFonts w:asciiTheme="minorHAnsi" w:hAnsiTheme="minorHAnsi" w:cstheme="minorHAnsi"/>
                <w:color w:val="000000"/>
                <w:szCs w:val="20"/>
              </w:rPr>
              <w:t>Australian Digital and Telecommunications Industry Association</w:t>
            </w:r>
          </w:p>
        </w:tc>
      </w:tr>
      <w:tr w:rsidR="000C77E7" w:rsidRPr="00C53B21" w14:paraId="6D79F507" w14:textId="77777777" w:rsidTr="0058069B">
        <w:trPr>
          <w:trHeight w:val="305"/>
        </w:trPr>
        <w:tc>
          <w:tcPr>
            <w:tcW w:w="8954" w:type="dxa"/>
            <w:gridSpan w:val="2"/>
            <w:vAlign w:val="bottom"/>
          </w:tcPr>
          <w:p w14:paraId="69E0BB2F" w14:textId="348A93C7" w:rsidR="000C77E7" w:rsidRPr="000C77E7" w:rsidRDefault="000C77E7" w:rsidP="000C77E7">
            <w:pPr>
              <w:pStyle w:val="NormalTables"/>
              <w:rPr>
                <w:rFonts w:asciiTheme="minorHAnsi" w:hAnsiTheme="minorHAnsi" w:cstheme="minorHAnsi"/>
                <w:szCs w:val="20"/>
                <w:lang w:val="en-US"/>
              </w:rPr>
            </w:pPr>
            <w:r w:rsidRPr="000C77E7">
              <w:rPr>
                <w:rFonts w:asciiTheme="minorHAnsi" w:hAnsiTheme="minorHAnsi" w:cstheme="minorHAnsi"/>
                <w:color w:val="000000"/>
                <w:szCs w:val="20"/>
              </w:rPr>
              <w:t>Australian Education Union - Victoria</w:t>
            </w:r>
          </w:p>
        </w:tc>
      </w:tr>
      <w:tr w:rsidR="000C77E7" w:rsidRPr="00C53B21" w14:paraId="7ABDA8DD" w14:textId="77777777" w:rsidTr="0058069B">
        <w:trPr>
          <w:trHeight w:val="305"/>
        </w:trPr>
        <w:tc>
          <w:tcPr>
            <w:tcW w:w="8954" w:type="dxa"/>
            <w:gridSpan w:val="2"/>
            <w:vAlign w:val="bottom"/>
          </w:tcPr>
          <w:p w14:paraId="4F188546" w14:textId="0AC81887" w:rsidR="000C77E7" w:rsidRPr="000C77E7" w:rsidRDefault="000C77E7" w:rsidP="000C77E7">
            <w:pPr>
              <w:pStyle w:val="NormalTables"/>
              <w:rPr>
                <w:rFonts w:asciiTheme="minorHAnsi" w:hAnsiTheme="minorHAnsi" w:cstheme="minorHAnsi"/>
                <w:szCs w:val="20"/>
                <w:lang w:val="en-US"/>
              </w:rPr>
            </w:pPr>
            <w:r w:rsidRPr="000C77E7">
              <w:rPr>
                <w:rFonts w:asciiTheme="minorHAnsi" w:hAnsiTheme="minorHAnsi" w:cstheme="minorHAnsi"/>
                <w:color w:val="000000"/>
                <w:szCs w:val="20"/>
              </w:rPr>
              <w:t>Australian Industry Group</w:t>
            </w:r>
          </w:p>
        </w:tc>
      </w:tr>
      <w:tr w:rsidR="000C77E7" w:rsidRPr="00C53B21" w14:paraId="6E9EAE4F" w14:textId="77777777" w:rsidTr="0058069B">
        <w:trPr>
          <w:trHeight w:val="305"/>
        </w:trPr>
        <w:tc>
          <w:tcPr>
            <w:tcW w:w="8954" w:type="dxa"/>
            <w:gridSpan w:val="2"/>
            <w:vAlign w:val="bottom"/>
          </w:tcPr>
          <w:p w14:paraId="10A6EB54" w14:textId="737FFF80" w:rsidR="000C77E7" w:rsidRPr="000C77E7" w:rsidRDefault="000C77E7" w:rsidP="000C77E7">
            <w:pPr>
              <w:pStyle w:val="NormalTables"/>
              <w:rPr>
                <w:rFonts w:asciiTheme="minorHAnsi" w:hAnsiTheme="minorHAnsi" w:cstheme="minorHAnsi"/>
                <w:szCs w:val="20"/>
                <w:lang w:val="en-US"/>
              </w:rPr>
            </w:pPr>
            <w:r w:rsidRPr="000C77E7">
              <w:rPr>
                <w:rFonts w:asciiTheme="minorHAnsi" w:hAnsiTheme="minorHAnsi" w:cstheme="minorHAnsi"/>
                <w:color w:val="000000"/>
                <w:szCs w:val="20"/>
              </w:rPr>
              <w:t>Australian Services Union</w:t>
            </w:r>
          </w:p>
        </w:tc>
      </w:tr>
      <w:tr w:rsidR="000C77E7" w:rsidRPr="00C53B21" w14:paraId="0ED416D5" w14:textId="77777777" w:rsidTr="0058069B">
        <w:trPr>
          <w:trHeight w:val="305"/>
        </w:trPr>
        <w:tc>
          <w:tcPr>
            <w:tcW w:w="8954" w:type="dxa"/>
            <w:gridSpan w:val="2"/>
            <w:vAlign w:val="bottom"/>
          </w:tcPr>
          <w:p w14:paraId="7434209D" w14:textId="2C2F7AFC" w:rsidR="000C77E7" w:rsidRPr="000C77E7" w:rsidRDefault="000C77E7" w:rsidP="000C77E7">
            <w:pPr>
              <w:pStyle w:val="NormalTables"/>
              <w:rPr>
                <w:rFonts w:asciiTheme="minorHAnsi" w:hAnsiTheme="minorHAnsi" w:cstheme="minorHAnsi"/>
                <w:szCs w:val="20"/>
                <w:lang w:val="en-US"/>
              </w:rPr>
            </w:pPr>
            <w:r w:rsidRPr="000C77E7">
              <w:rPr>
                <w:rFonts w:asciiTheme="minorHAnsi" w:hAnsiTheme="minorHAnsi" w:cstheme="minorHAnsi"/>
                <w:color w:val="000000"/>
                <w:szCs w:val="20"/>
              </w:rPr>
              <w:t xml:space="preserve">Bendigo </w:t>
            </w:r>
            <w:proofErr w:type="spellStart"/>
            <w:r w:rsidRPr="000C77E7">
              <w:rPr>
                <w:rFonts w:asciiTheme="minorHAnsi" w:hAnsiTheme="minorHAnsi" w:cstheme="minorHAnsi"/>
                <w:color w:val="000000"/>
                <w:szCs w:val="20"/>
              </w:rPr>
              <w:t>Kangan</w:t>
            </w:r>
            <w:proofErr w:type="spellEnd"/>
            <w:r w:rsidRPr="000C77E7">
              <w:rPr>
                <w:rFonts w:asciiTheme="minorHAnsi" w:hAnsiTheme="minorHAnsi" w:cstheme="minorHAnsi"/>
                <w:color w:val="000000"/>
                <w:szCs w:val="20"/>
              </w:rPr>
              <w:t xml:space="preserve"> Institute </w:t>
            </w:r>
          </w:p>
        </w:tc>
      </w:tr>
      <w:tr w:rsidR="000C77E7" w:rsidRPr="00C53B21" w14:paraId="38F5ABC8" w14:textId="77777777" w:rsidTr="0058069B">
        <w:trPr>
          <w:trHeight w:val="305"/>
        </w:trPr>
        <w:tc>
          <w:tcPr>
            <w:tcW w:w="8954" w:type="dxa"/>
            <w:gridSpan w:val="2"/>
            <w:vAlign w:val="bottom"/>
          </w:tcPr>
          <w:p w14:paraId="7A1CABBF" w14:textId="4176798C" w:rsidR="000C77E7" w:rsidRPr="000C77E7" w:rsidRDefault="000C77E7" w:rsidP="000C77E7">
            <w:pPr>
              <w:pStyle w:val="NormalTables"/>
              <w:rPr>
                <w:rFonts w:asciiTheme="minorHAnsi" w:hAnsiTheme="minorHAnsi" w:cstheme="minorHAnsi"/>
                <w:szCs w:val="20"/>
                <w:lang w:val="en-US"/>
              </w:rPr>
            </w:pPr>
            <w:r w:rsidRPr="000C77E7">
              <w:rPr>
                <w:rFonts w:asciiTheme="minorHAnsi" w:hAnsiTheme="minorHAnsi" w:cstheme="minorHAnsi"/>
                <w:color w:val="000000"/>
                <w:szCs w:val="20"/>
              </w:rPr>
              <w:t>Box Hill Institute</w:t>
            </w:r>
          </w:p>
        </w:tc>
      </w:tr>
      <w:tr w:rsidR="000C77E7" w:rsidRPr="00C53B21" w14:paraId="5E8249A7" w14:textId="77777777" w:rsidTr="0058069B">
        <w:trPr>
          <w:trHeight w:val="305"/>
        </w:trPr>
        <w:tc>
          <w:tcPr>
            <w:tcW w:w="8954" w:type="dxa"/>
            <w:gridSpan w:val="2"/>
            <w:vAlign w:val="bottom"/>
          </w:tcPr>
          <w:p w14:paraId="031BD9E1" w14:textId="1E526013" w:rsidR="000C77E7" w:rsidRPr="000C77E7" w:rsidRDefault="000C77E7" w:rsidP="000C77E7">
            <w:pPr>
              <w:pStyle w:val="NormalTables"/>
              <w:rPr>
                <w:rFonts w:asciiTheme="minorHAnsi" w:hAnsiTheme="minorHAnsi" w:cstheme="minorHAnsi"/>
                <w:szCs w:val="20"/>
                <w:lang w:val="en-US"/>
              </w:rPr>
            </w:pPr>
            <w:r w:rsidRPr="000C77E7">
              <w:rPr>
                <w:rFonts w:asciiTheme="minorHAnsi" w:hAnsiTheme="minorHAnsi" w:cstheme="minorHAnsi"/>
                <w:color w:val="000000"/>
                <w:szCs w:val="20"/>
              </w:rPr>
              <w:t>Building Designers Association Victoria</w:t>
            </w:r>
          </w:p>
        </w:tc>
      </w:tr>
      <w:tr w:rsidR="000C77E7" w:rsidRPr="00C53B21" w14:paraId="60AA4140" w14:textId="77777777" w:rsidTr="0058069B">
        <w:trPr>
          <w:trHeight w:val="305"/>
        </w:trPr>
        <w:tc>
          <w:tcPr>
            <w:tcW w:w="8954" w:type="dxa"/>
            <w:gridSpan w:val="2"/>
            <w:vAlign w:val="bottom"/>
          </w:tcPr>
          <w:p w14:paraId="3657C841" w14:textId="0163B0E4" w:rsidR="000C77E7" w:rsidRPr="000C77E7" w:rsidRDefault="000C77E7" w:rsidP="000C77E7">
            <w:pPr>
              <w:pStyle w:val="NormalTables"/>
              <w:rPr>
                <w:rFonts w:asciiTheme="minorHAnsi" w:hAnsiTheme="minorHAnsi" w:cstheme="minorHAnsi"/>
                <w:szCs w:val="20"/>
                <w:lang w:val="en-US"/>
              </w:rPr>
            </w:pPr>
            <w:r w:rsidRPr="000C77E7">
              <w:rPr>
                <w:rFonts w:asciiTheme="minorHAnsi" w:hAnsiTheme="minorHAnsi" w:cstheme="minorHAnsi"/>
                <w:color w:val="000000"/>
                <w:szCs w:val="20"/>
              </w:rPr>
              <w:t xml:space="preserve">Business Services Industry Advisory Group </w:t>
            </w:r>
          </w:p>
        </w:tc>
      </w:tr>
      <w:tr w:rsidR="000C77E7" w:rsidRPr="00C53B21" w14:paraId="46D69DCF" w14:textId="77777777" w:rsidTr="0058069B">
        <w:trPr>
          <w:trHeight w:val="305"/>
        </w:trPr>
        <w:tc>
          <w:tcPr>
            <w:tcW w:w="8954" w:type="dxa"/>
            <w:gridSpan w:val="2"/>
            <w:vAlign w:val="bottom"/>
          </w:tcPr>
          <w:p w14:paraId="5E7EF054" w14:textId="729E3D1B" w:rsidR="000C77E7" w:rsidRPr="000C77E7" w:rsidRDefault="000C77E7" w:rsidP="000C77E7">
            <w:pPr>
              <w:pStyle w:val="NormalTables"/>
              <w:rPr>
                <w:rFonts w:asciiTheme="minorHAnsi" w:hAnsiTheme="minorHAnsi" w:cstheme="minorHAnsi"/>
                <w:szCs w:val="20"/>
                <w:lang w:val="en-US"/>
              </w:rPr>
            </w:pPr>
            <w:r w:rsidRPr="000C77E7">
              <w:rPr>
                <w:rFonts w:asciiTheme="minorHAnsi" w:hAnsiTheme="minorHAnsi" w:cstheme="minorHAnsi"/>
                <w:color w:val="000000"/>
                <w:szCs w:val="20"/>
              </w:rPr>
              <w:t>Communications and Information Technology Industry Training Co (CITT)</w:t>
            </w:r>
          </w:p>
        </w:tc>
      </w:tr>
      <w:tr w:rsidR="000C77E7" w:rsidRPr="00C53B21" w14:paraId="5C1E40AF" w14:textId="77777777" w:rsidTr="0058069B">
        <w:trPr>
          <w:trHeight w:val="305"/>
        </w:trPr>
        <w:tc>
          <w:tcPr>
            <w:tcW w:w="8954" w:type="dxa"/>
            <w:gridSpan w:val="2"/>
            <w:vAlign w:val="bottom"/>
          </w:tcPr>
          <w:p w14:paraId="1A9EE0AE" w14:textId="4BFA29A9" w:rsidR="000C77E7" w:rsidRPr="000C77E7" w:rsidRDefault="000C77E7" w:rsidP="000C77E7">
            <w:pPr>
              <w:pStyle w:val="NormalTables"/>
              <w:rPr>
                <w:rFonts w:asciiTheme="minorHAnsi" w:hAnsiTheme="minorHAnsi" w:cstheme="minorHAnsi"/>
                <w:szCs w:val="20"/>
                <w:lang w:val="en-US"/>
              </w:rPr>
            </w:pPr>
            <w:r w:rsidRPr="000C77E7">
              <w:rPr>
                <w:rFonts w:asciiTheme="minorHAnsi" w:hAnsiTheme="minorHAnsi" w:cstheme="minorHAnsi"/>
                <w:color w:val="000000"/>
                <w:szCs w:val="20"/>
              </w:rPr>
              <w:t>Facility Management Association (FMA)</w:t>
            </w:r>
          </w:p>
        </w:tc>
      </w:tr>
      <w:tr w:rsidR="000C77E7" w:rsidRPr="00C53B21" w14:paraId="4C7E3366" w14:textId="77777777" w:rsidTr="0058069B">
        <w:trPr>
          <w:trHeight w:val="305"/>
        </w:trPr>
        <w:tc>
          <w:tcPr>
            <w:tcW w:w="8954" w:type="dxa"/>
            <w:gridSpan w:val="2"/>
            <w:vAlign w:val="bottom"/>
          </w:tcPr>
          <w:p w14:paraId="32D2651F" w14:textId="14005A90" w:rsidR="000C77E7" w:rsidRPr="000C77E7" w:rsidRDefault="000C77E7" w:rsidP="000C77E7">
            <w:pPr>
              <w:pStyle w:val="NormalTables"/>
              <w:rPr>
                <w:rFonts w:asciiTheme="minorHAnsi" w:hAnsiTheme="minorHAnsi" w:cstheme="minorHAnsi"/>
                <w:szCs w:val="20"/>
                <w:lang w:val="en-US"/>
              </w:rPr>
            </w:pPr>
            <w:r w:rsidRPr="000C77E7">
              <w:rPr>
                <w:rFonts w:asciiTheme="minorHAnsi" w:hAnsiTheme="minorHAnsi" w:cstheme="minorHAnsi"/>
                <w:color w:val="000000"/>
                <w:szCs w:val="20"/>
              </w:rPr>
              <w:t>Print and Visual Communication Association - Victoria</w:t>
            </w:r>
          </w:p>
        </w:tc>
      </w:tr>
      <w:tr w:rsidR="000C77E7" w:rsidRPr="00C53B21" w14:paraId="52E62E07" w14:textId="77777777" w:rsidTr="0058069B">
        <w:trPr>
          <w:trHeight w:val="305"/>
        </w:trPr>
        <w:tc>
          <w:tcPr>
            <w:tcW w:w="8954" w:type="dxa"/>
            <w:gridSpan w:val="2"/>
            <w:vAlign w:val="bottom"/>
          </w:tcPr>
          <w:p w14:paraId="162CE1FC" w14:textId="2BB0573C" w:rsidR="000C77E7" w:rsidRPr="000C77E7" w:rsidRDefault="000C77E7" w:rsidP="000C77E7">
            <w:pPr>
              <w:pStyle w:val="NormalTables"/>
              <w:rPr>
                <w:rFonts w:asciiTheme="minorHAnsi" w:hAnsiTheme="minorHAnsi" w:cstheme="minorHAnsi"/>
                <w:szCs w:val="20"/>
              </w:rPr>
            </w:pPr>
            <w:r w:rsidRPr="000C77E7">
              <w:rPr>
                <w:rFonts w:asciiTheme="minorHAnsi" w:hAnsiTheme="minorHAnsi" w:cstheme="minorHAnsi"/>
                <w:color w:val="000000"/>
                <w:szCs w:val="20"/>
              </w:rPr>
              <w:t>Real Estate Institute of Victoria</w:t>
            </w:r>
          </w:p>
        </w:tc>
      </w:tr>
      <w:tr w:rsidR="000C77E7" w:rsidRPr="00C53B21" w14:paraId="57240C58" w14:textId="77777777" w:rsidTr="0058069B">
        <w:trPr>
          <w:trHeight w:val="305"/>
        </w:trPr>
        <w:tc>
          <w:tcPr>
            <w:tcW w:w="8954" w:type="dxa"/>
            <w:gridSpan w:val="2"/>
            <w:vAlign w:val="bottom"/>
          </w:tcPr>
          <w:p w14:paraId="60B692A1" w14:textId="14ED3D11" w:rsidR="000C77E7" w:rsidRPr="000C77E7" w:rsidRDefault="000C77E7" w:rsidP="000C77E7">
            <w:pPr>
              <w:pStyle w:val="NormalTables"/>
              <w:rPr>
                <w:rFonts w:asciiTheme="minorHAnsi" w:hAnsiTheme="minorHAnsi" w:cstheme="minorHAnsi"/>
                <w:szCs w:val="20"/>
              </w:rPr>
            </w:pPr>
            <w:r w:rsidRPr="000C77E7">
              <w:rPr>
                <w:rFonts w:asciiTheme="minorHAnsi" w:hAnsiTheme="minorHAnsi" w:cstheme="minorHAnsi"/>
                <w:color w:val="000000"/>
                <w:szCs w:val="20"/>
              </w:rPr>
              <w:t>Victorian Chamber of Commerce and Industry</w:t>
            </w:r>
          </w:p>
        </w:tc>
      </w:tr>
    </w:tbl>
    <w:p w14:paraId="44F64ED2" w14:textId="42744752" w:rsidR="003F5771" w:rsidRDefault="00DB11BD" w:rsidP="003F5771">
      <w:pPr>
        <w:pStyle w:val="Heading1"/>
        <w:rPr>
          <w:lang w:val="en-AU"/>
        </w:rPr>
      </w:pPr>
      <w:bookmarkStart w:id="83" w:name="_Toc111118575"/>
      <w:r>
        <w:rPr>
          <w:lang w:val="en-AU"/>
        </w:rPr>
        <w:lastRenderedPageBreak/>
        <w:t>References</w:t>
      </w:r>
      <w:bookmarkEnd w:id="83"/>
    </w:p>
    <w:sectPr w:rsidR="003F5771" w:rsidSect="001045B6">
      <w:headerReference w:type="default" r:id="rId16"/>
      <w:footerReference w:type="default" r:id="rId17"/>
      <w:footnotePr>
        <w:numFmt w:val="lowerLetter"/>
      </w:footnotePr>
      <w:endnotePr>
        <w:numFmt w:val="decimal"/>
      </w:endnotePr>
      <w:pgSz w:w="11907" w:h="16839" w:code="9"/>
      <w:pgMar w:top="1701" w:right="1418" w:bottom="1134" w:left="1418"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6C0ED" w14:textId="77777777" w:rsidR="0094732C" w:rsidRDefault="0094732C" w:rsidP="00B259EA">
      <w:r>
        <w:separator/>
      </w:r>
    </w:p>
  </w:endnote>
  <w:endnote w:type="continuationSeparator" w:id="0">
    <w:p w14:paraId="3C99CE6D" w14:textId="77777777" w:rsidR="0094732C" w:rsidRDefault="0094732C" w:rsidP="00B259EA">
      <w:r>
        <w:continuationSeparator/>
      </w:r>
    </w:p>
  </w:endnote>
  <w:endnote w:type="continuationNotice" w:id="1">
    <w:p w14:paraId="1E174506" w14:textId="77777777" w:rsidR="0094732C" w:rsidRDefault="0094732C">
      <w:pPr>
        <w:spacing w:after="0" w:line="240" w:lineRule="auto"/>
      </w:pPr>
    </w:p>
  </w:endnote>
  <w:endnote w:id="2">
    <w:p w14:paraId="533C6E22" w14:textId="04589091" w:rsidR="005700A1" w:rsidRPr="005351BC" w:rsidRDefault="005700A1">
      <w:pPr>
        <w:pStyle w:val="EndnoteText"/>
        <w:rPr>
          <w:lang w:val="en-AU"/>
        </w:rPr>
      </w:pPr>
      <w:r w:rsidRPr="005351BC">
        <w:rPr>
          <w:rStyle w:val="EndnoteReference"/>
        </w:rPr>
        <w:endnoteRef/>
      </w:r>
      <w:r w:rsidRPr="005351BC">
        <w:t xml:space="preserve"> </w:t>
      </w:r>
      <w:r w:rsidR="00524298" w:rsidRPr="005351BC">
        <w:rPr>
          <w:rFonts w:asciiTheme="minorHAnsi" w:hAnsiTheme="minorHAnsi" w:cstheme="minorHAnsi"/>
        </w:rPr>
        <w:t>Australian Bureau of Statistics</w:t>
      </w:r>
      <w:r w:rsidR="00014335" w:rsidRPr="005351BC">
        <w:rPr>
          <w:rFonts w:asciiTheme="minorHAnsi" w:hAnsiTheme="minorHAnsi" w:cstheme="minorHAnsi"/>
        </w:rPr>
        <w:t xml:space="preserve"> (ABS)</w:t>
      </w:r>
      <w:r w:rsidRPr="005351BC">
        <w:rPr>
          <w:rFonts w:asciiTheme="minorHAnsi" w:hAnsiTheme="minorHAnsi" w:cstheme="minorHAnsi"/>
        </w:rPr>
        <w:t xml:space="preserve"> (2008), Australian and New Zealand Standard </w:t>
      </w:r>
      <w:r w:rsidR="00014335" w:rsidRPr="005351BC">
        <w:rPr>
          <w:rFonts w:asciiTheme="minorHAnsi" w:hAnsiTheme="minorHAnsi" w:cstheme="minorHAnsi"/>
        </w:rPr>
        <w:t>Industr</w:t>
      </w:r>
      <w:r w:rsidR="00EC59A1" w:rsidRPr="005351BC">
        <w:rPr>
          <w:rFonts w:asciiTheme="minorHAnsi" w:hAnsiTheme="minorHAnsi" w:cstheme="minorHAnsi"/>
        </w:rPr>
        <w:t>ial</w:t>
      </w:r>
      <w:r w:rsidR="00014335" w:rsidRPr="005351BC">
        <w:rPr>
          <w:rFonts w:asciiTheme="minorHAnsi" w:hAnsiTheme="minorHAnsi" w:cstheme="minorHAnsi"/>
        </w:rPr>
        <w:t xml:space="preserve"> </w:t>
      </w:r>
      <w:r w:rsidRPr="005351BC">
        <w:rPr>
          <w:rFonts w:asciiTheme="minorHAnsi" w:hAnsiTheme="minorHAnsi" w:cstheme="minorHAnsi"/>
        </w:rPr>
        <w:t xml:space="preserve">Classification (ANZSIC), 2006 (Revision 1.0) Division L – Rental, Hiring and Real Estate Services, available </w:t>
      </w:r>
      <w:hyperlink r:id="rId1" w:history="1">
        <w:r w:rsidRPr="005351BC">
          <w:rPr>
            <w:rStyle w:val="Hyperlink"/>
            <w:rFonts w:asciiTheme="minorHAnsi" w:hAnsiTheme="minorHAnsi" w:cstheme="minorHAnsi"/>
          </w:rPr>
          <w:t>here.</w:t>
        </w:r>
      </w:hyperlink>
    </w:p>
  </w:endnote>
  <w:endnote w:id="3">
    <w:p w14:paraId="55071B17" w14:textId="77777777" w:rsidR="00FD4BC2" w:rsidRPr="005351BC" w:rsidRDefault="00FD4BC2" w:rsidP="00FD4BC2">
      <w:pPr>
        <w:pStyle w:val="EndnoteText"/>
        <w:rPr>
          <w:rFonts w:cs="Arial"/>
        </w:rPr>
      </w:pPr>
      <w:r w:rsidRPr="005351BC">
        <w:rPr>
          <w:rStyle w:val="EndnoteReference"/>
          <w:rFonts w:cs="Arial"/>
        </w:rPr>
        <w:endnoteRef/>
      </w:r>
      <w:r w:rsidRPr="005351BC">
        <w:rPr>
          <w:rFonts w:cs="Arial"/>
        </w:rPr>
        <w:t xml:space="preserve"> VSA and Nous (2022), modelling of NSC (2022) Employment Projections.</w:t>
      </w:r>
    </w:p>
  </w:endnote>
  <w:endnote w:id="4">
    <w:p w14:paraId="0CA728AF" w14:textId="77777777" w:rsidR="00FD4BC2" w:rsidRPr="005351BC" w:rsidRDefault="00FD4BC2" w:rsidP="00FD4BC2">
      <w:pPr>
        <w:pStyle w:val="EndnoteText"/>
        <w:rPr>
          <w:rFonts w:cs="Arial"/>
        </w:rPr>
      </w:pPr>
      <w:r w:rsidRPr="005351BC">
        <w:rPr>
          <w:rStyle w:val="EndnoteReference"/>
          <w:rFonts w:cs="Arial"/>
        </w:rPr>
        <w:endnoteRef/>
      </w:r>
      <w:r w:rsidRPr="005351BC">
        <w:rPr>
          <w:rFonts w:cs="Arial"/>
        </w:rPr>
        <w:t xml:space="preserve"> </w:t>
      </w:r>
      <w:r w:rsidRPr="005351BC">
        <w:rPr>
          <w:rFonts w:cs="Arial"/>
          <w:color w:val="242424"/>
          <w:shd w:val="clear" w:color="auto" w:fill="FFFFFF"/>
        </w:rPr>
        <w:t>VSA and Nous (2022), modelling based on Australian Bureau of Statistics, Labour Force, February 2022.</w:t>
      </w:r>
    </w:p>
  </w:endnote>
  <w:endnote w:id="5">
    <w:p w14:paraId="03D08790" w14:textId="77777777" w:rsidR="00FD4BC2" w:rsidRPr="005351BC" w:rsidRDefault="00FD4BC2" w:rsidP="00FD4BC2">
      <w:pPr>
        <w:pStyle w:val="EndnoteText"/>
        <w:rPr>
          <w:rFonts w:cs="Arial"/>
        </w:rPr>
      </w:pPr>
      <w:r w:rsidRPr="005351BC">
        <w:rPr>
          <w:rStyle w:val="EndnoteReference"/>
          <w:rFonts w:cs="Arial"/>
        </w:rPr>
        <w:endnoteRef/>
      </w:r>
      <w:r w:rsidRPr="005351BC">
        <w:rPr>
          <w:rFonts w:cs="Arial"/>
        </w:rPr>
        <w:t xml:space="preserve"> ABS (February 2022), Labour Force Quarterly, Employment by industry (Victoria), available </w:t>
      </w:r>
      <w:hyperlink r:id="rId2" w:history="1">
        <w:r w:rsidRPr="005351BC">
          <w:rPr>
            <w:rStyle w:val="Hyperlink"/>
            <w:rFonts w:cs="Arial"/>
          </w:rPr>
          <w:t>here</w:t>
        </w:r>
      </w:hyperlink>
      <w:r w:rsidRPr="005351BC">
        <w:rPr>
          <w:rFonts w:cs="Arial"/>
        </w:rPr>
        <w:t>.</w:t>
      </w:r>
    </w:p>
  </w:endnote>
  <w:endnote w:id="6">
    <w:p w14:paraId="71ED4573" w14:textId="77777777" w:rsidR="00FD4BC2" w:rsidRPr="005351BC" w:rsidRDefault="00FD4BC2" w:rsidP="00FD4BC2">
      <w:pPr>
        <w:pStyle w:val="FootnoteText"/>
        <w:rPr>
          <w:rFonts w:cs="Arial"/>
          <w:sz w:val="20"/>
        </w:rPr>
      </w:pPr>
      <w:r w:rsidRPr="005351BC">
        <w:rPr>
          <w:rStyle w:val="EndnoteReference"/>
          <w:rFonts w:cs="Arial"/>
          <w:sz w:val="20"/>
        </w:rPr>
        <w:endnoteRef/>
      </w:r>
      <w:r w:rsidRPr="005351BC">
        <w:rPr>
          <w:rFonts w:cs="Arial"/>
          <w:sz w:val="20"/>
        </w:rPr>
        <w:t xml:space="preserve"> VSA and Nous (2022), modelling of NSC (2022) Employment Projections.</w:t>
      </w:r>
    </w:p>
  </w:endnote>
  <w:endnote w:id="7">
    <w:p w14:paraId="368E3813" w14:textId="77777777" w:rsidR="00FD4BC2" w:rsidRPr="005351BC" w:rsidRDefault="00FD4BC2" w:rsidP="00FD4BC2">
      <w:pPr>
        <w:pStyle w:val="EndnoteText"/>
        <w:rPr>
          <w:rFonts w:cs="Arial"/>
        </w:rPr>
      </w:pPr>
      <w:r w:rsidRPr="005351BC">
        <w:rPr>
          <w:rStyle w:val="EndnoteReference"/>
          <w:rFonts w:cs="Arial"/>
        </w:rPr>
        <w:endnoteRef/>
      </w:r>
      <w:r w:rsidRPr="005351BC">
        <w:rPr>
          <w:rFonts w:cs="Arial"/>
        </w:rPr>
        <w:t xml:space="preserve"> VSA and Nous (2022), modelling based on Australian Bureau of Statistics, Labour Force, February 2022.</w:t>
      </w:r>
    </w:p>
  </w:endnote>
  <w:endnote w:id="8">
    <w:p w14:paraId="090A0EF1" w14:textId="77777777" w:rsidR="00FD4BC2" w:rsidRPr="005351BC" w:rsidRDefault="00FD4BC2" w:rsidP="00FD4BC2">
      <w:pPr>
        <w:pStyle w:val="EndnoteText"/>
        <w:rPr>
          <w:rFonts w:cs="Arial"/>
        </w:rPr>
      </w:pPr>
      <w:r w:rsidRPr="005351BC">
        <w:rPr>
          <w:rStyle w:val="EndnoteReference"/>
          <w:rFonts w:cs="Arial"/>
        </w:rPr>
        <w:endnoteRef/>
      </w:r>
      <w:r w:rsidRPr="005351BC">
        <w:rPr>
          <w:rFonts w:cs="Arial"/>
        </w:rPr>
        <w:t xml:space="preserve"> ABS (February 2022), Labour Force Quarterly, Employment by industry (Victoria), available </w:t>
      </w:r>
      <w:hyperlink r:id="rId3" w:history="1">
        <w:r w:rsidRPr="005351BC">
          <w:rPr>
            <w:rStyle w:val="Hyperlink"/>
            <w:rFonts w:cs="Arial"/>
          </w:rPr>
          <w:t>here</w:t>
        </w:r>
      </w:hyperlink>
      <w:r w:rsidRPr="005351BC">
        <w:rPr>
          <w:rFonts w:cs="Arial"/>
        </w:rPr>
        <w:t>.</w:t>
      </w:r>
    </w:p>
  </w:endnote>
  <w:endnote w:id="9">
    <w:p w14:paraId="23098617" w14:textId="76E63B74" w:rsidR="008E5542" w:rsidRPr="005351BC" w:rsidRDefault="008E5542">
      <w:pPr>
        <w:pStyle w:val="EndnoteText"/>
        <w:rPr>
          <w:lang w:val="en-AU"/>
        </w:rPr>
      </w:pPr>
      <w:r w:rsidRPr="005351BC">
        <w:rPr>
          <w:rStyle w:val="EndnoteReference"/>
        </w:rPr>
        <w:endnoteRef/>
      </w:r>
      <w:r w:rsidRPr="005351BC">
        <w:t xml:space="preserve"> </w:t>
      </w:r>
      <w:r w:rsidR="00014335" w:rsidRPr="005351BC">
        <w:t>Victorian Skills Authority (VSA) and</w:t>
      </w:r>
      <w:r w:rsidRPr="005351BC">
        <w:t xml:space="preserve"> </w:t>
      </w:r>
      <w:r w:rsidRPr="005351BC">
        <w:rPr>
          <w:rFonts w:asciiTheme="minorHAnsi" w:hAnsiTheme="minorHAnsi" w:cstheme="minorHAnsi"/>
        </w:rPr>
        <w:t>Nous (2022), modelling of NSC (2022) Employment Projections.</w:t>
      </w:r>
    </w:p>
  </w:endnote>
  <w:endnote w:id="10">
    <w:p w14:paraId="148C98CE" w14:textId="2F7FAD29" w:rsidR="00FE752E" w:rsidRPr="005351BC" w:rsidRDefault="00FE752E">
      <w:pPr>
        <w:pStyle w:val="EndnoteText"/>
        <w:rPr>
          <w:lang w:val="en-AU"/>
        </w:rPr>
      </w:pPr>
      <w:r w:rsidRPr="005351BC">
        <w:rPr>
          <w:rStyle w:val="EndnoteReference"/>
        </w:rPr>
        <w:endnoteRef/>
      </w:r>
      <w:r w:rsidRPr="005351BC">
        <w:t xml:space="preserve"> </w:t>
      </w:r>
      <w:r w:rsidR="00014335" w:rsidRPr="005351BC">
        <w:t>VSA and</w:t>
      </w:r>
      <w:r w:rsidRPr="005351BC">
        <w:t xml:space="preserve"> </w:t>
      </w:r>
      <w:r w:rsidRPr="005351BC">
        <w:rPr>
          <w:rFonts w:asciiTheme="minorHAnsi" w:hAnsiTheme="minorHAnsi" w:cstheme="minorHAnsi"/>
        </w:rPr>
        <w:t>Nous (2022), modelling of NSC (2022) Employment Projections.</w:t>
      </w:r>
    </w:p>
  </w:endnote>
  <w:endnote w:id="11">
    <w:p w14:paraId="1C122871" w14:textId="7151D467" w:rsidR="00FE752E" w:rsidRPr="005351BC" w:rsidRDefault="00FE752E">
      <w:pPr>
        <w:pStyle w:val="EndnoteText"/>
        <w:rPr>
          <w:lang w:val="en-AU"/>
        </w:rPr>
      </w:pPr>
      <w:r w:rsidRPr="005351BC">
        <w:rPr>
          <w:rStyle w:val="EndnoteReference"/>
        </w:rPr>
        <w:endnoteRef/>
      </w:r>
      <w:r w:rsidRPr="005351BC">
        <w:t xml:space="preserve"> </w:t>
      </w:r>
      <w:r w:rsidR="00EF1EE4" w:rsidRPr="005351BC">
        <w:t>VSA, D</w:t>
      </w:r>
      <w:r w:rsidR="00637B8B" w:rsidRPr="005351BC">
        <w:t xml:space="preserve">eloitte </w:t>
      </w:r>
      <w:r w:rsidR="00EF1EE4" w:rsidRPr="005351BC">
        <w:t>A</w:t>
      </w:r>
      <w:r w:rsidR="00637B8B" w:rsidRPr="005351BC">
        <w:t xml:space="preserve">ccess </w:t>
      </w:r>
      <w:r w:rsidR="00EF1EE4" w:rsidRPr="005351BC">
        <w:t>E</w:t>
      </w:r>
      <w:r w:rsidR="00637B8B" w:rsidRPr="005351BC">
        <w:t>conomics (</w:t>
      </w:r>
      <w:r w:rsidR="00EF1EE4" w:rsidRPr="005351BC">
        <w:t>DAE</w:t>
      </w:r>
      <w:r w:rsidR="00637B8B" w:rsidRPr="005351BC">
        <w:t>)</w:t>
      </w:r>
      <w:r w:rsidR="00EF1EE4" w:rsidRPr="005351BC">
        <w:t xml:space="preserve"> and Nous (2022), Retirement projections 2022-2025.</w:t>
      </w:r>
    </w:p>
  </w:endnote>
  <w:endnote w:id="12">
    <w:p w14:paraId="21C37099" w14:textId="7B188AF9" w:rsidR="00932C13" w:rsidRPr="005351BC" w:rsidRDefault="00932C13">
      <w:pPr>
        <w:pStyle w:val="EndnoteText"/>
        <w:rPr>
          <w:lang w:val="en-AU"/>
        </w:rPr>
      </w:pPr>
      <w:r w:rsidRPr="005351BC">
        <w:rPr>
          <w:rStyle w:val="EndnoteReference"/>
        </w:rPr>
        <w:endnoteRef/>
      </w:r>
      <w:r w:rsidRPr="005351BC">
        <w:t xml:space="preserve"> </w:t>
      </w:r>
      <w:r w:rsidR="003F1196" w:rsidRPr="005351BC">
        <w:t>VSA and</w:t>
      </w:r>
      <w:r w:rsidRPr="005351BC">
        <w:t xml:space="preserve"> </w:t>
      </w:r>
      <w:r w:rsidRPr="005351BC">
        <w:rPr>
          <w:rFonts w:asciiTheme="minorHAnsi" w:hAnsiTheme="minorHAnsi" w:cstheme="minorHAnsi"/>
        </w:rPr>
        <w:t>Nous (2022), modelling of NSC (2022) Employment Projections.</w:t>
      </w:r>
    </w:p>
  </w:endnote>
  <w:endnote w:id="13">
    <w:p w14:paraId="367E75EE" w14:textId="77777777" w:rsidR="00767A18" w:rsidRPr="005351BC" w:rsidRDefault="00767A18" w:rsidP="00767A18">
      <w:pPr>
        <w:pStyle w:val="FootnoteText"/>
        <w:rPr>
          <w:rFonts w:cs="Arial"/>
          <w:sz w:val="20"/>
        </w:rPr>
      </w:pPr>
      <w:r w:rsidRPr="005351BC">
        <w:rPr>
          <w:rStyle w:val="EndnoteReference"/>
          <w:rFonts w:cs="Arial"/>
          <w:sz w:val="20"/>
        </w:rPr>
        <w:endnoteRef/>
      </w:r>
      <w:r w:rsidRPr="005351BC">
        <w:rPr>
          <w:rFonts w:cs="Arial"/>
          <w:sz w:val="20"/>
        </w:rPr>
        <w:t xml:space="preserve"> VSA and Nous (2022), modelling of NSC (2022) Employment Projections.</w:t>
      </w:r>
    </w:p>
  </w:endnote>
  <w:endnote w:id="14">
    <w:p w14:paraId="2C7EF5A4" w14:textId="77777777" w:rsidR="00767A18" w:rsidRPr="005351BC" w:rsidRDefault="00767A18" w:rsidP="00767A18">
      <w:pPr>
        <w:pStyle w:val="EndnoteText"/>
      </w:pPr>
      <w:r w:rsidRPr="005351BC">
        <w:rPr>
          <w:rStyle w:val="EndnoteReference"/>
          <w:rFonts w:cs="Arial"/>
        </w:rPr>
        <w:endnoteRef/>
      </w:r>
      <w:r w:rsidRPr="005351BC">
        <w:rPr>
          <w:rFonts w:cs="Arial"/>
        </w:rPr>
        <w:t xml:space="preserve"> </w:t>
      </w:r>
      <w:r w:rsidRPr="005351BC">
        <w:rPr>
          <w:rFonts w:cs="Arial"/>
          <w:color w:val="242424"/>
          <w:shd w:val="clear" w:color="auto" w:fill="FFFFFF"/>
        </w:rPr>
        <w:t>VSA and Nous (2022), modelling based on Australian Bureau of Statistics, Labour Force, February 2022.</w:t>
      </w:r>
    </w:p>
  </w:endnote>
  <w:endnote w:id="15">
    <w:p w14:paraId="0E1DA7B9" w14:textId="285FA622" w:rsidR="00CB6582" w:rsidRPr="005351BC" w:rsidRDefault="00CB6582">
      <w:pPr>
        <w:pStyle w:val="EndnoteText"/>
        <w:rPr>
          <w:lang w:val="en-AU"/>
        </w:rPr>
      </w:pPr>
      <w:r w:rsidRPr="005351BC">
        <w:rPr>
          <w:rStyle w:val="EndnoteReference"/>
        </w:rPr>
        <w:endnoteRef/>
      </w:r>
      <w:r w:rsidRPr="005351BC">
        <w:t xml:space="preserve"> ABS Census (2016), Education attainment by industry</w:t>
      </w:r>
      <w:r w:rsidR="00211545" w:rsidRPr="005351BC">
        <w:t xml:space="preserve"> (</w:t>
      </w:r>
      <w:r w:rsidRPr="005351BC">
        <w:t>Victoria</w:t>
      </w:r>
      <w:r w:rsidR="00211545" w:rsidRPr="005351BC">
        <w:t>)</w:t>
      </w:r>
      <w:r w:rsidRPr="005351BC">
        <w:t>.</w:t>
      </w:r>
    </w:p>
  </w:endnote>
  <w:endnote w:id="16">
    <w:p w14:paraId="0390454B" w14:textId="704135FE" w:rsidR="00693A83" w:rsidRPr="005351BC" w:rsidRDefault="00693A83">
      <w:pPr>
        <w:pStyle w:val="EndnoteText"/>
        <w:rPr>
          <w:rFonts w:asciiTheme="minorHAnsi" w:hAnsiTheme="minorHAnsi" w:cstheme="minorHAnsi"/>
          <w:lang w:val="en-AU"/>
        </w:rPr>
      </w:pPr>
      <w:r w:rsidRPr="005351BC">
        <w:rPr>
          <w:rStyle w:val="EndnoteReference"/>
        </w:rPr>
        <w:endnoteRef/>
      </w:r>
      <w:r w:rsidRPr="005351BC">
        <w:t xml:space="preserve"> </w:t>
      </w:r>
      <w:r w:rsidR="00D91C28" w:rsidRPr="005351BC">
        <w:rPr>
          <w:rFonts w:asciiTheme="minorHAnsi" w:hAnsiTheme="minorHAnsi" w:cstheme="minorHAnsi"/>
        </w:rPr>
        <w:t xml:space="preserve">NCVER (2021), Total VET students and courses 2020, available </w:t>
      </w:r>
      <w:hyperlink r:id="rId4" w:history="1">
        <w:r w:rsidR="00D91C28" w:rsidRPr="005351BC">
          <w:rPr>
            <w:rStyle w:val="Hyperlink"/>
            <w:rFonts w:asciiTheme="minorHAnsi" w:hAnsiTheme="minorHAnsi" w:cstheme="minorHAnsi"/>
          </w:rPr>
          <w:t>here</w:t>
        </w:r>
      </w:hyperlink>
      <w:r w:rsidR="00D91C28" w:rsidRPr="005351BC">
        <w:rPr>
          <w:rFonts w:asciiTheme="minorHAnsi" w:hAnsiTheme="minorHAnsi" w:cstheme="minorHAnsi"/>
        </w:rPr>
        <w:t>.</w:t>
      </w:r>
    </w:p>
  </w:endnote>
  <w:endnote w:id="17">
    <w:p w14:paraId="561CB825" w14:textId="07F886B0" w:rsidR="00FC3BC8" w:rsidRPr="005351BC" w:rsidRDefault="00FC3BC8">
      <w:pPr>
        <w:pStyle w:val="EndnoteText"/>
        <w:rPr>
          <w:lang w:val="en-AU"/>
        </w:rPr>
      </w:pPr>
      <w:r w:rsidRPr="005351BC">
        <w:rPr>
          <w:rStyle w:val="EndnoteReference"/>
        </w:rPr>
        <w:endnoteRef/>
      </w:r>
      <w:r w:rsidRPr="005351BC">
        <w:t xml:space="preserve"> </w:t>
      </w:r>
      <w:r w:rsidRPr="005351BC">
        <w:rPr>
          <w:rFonts w:eastAsia="Arial" w:cs="Arial"/>
        </w:rPr>
        <w:t xml:space="preserve">Department of Education, Skills and Employment (2021), Selected Higher Education Statistics – 2019 Student data, available </w:t>
      </w:r>
      <w:hyperlink r:id="rId5" w:history="1">
        <w:r w:rsidRPr="005351BC">
          <w:rPr>
            <w:rFonts w:eastAsia="Arial" w:cs="Arial"/>
            <w:color w:val="000000"/>
            <w:u w:val="single"/>
          </w:rPr>
          <w:t>here.</w:t>
        </w:r>
      </w:hyperlink>
    </w:p>
  </w:endnote>
  <w:endnote w:id="18">
    <w:p w14:paraId="62909060" w14:textId="1EB6FDA2" w:rsidR="00D91C28" w:rsidRPr="005351BC" w:rsidRDefault="00D91C28">
      <w:pPr>
        <w:pStyle w:val="EndnoteText"/>
        <w:rPr>
          <w:rFonts w:asciiTheme="minorHAnsi" w:hAnsiTheme="minorHAnsi" w:cstheme="minorHAnsi"/>
          <w:lang w:val="en-AU"/>
        </w:rPr>
      </w:pPr>
      <w:r w:rsidRPr="005351BC">
        <w:rPr>
          <w:rStyle w:val="EndnoteReference"/>
        </w:rPr>
        <w:endnoteRef/>
      </w:r>
      <w:r w:rsidRPr="005351BC">
        <w:t xml:space="preserve"> </w:t>
      </w:r>
      <w:r w:rsidRPr="005351BC">
        <w:rPr>
          <w:rFonts w:asciiTheme="minorHAnsi" w:hAnsiTheme="minorHAnsi" w:cstheme="minorHAnsi"/>
        </w:rPr>
        <w:t xml:space="preserve">NCVER (2021), Total VET students and courses 2020, available </w:t>
      </w:r>
      <w:hyperlink r:id="rId6" w:history="1">
        <w:r w:rsidRPr="005351BC">
          <w:rPr>
            <w:rStyle w:val="Hyperlink"/>
            <w:rFonts w:asciiTheme="minorHAnsi" w:hAnsiTheme="minorHAnsi" w:cstheme="minorHAnsi"/>
          </w:rPr>
          <w:t>here</w:t>
        </w:r>
      </w:hyperlink>
      <w:r w:rsidRPr="005351BC">
        <w:rPr>
          <w:rFonts w:asciiTheme="minorHAnsi" w:hAnsiTheme="minorHAnsi" w:cstheme="minorHAnsi"/>
        </w:rPr>
        <w:t>.</w:t>
      </w:r>
    </w:p>
  </w:endnote>
  <w:endnote w:id="19">
    <w:p w14:paraId="214D2856" w14:textId="2809F069" w:rsidR="004F1BDD" w:rsidRPr="005351BC" w:rsidRDefault="004F1BDD" w:rsidP="004F1BDD">
      <w:pPr>
        <w:pStyle w:val="EndnoteText"/>
        <w:rPr>
          <w:rFonts w:asciiTheme="minorHAnsi" w:hAnsiTheme="minorHAnsi" w:cstheme="minorHAnsi"/>
        </w:rPr>
      </w:pPr>
      <w:r w:rsidRPr="005351BC">
        <w:rPr>
          <w:rStyle w:val="EndnoteReference"/>
          <w:rFonts w:cstheme="minorHAnsi"/>
        </w:rPr>
        <w:endnoteRef/>
      </w:r>
      <w:r w:rsidRPr="005351BC">
        <w:rPr>
          <w:rFonts w:asciiTheme="minorHAnsi" w:hAnsiTheme="minorHAnsi" w:cstheme="minorHAnsi"/>
        </w:rPr>
        <w:t xml:space="preserve"> </w:t>
      </w:r>
      <w:r w:rsidR="00A63051" w:rsidRPr="005351BC">
        <w:rPr>
          <w:rFonts w:asciiTheme="minorHAnsi" w:hAnsiTheme="minorHAnsi" w:cstheme="minorHAnsi"/>
        </w:rPr>
        <w:t>VSA and Nous, 2022 modelling based on ABS Labour Force, Australia, February 2022.</w:t>
      </w:r>
    </w:p>
  </w:endnote>
  <w:endnote w:id="20">
    <w:p w14:paraId="169551F0" w14:textId="6D1462D8" w:rsidR="009E594B" w:rsidRPr="005351BC" w:rsidRDefault="009E594B" w:rsidP="009E594B">
      <w:pPr>
        <w:pStyle w:val="EndnoteText"/>
        <w:rPr>
          <w:rFonts w:asciiTheme="minorHAnsi" w:hAnsiTheme="minorHAnsi" w:cstheme="minorHAnsi"/>
        </w:rPr>
      </w:pPr>
      <w:r w:rsidRPr="005351BC">
        <w:rPr>
          <w:rStyle w:val="EndnoteReference"/>
          <w:rFonts w:cstheme="minorHAnsi"/>
        </w:rPr>
        <w:endnoteRef/>
      </w:r>
      <w:r w:rsidRPr="005351BC">
        <w:rPr>
          <w:rFonts w:asciiTheme="minorHAnsi" w:hAnsiTheme="minorHAnsi" w:cstheme="minorHAnsi"/>
        </w:rPr>
        <w:t xml:space="preserve"> </w:t>
      </w:r>
      <w:r w:rsidR="003F1196" w:rsidRPr="005351BC">
        <w:rPr>
          <w:rFonts w:asciiTheme="minorHAnsi" w:hAnsiTheme="minorHAnsi" w:cstheme="minorHAnsi"/>
        </w:rPr>
        <w:t>ABS</w:t>
      </w:r>
      <w:r w:rsidR="00D43E32" w:rsidRPr="005351BC">
        <w:rPr>
          <w:rFonts w:asciiTheme="minorHAnsi" w:hAnsiTheme="minorHAnsi" w:cstheme="minorHAnsi"/>
        </w:rPr>
        <w:t xml:space="preserve"> (February 2022), Labour Force Quarterly, Employment by sex</w:t>
      </w:r>
      <w:r w:rsidR="00211545" w:rsidRPr="005351BC">
        <w:rPr>
          <w:rFonts w:asciiTheme="minorHAnsi" w:hAnsiTheme="minorHAnsi" w:cstheme="minorHAnsi"/>
        </w:rPr>
        <w:t xml:space="preserve"> </w:t>
      </w:r>
      <w:r w:rsidR="00211545" w:rsidRPr="005351BC">
        <w:t>(Victoria)</w:t>
      </w:r>
      <w:r w:rsidR="00D43E32" w:rsidRPr="005351BC">
        <w:rPr>
          <w:rFonts w:asciiTheme="minorHAnsi" w:hAnsiTheme="minorHAnsi" w:cstheme="minorHAnsi"/>
        </w:rPr>
        <w:t xml:space="preserve">, available </w:t>
      </w:r>
      <w:hyperlink r:id="rId7" w:history="1">
        <w:r w:rsidR="00D43E32" w:rsidRPr="005351BC">
          <w:rPr>
            <w:rFonts w:asciiTheme="minorHAnsi" w:hAnsiTheme="minorHAnsi" w:cstheme="minorHAnsi"/>
            <w:u w:val="single"/>
          </w:rPr>
          <w:t>here.</w:t>
        </w:r>
      </w:hyperlink>
    </w:p>
  </w:endnote>
  <w:endnote w:id="21">
    <w:p w14:paraId="07002A48" w14:textId="78751FD2" w:rsidR="00104284" w:rsidRPr="005351BC" w:rsidRDefault="00104284" w:rsidP="00104284">
      <w:pPr>
        <w:pStyle w:val="EndnoteText"/>
        <w:rPr>
          <w:rFonts w:asciiTheme="minorHAnsi" w:hAnsiTheme="minorHAnsi" w:cstheme="minorHAnsi"/>
          <w:lang w:val="en-AU"/>
        </w:rPr>
      </w:pPr>
      <w:r w:rsidRPr="005351BC">
        <w:rPr>
          <w:rStyle w:val="EndnoteReference"/>
          <w:rFonts w:cstheme="minorHAnsi"/>
        </w:rPr>
        <w:endnoteRef/>
      </w:r>
      <w:r w:rsidRPr="005351BC">
        <w:rPr>
          <w:rFonts w:asciiTheme="minorHAnsi" w:hAnsiTheme="minorHAnsi" w:cstheme="minorHAnsi"/>
        </w:rPr>
        <w:t xml:space="preserve"> </w:t>
      </w:r>
      <w:r w:rsidR="003F1196" w:rsidRPr="005351BC">
        <w:rPr>
          <w:rFonts w:asciiTheme="minorHAnsi" w:hAnsiTheme="minorHAnsi" w:cstheme="minorHAnsi"/>
        </w:rPr>
        <w:t>ABS</w:t>
      </w:r>
      <w:r w:rsidR="00B17628" w:rsidRPr="005351BC">
        <w:rPr>
          <w:rFonts w:asciiTheme="minorHAnsi" w:hAnsiTheme="minorHAnsi" w:cstheme="minorHAnsi"/>
        </w:rPr>
        <w:t xml:space="preserve"> Census (</w:t>
      </w:r>
      <w:r w:rsidR="00456D92" w:rsidRPr="005351BC">
        <w:rPr>
          <w:rFonts w:asciiTheme="minorHAnsi" w:hAnsiTheme="minorHAnsi" w:cstheme="minorHAnsi"/>
        </w:rPr>
        <w:t>2016)</w:t>
      </w:r>
      <w:r w:rsidR="00B54F06" w:rsidRPr="005351BC">
        <w:rPr>
          <w:rFonts w:asciiTheme="minorHAnsi" w:hAnsiTheme="minorHAnsi" w:cstheme="minorHAnsi"/>
        </w:rPr>
        <w:t xml:space="preserve">, </w:t>
      </w:r>
      <w:r w:rsidR="00456D92" w:rsidRPr="005351BC">
        <w:rPr>
          <w:rFonts w:asciiTheme="minorHAnsi" w:hAnsiTheme="minorHAnsi" w:cstheme="minorHAnsi"/>
        </w:rPr>
        <w:t xml:space="preserve">Employment by age group </w:t>
      </w:r>
      <w:r w:rsidR="00211545" w:rsidRPr="005351BC">
        <w:rPr>
          <w:rFonts w:asciiTheme="minorHAnsi" w:hAnsiTheme="minorHAnsi" w:cstheme="minorHAnsi"/>
        </w:rPr>
        <w:t>(</w:t>
      </w:r>
      <w:r w:rsidR="00456D92" w:rsidRPr="005351BC">
        <w:rPr>
          <w:rFonts w:asciiTheme="minorHAnsi" w:hAnsiTheme="minorHAnsi" w:cstheme="minorHAnsi"/>
        </w:rPr>
        <w:t>Victoria</w:t>
      </w:r>
      <w:r w:rsidR="00211545" w:rsidRPr="005351BC">
        <w:rPr>
          <w:rFonts w:asciiTheme="minorHAnsi" w:hAnsiTheme="minorHAnsi" w:cstheme="minorHAnsi"/>
        </w:rPr>
        <w:t>)</w:t>
      </w:r>
      <w:r w:rsidR="00456D92" w:rsidRPr="005351BC">
        <w:rPr>
          <w:rFonts w:asciiTheme="minorHAnsi" w:hAnsiTheme="minorHAnsi" w:cstheme="minorHAnsi"/>
        </w:rPr>
        <w:t xml:space="preserve">. </w:t>
      </w:r>
    </w:p>
  </w:endnote>
  <w:endnote w:id="22">
    <w:p w14:paraId="67CB570C" w14:textId="26CCCBE9" w:rsidR="00DB11BD" w:rsidRPr="005351BC" w:rsidRDefault="00DB11BD">
      <w:pPr>
        <w:pStyle w:val="EndnoteText"/>
        <w:rPr>
          <w:rFonts w:asciiTheme="minorHAnsi" w:hAnsiTheme="minorHAnsi" w:cstheme="minorHAnsi"/>
          <w:lang w:val="en-AU"/>
        </w:rPr>
      </w:pPr>
      <w:r w:rsidRPr="005351BC">
        <w:rPr>
          <w:rStyle w:val="EndnoteReference"/>
          <w:rFonts w:cstheme="minorHAnsi"/>
        </w:rPr>
        <w:endnoteRef/>
      </w:r>
      <w:r w:rsidRPr="005351BC">
        <w:rPr>
          <w:rFonts w:asciiTheme="minorHAnsi" w:hAnsiTheme="minorHAnsi" w:cstheme="minorHAnsi"/>
        </w:rPr>
        <w:t xml:space="preserve"> </w:t>
      </w:r>
      <w:r w:rsidRPr="005351BC">
        <w:rPr>
          <w:rFonts w:asciiTheme="minorHAnsi" w:hAnsiTheme="minorHAnsi" w:cstheme="minorHAnsi"/>
          <w:lang w:val="en-AU"/>
        </w:rPr>
        <w:t>Australian Industry and Skills Commi</w:t>
      </w:r>
      <w:r w:rsidR="00371E46" w:rsidRPr="005351BC">
        <w:rPr>
          <w:rFonts w:asciiTheme="minorHAnsi" w:hAnsiTheme="minorHAnsi" w:cstheme="minorHAnsi"/>
          <w:lang w:val="en-AU"/>
        </w:rPr>
        <w:t>ttee</w:t>
      </w:r>
      <w:r w:rsidR="00456D92" w:rsidRPr="005351BC">
        <w:rPr>
          <w:rFonts w:asciiTheme="minorHAnsi" w:hAnsiTheme="minorHAnsi" w:cstheme="minorHAnsi"/>
          <w:lang w:val="en-AU"/>
        </w:rPr>
        <w:t xml:space="preserve"> </w:t>
      </w:r>
      <w:r w:rsidR="00371E46" w:rsidRPr="005351BC">
        <w:rPr>
          <w:rFonts w:asciiTheme="minorHAnsi" w:hAnsiTheme="minorHAnsi" w:cstheme="minorHAnsi"/>
          <w:lang w:val="en-AU"/>
        </w:rPr>
        <w:t>(AISC)</w:t>
      </w:r>
      <w:r w:rsidR="00F466C1" w:rsidRPr="005351BC">
        <w:rPr>
          <w:rFonts w:asciiTheme="minorHAnsi" w:hAnsiTheme="minorHAnsi" w:cstheme="minorHAnsi"/>
          <w:lang w:val="en-AU"/>
        </w:rPr>
        <w:t xml:space="preserve"> (2022), </w:t>
      </w:r>
      <w:r w:rsidRPr="005351BC">
        <w:rPr>
          <w:rFonts w:asciiTheme="minorHAnsi" w:hAnsiTheme="minorHAnsi" w:cstheme="minorHAnsi"/>
          <w:lang w:val="en-AU"/>
        </w:rPr>
        <w:t xml:space="preserve">Property Services, available </w:t>
      </w:r>
      <w:hyperlink r:id="rId8" w:history="1">
        <w:r w:rsidRPr="005351BC">
          <w:rPr>
            <w:rStyle w:val="Hyperlink"/>
            <w:rFonts w:asciiTheme="minorHAnsi" w:hAnsiTheme="minorHAnsi" w:cstheme="minorHAnsi"/>
            <w:lang w:val="en-AU"/>
          </w:rPr>
          <w:t>here</w:t>
        </w:r>
      </w:hyperlink>
      <w:r w:rsidRPr="005351BC">
        <w:rPr>
          <w:rFonts w:asciiTheme="minorHAnsi" w:hAnsiTheme="minorHAnsi" w:cstheme="minorHAnsi"/>
          <w:lang w:val="en-AU"/>
        </w:rPr>
        <w:t>.</w:t>
      </w:r>
    </w:p>
  </w:endnote>
  <w:endnote w:id="23">
    <w:p w14:paraId="6BE94FA8" w14:textId="19B76657" w:rsidR="00DB11BD" w:rsidRPr="005351BC" w:rsidRDefault="00DB11BD" w:rsidP="001633C8">
      <w:pPr>
        <w:pStyle w:val="EndnoteText"/>
        <w:rPr>
          <w:rFonts w:asciiTheme="minorHAnsi" w:hAnsiTheme="minorHAnsi" w:cstheme="minorHAnsi"/>
        </w:rPr>
      </w:pPr>
      <w:r w:rsidRPr="005351BC">
        <w:rPr>
          <w:rStyle w:val="EndnoteReference"/>
          <w:rFonts w:cstheme="minorHAnsi"/>
        </w:rPr>
        <w:endnoteRef/>
      </w:r>
      <w:r w:rsidRPr="005351BC">
        <w:rPr>
          <w:rFonts w:asciiTheme="minorHAnsi" w:hAnsiTheme="minorHAnsi" w:cstheme="minorHAnsi"/>
        </w:rPr>
        <w:t xml:space="preserve"> </w:t>
      </w:r>
      <w:r w:rsidR="00371E46" w:rsidRPr="005351BC">
        <w:rPr>
          <w:rFonts w:asciiTheme="minorHAnsi" w:hAnsiTheme="minorHAnsi" w:cstheme="minorHAnsi"/>
        </w:rPr>
        <w:t>ABS</w:t>
      </w:r>
      <w:r w:rsidR="00267A49" w:rsidRPr="005351BC">
        <w:rPr>
          <w:rFonts w:asciiTheme="minorHAnsi" w:hAnsiTheme="minorHAnsi" w:cstheme="minorHAnsi"/>
        </w:rPr>
        <w:t xml:space="preserve"> (2008), Australian and New Zealand Standard </w:t>
      </w:r>
      <w:r w:rsidR="00371E46" w:rsidRPr="005351BC">
        <w:rPr>
          <w:rFonts w:asciiTheme="minorHAnsi" w:hAnsiTheme="minorHAnsi" w:cstheme="minorHAnsi"/>
        </w:rPr>
        <w:t>Industr</w:t>
      </w:r>
      <w:r w:rsidR="00355729" w:rsidRPr="005351BC">
        <w:rPr>
          <w:rFonts w:asciiTheme="minorHAnsi" w:hAnsiTheme="minorHAnsi" w:cstheme="minorHAnsi"/>
        </w:rPr>
        <w:t>ial</w:t>
      </w:r>
      <w:r w:rsidR="00371E46" w:rsidRPr="005351BC">
        <w:rPr>
          <w:rFonts w:asciiTheme="minorHAnsi" w:hAnsiTheme="minorHAnsi" w:cstheme="minorHAnsi"/>
        </w:rPr>
        <w:t xml:space="preserve"> </w:t>
      </w:r>
      <w:r w:rsidR="00267A49" w:rsidRPr="005351BC">
        <w:rPr>
          <w:rFonts w:asciiTheme="minorHAnsi" w:hAnsiTheme="minorHAnsi" w:cstheme="minorHAnsi"/>
        </w:rPr>
        <w:t xml:space="preserve">Classification (ANZSIC), 2006 (Revision 1.0) Division </w:t>
      </w:r>
      <w:r w:rsidR="00BE3AD7" w:rsidRPr="005351BC">
        <w:rPr>
          <w:rFonts w:asciiTheme="minorHAnsi" w:hAnsiTheme="minorHAnsi" w:cstheme="minorHAnsi"/>
        </w:rPr>
        <w:t>L</w:t>
      </w:r>
      <w:r w:rsidR="00267A49" w:rsidRPr="005351BC">
        <w:rPr>
          <w:rFonts w:asciiTheme="minorHAnsi" w:hAnsiTheme="minorHAnsi" w:cstheme="minorHAnsi"/>
        </w:rPr>
        <w:t xml:space="preserve"> – </w:t>
      </w:r>
      <w:r w:rsidR="00BE3AD7" w:rsidRPr="005351BC">
        <w:rPr>
          <w:rFonts w:asciiTheme="minorHAnsi" w:hAnsiTheme="minorHAnsi" w:cstheme="minorHAnsi"/>
        </w:rPr>
        <w:t>Rental, Hiring and Real Estate Services</w:t>
      </w:r>
      <w:r w:rsidR="00267A49" w:rsidRPr="005351BC">
        <w:rPr>
          <w:rFonts w:asciiTheme="minorHAnsi" w:hAnsiTheme="minorHAnsi" w:cstheme="minorHAnsi"/>
        </w:rPr>
        <w:t>, available</w:t>
      </w:r>
      <w:r w:rsidR="00BE3AD7" w:rsidRPr="005351BC">
        <w:rPr>
          <w:rFonts w:asciiTheme="minorHAnsi" w:hAnsiTheme="minorHAnsi" w:cstheme="minorHAnsi"/>
        </w:rPr>
        <w:t xml:space="preserve"> </w:t>
      </w:r>
      <w:hyperlink r:id="rId9" w:history="1">
        <w:r w:rsidR="00BE3AD7" w:rsidRPr="005351BC">
          <w:rPr>
            <w:rStyle w:val="Hyperlink"/>
            <w:rFonts w:asciiTheme="minorHAnsi" w:hAnsiTheme="minorHAnsi" w:cstheme="minorHAnsi"/>
          </w:rPr>
          <w:t>here.</w:t>
        </w:r>
      </w:hyperlink>
      <w:r w:rsidR="00BE3AD7" w:rsidRPr="005351BC">
        <w:rPr>
          <w:rFonts w:asciiTheme="minorHAnsi" w:hAnsiTheme="minorHAnsi" w:cstheme="minorHAnsi"/>
        </w:rPr>
        <w:t xml:space="preserve"> </w:t>
      </w:r>
    </w:p>
  </w:endnote>
  <w:endnote w:id="24">
    <w:p w14:paraId="1464CA2D" w14:textId="3FB62566" w:rsidR="001F0C8D" w:rsidRPr="005351BC" w:rsidRDefault="001F0C8D" w:rsidP="001F0C8D">
      <w:pPr>
        <w:pStyle w:val="EndnoteText"/>
        <w:rPr>
          <w:rFonts w:asciiTheme="minorHAnsi" w:hAnsiTheme="minorHAnsi" w:cstheme="minorHAnsi"/>
        </w:rPr>
      </w:pPr>
      <w:r w:rsidRPr="005351BC">
        <w:rPr>
          <w:rStyle w:val="EndnoteReference"/>
          <w:rFonts w:cstheme="minorHAnsi"/>
        </w:rPr>
        <w:endnoteRef/>
      </w:r>
      <w:r w:rsidRPr="005351BC">
        <w:rPr>
          <w:rFonts w:asciiTheme="minorHAnsi" w:hAnsiTheme="minorHAnsi" w:cstheme="minorHAnsi"/>
        </w:rPr>
        <w:t xml:space="preserve"> </w:t>
      </w:r>
      <w:r w:rsidR="001B408C" w:rsidRPr="005351BC">
        <w:rPr>
          <w:rFonts w:asciiTheme="minorHAnsi" w:hAnsiTheme="minorHAnsi" w:cstheme="minorHAnsi"/>
        </w:rPr>
        <w:t>VSA and Nous, 2022 modelling based on ABS Labour Force, Australia, February 2022.</w:t>
      </w:r>
    </w:p>
  </w:endnote>
  <w:endnote w:id="25">
    <w:p w14:paraId="6889972A" w14:textId="647812DF" w:rsidR="00DB11BD" w:rsidRPr="005351BC" w:rsidRDefault="00DB11BD" w:rsidP="00FA07C4">
      <w:pPr>
        <w:pStyle w:val="EndnoteText"/>
        <w:rPr>
          <w:rFonts w:asciiTheme="minorHAnsi" w:hAnsiTheme="minorHAnsi" w:cstheme="minorHAnsi"/>
        </w:rPr>
      </w:pPr>
      <w:r w:rsidRPr="005351BC">
        <w:rPr>
          <w:rStyle w:val="EndnoteReference"/>
          <w:rFonts w:cstheme="minorHAnsi"/>
        </w:rPr>
        <w:endnoteRef/>
      </w:r>
      <w:r w:rsidRPr="005351BC">
        <w:rPr>
          <w:rFonts w:asciiTheme="minorHAnsi" w:hAnsiTheme="minorHAnsi" w:cstheme="minorHAnsi"/>
        </w:rPr>
        <w:t xml:space="preserve"> Victorian Skills Commissioner</w:t>
      </w:r>
      <w:r w:rsidR="00885E7C" w:rsidRPr="005351BC">
        <w:rPr>
          <w:rFonts w:asciiTheme="minorHAnsi" w:hAnsiTheme="minorHAnsi" w:cstheme="minorHAnsi"/>
        </w:rPr>
        <w:t xml:space="preserve"> (</w:t>
      </w:r>
      <w:r w:rsidR="00AF507F" w:rsidRPr="005351BC">
        <w:rPr>
          <w:rFonts w:asciiTheme="minorHAnsi" w:hAnsiTheme="minorHAnsi" w:cstheme="minorHAnsi"/>
        </w:rPr>
        <w:t>VSC)</w:t>
      </w:r>
      <w:r w:rsidR="00885E7C" w:rsidRPr="005351BC">
        <w:rPr>
          <w:rFonts w:asciiTheme="minorHAnsi" w:hAnsiTheme="minorHAnsi" w:cstheme="minorHAnsi"/>
        </w:rPr>
        <w:t xml:space="preserve"> (2020)</w:t>
      </w:r>
      <w:r w:rsidRPr="005351BC">
        <w:rPr>
          <w:rFonts w:asciiTheme="minorHAnsi" w:hAnsiTheme="minorHAnsi" w:cstheme="minorHAnsi"/>
        </w:rPr>
        <w:t xml:space="preserve">, Sector Snapshot: Victoria’s Real Estate Sector, </w:t>
      </w:r>
      <w:r w:rsidR="00885E7C" w:rsidRPr="005351BC">
        <w:rPr>
          <w:rFonts w:asciiTheme="minorHAnsi" w:hAnsiTheme="minorHAnsi" w:cstheme="minorHAnsi"/>
        </w:rPr>
        <w:t xml:space="preserve">available </w:t>
      </w:r>
      <w:hyperlink r:id="rId10" w:history="1">
        <w:r w:rsidR="00885E7C" w:rsidRPr="005351BC">
          <w:rPr>
            <w:rStyle w:val="Hyperlink"/>
            <w:rFonts w:asciiTheme="minorHAnsi" w:hAnsiTheme="minorHAnsi" w:cstheme="minorHAnsi"/>
          </w:rPr>
          <w:t>here</w:t>
        </w:r>
      </w:hyperlink>
      <w:r w:rsidR="00885E7C" w:rsidRPr="005351BC">
        <w:rPr>
          <w:rFonts w:asciiTheme="minorHAnsi" w:hAnsiTheme="minorHAnsi" w:cstheme="minorHAnsi"/>
        </w:rPr>
        <w:t xml:space="preserve">. </w:t>
      </w:r>
    </w:p>
  </w:endnote>
  <w:endnote w:id="26">
    <w:p w14:paraId="4437B087" w14:textId="60BB2A5D" w:rsidR="00DB11BD" w:rsidRPr="005351BC" w:rsidRDefault="00DB11BD" w:rsidP="009E33A8">
      <w:pPr>
        <w:pStyle w:val="EndnoteText"/>
        <w:rPr>
          <w:rFonts w:asciiTheme="minorHAnsi" w:hAnsiTheme="minorHAnsi" w:cstheme="minorHAnsi"/>
        </w:rPr>
      </w:pPr>
      <w:r w:rsidRPr="005351BC">
        <w:rPr>
          <w:rStyle w:val="EndnoteReference"/>
          <w:rFonts w:cstheme="minorHAnsi"/>
        </w:rPr>
        <w:endnoteRef/>
      </w:r>
      <w:r w:rsidRPr="005351BC">
        <w:rPr>
          <w:rFonts w:asciiTheme="minorHAnsi" w:hAnsiTheme="minorHAnsi" w:cstheme="minorHAnsi"/>
        </w:rPr>
        <w:t xml:space="preserve"> DiNuzzo, R</w:t>
      </w:r>
      <w:r w:rsidR="002D3153" w:rsidRPr="005351BC">
        <w:rPr>
          <w:rFonts w:asciiTheme="minorHAnsi" w:hAnsiTheme="minorHAnsi" w:cstheme="minorHAnsi"/>
        </w:rPr>
        <w:t xml:space="preserve"> (2021), </w:t>
      </w:r>
      <w:r w:rsidRPr="005351BC">
        <w:rPr>
          <w:rFonts w:asciiTheme="minorHAnsi" w:hAnsiTheme="minorHAnsi" w:cstheme="minorHAnsi"/>
        </w:rPr>
        <w:t xml:space="preserve">Victoria’s $2.56 trillion real estate market, Realestate.com.au, available </w:t>
      </w:r>
      <w:hyperlink r:id="rId11" w:history="1">
        <w:r w:rsidRPr="005351BC">
          <w:rPr>
            <w:rStyle w:val="Hyperlink"/>
            <w:rFonts w:asciiTheme="minorHAnsi" w:hAnsiTheme="minorHAnsi" w:cstheme="minorHAnsi"/>
          </w:rPr>
          <w:t>here</w:t>
        </w:r>
      </w:hyperlink>
      <w:r w:rsidRPr="005351BC">
        <w:rPr>
          <w:rFonts w:asciiTheme="minorHAnsi" w:hAnsiTheme="minorHAnsi" w:cstheme="minorHAnsi"/>
        </w:rPr>
        <w:t>.</w:t>
      </w:r>
    </w:p>
  </w:endnote>
  <w:endnote w:id="27">
    <w:p w14:paraId="277C06AF" w14:textId="30A2E6FD" w:rsidR="00DB11BD" w:rsidRPr="005351BC" w:rsidRDefault="00DB11BD" w:rsidP="009E33A8">
      <w:pPr>
        <w:pStyle w:val="EndnoteText"/>
        <w:rPr>
          <w:rFonts w:asciiTheme="minorHAnsi" w:hAnsiTheme="minorHAnsi" w:cstheme="minorHAnsi"/>
        </w:rPr>
      </w:pPr>
      <w:r w:rsidRPr="005351BC">
        <w:rPr>
          <w:rStyle w:val="EndnoteReference"/>
          <w:rFonts w:cstheme="minorHAnsi"/>
        </w:rPr>
        <w:endnoteRef/>
      </w:r>
      <w:r w:rsidRPr="005351BC">
        <w:rPr>
          <w:rFonts w:asciiTheme="minorHAnsi" w:hAnsiTheme="minorHAnsi" w:cstheme="minorHAnsi"/>
        </w:rPr>
        <w:t xml:space="preserve"> </w:t>
      </w:r>
      <w:r w:rsidR="002D3153" w:rsidRPr="005351BC">
        <w:rPr>
          <w:rFonts w:asciiTheme="minorHAnsi" w:hAnsiTheme="minorHAnsi" w:cstheme="minorHAnsi"/>
        </w:rPr>
        <w:t xml:space="preserve">DiNuzzo, R (2021), Victoria’s $2.56 trillion real estate market, Realestate.com.au, available </w:t>
      </w:r>
      <w:hyperlink r:id="rId12" w:history="1">
        <w:r w:rsidR="002D3153" w:rsidRPr="005351BC">
          <w:rPr>
            <w:rStyle w:val="Hyperlink"/>
            <w:rFonts w:asciiTheme="minorHAnsi" w:hAnsiTheme="minorHAnsi" w:cstheme="minorHAnsi"/>
          </w:rPr>
          <w:t>here</w:t>
        </w:r>
      </w:hyperlink>
      <w:r w:rsidR="002D3153" w:rsidRPr="005351BC">
        <w:rPr>
          <w:rFonts w:asciiTheme="minorHAnsi" w:hAnsiTheme="minorHAnsi" w:cstheme="minorHAnsi"/>
        </w:rPr>
        <w:t>.</w:t>
      </w:r>
    </w:p>
  </w:endnote>
  <w:endnote w:id="28">
    <w:p w14:paraId="5C1920AB" w14:textId="77826DC3" w:rsidR="00DB11BD" w:rsidRPr="005351BC" w:rsidRDefault="00DB11BD" w:rsidP="009E33A8">
      <w:pPr>
        <w:pStyle w:val="EndnoteText"/>
        <w:rPr>
          <w:rFonts w:asciiTheme="minorHAnsi" w:hAnsiTheme="minorHAnsi" w:cstheme="minorHAnsi"/>
        </w:rPr>
      </w:pPr>
      <w:r w:rsidRPr="005351BC">
        <w:rPr>
          <w:rStyle w:val="EndnoteReference"/>
          <w:rFonts w:cstheme="minorHAnsi"/>
        </w:rPr>
        <w:endnoteRef/>
      </w:r>
      <w:r w:rsidRPr="005351BC">
        <w:rPr>
          <w:rFonts w:asciiTheme="minorHAnsi" w:hAnsiTheme="minorHAnsi" w:cstheme="minorHAnsi"/>
        </w:rPr>
        <w:t xml:space="preserve"> </w:t>
      </w:r>
      <w:r w:rsidR="002D3153" w:rsidRPr="005351BC">
        <w:rPr>
          <w:rFonts w:asciiTheme="minorHAnsi" w:hAnsiTheme="minorHAnsi" w:cstheme="minorHAnsi"/>
        </w:rPr>
        <w:t>V</w:t>
      </w:r>
      <w:r w:rsidR="00AF507F" w:rsidRPr="005351BC">
        <w:rPr>
          <w:rFonts w:asciiTheme="minorHAnsi" w:hAnsiTheme="minorHAnsi" w:cstheme="minorHAnsi"/>
        </w:rPr>
        <w:t>SC</w:t>
      </w:r>
      <w:r w:rsidR="002D3153" w:rsidRPr="005351BC">
        <w:rPr>
          <w:rFonts w:asciiTheme="minorHAnsi" w:hAnsiTheme="minorHAnsi" w:cstheme="minorHAnsi"/>
        </w:rPr>
        <w:t xml:space="preserve"> (2020), Sector Snapshot: Victoria’s Real Estate Sector, available </w:t>
      </w:r>
      <w:hyperlink r:id="rId13" w:history="1">
        <w:r w:rsidR="002D3153" w:rsidRPr="005351BC">
          <w:rPr>
            <w:rStyle w:val="Hyperlink"/>
            <w:rFonts w:asciiTheme="minorHAnsi" w:hAnsiTheme="minorHAnsi" w:cstheme="minorHAnsi"/>
          </w:rPr>
          <w:t>here</w:t>
        </w:r>
      </w:hyperlink>
      <w:r w:rsidR="002D3153" w:rsidRPr="005351BC">
        <w:rPr>
          <w:rFonts w:asciiTheme="minorHAnsi" w:hAnsiTheme="minorHAnsi" w:cstheme="minorHAnsi"/>
        </w:rPr>
        <w:t>.</w:t>
      </w:r>
    </w:p>
  </w:endnote>
  <w:endnote w:id="29">
    <w:p w14:paraId="4592B8B1" w14:textId="60015C86" w:rsidR="00F37E2B" w:rsidRPr="005351BC" w:rsidRDefault="00F37E2B">
      <w:pPr>
        <w:pStyle w:val="EndnoteText"/>
        <w:rPr>
          <w:lang w:val="en-AU"/>
        </w:rPr>
      </w:pPr>
      <w:r w:rsidRPr="005351BC">
        <w:rPr>
          <w:rStyle w:val="EndnoteReference"/>
        </w:rPr>
        <w:endnoteRef/>
      </w:r>
      <w:r w:rsidRPr="005351BC">
        <w:t xml:space="preserve"> </w:t>
      </w:r>
      <w:r w:rsidRPr="005351BC">
        <w:rPr>
          <w:lang w:val="en-AU"/>
        </w:rPr>
        <w:t xml:space="preserve">Propertyupdate.com.au, 30 August 2022. Available </w:t>
      </w:r>
      <w:hyperlink r:id="rId14" w:history="1">
        <w:r w:rsidRPr="005351BC">
          <w:rPr>
            <w:rStyle w:val="Hyperlink"/>
            <w:lang w:val="en-AU"/>
          </w:rPr>
          <w:t>here</w:t>
        </w:r>
      </w:hyperlink>
    </w:p>
  </w:endnote>
  <w:endnote w:id="30">
    <w:p w14:paraId="4B0729B2" w14:textId="61B9CE25" w:rsidR="00DB11BD" w:rsidRPr="005351BC" w:rsidRDefault="00DB11BD" w:rsidP="009E33A8">
      <w:pPr>
        <w:pStyle w:val="EndnoteText"/>
        <w:rPr>
          <w:rFonts w:asciiTheme="minorHAnsi" w:hAnsiTheme="minorHAnsi" w:cstheme="minorHAnsi"/>
        </w:rPr>
      </w:pPr>
      <w:r w:rsidRPr="005351BC">
        <w:rPr>
          <w:rStyle w:val="EndnoteReference"/>
          <w:rFonts w:cstheme="minorHAnsi"/>
        </w:rPr>
        <w:endnoteRef/>
      </w:r>
      <w:r w:rsidRPr="005351BC">
        <w:rPr>
          <w:rFonts w:asciiTheme="minorHAnsi" w:hAnsiTheme="minorHAnsi" w:cstheme="minorHAnsi"/>
        </w:rPr>
        <w:t xml:space="preserve"> </w:t>
      </w:r>
      <w:bookmarkStart w:id="15" w:name="_Hlk104559184"/>
      <w:r w:rsidR="002D3153" w:rsidRPr="005351BC">
        <w:rPr>
          <w:rFonts w:asciiTheme="minorHAnsi" w:hAnsiTheme="minorHAnsi" w:cstheme="minorHAnsi"/>
        </w:rPr>
        <w:t>V</w:t>
      </w:r>
      <w:r w:rsidR="00AF507F" w:rsidRPr="005351BC">
        <w:rPr>
          <w:rFonts w:asciiTheme="minorHAnsi" w:hAnsiTheme="minorHAnsi" w:cstheme="minorHAnsi"/>
        </w:rPr>
        <w:t>SC</w:t>
      </w:r>
      <w:r w:rsidR="002D3153" w:rsidRPr="005351BC">
        <w:rPr>
          <w:rFonts w:asciiTheme="minorHAnsi" w:hAnsiTheme="minorHAnsi" w:cstheme="minorHAnsi"/>
        </w:rPr>
        <w:t xml:space="preserve"> (2020), Sector Snapshot: Victoria’s Real Estate Sector, available </w:t>
      </w:r>
      <w:hyperlink r:id="rId15" w:history="1">
        <w:r w:rsidR="002D3153" w:rsidRPr="005351BC">
          <w:rPr>
            <w:rStyle w:val="Hyperlink"/>
            <w:rFonts w:asciiTheme="minorHAnsi" w:hAnsiTheme="minorHAnsi" w:cstheme="minorHAnsi"/>
          </w:rPr>
          <w:t>here</w:t>
        </w:r>
      </w:hyperlink>
      <w:r w:rsidR="002D3153" w:rsidRPr="005351BC">
        <w:rPr>
          <w:rFonts w:asciiTheme="minorHAnsi" w:hAnsiTheme="minorHAnsi" w:cstheme="minorHAnsi"/>
        </w:rPr>
        <w:t>.</w:t>
      </w:r>
      <w:bookmarkEnd w:id="15"/>
    </w:p>
  </w:endnote>
  <w:endnote w:id="31">
    <w:p w14:paraId="6CD768E1" w14:textId="21536B3B" w:rsidR="00DB11BD" w:rsidRPr="005351BC" w:rsidRDefault="00DB11BD" w:rsidP="009E33A8">
      <w:pPr>
        <w:pStyle w:val="EndnoteText"/>
        <w:rPr>
          <w:rFonts w:asciiTheme="minorHAnsi" w:hAnsiTheme="minorHAnsi" w:cstheme="minorHAnsi"/>
        </w:rPr>
      </w:pPr>
      <w:r w:rsidRPr="005351BC">
        <w:rPr>
          <w:rStyle w:val="EndnoteReference"/>
          <w:rFonts w:cstheme="minorHAnsi"/>
        </w:rPr>
        <w:endnoteRef/>
      </w:r>
      <w:r w:rsidRPr="005351BC">
        <w:rPr>
          <w:rFonts w:asciiTheme="minorHAnsi" w:hAnsiTheme="minorHAnsi" w:cstheme="minorHAnsi"/>
        </w:rPr>
        <w:t xml:space="preserve"> </w:t>
      </w:r>
      <w:bookmarkStart w:id="16" w:name="_Hlk104558628"/>
      <w:r w:rsidR="00BD7A4A" w:rsidRPr="005351BC">
        <w:rPr>
          <w:rFonts w:asciiTheme="minorHAnsi" w:hAnsiTheme="minorHAnsi" w:cstheme="minorHAnsi"/>
        </w:rPr>
        <w:t xml:space="preserve">Victorian </w:t>
      </w:r>
      <w:r w:rsidRPr="005351BC">
        <w:rPr>
          <w:rFonts w:asciiTheme="minorHAnsi" w:hAnsiTheme="minorHAnsi" w:cstheme="minorHAnsi"/>
        </w:rPr>
        <w:t>Department of Environment, Land, Water and Planning Victoria</w:t>
      </w:r>
      <w:r w:rsidR="00BD7A4A" w:rsidRPr="005351BC">
        <w:rPr>
          <w:rFonts w:asciiTheme="minorHAnsi" w:hAnsiTheme="minorHAnsi" w:cstheme="minorHAnsi"/>
        </w:rPr>
        <w:t xml:space="preserve"> (2019)</w:t>
      </w:r>
      <w:r w:rsidRPr="005351BC">
        <w:rPr>
          <w:rFonts w:asciiTheme="minorHAnsi" w:hAnsiTheme="minorHAnsi" w:cstheme="minorHAnsi"/>
        </w:rPr>
        <w:t>, Victoria in Future 2019</w:t>
      </w:r>
      <w:r w:rsidR="004649BF" w:rsidRPr="005351BC">
        <w:rPr>
          <w:rFonts w:asciiTheme="minorHAnsi" w:hAnsiTheme="minorHAnsi" w:cstheme="minorHAnsi"/>
        </w:rPr>
        <w:t xml:space="preserve">, </w:t>
      </w:r>
      <w:r w:rsidRPr="005351BC">
        <w:rPr>
          <w:rFonts w:asciiTheme="minorHAnsi" w:hAnsiTheme="minorHAnsi" w:cstheme="minorHAnsi"/>
        </w:rPr>
        <w:t>Population Projections 2016</w:t>
      </w:r>
      <w:r w:rsidR="004649BF" w:rsidRPr="005351BC">
        <w:rPr>
          <w:rFonts w:asciiTheme="minorHAnsi" w:hAnsiTheme="minorHAnsi" w:cstheme="minorHAnsi"/>
        </w:rPr>
        <w:t xml:space="preserve"> </w:t>
      </w:r>
      <w:r w:rsidRPr="005351BC">
        <w:rPr>
          <w:rFonts w:asciiTheme="minorHAnsi" w:hAnsiTheme="minorHAnsi" w:cstheme="minorHAnsi"/>
        </w:rPr>
        <w:t>-</w:t>
      </w:r>
      <w:r w:rsidR="004649BF" w:rsidRPr="005351BC">
        <w:rPr>
          <w:rFonts w:asciiTheme="minorHAnsi" w:hAnsiTheme="minorHAnsi" w:cstheme="minorHAnsi"/>
        </w:rPr>
        <w:t xml:space="preserve"> </w:t>
      </w:r>
      <w:r w:rsidRPr="005351BC">
        <w:rPr>
          <w:rFonts w:asciiTheme="minorHAnsi" w:hAnsiTheme="minorHAnsi" w:cstheme="minorHAnsi"/>
        </w:rPr>
        <w:t>2056</w:t>
      </w:r>
      <w:r w:rsidR="004649BF" w:rsidRPr="005351BC">
        <w:rPr>
          <w:rFonts w:asciiTheme="minorHAnsi" w:hAnsiTheme="minorHAnsi" w:cstheme="minorHAnsi"/>
        </w:rPr>
        <w:t xml:space="preserve">, </w:t>
      </w:r>
      <w:r w:rsidRPr="005351BC">
        <w:rPr>
          <w:rFonts w:asciiTheme="minorHAnsi" w:hAnsiTheme="minorHAnsi" w:cstheme="minorHAnsi"/>
        </w:rPr>
        <w:t xml:space="preserve">available </w:t>
      </w:r>
      <w:hyperlink r:id="rId16" w:history="1">
        <w:r w:rsidRPr="005351BC">
          <w:rPr>
            <w:rStyle w:val="Hyperlink"/>
            <w:rFonts w:asciiTheme="minorHAnsi" w:hAnsiTheme="minorHAnsi" w:cstheme="minorHAnsi"/>
          </w:rPr>
          <w:t>here</w:t>
        </w:r>
      </w:hyperlink>
      <w:r w:rsidRPr="005351BC">
        <w:rPr>
          <w:rFonts w:asciiTheme="minorHAnsi" w:hAnsiTheme="minorHAnsi" w:cstheme="minorHAnsi"/>
        </w:rPr>
        <w:t>.</w:t>
      </w:r>
      <w:bookmarkEnd w:id="16"/>
    </w:p>
  </w:endnote>
  <w:endnote w:id="32">
    <w:p w14:paraId="1EDF6A10" w14:textId="6E3F2CB3" w:rsidR="00DB11BD" w:rsidRPr="005351BC" w:rsidRDefault="00DB11BD" w:rsidP="009E33A8">
      <w:pPr>
        <w:pStyle w:val="EndnoteText"/>
        <w:rPr>
          <w:rFonts w:asciiTheme="minorHAnsi" w:hAnsiTheme="minorHAnsi" w:cstheme="minorHAnsi"/>
        </w:rPr>
      </w:pPr>
      <w:r w:rsidRPr="005351BC">
        <w:rPr>
          <w:rStyle w:val="EndnoteReference"/>
          <w:rFonts w:cstheme="minorHAnsi"/>
        </w:rPr>
        <w:endnoteRef/>
      </w:r>
      <w:r w:rsidRPr="005351BC">
        <w:rPr>
          <w:rFonts w:asciiTheme="minorHAnsi" w:hAnsiTheme="minorHAnsi" w:cstheme="minorHAnsi"/>
        </w:rPr>
        <w:t xml:space="preserve"> </w:t>
      </w:r>
      <w:r w:rsidR="00D15AE8" w:rsidRPr="005351BC">
        <w:rPr>
          <w:rFonts w:asciiTheme="minorHAnsi" w:hAnsiTheme="minorHAnsi" w:cstheme="minorHAnsi"/>
        </w:rPr>
        <w:t>ABS</w:t>
      </w:r>
      <w:r w:rsidR="008B57A1" w:rsidRPr="005351BC">
        <w:rPr>
          <w:rFonts w:asciiTheme="minorHAnsi" w:hAnsiTheme="minorHAnsi" w:cstheme="minorHAnsi"/>
        </w:rPr>
        <w:t xml:space="preserve"> (</w:t>
      </w:r>
      <w:r w:rsidR="007D2405" w:rsidRPr="005351BC">
        <w:rPr>
          <w:rFonts w:asciiTheme="minorHAnsi" w:hAnsiTheme="minorHAnsi" w:cstheme="minorHAnsi"/>
        </w:rPr>
        <w:t xml:space="preserve">March </w:t>
      </w:r>
      <w:r w:rsidR="00EA0CFA" w:rsidRPr="005351BC">
        <w:rPr>
          <w:rFonts w:asciiTheme="minorHAnsi" w:hAnsiTheme="minorHAnsi" w:cstheme="minorHAnsi"/>
        </w:rPr>
        <w:t xml:space="preserve">2021), Regional internal migration estimates, provisional, available </w:t>
      </w:r>
      <w:hyperlink r:id="rId17" w:history="1">
        <w:r w:rsidR="00EA0CFA" w:rsidRPr="005351BC">
          <w:rPr>
            <w:rStyle w:val="Hyperlink"/>
            <w:rFonts w:asciiTheme="minorHAnsi" w:hAnsiTheme="minorHAnsi" w:cstheme="minorHAnsi"/>
          </w:rPr>
          <w:t>here.</w:t>
        </w:r>
      </w:hyperlink>
      <w:r w:rsidR="00EA0CFA" w:rsidRPr="005351BC">
        <w:rPr>
          <w:rFonts w:asciiTheme="minorHAnsi" w:hAnsiTheme="minorHAnsi" w:cstheme="minorHAnsi"/>
        </w:rPr>
        <w:t xml:space="preserve"> </w:t>
      </w:r>
    </w:p>
  </w:endnote>
  <w:endnote w:id="33">
    <w:p w14:paraId="7BF4B80F" w14:textId="4886CA3B" w:rsidR="00DB11BD" w:rsidRPr="005351BC" w:rsidRDefault="00DB11BD" w:rsidP="009E33A8">
      <w:pPr>
        <w:pStyle w:val="EndnoteText"/>
        <w:rPr>
          <w:rFonts w:asciiTheme="minorHAnsi" w:hAnsiTheme="minorHAnsi" w:cstheme="minorHAnsi"/>
        </w:rPr>
      </w:pPr>
      <w:r w:rsidRPr="005351BC">
        <w:rPr>
          <w:rStyle w:val="EndnoteReference"/>
          <w:rFonts w:cstheme="minorHAnsi"/>
        </w:rPr>
        <w:endnoteRef/>
      </w:r>
      <w:r w:rsidRPr="005351BC">
        <w:rPr>
          <w:rFonts w:asciiTheme="minorHAnsi" w:hAnsiTheme="minorHAnsi" w:cstheme="minorHAnsi"/>
        </w:rPr>
        <w:t xml:space="preserve"> Kelly, M</w:t>
      </w:r>
      <w:r w:rsidR="00093532" w:rsidRPr="005351BC">
        <w:rPr>
          <w:rFonts w:asciiTheme="minorHAnsi" w:hAnsiTheme="minorHAnsi" w:cstheme="minorHAnsi"/>
        </w:rPr>
        <w:t xml:space="preserve"> (2022)</w:t>
      </w:r>
      <w:r w:rsidRPr="005351BC">
        <w:rPr>
          <w:rFonts w:asciiTheme="minorHAnsi" w:hAnsiTheme="minorHAnsi" w:cstheme="minorHAnsi"/>
        </w:rPr>
        <w:t xml:space="preserve">, Freedom frenzy drives record Victorian regional price rises, Australian Financial Review, available </w:t>
      </w:r>
      <w:hyperlink r:id="rId18" w:anchor=":~:text=Regional%20Victorian%20house%20prices%20grew,Institute%20of%20Victoria%20(REIV)." w:history="1">
        <w:r w:rsidRPr="005351BC">
          <w:rPr>
            <w:rStyle w:val="Hyperlink"/>
            <w:rFonts w:asciiTheme="minorHAnsi" w:hAnsiTheme="minorHAnsi" w:cstheme="minorHAnsi"/>
          </w:rPr>
          <w:t>here</w:t>
        </w:r>
      </w:hyperlink>
      <w:r w:rsidRPr="005351BC">
        <w:rPr>
          <w:rFonts w:asciiTheme="minorHAnsi" w:hAnsiTheme="minorHAnsi" w:cstheme="minorHAnsi"/>
        </w:rPr>
        <w:t>.</w:t>
      </w:r>
    </w:p>
  </w:endnote>
  <w:endnote w:id="34">
    <w:p w14:paraId="775CF223" w14:textId="50BE0D29" w:rsidR="00DB11BD" w:rsidRPr="005351BC" w:rsidRDefault="00DB11BD" w:rsidP="009E33A8">
      <w:pPr>
        <w:pStyle w:val="EndnoteText"/>
        <w:rPr>
          <w:rFonts w:asciiTheme="minorHAnsi" w:hAnsiTheme="minorHAnsi" w:cstheme="minorHAnsi"/>
        </w:rPr>
      </w:pPr>
      <w:r w:rsidRPr="005351BC">
        <w:rPr>
          <w:rStyle w:val="EndnoteReference"/>
          <w:rFonts w:cstheme="minorHAnsi"/>
        </w:rPr>
        <w:endnoteRef/>
      </w:r>
      <w:r w:rsidR="00093532" w:rsidRPr="005351BC">
        <w:rPr>
          <w:rFonts w:asciiTheme="minorHAnsi" w:hAnsiTheme="minorHAnsi" w:cstheme="minorHAnsi"/>
        </w:rPr>
        <w:t xml:space="preserve"> V</w:t>
      </w:r>
      <w:r w:rsidR="00D15AE8" w:rsidRPr="005351BC">
        <w:rPr>
          <w:rFonts w:asciiTheme="minorHAnsi" w:hAnsiTheme="minorHAnsi" w:cstheme="minorHAnsi"/>
        </w:rPr>
        <w:t>SC</w:t>
      </w:r>
      <w:r w:rsidR="00093532" w:rsidRPr="005351BC">
        <w:rPr>
          <w:rFonts w:asciiTheme="minorHAnsi" w:hAnsiTheme="minorHAnsi" w:cstheme="minorHAnsi"/>
        </w:rPr>
        <w:t xml:space="preserve"> (2020), Sector Snapshot: Victoria’s Real Estate Sector, available </w:t>
      </w:r>
      <w:hyperlink r:id="rId19" w:history="1">
        <w:r w:rsidR="00093532" w:rsidRPr="005351BC">
          <w:rPr>
            <w:rStyle w:val="Hyperlink"/>
            <w:rFonts w:asciiTheme="minorHAnsi" w:hAnsiTheme="minorHAnsi" w:cstheme="minorHAnsi"/>
          </w:rPr>
          <w:t>here</w:t>
        </w:r>
      </w:hyperlink>
      <w:r w:rsidR="00093532" w:rsidRPr="005351BC">
        <w:rPr>
          <w:rFonts w:asciiTheme="minorHAnsi" w:hAnsiTheme="minorHAnsi" w:cstheme="minorHAnsi"/>
        </w:rPr>
        <w:t>.</w:t>
      </w:r>
      <w:bookmarkStart w:id="17" w:name="_Hlk104556829"/>
    </w:p>
    <w:bookmarkEnd w:id="17"/>
  </w:endnote>
  <w:endnote w:id="35">
    <w:p w14:paraId="43C221B9" w14:textId="3AFFF603" w:rsidR="00DB11BD" w:rsidRPr="005351BC" w:rsidRDefault="00DB11BD" w:rsidP="009E33A8">
      <w:pPr>
        <w:pStyle w:val="EndnoteText"/>
        <w:rPr>
          <w:rFonts w:asciiTheme="minorHAnsi" w:hAnsiTheme="minorHAnsi" w:cstheme="minorHAnsi"/>
        </w:rPr>
      </w:pPr>
      <w:r w:rsidRPr="005351BC">
        <w:rPr>
          <w:rStyle w:val="EndnoteReference"/>
          <w:rFonts w:cstheme="minorHAnsi"/>
        </w:rPr>
        <w:endnoteRef/>
      </w:r>
      <w:r w:rsidRPr="005351BC">
        <w:rPr>
          <w:rFonts w:asciiTheme="minorHAnsi" w:hAnsiTheme="minorHAnsi" w:cstheme="minorHAnsi"/>
        </w:rPr>
        <w:t xml:space="preserve"> Carbines, S</w:t>
      </w:r>
      <w:r w:rsidR="00D629DB" w:rsidRPr="005351BC">
        <w:rPr>
          <w:rFonts w:asciiTheme="minorHAnsi" w:hAnsiTheme="minorHAnsi" w:cstheme="minorHAnsi"/>
        </w:rPr>
        <w:t xml:space="preserve"> (2022)</w:t>
      </w:r>
      <w:r w:rsidRPr="005351BC">
        <w:rPr>
          <w:rFonts w:asciiTheme="minorHAnsi" w:hAnsiTheme="minorHAnsi" w:cstheme="minorHAnsi"/>
        </w:rPr>
        <w:t xml:space="preserve">, Melbourne rental market: Renters’ fresh struggle as conditions shift’, Realestate.com.au, available </w:t>
      </w:r>
      <w:hyperlink r:id="rId20" w:history="1">
        <w:r w:rsidRPr="005351BC">
          <w:rPr>
            <w:rStyle w:val="Hyperlink"/>
            <w:rFonts w:asciiTheme="minorHAnsi" w:hAnsiTheme="minorHAnsi" w:cstheme="minorHAnsi"/>
          </w:rPr>
          <w:t>here</w:t>
        </w:r>
      </w:hyperlink>
      <w:r w:rsidRPr="005351BC">
        <w:rPr>
          <w:rFonts w:asciiTheme="minorHAnsi" w:hAnsiTheme="minorHAnsi" w:cstheme="minorHAnsi"/>
        </w:rPr>
        <w:t>.</w:t>
      </w:r>
    </w:p>
  </w:endnote>
  <w:endnote w:id="36">
    <w:p w14:paraId="38C6EA0E" w14:textId="260BC7B2" w:rsidR="00DB11BD" w:rsidRPr="005351BC" w:rsidRDefault="00DB11BD" w:rsidP="00E35FEE">
      <w:pPr>
        <w:pStyle w:val="EndnoteText"/>
        <w:rPr>
          <w:rFonts w:asciiTheme="minorHAnsi" w:hAnsiTheme="minorHAnsi" w:cstheme="minorHAnsi"/>
        </w:rPr>
      </w:pPr>
      <w:r w:rsidRPr="005351BC">
        <w:rPr>
          <w:rStyle w:val="EndnoteReference"/>
          <w:rFonts w:cstheme="minorHAnsi"/>
        </w:rPr>
        <w:endnoteRef/>
      </w:r>
      <w:r w:rsidR="00D629DB" w:rsidRPr="005351BC">
        <w:rPr>
          <w:rFonts w:asciiTheme="minorHAnsi" w:hAnsiTheme="minorHAnsi" w:cstheme="minorHAnsi"/>
        </w:rPr>
        <w:t xml:space="preserve"> V</w:t>
      </w:r>
      <w:r w:rsidR="0067307C" w:rsidRPr="005351BC">
        <w:rPr>
          <w:rFonts w:asciiTheme="minorHAnsi" w:hAnsiTheme="minorHAnsi" w:cstheme="minorHAnsi"/>
        </w:rPr>
        <w:t>SC</w:t>
      </w:r>
      <w:r w:rsidR="00D629DB" w:rsidRPr="005351BC">
        <w:rPr>
          <w:rFonts w:asciiTheme="minorHAnsi" w:hAnsiTheme="minorHAnsi" w:cstheme="minorHAnsi"/>
        </w:rPr>
        <w:t xml:space="preserve"> (2020), Sector Snapshot: Victoria’s Real Estate Sector, available </w:t>
      </w:r>
      <w:hyperlink r:id="rId21" w:history="1">
        <w:r w:rsidR="00D629DB" w:rsidRPr="005351BC">
          <w:rPr>
            <w:rStyle w:val="Hyperlink"/>
            <w:rFonts w:asciiTheme="minorHAnsi" w:hAnsiTheme="minorHAnsi" w:cstheme="minorHAnsi"/>
          </w:rPr>
          <w:t>here</w:t>
        </w:r>
      </w:hyperlink>
      <w:r w:rsidR="00D629DB" w:rsidRPr="005351BC">
        <w:rPr>
          <w:rFonts w:asciiTheme="minorHAnsi" w:hAnsiTheme="minorHAnsi" w:cstheme="minorHAnsi"/>
        </w:rPr>
        <w:t>.</w:t>
      </w:r>
    </w:p>
  </w:endnote>
  <w:endnote w:id="37">
    <w:p w14:paraId="35D48666" w14:textId="0396C21A" w:rsidR="00597903" w:rsidRPr="005351BC" w:rsidRDefault="00597903" w:rsidP="00597903">
      <w:pPr>
        <w:pStyle w:val="EndnoteText"/>
        <w:rPr>
          <w:rFonts w:asciiTheme="minorHAnsi" w:hAnsiTheme="minorHAnsi" w:cstheme="minorHAnsi"/>
        </w:rPr>
      </w:pPr>
      <w:r w:rsidRPr="005351BC">
        <w:rPr>
          <w:rStyle w:val="EndnoteReference"/>
          <w:rFonts w:cstheme="minorHAnsi"/>
        </w:rPr>
        <w:endnoteRef/>
      </w:r>
      <w:r w:rsidR="006D36BA" w:rsidRPr="005351BC">
        <w:rPr>
          <w:rFonts w:asciiTheme="minorHAnsi" w:hAnsiTheme="minorHAnsi" w:cstheme="minorHAnsi"/>
        </w:rPr>
        <w:t xml:space="preserve"> </w:t>
      </w:r>
      <w:r w:rsidR="0067307C" w:rsidRPr="005351BC">
        <w:rPr>
          <w:rFonts w:asciiTheme="minorHAnsi" w:hAnsiTheme="minorHAnsi" w:cstheme="minorHAnsi"/>
        </w:rPr>
        <w:t>ABS</w:t>
      </w:r>
      <w:r w:rsidR="006D36BA" w:rsidRPr="005351BC">
        <w:rPr>
          <w:rFonts w:asciiTheme="minorHAnsi" w:hAnsiTheme="minorHAnsi" w:cstheme="minorHAnsi"/>
        </w:rPr>
        <w:t xml:space="preserve"> (February 2022), Labour Force Quarterly, Employment by industry</w:t>
      </w:r>
      <w:r w:rsidR="007D2405" w:rsidRPr="005351BC">
        <w:rPr>
          <w:rFonts w:asciiTheme="minorHAnsi" w:hAnsiTheme="minorHAnsi" w:cstheme="minorHAnsi"/>
        </w:rPr>
        <w:t xml:space="preserve"> </w:t>
      </w:r>
      <w:r w:rsidR="007D2405" w:rsidRPr="005351BC">
        <w:t>(Victoria)</w:t>
      </w:r>
      <w:r w:rsidR="006D36BA" w:rsidRPr="005351BC">
        <w:rPr>
          <w:rFonts w:asciiTheme="minorHAnsi" w:hAnsiTheme="minorHAnsi" w:cstheme="minorHAnsi"/>
        </w:rPr>
        <w:t xml:space="preserve">, available </w:t>
      </w:r>
      <w:hyperlink r:id="rId22" w:history="1">
        <w:r w:rsidR="006D36BA" w:rsidRPr="005351BC">
          <w:rPr>
            <w:rStyle w:val="Hyperlink"/>
            <w:rFonts w:asciiTheme="minorHAnsi" w:hAnsiTheme="minorHAnsi" w:cstheme="minorHAnsi"/>
            <w:color w:val="auto"/>
          </w:rPr>
          <w:t>here.</w:t>
        </w:r>
      </w:hyperlink>
    </w:p>
  </w:endnote>
  <w:endnote w:id="38">
    <w:p w14:paraId="064D3C13" w14:textId="5D87B631" w:rsidR="00DB11BD" w:rsidRPr="005351BC" w:rsidRDefault="00DB11BD" w:rsidP="006574DD">
      <w:pPr>
        <w:pStyle w:val="EndnoteText"/>
        <w:rPr>
          <w:rFonts w:asciiTheme="minorHAnsi" w:hAnsiTheme="minorHAnsi" w:cstheme="minorHAnsi"/>
        </w:rPr>
      </w:pPr>
      <w:r w:rsidRPr="005351BC">
        <w:rPr>
          <w:rStyle w:val="EndnoteReference"/>
          <w:rFonts w:cstheme="minorHAnsi"/>
        </w:rPr>
        <w:endnoteRef/>
      </w:r>
      <w:r w:rsidRPr="005351BC">
        <w:rPr>
          <w:rFonts w:asciiTheme="minorHAnsi" w:hAnsiTheme="minorHAnsi" w:cstheme="minorHAnsi"/>
        </w:rPr>
        <w:t xml:space="preserve"> </w:t>
      </w:r>
      <w:r w:rsidR="007F5358" w:rsidRPr="005351BC">
        <w:t>PESTLE ANALYSIS</w:t>
      </w:r>
      <w:r w:rsidR="003D4171" w:rsidRPr="005351BC">
        <w:t xml:space="preserve"> </w:t>
      </w:r>
      <w:r w:rsidR="003D4171" w:rsidRPr="005351BC">
        <w:rPr>
          <w:rFonts w:asciiTheme="minorHAnsi" w:hAnsiTheme="minorHAnsi" w:cstheme="minorHAnsi"/>
        </w:rPr>
        <w:t xml:space="preserve">(2022), The PESTLE Framework Explained: 6 Important Factors, available </w:t>
      </w:r>
      <w:hyperlink r:id="rId23" w:history="1">
        <w:r w:rsidR="003D4171" w:rsidRPr="005351BC">
          <w:rPr>
            <w:rStyle w:val="Hyperlink"/>
            <w:rFonts w:asciiTheme="minorHAnsi" w:hAnsiTheme="minorHAnsi" w:cstheme="minorHAnsi"/>
          </w:rPr>
          <w:t>here</w:t>
        </w:r>
      </w:hyperlink>
      <w:r w:rsidR="003D4171" w:rsidRPr="005351BC">
        <w:rPr>
          <w:rFonts w:asciiTheme="minorHAnsi" w:hAnsiTheme="minorHAnsi" w:cstheme="minorHAnsi"/>
        </w:rPr>
        <w:t>.</w:t>
      </w:r>
    </w:p>
  </w:endnote>
  <w:endnote w:id="39">
    <w:p w14:paraId="4794F148" w14:textId="4E675CB7" w:rsidR="00EE7C50" w:rsidRPr="005351BC" w:rsidRDefault="00EE7C50" w:rsidP="007F0BF3">
      <w:pPr>
        <w:pStyle w:val="EndnoteText"/>
        <w:rPr>
          <w:rFonts w:asciiTheme="minorHAnsi" w:hAnsiTheme="minorHAnsi" w:cstheme="minorHAnsi"/>
        </w:rPr>
      </w:pPr>
      <w:r w:rsidRPr="005351BC">
        <w:rPr>
          <w:rStyle w:val="EndnoteReference"/>
          <w:rFonts w:cstheme="minorHAnsi"/>
        </w:rPr>
        <w:endnoteRef/>
      </w:r>
      <w:r w:rsidRPr="005351BC">
        <w:rPr>
          <w:rFonts w:asciiTheme="minorHAnsi" w:hAnsiTheme="minorHAnsi" w:cstheme="minorHAnsi"/>
        </w:rPr>
        <w:t xml:space="preserve"> Mizen, R (2022), Rate hike expectations firmly in 2022, but how high can they go?, Australian Financial Review, available </w:t>
      </w:r>
      <w:hyperlink r:id="rId24" w:history="1">
        <w:r w:rsidRPr="005351BC">
          <w:rPr>
            <w:rStyle w:val="Hyperlink"/>
            <w:rFonts w:asciiTheme="minorHAnsi" w:hAnsiTheme="minorHAnsi" w:cstheme="minorHAnsi"/>
          </w:rPr>
          <w:t>here</w:t>
        </w:r>
      </w:hyperlink>
      <w:r w:rsidRPr="005351BC">
        <w:rPr>
          <w:rFonts w:asciiTheme="minorHAnsi" w:hAnsiTheme="minorHAnsi" w:cstheme="minorHAnsi"/>
        </w:rPr>
        <w:t>.</w:t>
      </w:r>
    </w:p>
  </w:endnote>
  <w:endnote w:id="40">
    <w:p w14:paraId="1CF30634" w14:textId="234D8E7F" w:rsidR="00DB11BD" w:rsidRPr="005351BC" w:rsidRDefault="00DB11BD" w:rsidP="00C64CEF">
      <w:pPr>
        <w:pStyle w:val="EndnoteText"/>
        <w:rPr>
          <w:rFonts w:asciiTheme="minorHAnsi" w:hAnsiTheme="minorHAnsi" w:cstheme="minorHAnsi"/>
        </w:rPr>
      </w:pPr>
      <w:r w:rsidRPr="005351BC">
        <w:rPr>
          <w:rStyle w:val="EndnoteReference"/>
          <w:rFonts w:cstheme="minorHAnsi"/>
        </w:rPr>
        <w:endnoteRef/>
      </w:r>
      <w:r w:rsidRPr="005351BC">
        <w:rPr>
          <w:rFonts w:asciiTheme="minorHAnsi" w:hAnsiTheme="minorHAnsi" w:cstheme="minorHAnsi"/>
        </w:rPr>
        <w:t xml:space="preserve"> Consumer Affairs Victoria</w:t>
      </w:r>
      <w:r w:rsidR="0051081A" w:rsidRPr="005351BC">
        <w:rPr>
          <w:rFonts w:asciiTheme="minorHAnsi" w:hAnsiTheme="minorHAnsi" w:cstheme="minorHAnsi"/>
        </w:rPr>
        <w:t xml:space="preserve"> (2021)</w:t>
      </w:r>
      <w:r w:rsidRPr="005351BC">
        <w:rPr>
          <w:rFonts w:asciiTheme="minorHAnsi" w:hAnsiTheme="minorHAnsi" w:cstheme="minorHAnsi"/>
        </w:rPr>
        <w:t xml:space="preserve">, Guide to rental law changes in Victoria, available </w:t>
      </w:r>
      <w:hyperlink r:id="rId25" w:history="1">
        <w:r w:rsidRPr="005351BC">
          <w:rPr>
            <w:rStyle w:val="Hyperlink"/>
            <w:rFonts w:asciiTheme="minorHAnsi" w:hAnsiTheme="minorHAnsi" w:cstheme="minorHAnsi"/>
          </w:rPr>
          <w:t>here</w:t>
        </w:r>
      </w:hyperlink>
      <w:r w:rsidRPr="005351BC">
        <w:rPr>
          <w:rFonts w:asciiTheme="minorHAnsi" w:hAnsiTheme="minorHAnsi" w:cstheme="minorHAnsi"/>
        </w:rPr>
        <w:t>.</w:t>
      </w:r>
    </w:p>
  </w:endnote>
  <w:endnote w:id="41">
    <w:p w14:paraId="3241BA28" w14:textId="164C8FCD" w:rsidR="00DB11BD" w:rsidRPr="005351BC" w:rsidRDefault="00DB11BD" w:rsidP="00C64CEF">
      <w:pPr>
        <w:pStyle w:val="EndnoteText"/>
        <w:rPr>
          <w:rFonts w:asciiTheme="minorHAnsi" w:hAnsiTheme="minorHAnsi" w:cstheme="minorHAnsi"/>
        </w:rPr>
      </w:pPr>
      <w:r w:rsidRPr="005351BC">
        <w:rPr>
          <w:rStyle w:val="EndnoteReference"/>
          <w:rFonts w:cstheme="minorHAnsi"/>
        </w:rPr>
        <w:endnoteRef/>
      </w:r>
      <w:r w:rsidRPr="005351BC">
        <w:rPr>
          <w:rFonts w:asciiTheme="minorHAnsi" w:hAnsiTheme="minorHAnsi" w:cstheme="minorHAnsi"/>
        </w:rPr>
        <w:t xml:space="preserve"> Engage Victoria</w:t>
      </w:r>
      <w:r w:rsidR="00DC2959" w:rsidRPr="005351BC">
        <w:rPr>
          <w:rFonts w:asciiTheme="minorHAnsi" w:hAnsiTheme="minorHAnsi" w:cstheme="minorHAnsi"/>
        </w:rPr>
        <w:t xml:space="preserve"> (2020)</w:t>
      </w:r>
      <w:r w:rsidRPr="005351BC">
        <w:rPr>
          <w:rFonts w:asciiTheme="minorHAnsi" w:hAnsiTheme="minorHAnsi" w:cstheme="minorHAnsi"/>
        </w:rPr>
        <w:t xml:space="preserve">, Review of real estate education regulations, available </w:t>
      </w:r>
      <w:hyperlink r:id="rId26" w:history="1">
        <w:r w:rsidRPr="005351BC">
          <w:rPr>
            <w:rStyle w:val="Hyperlink"/>
            <w:rFonts w:asciiTheme="minorHAnsi" w:hAnsiTheme="minorHAnsi" w:cstheme="minorHAnsi"/>
          </w:rPr>
          <w:t>here</w:t>
        </w:r>
      </w:hyperlink>
      <w:r w:rsidRPr="005351BC">
        <w:rPr>
          <w:rFonts w:asciiTheme="minorHAnsi" w:hAnsiTheme="minorHAnsi" w:cstheme="minorHAnsi"/>
        </w:rPr>
        <w:t>.</w:t>
      </w:r>
    </w:p>
  </w:endnote>
  <w:endnote w:id="42">
    <w:p w14:paraId="1E8F4C07" w14:textId="1E3A4C87" w:rsidR="00DB11BD" w:rsidRPr="005351BC" w:rsidRDefault="00DB11BD" w:rsidP="00C64CEF">
      <w:pPr>
        <w:pStyle w:val="EndnoteText"/>
        <w:rPr>
          <w:rFonts w:asciiTheme="minorHAnsi" w:hAnsiTheme="minorHAnsi" w:cstheme="minorHAnsi"/>
        </w:rPr>
      </w:pPr>
      <w:r w:rsidRPr="005351BC">
        <w:rPr>
          <w:rStyle w:val="EndnoteReference"/>
          <w:rFonts w:cstheme="minorHAnsi"/>
        </w:rPr>
        <w:endnoteRef/>
      </w:r>
      <w:r w:rsidRPr="005351BC">
        <w:rPr>
          <w:rFonts w:asciiTheme="minorHAnsi" w:hAnsiTheme="minorHAnsi" w:cstheme="minorHAnsi"/>
        </w:rPr>
        <w:t xml:space="preserve"> Redman, E</w:t>
      </w:r>
      <w:r w:rsidR="00025DB8" w:rsidRPr="005351BC">
        <w:rPr>
          <w:rFonts w:asciiTheme="minorHAnsi" w:hAnsiTheme="minorHAnsi" w:cstheme="minorHAnsi"/>
        </w:rPr>
        <w:t xml:space="preserve"> (2022)</w:t>
      </w:r>
      <w:r w:rsidRPr="005351BC">
        <w:rPr>
          <w:rFonts w:asciiTheme="minorHAnsi" w:hAnsiTheme="minorHAnsi" w:cstheme="minorHAnsi"/>
        </w:rPr>
        <w:t>, Blight on the industry: Victorian property underquoting laws set for review</w:t>
      </w:r>
      <w:r w:rsidR="008C0A52" w:rsidRPr="005351BC">
        <w:rPr>
          <w:rFonts w:asciiTheme="minorHAnsi" w:hAnsiTheme="minorHAnsi" w:cstheme="minorHAnsi"/>
        </w:rPr>
        <w:t xml:space="preserve">, </w:t>
      </w:r>
      <w:r w:rsidRPr="005351BC">
        <w:rPr>
          <w:rFonts w:asciiTheme="minorHAnsi" w:hAnsiTheme="minorHAnsi" w:cstheme="minorHAnsi"/>
        </w:rPr>
        <w:t xml:space="preserve">The Age, available </w:t>
      </w:r>
      <w:hyperlink r:id="rId27" w:anchor=":~:text=Members%20of%20the%20public%20sent,more%20than%20%24300%2C000%20in%20fines" w:history="1">
        <w:r w:rsidRPr="005351BC">
          <w:rPr>
            <w:rStyle w:val="Hyperlink"/>
            <w:rFonts w:asciiTheme="minorHAnsi" w:hAnsiTheme="minorHAnsi" w:cstheme="minorHAnsi"/>
          </w:rPr>
          <w:t>here</w:t>
        </w:r>
      </w:hyperlink>
      <w:r w:rsidRPr="005351BC">
        <w:rPr>
          <w:rFonts w:asciiTheme="minorHAnsi" w:hAnsiTheme="minorHAnsi" w:cstheme="minorHAnsi"/>
        </w:rPr>
        <w:t xml:space="preserve">. </w:t>
      </w:r>
    </w:p>
  </w:endnote>
  <w:endnote w:id="43">
    <w:p w14:paraId="7A64648F" w14:textId="74533ED8" w:rsidR="00DB11BD" w:rsidRPr="005351BC" w:rsidRDefault="00DB11BD" w:rsidP="00C64CEF">
      <w:pPr>
        <w:pStyle w:val="EndnoteText"/>
        <w:rPr>
          <w:rFonts w:asciiTheme="minorHAnsi" w:hAnsiTheme="minorHAnsi" w:cstheme="minorHAnsi"/>
        </w:rPr>
      </w:pPr>
      <w:r w:rsidRPr="005351BC">
        <w:rPr>
          <w:rStyle w:val="EndnoteReference"/>
          <w:rFonts w:cstheme="minorHAnsi"/>
          <w:color w:val="auto"/>
        </w:rPr>
        <w:endnoteRef/>
      </w:r>
      <w:r w:rsidRPr="005351BC">
        <w:rPr>
          <w:rFonts w:asciiTheme="minorHAnsi" w:hAnsiTheme="minorHAnsi" w:cstheme="minorHAnsi"/>
        </w:rPr>
        <w:t xml:space="preserve"> Reserve Bank of Australia</w:t>
      </w:r>
      <w:r w:rsidR="00515480" w:rsidRPr="005351BC">
        <w:rPr>
          <w:rFonts w:asciiTheme="minorHAnsi" w:hAnsiTheme="minorHAnsi" w:cstheme="minorHAnsi"/>
        </w:rPr>
        <w:t xml:space="preserve"> (2022)</w:t>
      </w:r>
      <w:r w:rsidRPr="005351BC">
        <w:rPr>
          <w:rFonts w:asciiTheme="minorHAnsi" w:hAnsiTheme="minorHAnsi" w:cstheme="minorHAnsi"/>
        </w:rPr>
        <w:t>, Household Sector,</w:t>
      </w:r>
      <w:r w:rsidR="00DD2A27" w:rsidRPr="005351BC">
        <w:rPr>
          <w:rFonts w:asciiTheme="minorHAnsi" w:hAnsiTheme="minorHAnsi" w:cstheme="minorHAnsi"/>
        </w:rPr>
        <w:t xml:space="preserve"> available </w:t>
      </w:r>
      <w:hyperlink r:id="rId28" w:history="1">
        <w:r w:rsidR="00DD2A27" w:rsidRPr="005351BC">
          <w:rPr>
            <w:rStyle w:val="Hyperlink"/>
            <w:rFonts w:asciiTheme="minorHAnsi" w:hAnsiTheme="minorHAnsi" w:cstheme="minorHAnsi"/>
            <w:color w:val="auto"/>
          </w:rPr>
          <w:t>here</w:t>
        </w:r>
        <w:r w:rsidRPr="005351BC">
          <w:rPr>
            <w:rStyle w:val="Hyperlink"/>
            <w:rFonts w:asciiTheme="minorHAnsi" w:hAnsiTheme="minorHAnsi" w:cstheme="minorHAnsi"/>
            <w:color w:val="auto"/>
          </w:rPr>
          <w:t>.</w:t>
        </w:r>
      </w:hyperlink>
    </w:p>
  </w:endnote>
  <w:endnote w:id="44">
    <w:p w14:paraId="7872AEBE" w14:textId="1FFDD728" w:rsidR="00DB11BD" w:rsidRPr="005351BC" w:rsidRDefault="00DB11BD" w:rsidP="00C64CEF">
      <w:pPr>
        <w:pStyle w:val="EndnoteText"/>
        <w:rPr>
          <w:rFonts w:asciiTheme="minorHAnsi" w:hAnsiTheme="minorHAnsi" w:cstheme="minorHAnsi"/>
        </w:rPr>
      </w:pPr>
      <w:r w:rsidRPr="005351BC">
        <w:rPr>
          <w:rStyle w:val="EndnoteReference"/>
          <w:rFonts w:cstheme="minorHAnsi"/>
        </w:rPr>
        <w:endnoteRef/>
      </w:r>
      <w:r w:rsidRPr="005351BC">
        <w:rPr>
          <w:rFonts w:asciiTheme="minorHAnsi" w:hAnsiTheme="minorHAnsi" w:cstheme="minorHAnsi"/>
        </w:rPr>
        <w:t xml:space="preserve"> </w:t>
      </w:r>
      <w:r w:rsidR="00BC2005" w:rsidRPr="005351BC">
        <w:rPr>
          <w:rFonts w:asciiTheme="minorHAnsi" w:hAnsiTheme="minorHAnsi" w:cstheme="minorHAnsi"/>
        </w:rPr>
        <w:t xml:space="preserve">Victorian Department of Families, Fairness and Housing (2022), Rental Report statistics – March quarter 2022, available </w:t>
      </w:r>
      <w:hyperlink r:id="rId29" w:history="1">
        <w:r w:rsidR="006403AF" w:rsidRPr="005351BC">
          <w:rPr>
            <w:rStyle w:val="Hyperlink"/>
            <w:rFonts w:asciiTheme="minorHAnsi" w:hAnsiTheme="minorHAnsi" w:cstheme="minorHAnsi"/>
            <w:color w:val="auto"/>
          </w:rPr>
          <w:t>here.</w:t>
        </w:r>
      </w:hyperlink>
      <w:r w:rsidR="006403AF" w:rsidRPr="005351BC">
        <w:rPr>
          <w:rFonts w:asciiTheme="minorHAnsi" w:hAnsiTheme="minorHAnsi" w:cstheme="minorHAnsi"/>
        </w:rPr>
        <w:t xml:space="preserve"> </w:t>
      </w:r>
    </w:p>
  </w:endnote>
  <w:endnote w:id="45">
    <w:p w14:paraId="62A6A555" w14:textId="4603E734" w:rsidR="00DB11BD" w:rsidRPr="005351BC" w:rsidRDefault="00DB11BD" w:rsidP="00C64CEF">
      <w:pPr>
        <w:pStyle w:val="EndnoteText"/>
        <w:rPr>
          <w:rFonts w:asciiTheme="minorHAnsi" w:hAnsiTheme="minorHAnsi" w:cstheme="minorHAnsi"/>
        </w:rPr>
      </w:pPr>
      <w:r w:rsidRPr="005351BC">
        <w:rPr>
          <w:rStyle w:val="EndnoteReference"/>
          <w:rFonts w:cstheme="minorHAnsi"/>
        </w:rPr>
        <w:endnoteRef/>
      </w:r>
      <w:r w:rsidRPr="005351BC">
        <w:rPr>
          <w:rFonts w:asciiTheme="minorHAnsi" w:hAnsiTheme="minorHAnsi" w:cstheme="minorHAnsi"/>
        </w:rPr>
        <w:t xml:space="preserve"> Marsh, S</w:t>
      </w:r>
      <w:r w:rsidR="00804A66" w:rsidRPr="005351BC">
        <w:rPr>
          <w:rFonts w:asciiTheme="minorHAnsi" w:hAnsiTheme="minorHAnsi" w:cstheme="minorHAnsi"/>
        </w:rPr>
        <w:t xml:space="preserve"> (2022)</w:t>
      </w:r>
      <w:r w:rsidRPr="005351BC">
        <w:rPr>
          <w:rFonts w:asciiTheme="minorHAnsi" w:hAnsiTheme="minorHAnsi" w:cstheme="minorHAnsi"/>
        </w:rPr>
        <w:t>, What will happen to property prices when interest rates rise? Here’s what the experts say</w:t>
      </w:r>
      <w:r w:rsidR="00804A66" w:rsidRPr="005351BC">
        <w:rPr>
          <w:rFonts w:asciiTheme="minorHAnsi" w:hAnsiTheme="minorHAnsi" w:cstheme="minorHAnsi"/>
        </w:rPr>
        <w:t xml:space="preserve">, </w:t>
      </w:r>
      <w:r w:rsidRPr="005351BC">
        <w:rPr>
          <w:rFonts w:asciiTheme="minorHAnsi" w:hAnsiTheme="minorHAnsi" w:cstheme="minorHAnsi"/>
        </w:rPr>
        <w:t xml:space="preserve">available </w:t>
      </w:r>
      <w:hyperlink r:id="rId30" w:history="1">
        <w:r w:rsidRPr="005351BC">
          <w:rPr>
            <w:rStyle w:val="Hyperlink"/>
            <w:rFonts w:asciiTheme="minorHAnsi" w:hAnsiTheme="minorHAnsi" w:cstheme="minorHAnsi"/>
          </w:rPr>
          <w:t>here</w:t>
        </w:r>
      </w:hyperlink>
      <w:r w:rsidRPr="005351BC">
        <w:rPr>
          <w:rFonts w:asciiTheme="minorHAnsi" w:hAnsiTheme="minorHAnsi" w:cstheme="minorHAnsi"/>
        </w:rPr>
        <w:t>.</w:t>
      </w:r>
    </w:p>
  </w:endnote>
  <w:endnote w:id="46">
    <w:p w14:paraId="2E21A6E4" w14:textId="763AD257" w:rsidR="00DB11BD" w:rsidRPr="005351BC" w:rsidRDefault="00DB11BD" w:rsidP="00C64CEF">
      <w:pPr>
        <w:pStyle w:val="EndnoteText"/>
        <w:rPr>
          <w:rFonts w:asciiTheme="minorHAnsi" w:hAnsiTheme="minorHAnsi" w:cstheme="minorHAnsi"/>
        </w:rPr>
      </w:pPr>
      <w:r w:rsidRPr="005351BC">
        <w:rPr>
          <w:rStyle w:val="EndnoteReference"/>
          <w:rFonts w:cstheme="minorHAnsi"/>
        </w:rPr>
        <w:endnoteRef/>
      </w:r>
      <w:r w:rsidRPr="005351BC">
        <w:rPr>
          <w:rFonts w:asciiTheme="minorHAnsi" w:hAnsiTheme="minorHAnsi" w:cstheme="minorHAnsi"/>
        </w:rPr>
        <w:t xml:space="preserve"> Australian Banking Association</w:t>
      </w:r>
      <w:r w:rsidR="00AA3E81" w:rsidRPr="005351BC">
        <w:rPr>
          <w:rFonts w:asciiTheme="minorHAnsi" w:hAnsiTheme="minorHAnsi" w:cstheme="minorHAnsi"/>
        </w:rPr>
        <w:t xml:space="preserve"> (</w:t>
      </w:r>
      <w:r w:rsidR="006312CE" w:rsidRPr="005351BC">
        <w:rPr>
          <w:rFonts w:asciiTheme="minorHAnsi" w:hAnsiTheme="minorHAnsi" w:cstheme="minorHAnsi"/>
        </w:rPr>
        <w:t>2021)</w:t>
      </w:r>
      <w:r w:rsidRPr="005351BC">
        <w:rPr>
          <w:rFonts w:asciiTheme="minorHAnsi" w:hAnsiTheme="minorHAnsi" w:cstheme="minorHAnsi"/>
        </w:rPr>
        <w:t xml:space="preserve">, Banking by the numbers and COVID-19 Timelines, available </w:t>
      </w:r>
      <w:hyperlink r:id="rId31" w:history="1">
        <w:r w:rsidRPr="005351BC">
          <w:rPr>
            <w:rStyle w:val="Hyperlink"/>
            <w:rFonts w:asciiTheme="minorHAnsi" w:hAnsiTheme="minorHAnsi" w:cstheme="minorHAnsi"/>
          </w:rPr>
          <w:t>here</w:t>
        </w:r>
      </w:hyperlink>
      <w:r w:rsidRPr="005351BC">
        <w:rPr>
          <w:rFonts w:asciiTheme="minorHAnsi" w:hAnsiTheme="minorHAnsi" w:cstheme="minorHAnsi"/>
        </w:rPr>
        <w:t>.</w:t>
      </w:r>
    </w:p>
  </w:endnote>
  <w:endnote w:id="47">
    <w:p w14:paraId="5C0C39B7" w14:textId="0CDF0B7D" w:rsidR="00DB11BD" w:rsidRPr="005351BC" w:rsidRDefault="00DB11BD" w:rsidP="00C64CEF">
      <w:pPr>
        <w:pStyle w:val="EndnoteText"/>
        <w:rPr>
          <w:rFonts w:asciiTheme="minorHAnsi" w:hAnsiTheme="minorHAnsi" w:cstheme="minorHAnsi"/>
        </w:rPr>
      </w:pPr>
      <w:r w:rsidRPr="005351BC">
        <w:rPr>
          <w:rStyle w:val="EndnoteReference"/>
          <w:rFonts w:cstheme="minorHAnsi"/>
        </w:rPr>
        <w:endnoteRef/>
      </w:r>
      <w:r w:rsidRPr="005351BC">
        <w:rPr>
          <w:rFonts w:asciiTheme="minorHAnsi" w:hAnsiTheme="minorHAnsi" w:cstheme="minorHAnsi"/>
        </w:rPr>
        <w:t xml:space="preserve"> REIV</w:t>
      </w:r>
      <w:r w:rsidR="006312CE" w:rsidRPr="005351BC">
        <w:rPr>
          <w:rFonts w:asciiTheme="minorHAnsi" w:hAnsiTheme="minorHAnsi" w:cstheme="minorHAnsi"/>
        </w:rPr>
        <w:t xml:space="preserve"> (2022)</w:t>
      </w:r>
      <w:r w:rsidRPr="005351BC">
        <w:rPr>
          <w:rFonts w:asciiTheme="minorHAnsi" w:hAnsiTheme="minorHAnsi" w:cstheme="minorHAnsi"/>
        </w:rPr>
        <w:t xml:space="preserve">, Victorian real estate market closes 2021 on a high, available </w:t>
      </w:r>
      <w:hyperlink r:id="rId32" w:history="1">
        <w:r w:rsidRPr="005351BC">
          <w:rPr>
            <w:rStyle w:val="Hyperlink"/>
            <w:rFonts w:asciiTheme="minorHAnsi" w:hAnsiTheme="minorHAnsi" w:cstheme="minorHAnsi"/>
          </w:rPr>
          <w:t>here</w:t>
        </w:r>
      </w:hyperlink>
      <w:r w:rsidRPr="005351BC">
        <w:rPr>
          <w:rFonts w:asciiTheme="minorHAnsi" w:hAnsiTheme="minorHAnsi" w:cstheme="minorHAnsi"/>
        </w:rPr>
        <w:t>.</w:t>
      </w:r>
    </w:p>
  </w:endnote>
  <w:endnote w:id="48">
    <w:p w14:paraId="31B8FF70" w14:textId="73F64B37" w:rsidR="00DB11BD" w:rsidRPr="005351BC" w:rsidRDefault="00DB11BD" w:rsidP="0034679E">
      <w:pPr>
        <w:pStyle w:val="EndnoteText"/>
        <w:rPr>
          <w:rFonts w:asciiTheme="minorHAnsi" w:hAnsiTheme="minorHAnsi" w:cstheme="minorHAnsi"/>
        </w:rPr>
      </w:pPr>
      <w:r w:rsidRPr="005351BC">
        <w:rPr>
          <w:rStyle w:val="EndnoteReference"/>
          <w:rFonts w:cstheme="minorHAnsi"/>
        </w:rPr>
        <w:endnoteRef/>
      </w:r>
      <w:r w:rsidRPr="005351BC">
        <w:rPr>
          <w:rFonts w:asciiTheme="minorHAnsi" w:hAnsiTheme="minorHAnsi" w:cstheme="minorHAnsi"/>
        </w:rPr>
        <w:t xml:space="preserve"> Rural Councils Victoria</w:t>
      </w:r>
      <w:r w:rsidR="005969BD" w:rsidRPr="005351BC">
        <w:rPr>
          <w:rFonts w:asciiTheme="minorHAnsi" w:hAnsiTheme="minorHAnsi" w:cstheme="minorHAnsi"/>
        </w:rPr>
        <w:t xml:space="preserve"> (2021), </w:t>
      </w:r>
      <w:r w:rsidRPr="005351BC">
        <w:rPr>
          <w:rFonts w:asciiTheme="minorHAnsi" w:hAnsiTheme="minorHAnsi" w:cstheme="minorHAnsi"/>
        </w:rPr>
        <w:t>Demographic Destiny</w:t>
      </w:r>
      <w:r w:rsidR="005969BD" w:rsidRPr="005351BC">
        <w:rPr>
          <w:rFonts w:asciiTheme="minorHAnsi" w:hAnsiTheme="minorHAnsi" w:cstheme="minorHAnsi"/>
        </w:rPr>
        <w:t xml:space="preserve">, </w:t>
      </w:r>
      <w:r w:rsidRPr="005351BC">
        <w:rPr>
          <w:rFonts w:asciiTheme="minorHAnsi" w:hAnsiTheme="minorHAnsi" w:cstheme="minorHAnsi"/>
        </w:rPr>
        <w:t xml:space="preserve">available </w:t>
      </w:r>
      <w:hyperlink r:id="rId33" w:tgtFrame="_blank" w:tooltip="https://media.ruralcouncilsvictoria.org.au/wp-content/uploads/2021/05/27134328/rcv-demographic-destiny-report-26-may-2021.pdf" w:history="1">
        <w:r w:rsidRPr="005351BC">
          <w:rPr>
            <w:rStyle w:val="Hyperlink"/>
            <w:rFonts w:asciiTheme="minorHAnsi" w:hAnsiTheme="minorHAnsi" w:cstheme="minorHAnsi"/>
          </w:rPr>
          <w:t>here</w:t>
        </w:r>
      </w:hyperlink>
      <w:r w:rsidRPr="005351BC">
        <w:rPr>
          <w:rFonts w:asciiTheme="minorHAnsi" w:hAnsiTheme="minorHAnsi" w:cstheme="minorHAnsi"/>
        </w:rPr>
        <w:t>.</w:t>
      </w:r>
    </w:p>
  </w:endnote>
  <w:endnote w:id="49">
    <w:p w14:paraId="5C0F06DB" w14:textId="17D8B27C" w:rsidR="00DB11BD" w:rsidRPr="005351BC" w:rsidRDefault="00DB11BD" w:rsidP="00C64CEF">
      <w:pPr>
        <w:pStyle w:val="EndnoteText"/>
        <w:rPr>
          <w:rFonts w:asciiTheme="minorHAnsi" w:hAnsiTheme="minorHAnsi" w:cstheme="minorHAnsi"/>
        </w:rPr>
      </w:pPr>
      <w:r w:rsidRPr="005351BC">
        <w:rPr>
          <w:rStyle w:val="EndnoteReference"/>
          <w:rFonts w:cstheme="minorHAnsi"/>
        </w:rPr>
        <w:endnoteRef/>
      </w:r>
      <w:r w:rsidRPr="005351BC">
        <w:rPr>
          <w:rFonts w:asciiTheme="minorHAnsi" w:hAnsiTheme="minorHAnsi" w:cstheme="minorHAnsi"/>
        </w:rPr>
        <w:t xml:space="preserve"> City of Greater Geelong</w:t>
      </w:r>
      <w:r w:rsidR="00073B0E" w:rsidRPr="005351BC">
        <w:rPr>
          <w:rFonts w:asciiTheme="minorHAnsi" w:hAnsiTheme="minorHAnsi" w:cstheme="minorHAnsi"/>
        </w:rPr>
        <w:t xml:space="preserve"> (2021)</w:t>
      </w:r>
      <w:r w:rsidRPr="005351BC">
        <w:rPr>
          <w:rFonts w:asciiTheme="minorHAnsi" w:hAnsiTheme="minorHAnsi" w:cstheme="minorHAnsi"/>
        </w:rPr>
        <w:t>, Armstrong Creek – Whole of Growth Area</w:t>
      </w:r>
      <w:r w:rsidR="00073B0E" w:rsidRPr="005351BC">
        <w:rPr>
          <w:rFonts w:asciiTheme="minorHAnsi" w:hAnsiTheme="minorHAnsi" w:cstheme="minorHAnsi"/>
        </w:rPr>
        <w:t xml:space="preserve">, </w:t>
      </w:r>
      <w:r w:rsidRPr="005351BC">
        <w:rPr>
          <w:rFonts w:asciiTheme="minorHAnsi" w:hAnsiTheme="minorHAnsi" w:cstheme="minorHAnsi"/>
        </w:rPr>
        <w:t xml:space="preserve">available </w:t>
      </w:r>
      <w:hyperlink r:id="rId34" w:history="1">
        <w:r w:rsidRPr="005351BC">
          <w:rPr>
            <w:rStyle w:val="Hyperlink"/>
            <w:rFonts w:asciiTheme="minorHAnsi" w:hAnsiTheme="minorHAnsi" w:cstheme="minorHAnsi"/>
          </w:rPr>
          <w:t>here</w:t>
        </w:r>
      </w:hyperlink>
      <w:r w:rsidRPr="005351BC">
        <w:rPr>
          <w:rFonts w:asciiTheme="minorHAnsi" w:hAnsiTheme="minorHAnsi" w:cstheme="minorHAnsi"/>
        </w:rPr>
        <w:t>.</w:t>
      </w:r>
    </w:p>
  </w:endnote>
  <w:endnote w:id="50">
    <w:p w14:paraId="4786F68B" w14:textId="28750D91" w:rsidR="00DB11BD" w:rsidRPr="005351BC" w:rsidRDefault="00DB11BD" w:rsidP="00C64CEF">
      <w:pPr>
        <w:pStyle w:val="EndnoteText"/>
        <w:rPr>
          <w:rFonts w:asciiTheme="minorHAnsi" w:hAnsiTheme="minorHAnsi" w:cstheme="minorHAnsi"/>
        </w:rPr>
      </w:pPr>
      <w:r w:rsidRPr="005351BC">
        <w:rPr>
          <w:rStyle w:val="EndnoteReference"/>
          <w:rFonts w:cstheme="minorHAnsi"/>
        </w:rPr>
        <w:endnoteRef/>
      </w:r>
      <w:r w:rsidRPr="005351BC">
        <w:rPr>
          <w:rFonts w:asciiTheme="minorHAnsi" w:hAnsiTheme="minorHAnsi" w:cstheme="minorHAnsi"/>
        </w:rPr>
        <w:t xml:space="preserve"> Integra Group</w:t>
      </w:r>
      <w:r w:rsidR="00307AED" w:rsidRPr="005351BC">
        <w:rPr>
          <w:rFonts w:asciiTheme="minorHAnsi" w:hAnsiTheme="minorHAnsi" w:cstheme="minorHAnsi"/>
        </w:rPr>
        <w:t xml:space="preserve"> (2020)</w:t>
      </w:r>
      <w:r w:rsidRPr="005351BC">
        <w:rPr>
          <w:rFonts w:asciiTheme="minorHAnsi" w:hAnsiTheme="minorHAnsi" w:cstheme="minorHAnsi"/>
        </w:rPr>
        <w:t xml:space="preserve">, Thriving Community of Lucas Set to Grow, available </w:t>
      </w:r>
      <w:hyperlink r:id="rId35" w:history="1">
        <w:r w:rsidRPr="005351BC">
          <w:rPr>
            <w:rStyle w:val="Hyperlink"/>
            <w:rFonts w:asciiTheme="minorHAnsi" w:hAnsiTheme="minorHAnsi" w:cstheme="minorHAnsi"/>
          </w:rPr>
          <w:t>here</w:t>
        </w:r>
      </w:hyperlink>
      <w:r w:rsidRPr="005351BC">
        <w:rPr>
          <w:rFonts w:asciiTheme="minorHAnsi" w:hAnsiTheme="minorHAnsi" w:cstheme="minorHAnsi"/>
        </w:rPr>
        <w:t xml:space="preserve">. </w:t>
      </w:r>
    </w:p>
  </w:endnote>
  <w:endnote w:id="51">
    <w:p w14:paraId="1FAD1D6C" w14:textId="10BCAC3C" w:rsidR="00DB11BD" w:rsidRPr="005351BC" w:rsidRDefault="00DB11BD" w:rsidP="00C64CEF">
      <w:pPr>
        <w:pStyle w:val="EndnoteText"/>
        <w:rPr>
          <w:rFonts w:asciiTheme="minorHAnsi" w:hAnsiTheme="minorHAnsi" w:cstheme="minorHAnsi"/>
        </w:rPr>
      </w:pPr>
      <w:r w:rsidRPr="005351BC">
        <w:rPr>
          <w:rStyle w:val="EndnoteReference"/>
          <w:rFonts w:cstheme="minorHAnsi"/>
        </w:rPr>
        <w:endnoteRef/>
      </w:r>
      <w:r w:rsidRPr="005351BC">
        <w:rPr>
          <w:rFonts w:asciiTheme="minorHAnsi" w:hAnsiTheme="minorHAnsi" w:cstheme="minorHAnsi"/>
        </w:rPr>
        <w:t xml:space="preserve"> City of Greater Bendigo</w:t>
      </w:r>
      <w:r w:rsidR="00565D02" w:rsidRPr="005351BC">
        <w:rPr>
          <w:rFonts w:asciiTheme="minorHAnsi" w:hAnsiTheme="minorHAnsi" w:cstheme="minorHAnsi"/>
        </w:rPr>
        <w:t xml:space="preserve"> (2018)</w:t>
      </w:r>
      <w:r w:rsidRPr="005351BC">
        <w:rPr>
          <w:rFonts w:asciiTheme="minorHAnsi" w:hAnsiTheme="minorHAnsi" w:cstheme="minorHAnsi"/>
        </w:rPr>
        <w:t xml:space="preserve">, Greater Bendigo Housing Strategy, available </w:t>
      </w:r>
      <w:hyperlink r:id="rId36" w:history="1">
        <w:r w:rsidRPr="005351BC">
          <w:rPr>
            <w:rStyle w:val="Hyperlink"/>
            <w:rFonts w:asciiTheme="minorHAnsi" w:hAnsiTheme="minorHAnsi" w:cstheme="minorHAnsi"/>
          </w:rPr>
          <w:t>here</w:t>
        </w:r>
      </w:hyperlink>
      <w:r w:rsidRPr="005351BC">
        <w:rPr>
          <w:rFonts w:asciiTheme="minorHAnsi" w:hAnsiTheme="minorHAnsi" w:cstheme="minorHAnsi"/>
        </w:rPr>
        <w:t xml:space="preserve">. </w:t>
      </w:r>
    </w:p>
  </w:endnote>
  <w:endnote w:id="52">
    <w:p w14:paraId="4F4E736D" w14:textId="5C808942" w:rsidR="00DB11BD" w:rsidRPr="005351BC" w:rsidRDefault="00DB11BD" w:rsidP="00C64CEF">
      <w:pPr>
        <w:pStyle w:val="EndnoteText"/>
        <w:rPr>
          <w:rFonts w:asciiTheme="minorHAnsi" w:hAnsiTheme="minorHAnsi" w:cstheme="minorHAnsi"/>
        </w:rPr>
      </w:pPr>
      <w:r w:rsidRPr="005351BC">
        <w:rPr>
          <w:rStyle w:val="EndnoteReference"/>
          <w:rFonts w:cstheme="minorHAnsi"/>
        </w:rPr>
        <w:endnoteRef/>
      </w:r>
      <w:r w:rsidR="00565D02" w:rsidRPr="005351BC">
        <w:rPr>
          <w:rFonts w:asciiTheme="minorHAnsi" w:hAnsiTheme="minorHAnsi" w:cstheme="minorHAnsi"/>
        </w:rPr>
        <w:t xml:space="preserve"> Victorian Department of Environment, Land, Water and Planning Victoria (2019), Victoria in Future 2019, Population Projections 2016 - 2056, available </w:t>
      </w:r>
      <w:hyperlink r:id="rId37" w:history="1">
        <w:r w:rsidR="00565D02" w:rsidRPr="005351BC">
          <w:rPr>
            <w:rStyle w:val="Hyperlink"/>
            <w:rFonts w:asciiTheme="minorHAnsi" w:hAnsiTheme="minorHAnsi" w:cstheme="minorHAnsi"/>
          </w:rPr>
          <w:t>here</w:t>
        </w:r>
      </w:hyperlink>
      <w:r w:rsidR="00565D02" w:rsidRPr="005351BC">
        <w:rPr>
          <w:rFonts w:asciiTheme="minorHAnsi" w:hAnsiTheme="minorHAnsi" w:cstheme="minorHAnsi"/>
        </w:rPr>
        <w:t>.</w:t>
      </w:r>
    </w:p>
  </w:endnote>
  <w:endnote w:id="53">
    <w:p w14:paraId="4ABBB523" w14:textId="02029C32" w:rsidR="00DB11BD" w:rsidRPr="005351BC" w:rsidRDefault="00DB11BD" w:rsidP="0034679E">
      <w:pPr>
        <w:pStyle w:val="EndnoteText"/>
        <w:rPr>
          <w:rFonts w:asciiTheme="minorHAnsi" w:hAnsiTheme="minorHAnsi" w:cstheme="minorHAnsi"/>
        </w:rPr>
      </w:pPr>
      <w:r w:rsidRPr="005351BC">
        <w:rPr>
          <w:rStyle w:val="EndnoteReference"/>
          <w:rFonts w:cstheme="minorHAnsi"/>
        </w:rPr>
        <w:endnoteRef/>
      </w:r>
      <w:r w:rsidRPr="005351BC">
        <w:rPr>
          <w:rFonts w:asciiTheme="minorHAnsi" w:hAnsiTheme="minorHAnsi" w:cstheme="minorHAnsi"/>
        </w:rPr>
        <w:t xml:space="preserve"> E Koehn and J Irvine</w:t>
      </w:r>
      <w:r w:rsidR="00A8049F" w:rsidRPr="005351BC">
        <w:rPr>
          <w:rFonts w:asciiTheme="minorHAnsi" w:hAnsiTheme="minorHAnsi" w:cstheme="minorHAnsi"/>
        </w:rPr>
        <w:t xml:space="preserve"> (2021)</w:t>
      </w:r>
      <w:r w:rsidRPr="005351BC">
        <w:rPr>
          <w:rFonts w:asciiTheme="minorHAnsi" w:hAnsiTheme="minorHAnsi" w:cstheme="minorHAnsi"/>
        </w:rPr>
        <w:t>, The five-day office week is dead, long live the hybrid model, says productivity boss, Sydney Morning Herald,</w:t>
      </w:r>
      <w:r w:rsidR="00A8049F" w:rsidRPr="005351BC">
        <w:rPr>
          <w:rFonts w:asciiTheme="minorHAnsi" w:hAnsiTheme="minorHAnsi" w:cstheme="minorHAnsi"/>
        </w:rPr>
        <w:t xml:space="preserve"> </w:t>
      </w:r>
      <w:r w:rsidRPr="005351BC">
        <w:rPr>
          <w:rFonts w:asciiTheme="minorHAnsi" w:hAnsiTheme="minorHAnsi" w:cstheme="minorHAnsi"/>
        </w:rPr>
        <w:t xml:space="preserve">available </w:t>
      </w:r>
      <w:hyperlink r:id="rId38" w:history="1">
        <w:r w:rsidRPr="005351BC">
          <w:rPr>
            <w:rStyle w:val="Hyperlink"/>
            <w:rFonts w:asciiTheme="minorHAnsi" w:hAnsiTheme="minorHAnsi" w:cstheme="minorHAnsi"/>
          </w:rPr>
          <w:t>here</w:t>
        </w:r>
      </w:hyperlink>
      <w:r w:rsidRPr="005351BC">
        <w:rPr>
          <w:rFonts w:asciiTheme="minorHAnsi" w:hAnsiTheme="minorHAnsi" w:cstheme="minorHAnsi"/>
        </w:rPr>
        <w:t>.</w:t>
      </w:r>
    </w:p>
  </w:endnote>
  <w:endnote w:id="54">
    <w:p w14:paraId="0FAF0979" w14:textId="30D545A9" w:rsidR="00DB11BD" w:rsidRPr="005351BC" w:rsidRDefault="00DB11BD" w:rsidP="00C64CEF">
      <w:pPr>
        <w:pStyle w:val="EndnoteText"/>
        <w:rPr>
          <w:rFonts w:asciiTheme="minorHAnsi" w:hAnsiTheme="minorHAnsi" w:cstheme="minorHAnsi"/>
        </w:rPr>
      </w:pPr>
      <w:r w:rsidRPr="005351BC">
        <w:rPr>
          <w:rStyle w:val="EndnoteReference"/>
          <w:rFonts w:cstheme="minorHAnsi"/>
        </w:rPr>
        <w:endnoteRef/>
      </w:r>
      <w:r w:rsidRPr="005351BC">
        <w:rPr>
          <w:rFonts w:asciiTheme="minorHAnsi" w:hAnsiTheme="minorHAnsi" w:cstheme="minorHAnsi"/>
        </w:rPr>
        <w:t xml:space="preserve"> Kennedy</w:t>
      </w:r>
      <w:r w:rsidR="00B9047C" w:rsidRPr="005351BC">
        <w:rPr>
          <w:rFonts w:asciiTheme="minorHAnsi" w:hAnsiTheme="minorHAnsi" w:cstheme="minorHAnsi"/>
        </w:rPr>
        <w:t>, J &amp;</w:t>
      </w:r>
      <w:r w:rsidRPr="005351BC">
        <w:rPr>
          <w:rFonts w:asciiTheme="minorHAnsi" w:hAnsiTheme="minorHAnsi" w:cstheme="minorHAnsi"/>
        </w:rPr>
        <w:t xml:space="preserve"> et al</w:t>
      </w:r>
      <w:r w:rsidR="00B9047C" w:rsidRPr="005351BC">
        <w:rPr>
          <w:rFonts w:asciiTheme="minorHAnsi" w:hAnsiTheme="minorHAnsi" w:cstheme="minorHAnsi"/>
        </w:rPr>
        <w:t xml:space="preserve"> (2017), </w:t>
      </w:r>
      <w:r w:rsidRPr="005351BC">
        <w:rPr>
          <w:rFonts w:asciiTheme="minorHAnsi" w:hAnsiTheme="minorHAnsi" w:cstheme="minorHAnsi"/>
        </w:rPr>
        <w:t xml:space="preserve">Mapping the Melbourne Sharing Economy, University of Melbourne, </w:t>
      </w:r>
      <w:r w:rsidR="00581839" w:rsidRPr="005351BC">
        <w:rPr>
          <w:rFonts w:asciiTheme="minorHAnsi" w:hAnsiTheme="minorHAnsi" w:cstheme="minorHAnsi"/>
        </w:rPr>
        <w:t xml:space="preserve">available </w:t>
      </w:r>
      <w:hyperlink r:id="rId39" w:history="1">
        <w:r w:rsidR="00581839" w:rsidRPr="005351BC">
          <w:rPr>
            <w:rStyle w:val="Hyperlink"/>
            <w:rFonts w:asciiTheme="minorHAnsi" w:hAnsiTheme="minorHAnsi" w:cstheme="minorHAnsi"/>
          </w:rPr>
          <w:t>here.</w:t>
        </w:r>
      </w:hyperlink>
      <w:r w:rsidR="00581839" w:rsidRPr="005351BC">
        <w:rPr>
          <w:rFonts w:asciiTheme="minorHAnsi" w:hAnsiTheme="minorHAnsi" w:cstheme="minorHAnsi"/>
        </w:rPr>
        <w:t xml:space="preserve"> </w:t>
      </w:r>
    </w:p>
  </w:endnote>
  <w:endnote w:id="55">
    <w:p w14:paraId="6CE83FDC" w14:textId="3A656D76" w:rsidR="00DB11BD" w:rsidRPr="005351BC" w:rsidRDefault="00DB11BD" w:rsidP="00C64CEF">
      <w:pPr>
        <w:pStyle w:val="EndnoteText"/>
        <w:rPr>
          <w:rFonts w:asciiTheme="minorHAnsi" w:hAnsiTheme="minorHAnsi" w:cstheme="minorHAnsi"/>
        </w:rPr>
      </w:pPr>
      <w:r w:rsidRPr="005351BC">
        <w:rPr>
          <w:rStyle w:val="EndnoteReference"/>
          <w:rFonts w:cstheme="minorHAnsi"/>
        </w:rPr>
        <w:endnoteRef/>
      </w:r>
      <w:r w:rsidRPr="005351BC">
        <w:rPr>
          <w:rFonts w:asciiTheme="minorHAnsi" w:hAnsiTheme="minorHAnsi" w:cstheme="minorHAnsi"/>
        </w:rPr>
        <w:t xml:space="preserve"> </w:t>
      </w:r>
      <w:r w:rsidR="002133D8" w:rsidRPr="005351BC">
        <w:rPr>
          <w:rFonts w:asciiTheme="minorHAnsi" w:hAnsiTheme="minorHAnsi" w:cstheme="minorHAnsi"/>
        </w:rPr>
        <w:t>VSC</w:t>
      </w:r>
      <w:r w:rsidR="0095592A" w:rsidRPr="005351BC">
        <w:rPr>
          <w:rFonts w:asciiTheme="minorHAnsi" w:hAnsiTheme="minorHAnsi" w:cstheme="minorHAnsi"/>
        </w:rPr>
        <w:t xml:space="preserve"> (2020), Sector Snapshot: Victoria’s Real Estate Sector, available </w:t>
      </w:r>
      <w:hyperlink r:id="rId40" w:history="1">
        <w:r w:rsidR="0095592A" w:rsidRPr="005351BC">
          <w:rPr>
            <w:rStyle w:val="Hyperlink"/>
            <w:rFonts w:asciiTheme="minorHAnsi" w:hAnsiTheme="minorHAnsi" w:cstheme="minorHAnsi"/>
          </w:rPr>
          <w:t>here</w:t>
        </w:r>
      </w:hyperlink>
      <w:r w:rsidR="0095592A" w:rsidRPr="005351BC">
        <w:rPr>
          <w:rFonts w:asciiTheme="minorHAnsi" w:hAnsiTheme="minorHAnsi" w:cstheme="minorHAnsi"/>
        </w:rPr>
        <w:t>.</w:t>
      </w:r>
    </w:p>
  </w:endnote>
  <w:endnote w:id="56">
    <w:p w14:paraId="24E6BD01" w14:textId="070A26C4" w:rsidR="00DB11BD" w:rsidRPr="005351BC" w:rsidRDefault="00DB11BD" w:rsidP="00C64CEF">
      <w:pPr>
        <w:pStyle w:val="EndnoteText"/>
        <w:rPr>
          <w:rFonts w:asciiTheme="minorHAnsi" w:hAnsiTheme="minorHAnsi" w:cstheme="minorHAnsi"/>
        </w:rPr>
      </w:pPr>
      <w:r w:rsidRPr="005351BC">
        <w:rPr>
          <w:rStyle w:val="EndnoteReference"/>
          <w:rFonts w:cstheme="minorHAnsi"/>
        </w:rPr>
        <w:endnoteRef/>
      </w:r>
      <w:r w:rsidRPr="005351BC">
        <w:rPr>
          <w:rFonts w:asciiTheme="minorHAnsi" w:hAnsiTheme="minorHAnsi" w:cstheme="minorHAnsi"/>
        </w:rPr>
        <w:t xml:space="preserve"> Victorian Building Authority</w:t>
      </w:r>
      <w:r w:rsidR="0097279A" w:rsidRPr="005351BC">
        <w:rPr>
          <w:rFonts w:asciiTheme="minorHAnsi" w:hAnsiTheme="minorHAnsi" w:cstheme="minorHAnsi"/>
        </w:rPr>
        <w:t xml:space="preserve"> (2022)</w:t>
      </w:r>
      <w:r w:rsidRPr="005351BC">
        <w:rPr>
          <w:rFonts w:asciiTheme="minorHAnsi" w:hAnsiTheme="minorHAnsi" w:cstheme="minorHAnsi"/>
        </w:rPr>
        <w:t xml:space="preserve">, Combustible Cladding, available </w:t>
      </w:r>
      <w:hyperlink r:id="rId41" w:history="1">
        <w:r w:rsidRPr="005351BC">
          <w:rPr>
            <w:rStyle w:val="Hyperlink"/>
            <w:rFonts w:asciiTheme="minorHAnsi" w:hAnsiTheme="minorHAnsi" w:cstheme="minorHAnsi"/>
          </w:rPr>
          <w:t>here</w:t>
        </w:r>
      </w:hyperlink>
      <w:r w:rsidRPr="005351BC">
        <w:rPr>
          <w:rFonts w:asciiTheme="minorHAnsi" w:hAnsiTheme="minorHAnsi" w:cstheme="minorHAnsi"/>
        </w:rPr>
        <w:t xml:space="preserve">. </w:t>
      </w:r>
    </w:p>
  </w:endnote>
  <w:endnote w:id="57">
    <w:p w14:paraId="42EDA05C" w14:textId="3B86DC05" w:rsidR="00DB11BD" w:rsidRPr="005351BC" w:rsidRDefault="00DB11BD" w:rsidP="00C64CEF">
      <w:pPr>
        <w:pStyle w:val="EndnoteText"/>
        <w:rPr>
          <w:rFonts w:asciiTheme="minorHAnsi" w:hAnsiTheme="minorHAnsi" w:cstheme="minorHAnsi"/>
        </w:rPr>
      </w:pPr>
      <w:r w:rsidRPr="005351BC">
        <w:rPr>
          <w:rStyle w:val="EndnoteReference"/>
          <w:rFonts w:cstheme="minorHAnsi"/>
        </w:rPr>
        <w:endnoteRef/>
      </w:r>
      <w:r w:rsidRPr="005351BC">
        <w:rPr>
          <w:rFonts w:asciiTheme="minorHAnsi" w:hAnsiTheme="minorHAnsi" w:cstheme="minorHAnsi"/>
        </w:rPr>
        <w:t xml:space="preserve"> Victorian Building Authority</w:t>
      </w:r>
      <w:r w:rsidR="0097279A" w:rsidRPr="005351BC">
        <w:rPr>
          <w:rFonts w:asciiTheme="minorHAnsi" w:hAnsiTheme="minorHAnsi" w:cstheme="minorHAnsi"/>
        </w:rPr>
        <w:t xml:space="preserve"> (2022)</w:t>
      </w:r>
      <w:r w:rsidRPr="005351BC">
        <w:rPr>
          <w:rFonts w:asciiTheme="minorHAnsi" w:hAnsiTheme="minorHAnsi" w:cstheme="minorHAnsi"/>
        </w:rPr>
        <w:t xml:space="preserve">, Combustible Cladding, available </w:t>
      </w:r>
      <w:hyperlink r:id="rId42" w:history="1">
        <w:r w:rsidRPr="005351BC">
          <w:rPr>
            <w:rStyle w:val="Hyperlink"/>
            <w:rFonts w:asciiTheme="minorHAnsi" w:hAnsiTheme="minorHAnsi" w:cstheme="minorHAnsi"/>
          </w:rPr>
          <w:t>here</w:t>
        </w:r>
      </w:hyperlink>
      <w:r w:rsidRPr="005351BC">
        <w:rPr>
          <w:rFonts w:asciiTheme="minorHAnsi" w:hAnsiTheme="minorHAnsi" w:cstheme="minorHAnsi"/>
        </w:rPr>
        <w:t>.</w:t>
      </w:r>
    </w:p>
  </w:endnote>
  <w:endnote w:id="58">
    <w:p w14:paraId="312DD0D3" w14:textId="3A75DE51" w:rsidR="00DB11BD" w:rsidRPr="005351BC" w:rsidRDefault="00DB11BD" w:rsidP="00C64CEF">
      <w:pPr>
        <w:pStyle w:val="EndnoteText"/>
        <w:rPr>
          <w:rFonts w:asciiTheme="minorHAnsi" w:hAnsiTheme="minorHAnsi" w:cstheme="minorHAnsi"/>
        </w:rPr>
      </w:pPr>
      <w:r w:rsidRPr="005351BC">
        <w:rPr>
          <w:rStyle w:val="EndnoteReference"/>
          <w:rFonts w:cstheme="minorHAnsi"/>
        </w:rPr>
        <w:endnoteRef/>
      </w:r>
      <w:r w:rsidRPr="005351BC">
        <w:rPr>
          <w:rFonts w:asciiTheme="minorHAnsi" w:hAnsiTheme="minorHAnsi" w:cstheme="minorHAnsi"/>
        </w:rPr>
        <w:t xml:space="preserve"> </w:t>
      </w:r>
      <w:r w:rsidR="0097279A" w:rsidRPr="005351BC">
        <w:rPr>
          <w:rFonts w:asciiTheme="minorHAnsi" w:hAnsiTheme="minorHAnsi" w:cstheme="minorHAnsi"/>
        </w:rPr>
        <w:t xml:space="preserve">Kennedy, J &amp; et al (2017), Mapping the Melbourne Sharing Economy, University of Melbourne, available </w:t>
      </w:r>
      <w:hyperlink r:id="rId43" w:history="1">
        <w:r w:rsidR="0097279A" w:rsidRPr="005351BC">
          <w:rPr>
            <w:rStyle w:val="Hyperlink"/>
            <w:rFonts w:asciiTheme="minorHAnsi" w:hAnsiTheme="minorHAnsi" w:cstheme="minorHAnsi"/>
          </w:rPr>
          <w:t>here.</w:t>
        </w:r>
      </w:hyperlink>
    </w:p>
  </w:endnote>
  <w:endnote w:id="59">
    <w:p w14:paraId="45B0FB9B" w14:textId="52968A5D" w:rsidR="00DB11BD" w:rsidRPr="005351BC" w:rsidRDefault="00DB11BD" w:rsidP="00C64CEF">
      <w:pPr>
        <w:pStyle w:val="EndnoteText"/>
        <w:rPr>
          <w:rFonts w:asciiTheme="minorHAnsi" w:hAnsiTheme="minorHAnsi" w:cstheme="minorHAnsi"/>
        </w:rPr>
      </w:pPr>
      <w:r w:rsidRPr="005351BC">
        <w:rPr>
          <w:rStyle w:val="EndnoteReference"/>
          <w:rFonts w:cstheme="minorHAnsi"/>
        </w:rPr>
        <w:endnoteRef/>
      </w:r>
      <w:r w:rsidRPr="005351BC">
        <w:rPr>
          <w:rFonts w:asciiTheme="minorHAnsi" w:hAnsiTheme="minorHAnsi" w:cstheme="minorHAnsi"/>
        </w:rPr>
        <w:t xml:space="preserve"> Wolfe, N</w:t>
      </w:r>
      <w:r w:rsidR="00C3593A" w:rsidRPr="005351BC">
        <w:rPr>
          <w:rFonts w:asciiTheme="minorHAnsi" w:hAnsiTheme="minorHAnsi" w:cstheme="minorHAnsi"/>
        </w:rPr>
        <w:t xml:space="preserve"> (2021)</w:t>
      </w:r>
      <w:r w:rsidRPr="005351BC">
        <w:rPr>
          <w:rFonts w:asciiTheme="minorHAnsi" w:hAnsiTheme="minorHAnsi" w:cstheme="minorHAnsi"/>
        </w:rPr>
        <w:t>, The great summer Australian roadtrip struggling as car rental prices soar</w:t>
      </w:r>
      <w:r w:rsidR="00C3593A" w:rsidRPr="005351BC">
        <w:rPr>
          <w:rFonts w:asciiTheme="minorHAnsi" w:hAnsiTheme="minorHAnsi" w:cstheme="minorHAnsi"/>
        </w:rPr>
        <w:t xml:space="preserve">, </w:t>
      </w:r>
      <w:r w:rsidRPr="005351BC">
        <w:rPr>
          <w:rFonts w:asciiTheme="minorHAnsi" w:hAnsiTheme="minorHAnsi" w:cstheme="minorHAnsi"/>
        </w:rPr>
        <w:t xml:space="preserve">available </w:t>
      </w:r>
      <w:hyperlink r:id="rId44" w:history="1">
        <w:r w:rsidRPr="005351BC">
          <w:rPr>
            <w:rStyle w:val="Hyperlink"/>
            <w:rFonts w:asciiTheme="minorHAnsi" w:hAnsiTheme="minorHAnsi" w:cstheme="minorHAnsi"/>
          </w:rPr>
          <w:t>here</w:t>
        </w:r>
      </w:hyperlink>
      <w:r w:rsidRPr="005351BC">
        <w:rPr>
          <w:rFonts w:asciiTheme="minorHAnsi" w:hAnsiTheme="minorHAnsi" w:cstheme="minorHAnsi"/>
        </w:rPr>
        <w:t xml:space="preserve">. </w:t>
      </w:r>
    </w:p>
  </w:endnote>
  <w:endnote w:id="60">
    <w:p w14:paraId="31B131B1" w14:textId="07720C7E" w:rsidR="00DB11BD" w:rsidRPr="005351BC" w:rsidRDefault="00DB11BD" w:rsidP="00C64CEF">
      <w:pPr>
        <w:pStyle w:val="EndnoteText"/>
        <w:rPr>
          <w:rFonts w:asciiTheme="minorHAnsi" w:hAnsiTheme="minorHAnsi" w:cstheme="minorHAnsi"/>
        </w:rPr>
      </w:pPr>
      <w:r w:rsidRPr="005351BC">
        <w:rPr>
          <w:rStyle w:val="EndnoteReference"/>
          <w:rFonts w:cstheme="minorHAnsi"/>
        </w:rPr>
        <w:endnoteRef/>
      </w:r>
      <w:r w:rsidRPr="005351BC">
        <w:rPr>
          <w:rFonts w:asciiTheme="minorHAnsi" w:hAnsiTheme="minorHAnsi" w:cstheme="minorHAnsi"/>
        </w:rPr>
        <w:t xml:space="preserve"> </w:t>
      </w:r>
      <w:r w:rsidR="004776C0" w:rsidRPr="005351BC">
        <w:rPr>
          <w:rFonts w:asciiTheme="minorHAnsi" w:hAnsiTheme="minorHAnsi" w:cstheme="minorHAnsi"/>
        </w:rPr>
        <w:t xml:space="preserve">Wolfe, N (2021), The great summer Australian roadtrip struggling as car rental prices soar, available </w:t>
      </w:r>
      <w:hyperlink r:id="rId45" w:history="1">
        <w:r w:rsidR="004776C0" w:rsidRPr="005351BC">
          <w:rPr>
            <w:rStyle w:val="Hyperlink"/>
            <w:rFonts w:asciiTheme="minorHAnsi" w:hAnsiTheme="minorHAnsi" w:cstheme="minorHAnsi"/>
          </w:rPr>
          <w:t>here</w:t>
        </w:r>
      </w:hyperlink>
      <w:r w:rsidR="004776C0" w:rsidRPr="005351BC">
        <w:rPr>
          <w:rFonts w:asciiTheme="minorHAnsi" w:hAnsiTheme="minorHAnsi" w:cstheme="minorHAnsi"/>
        </w:rPr>
        <w:t>.</w:t>
      </w:r>
    </w:p>
  </w:endnote>
  <w:endnote w:id="61">
    <w:p w14:paraId="465F6696" w14:textId="0E9E72BB" w:rsidR="00DB11BD" w:rsidRPr="005351BC" w:rsidRDefault="00DB11BD">
      <w:pPr>
        <w:pStyle w:val="EndnoteText"/>
        <w:rPr>
          <w:rFonts w:asciiTheme="minorHAnsi" w:hAnsiTheme="minorHAnsi" w:cstheme="minorHAnsi"/>
          <w:lang w:val="en-AU"/>
        </w:rPr>
      </w:pPr>
      <w:r w:rsidRPr="005351BC">
        <w:rPr>
          <w:rStyle w:val="EndnoteReference"/>
          <w:rFonts w:cstheme="minorHAnsi"/>
        </w:rPr>
        <w:endnoteRef/>
      </w:r>
      <w:r w:rsidRPr="005351BC">
        <w:rPr>
          <w:rFonts w:asciiTheme="minorHAnsi" w:hAnsiTheme="minorHAnsi" w:cstheme="minorHAnsi"/>
        </w:rPr>
        <w:t xml:space="preserve"> Meat &amp; Livestock Australia</w:t>
      </w:r>
      <w:r w:rsidR="004776C0" w:rsidRPr="005351BC">
        <w:rPr>
          <w:rFonts w:asciiTheme="minorHAnsi" w:hAnsiTheme="minorHAnsi" w:cstheme="minorHAnsi"/>
        </w:rPr>
        <w:t xml:space="preserve"> (2021)</w:t>
      </w:r>
      <w:r w:rsidRPr="005351BC">
        <w:rPr>
          <w:rFonts w:asciiTheme="minorHAnsi" w:hAnsiTheme="minorHAnsi" w:cstheme="minorHAnsi"/>
        </w:rPr>
        <w:t xml:space="preserve">, Industry Projections 2021, Australian Cattle, available </w:t>
      </w:r>
      <w:hyperlink r:id="rId46" w:history="1">
        <w:r w:rsidRPr="005351BC">
          <w:rPr>
            <w:rStyle w:val="Hyperlink"/>
            <w:rFonts w:asciiTheme="minorHAnsi" w:hAnsiTheme="minorHAnsi" w:cstheme="minorHAnsi"/>
          </w:rPr>
          <w:t>here</w:t>
        </w:r>
      </w:hyperlink>
      <w:r w:rsidRPr="005351BC">
        <w:rPr>
          <w:rFonts w:asciiTheme="minorHAnsi" w:hAnsiTheme="minorHAnsi" w:cstheme="minorHAnsi"/>
        </w:rPr>
        <w:t>.</w:t>
      </w:r>
    </w:p>
  </w:endnote>
  <w:endnote w:id="62">
    <w:p w14:paraId="3A2BDCBD" w14:textId="609E73A7" w:rsidR="00DB11BD" w:rsidRPr="005351BC" w:rsidRDefault="00DB11BD">
      <w:pPr>
        <w:pStyle w:val="EndnoteText"/>
        <w:rPr>
          <w:rFonts w:asciiTheme="minorHAnsi" w:hAnsiTheme="minorHAnsi" w:cstheme="minorHAnsi"/>
          <w:lang w:val="en-AU"/>
        </w:rPr>
      </w:pPr>
      <w:r w:rsidRPr="005351BC">
        <w:rPr>
          <w:rStyle w:val="EndnoteReference"/>
          <w:rFonts w:cstheme="minorHAnsi"/>
        </w:rPr>
        <w:endnoteRef/>
      </w:r>
      <w:r w:rsidRPr="005351BC">
        <w:rPr>
          <w:rFonts w:asciiTheme="minorHAnsi" w:hAnsiTheme="minorHAnsi" w:cstheme="minorHAnsi"/>
        </w:rPr>
        <w:t xml:space="preserve"> </w:t>
      </w:r>
      <w:r w:rsidR="004776C0" w:rsidRPr="005351BC">
        <w:rPr>
          <w:rFonts w:asciiTheme="minorHAnsi" w:hAnsiTheme="minorHAnsi" w:cstheme="minorHAnsi"/>
        </w:rPr>
        <w:t xml:space="preserve">Meat &amp; Livestock Australia (2021), Industry Projections 2021, Australian Cattle, available </w:t>
      </w:r>
      <w:hyperlink r:id="rId47" w:history="1">
        <w:r w:rsidR="004776C0" w:rsidRPr="005351BC">
          <w:rPr>
            <w:rStyle w:val="Hyperlink"/>
            <w:rFonts w:asciiTheme="minorHAnsi" w:hAnsiTheme="minorHAnsi" w:cstheme="minorHAnsi"/>
          </w:rPr>
          <w:t>here</w:t>
        </w:r>
      </w:hyperlink>
      <w:r w:rsidR="004776C0" w:rsidRPr="005351BC">
        <w:rPr>
          <w:rFonts w:asciiTheme="minorHAnsi" w:hAnsiTheme="minorHAnsi" w:cstheme="minorHAnsi"/>
        </w:rPr>
        <w:t>.</w:t>
      </w:r>
    </w:p>
  </w:endnote>
  <w:endnote w:id="63">
    <w:p w14:paraId="3B6F79C7" w14:textId="080D6665" w:rsidR="00DB11BD" w:rsidRPr="005351BC" w:rsidRDefault="00DB11BD" w:rsidP="00B904B5">
      <w:pPr>
        <w:pStyle w:val="EndnoteText"/>
        <w:rPr>
          <w:rFonts w:asciiTheme="minorHAnsi" w:hAnsiTheme="minorHAnsi" w:cstheme="minorHAnsi"/>
        </w:rPr>
      </w:pPr>
      <w:r w:rsidRPr="005351BC">
        <w:rPr>
          <w:rStyle w:val="EndnoteReference"/>
          <w:rFonts w:cstheme="minorHAnsi"/>
        </w:rPr>
        <w:endnoteRef/>
      </w:r>
      <w:r w:rsidRPr="005351BC">
        <w:rPr>
          <w:rFonts w:asciiTheme="minorHAnsi" w:hAnsiTheme="minorHAnsi" w:cstheme="minorHAnsi"/>
        </w:rPr>
        <w:t xml:space="preserve"> Brann, M</w:t>
      </w:r>
      <w:r w:rsidR="00C66BE7" w:rsidRPr="005351BC">
        <w:rPr>
          <w:rFonts w:asciiTheme="minorHAnsi" w:hAnsiTheme="minorHAnsi" w:cstheme="minorHAnsi"/>
        </w:rPr>
        <w:t xml:space="preserve"> (2021)</w:t>
      </w:r>
      <w:r w:rsidRPr="005351BC">
        <w:rPr>
          <w:rFonts w:asciiTheme="minorHAnsi" w:hAnsiTheme="minorHAnsi" w:cstheme="minorHAnsi"/>
        </w:rPr>
        <w:t xml:space="preserve">, Australian cattle price hits record highs off the back of November rain, ABC News, available </w:t>
      </w:r>
      <w:hyperlink r:id="rId48" w:history="1">
        <w:r w:rsidRPr="005351BC">
          <w:rPr>
            <w:rStyle w:val="Hyperlink"/>
            <w:rFonts w:asciiTheme="minorHAnsi" w:hAnsiTheme="minorHAnsi" w:cstheme="minorHAnsi"/>
          </w:rPr>
          <w:t>here</w:t>
        </w:r>
      </w:hyperlink>
      <w:r w:rsidRPr="005351BC">
        <w:rPr>
          <w:rFonts w:asciiTheme="minorHAnsi" w:hAnsiTheme="minorHAnsi" w:cstheme="minorHAnsi"/>
        </w:rPr>
        <w:t>.</w:t>
      </w:r>
    </w:p>
  </w:endnote>
  <w:endnote w:id="64">
    <w:p w14:paraId="04E1D41C" w14:textId="77777777" w:rsidR="00CD1CBC" w:rsidRPr="005351BC" w:rsidRDefault="00CD1CBC" w:rsidP="00CD1CBC">
      <w:pPr>
        <w:pStyle w:val="EndnoteText"/>
        <w:rPr>
          <w:rFonts w:cs="Arial"/>
        </w:rPr>
      </w:pPr>
      <w:r w:rsidRPr="005351BC">
        <w:rPr>
          <w:rStyle w:val="EndnoteReference"/>
          <w:rFonts w:cs="Arial"/>
        </w:rPr>
        <w:endnoteRef/>
      </w:r>
      <w:r w:rsidRPr="005351BC">
        <w:rPr>
          <w:rFonts w:cs="Arial"/>
        </w:rPr>
        <w:t xml:space="preserve"> VSA and Nous (2022), modelling of NSC (2022) Employment Projections.</w:t>
      </w:r>
    </w:p>
  </w:endnote>
  <w:endnote w:id="65">
    <w:p w14:paraId="6692F8EE" w14:textId="77777777" w:rsidR="00CD1CBC" w:rsidRPr="005351BC" w:rsidRDefault="00CD1CBC" w:rsidP="00CD1CBC">
      <w:pPr>
        <w:pStyle w:val="EndnoteText"/>
        <w:rPr>
          <w:rFonts w:cs="Arial"/>
        </w:rPr>
      </w:pPr>
      <w:r w:rsidRPr="005351BC">
        <w:rPr>
          <w:rStyle w:val="EndnoteReference"/>
          <w:rFonts w:cs="Arial"/>
        </w:rPr>
        <w:endnoteRef/>
      </w:r>
      <w:r w:rsidRPr="005351BC">
        <w:rPr>
          <w:rFonts w:cs="Arial"/>
        </w:rPr>
        <w:t xml:space="preserve"> </w:t>
      </w:r>
      <w:r w:rsidRPr="005351BC">
        <w:rPr>
          <w:rFonts w:cs="Arial"/>
          <w:color w:val="242424"/>
          <w:shd w:val="clear" w:color="auto" w:fill="FFFFFF"/>
        </w:rPr>
        <w:t>VSA and Nous (2022), modelling based on Australian Bureau of Statistics, Labour Force, February 2022.</w:t>
      </w:r>
    </w:p>
  </w:endnote>
  <w:endnote w:id="66">
    <w:p w14:paraId="2F64BC98" w14:textId="77777777" w:rsidR="00CD1CBC" w:rsidRPr="005351BC" w:rsidRDefault="00CD1CBC" w:rsidP="00CD1CBC">
      <w:pPr>
        <w:pStyle w:val="EndnoteText"/>
        <w:rPr>
          <w:rFonts w:cs="Arial"/>
        </w:rPr>
      </w:pPr>
      <w:r w:rsidRPr="005351BC">
        <w:rPr>
          <w:rStyle w:val="EndnoteReference"/>
          <w:rFonts w:cs="Arial"/>
        </w:rPr>
        <w:endnoteRef/>
      </w:r>
      <w:r w:rsidRPr="005351BC">
        <w:rPr>
          <w:rFonts w:cs="Arial"/>
        </w:rPr>
        <w:t xml:space="preserve"> ABS (February 2022), Labour Force Quarterly, Employment by industry (Victoria), available </w:t>
      </w:r>
      <w:hyperlink r:id="rId49" w:history="1">
        <w:r w:rsidRPr="005351BC">
          <w:rPr>
            <w:rStyle w:val="Hyperlink"/>
            <w:rFonts w:cs="Arial"/>
          </w:rPr>
          <w:t>here</w:t>
        </w:r>
      </w:hyperlink>
      <w:r w:rsidRPr="005351BC">
        <w:rPr>
          <w:rFonts w:cs="Arial"/>
        </w:rPr>
        <w:t>.</w:t>
      </w:r>
    </w:p>
  </w:endnote>
  <w:endnote w:id="67">
    <w:p w14:paraId="46A3EFE8" w14:textId="77777777" w:rsidR="00CD1CBC" w:rsidRPr="005351BC" w:rsidRDefault="00CD1CBC" w:rsidP="00CD1CBC">
      <w:pPr>
        <w:pStyle w:val="FootnoteText"/>
        <w:rPr>
          <w:rFonts w:cs="Arial"/>
          <w:sz w:val="20"/>
        </w:rPr>
      </w:pPr>
      <w:r w:rsidRPr="005351BC">
        <w:rPr>
          <w:rStyle w:val="EndnoteReference"/>
          <w:rFonts w:cs="Arial"/>
          <w:sz w:val="20"/>
        </w:rPr>
        <w:endnoteRef/>
      </w:r>
      <w:r w:rsidRPr="005351BC">
        <w:rPr>
          <w:rFonts w:cs="Arial"/>
          <w:sz w:val="20"/>
        </w:rPr>
        <w:t xml:space="preserve"> VSA and Nous (2022), modelling of NSC (2022) Employment Projections.</w:t>
      </w:r>
    </w:p>
  </w:endnote>
  <w:endnote w:id="68">
    <w:p w14:paraId="1A376536" w14:textId="77777777" w:rsidR="00CD1CBC" w:rsidRPr="005351BC" w:rsidRDefault="00CD1CBC" w:rsidP="00CD1CBC">
      <w:pPr>
        <w:pStyle w:val="EndnoteText"/>
        <w:rPr>
          <w:rFonts w:cs="Arial"/>
        </w:rPr>
      </w:pPr>
      <w:r w:rsidRPr="005351BC">
        <w:rPr>
          <w:rStyle w:val="EndnoteReference"/>
          <w:rFonts w:cs="Arial"/>
        </w:rPr>
        <w:endnoteRef/>
      </w:r>
      <w:r w:rsidRPr="005351BC">
        <w:rPr>
          <w:rFonts w:cs="Arial"/>
        </w:rPr>
        <w:t xml:space="preserve"> VSA and Nous (2022), modelling based on Australian Bureau of Statistics, Labour Force, February 2022.</w:t>
      </w:r>
    </w:p>
  </w:endnote>
  <w:endnote w:id="69">
    <w:p w14:paraId="5A32787F" w14:textId="77777777" w:rsidR="00CD1CBC" w:rsidRPr="005351BC" w:rsidRDefault="00CD1CBC" w:rsidP="00CD1CBC">
      <w:pPr>
        <w:pStyle w:val="EndnoteText"/>
        <w:rPr>
          <w:rFonts w:cs="Arial"/>
        </w:rPr>
      </w:pPr>
      <w:r w:rsidRPr="005351BC">
        <w:rPr>
          <w:rStyle w:val="EndnoteReference"/>
          <w:rFonts w:cs="Arial"/>
        </w:rPr>
        <w:endnoteRef/>
      </w:r>
      <w:r w:rsidRPr="005351BC">
        <w:rPr>
          <w:rFonts w:cs="Arial"/>
        </w:rPr>
        <w:t xml:space="preserve"> ABS (February 2022), Labour Force Quarterly, Employment by industry (Victoria), available </w:t>
      </w:r>
      <w:hyperlink r:id="rId50" w:history="1">
        <w:r w:rsidRPr="005351BC">
          <w:rPr>
            <w:rStyle w:val="Hyperlink"/>
            <w:rFonts w:cs="Arial"/>
          </w:rPr>
          <w:t>here</w:t>
        </w:r>
      </w:hyperlink>
      <w:r w:rsidRPr="005351BC">
        <w:rPr>
          <w:rFonts w:cs="Arial"/>
        </w:rPr>
        <w:t>.</w:t>
      </w:r>
    </w:p>
  </w:endnote>
  <w:endnote w:id="70">
    <w:p w14:paraId="64838F6D" w14:textId="0D78BA34" w:rsidR="00FC796F" w:rsidRPr="005351BC" w:rsidRDefault="00FC796F" w:rsidP="00FC796F">
      <w:pPr>
        <w:pStyle w:val="EndnoteText"/>
        <w:rPr>
          <w:rFonts w:asciiTheme="minorHAnsi" w:hAnsiTheme="minorHAnsi" w:cstheme="minorHAnsi"/>
        </w:rPr>
      </w:pPr>
      <w:r w:rsidRPr="005351BC">
        <w:rPr>
          <w:rStyle w:val="EndnoteReference"/>
          <w:rFonts w:cstheme="minorHAnsi"/>
        </w:rPr>
        <w:endnoteRef/>
      </w:r>
      <w:r w:rsidRPr="005351BC">
        <w:rPr>
          <w:rFonts w:asciiTheme="minorHAnsi" w:hAnsiTheme="minorHAnsi" w:cstheme="minorHAnsi"/>
        </w:rPr>
        <w:t xml:space="preserve"> </w:t>
      </w:r>
      <w:r w:rsidR="00C45105" w:rsidRPr="005351BC">
        <w:rPr>
          <w:rFonts w:asciiTheme="minorHAnsi" w:hAnsiTheme="minorHAnsi" w:cstheme="minorHAnsi"/>
        </w:rPr>
        <w:t>VSA and</w:t>
      </w:r>
      <w:r w:rsidRPr="005351BC">
        <w:rPr>
          <w:rFonts w:asciiTheme="minorHAnsi" w:hAnsiTheme="minorHAnsi" w:cstheme="minorHAnsi"/>
        </w:rPr>
        <w:t xml:space="preserve"> </w:t>
      </w:r>
      <w:r w:rsidR="00F50EA0" w:rsidRPr="005351BC">
        <w:rPr>
          <w:rFonts w:asciiTheme="minorHAnsi" w:hAnsiTheme="minorHAnsi" w:cstheme="minorHAnsi"/>
        </w:rPr>
        <w:t>Nous (2022), modelling of NSC (2022) Employment Projections.</w:t>
      </w:r>
    </w:p>
  </w:endnote>
  <w:endnote w:id="71">
    <w:p w14:paraId="366B972D" w14:textId="0BF635F5" w:rsidR="008E223D" w:rsidRPr="005351BC" w:rsidRDefault="008E223D">
      <w:pPr>
        <w:pStyle w:val="EndnoteText"/>
        <w:rPr>
          <w:lang w:val="en-AU"/>
        </w:rPr>
      </w:pPr>
      <w:r w:rsidRPr="005351BC">
        <w:rPr>
          <w:rStyle w:val="EndnoteReference"/>
        </w:rPr>
        <w:endnoteRef/>
      </w:r>
      <w:r w:rsidRPr="005351BC">
        <w:t xml:space="preserve"> </w:t>
      </w:r>
      <w:r w:rsidR="00C45105" w:rsidRPr="005351BC">
        <w:t>VSA and</w:t>
      </w:r>
      <w:r w:rsidRPr="005351BC">
        <w:t xml:space="preserve"> </w:t>
      </w:r>
      <w:r w:rsidRPr="005351BC">
        <w:rPr>
          <w:rFonts w:asciiTheme="minorHAnsi" w:hAnsiTheme="minorHAnsi" w:cstheme="minorHAnsi"/>
        </w:rPr>
        <w:t>Nous (2022), modelling of NSC (2022) Employment Projections.</w:t>
      </w:r>
    </w:p>
  </w:endnote>
  <w:endnote w:id="72">
    <w:p w14:paraId="41EC338B" w14:textId="06E1A0DB" w:rsidR="008E223D" w:rsidRPr="005351BC" w:rsidRDefault="008E223D">
      <w:pPr>
        <w:pStyle w:val="EndnoteText"/>
        <w:rPr>
          <w:lang w:val="en-AU"/>
        </w:rPr>
      </w:pPr>
      <w:r w:rsidRPr="005351BC">
        <w:rPr>
          <w:rStyle w:val="EndnoteReference"/>
        </w:rPr>
        <w:endnoteRef/>
      </w:r>
      <w:r w:rsidRPr="005351BC">
        <w:t xml:space="preserve"> VSA, DAE and Nous (2022), Retirement projections 2022-2025.</w:t>
      </w:r>
    </w:p>
  </w:endnote>
  <w:endnote w:id="73">
    <w:p w14:paraId="03EEE5DD" w14:textId="33B87D78" w:rsidR="001D0685" w:rsidRPr="005351BC" w:rsidRDefault="001D0685" w:rsidP="001D0685">
      <w:pPr>
        <w:spacing w:after="0" w:line="240" w:lineRule="auto"/>
        <w:rPr>
          <w:rFonts w:asciiTheme="minorHAnsi" w:hAnsiTheme="minorHAnsi" w:cstheme="minorHAnsi"/>
          <w:szCs w:val="20"/>
          <w:lang w:val="en-AU"/>
        </w:rPr>
      </w:pPr>
      <w:r w:rsidRPr="005351BC">
        <w:rPr>
          <w:rFonts w:asciiTheme="minorHAnsi" w:eastAsia="Times New Roman" w:hAnsiTheme="minorHAnsi" w:cstheme="minorHAnsi"/>
          <w:szCs w:val="20"/>
          <w:vertAlign w:val="superscript"/>
          <w:lang w:val="en-AU" w:eastAsia="en-AU"/>
        </w:rPr>
        <w:endnoteRef/>
      </w:r>
      <w:r w:rsidRPr="005351BC">
        <w:rPr>
          <w:rFonts w:asciiTheme="minorHAnsi" w:eastAsia="Times New Roman" w:hAnsiTheme="minorHAnsi" w:cstheme="minorHAnsi"/>
          <w:szCs w:val="20"/>
          <w:vertAlign w:val="superscript"/>
          <w:lang w:val="en-AU" w:eastAsia="en-AU"/>
        </w:rPr>
        <w:t xml:space="preserve"> </w:t>
      </w:r>
      <w:r w:rsidR="00B90660" w:rsidRPr="005351BC">
        <w:rPr>
          <w:rFonts w:asciiTheme="minorHAnsi" w:eastAsia="Times New Roman" w:hAnsiTheme="minorHAnsi" w:cstheme="minorHAnsi"/>
          <w:szCs w:val="20"/>
          <w:lang w:val="en-AU" w:eastAsia="en-AU"/>
        </w:rPr>
        <w:t>VSA and</w:t>
      </w:r>
      <w:r w:rsidRPr="005351BC">
        <w:rPr>
          <w:rFonts w:asciiTheme="minorHAnsi" w:eastAsia="Times New Roman" w:hAnsiTheme="minorHAnsi" w:cstheme="minorHAnsi"/>
          <w:szCs w:val="20"/>
          <w:lang w:val="en-AU" w:eastAsia="en-AU"/>
        </w:rPr>
        <w:t xml:space="preserve"> Nous (2022), modelling of NSC (2022) Employment Projections</w:t>
      </w:r>
    </w:p>
  </w:endnote>
  <w:endnote w:id="74">
    <w:p w14:paraId="6C396C3D" w14:textId="77777777" w:rsidR="009A237A" w:rsidRPr="005351BC" w:rsidRDefault="009A237A" w:rsidP="009A237A">
      <w:pPr>
        <w:pStyle w:val="FootnoteText"/>
        <w:rPr>
          <w:rFonts w:cs="Arial"/>
          <w:sz w:val="20"/>
        </w:rPr>
      </w:pPr>
      <w:r w:rsidRPr="005351BC">
        <w:rPr>
          <w:rStyle w:val="EndnoteReference"/>
          <w:rFonts w:cs="Arial"/>
          <w:sz w:val="20"/>
        </w:rPr>
        <w:endnoteRef/>
      </w:r>
      <w:r w:rsidRPr="005351BC">
        <w:rPr>
          <w:rFonts w:cs="Arial"/>
          <w:sz w:val="20"/>
        </w:rPr>
        <w:t xml:space="preserve"> VSA and Nous (2022), modelling of NSC (2022) Employment Projections.</w:t>
      </w:r>
    </w:p>
  </w:endnote>
  <w:endnote w:id="75">
    <w:p w14:paraId="71FA5EF0" w14:textId="77777777" w:rsidR="009A237A" w:rsidRPr="005351BC" w:rsidRDefault="009A237A" w:rsidP="009A237A">
      <w:pPr>
        <w:pStyle w:val="EndnoteText"/>
      </w:pPr>
      <w:r w:rsidRPr="005351BC">
        <w:rPr>
          <w:rStyle w:val="EndnoteReference"/>
          <w:rFonts w:cs="Arial"/>
        </w:rPr>
        <w:endnoteRef/>
      </w:r>
      <w:r w:rsidRPr="005351BC">
        <w:rPr>
          <w:rFonts w:cs="Arial"/>
        </w:rPr>
        <w:t xml:space="preserve"> </w:t>
      </w:r>
      <w:r w:rsidRPr="005351BC">
        <w:rPr>
          <w:rFonts w:cs="Arial"/>
          <w:color w:val="242424"/>
          <w:shd w:val="clear" w:color="auto" w:fill="FFFFFF"/>
        </w:rPr>
        <w:t>VSA and Nous (2022), modelling based on Australian Bureau of Statistics, Labour Force, February 2022.</w:t>
      </w:r>
    </w:p>
  </w:endnote>
  <w:endnote w:id="76">
    <w:p w14:paraId="09883857" w14:textId="330B94BD" w:rsidR="00C32967" w:rsidRPr="005351BC" w:rsidRDefault="00C32967" w:rsidP="00C32967">
      <w:pPr>
        <w:pStyle w:val="EndnoteText"/>
        <w:rPr>
          <w:rFonts w:asciiTheme="minorHAnsi" w:hAnsiTheme="minorHAnsi" w:cstheme="minorHAnsi"/>
        </w:rPr>
      </w:pPr>
      <w:r w:rsidRPr="005351BC">
        <w:rPr>
          <w:rStyle w:val="EndnoteReference"/>
          <w:rFonts w:cstheme="minorHAnsi"/>
        </w:rPr>
        <w:endnoteRef/>
      </w:r>
      <w:r w:rsidRPr="005351BC">
        <w:rPr>
          <w:rFonts w:asciiTheme="minorHAnsi" w:hAnsiTheme="minorHAnsi" w:cstheme="minorHAnsi"/>
        </w:rPr>
        <w:t xml:space="preserve"> </w:t>
      </w:r>
      <w:r w:rsidR="00302281" w:rsidRPr="005351BC">
        <w:t>National Skills Commission</w:t>
      </w:r>
      <w:r w:rsidR="00D81EF9" w:rsidRPr="005351BC">
        <w:t xml:space="preserve"> (</w:t>
      </w:r>
      <w:r w:rsidR="00B90660" w:rsidRPr="005351BC">
        <w:t>NSC)</w:t>
      </w:r>
      <w:r w:rsidR="00D81EF9" w:rsidRPr="005351BC">
        <w:t xml:space="preserve"> (2021), Emerging Occupations, available </w:t>
      </w:r>
      <w:hyperlink r:id="rId51" w:history="1">
        <w:r w:rsidR="00D81EF9" w:rsidRPr="005351BC">
          <w:rPr>
            <w:rStyle w:val="Hyperlink"/>
          </w:rPr>
          <w:t>here</w:t>
        </w:r>
      </w:hyperlink>
      <w:r w:rsidR="00D81EF9" w:rsidRPr="005351BC">
        <w:t xml:space="preserve">.  </w:t>
      </w:r>
    </w:p>
  </w:endnote>
  <w:endnote w:id="77">
    <w:p w14:paraId="4FE2F92C" w14:textId="602524C7" w:rsidR="00DB11BD" w:rsidRPr="005351BC" w:rsidRDefault="00DB11BD" w:rsidP="00D45895">
      <w:pPr>
        <w:pStyle w:val="EndnoteText"/>
        <w:rPr>
          <w:rFonts w:asciiTheme="minorHAnsi" w:hAnsiTheme="minorHAnsi" w:cstheme="minorHAnsi"/>
        </w:rPr>
      </w:pPr>
      <w:r w:rsidRPr="005351BC">
        <w:rPr>
          <w:rStyle w:val="EndnoteReference"/>
          <w:rFonts w:cstheme="minorHAnsi"/>
        </w:rPr>
        <w:endnoteRef/>
      </w:r>
      <w:r w:rsidRPr="005351BC">
        <w:rPr>
          <w:rFonts w:asciiTheme="minorHAnsi" w:hAnsiTheme="minorHAnsi" w:cstheme="minorHAnsi"/>
        </w:rPr>
        <w:t xml:space="preserve"> </w:t>
      </w:r>
      <w:r w:rsidR="00302281" w:rsidRPr="005351BC">
        <w:t>N</w:t>
      </w:r>
      <w:r w:rsidR="00B90660" w:rsidRPr="005351BC">
        <w:t>SC</w:t>
      </w:r>
      <w:r w:rsidR="00302281" w:rsidRPr="005351BC">
        <w:t xml:space="preserve"> </w:t>
      </w:r>
      <w:r w:rsidR="00D81EF9" w:rsidRPr="005351BC">
        <w:t xml:space="preserve">(2021), Emerging Occupations, available </w:t>
      </w:r>
      <w:hyperlink r:id="rId52" w:history="1">
        <w:r w:rsidR="00D81EF9" w:rsidRPr="005351BC">
          <w:rPr>
            <w:rStyle w:val="Hyperlink"/>
          </w:rPr>
          <w:t>here</w:t>
        </w:r>
      </w:hyperlink>
      <w:r w:rsidR="00D81EF9" w:rsidRPr="005351BC">
        <w:t xml:space="preserve">.  </w:t>
      </w:r>
    </w:p>
  </w:endnote>
  <w:endnote w:id="78">
    <w:p w14:paraId="7C53BB6C" w14:textId="0C00C920" w:rsidR="005C7F73" w:rsidRPr="005351BC" w:rsidRDefault="005C7F73">
      <w:pPr>
        <w:pStyle w:val="EndnoteText"/>
        <w:rPr>
          <w:lang w:val="en-AU"/>
        </w:rPr>
      </w:pPr>
      <w:r w:rsidRPr="005351BC">
        <w:rPr>
          <w:rStyle w:val="EndnoteReference"/>
        </w:rPr>
        <w:endnoteRef/>
      </w:r>
      <w:r w:rsidRPr="005351BC">
        <w:t xml:space="preserve"> </w:t>
      </w:r>
      <w:r w:rsidRPr="005351BC">
        <w:rPr>
          <w:rFonts w:eastAsia="Arial" w:cs="Arial"/>
        </w:rPr>
        <w:t>N</w:t>
      </w:r>
      <w:r w:rsidR="00B90660" w:rsidRPr="005351BC">
        <w:rPr>
          <w:rFonts w:eastAsia="Arial" w:cs="Arial"/>
        </w:rPr>
        <w:t>SC</w:t>
      </w:r>
      <w:r w:rsidRPr="005351BC">
        <w:rPr>
          <w:rFonts w:eastAsia="Arial" w:cs="Arial"/>
        </w:rPr>
        <w:t xml:space="preserve"> (2021), Skills Priority List, available </w:t>
      </w:r>
      <w:hyperlink r:id="rId53" w:history="1">
        <w:r w:rsidRPr="005351BC">
          <w:rPr>
            <w:rFonts w:eastAsia="Arial" w:cs="Arial"/>
            <w:color w:val="000000"/>
            <w:u w:val="single"/>
          </w:rPr>
          <w:t xml:space="preserve">here. </w:t>
        </w:r>
      </w:hyperlink>
    </w:p>
  </w:endnote>
  <w:endnote w:id="79">
    <w:p w14:paraId="64BD94FC" w14:textId="78ED9BD3" w:rsidR="00A7554A" w:rsidRPr="005351BC" w:rsidRDefault="00A7554A">
      <w:pPr>
        <w:pStyle w:val="EndnoteText"/>
        <w:rPr>
          <w:lang w:val="en-AU"/>
        </w:rPr>
      </w:pPr>
      <w:r w:rsidRPr="005351BC">
        <w:rPr>
          <w:rStyle w:val="EndnoteReference"/>
        </w:rPr>
        <w:endnoteRef/>
      </w:r>
      <w:r w:rsidRPr="005351BC">
        <w:t xml:space="preserve"> </w:t>
      </w:r>
      <w:r w:rsidRPr="005351BC">
        <w:rPr>
          <w:rFonts w:asciiTheme="minorHAnsi" w:hAnsiTheme="minorHAnsi" w:cstheme="minorHAnsi"/>
        </w:rPr>
        <w:t>Victorian Skills Plan consultation (2022), industry forum</w:t>
      </w:r>
    </w:p>
  </w:endnote>
  <w:endnote w:id="80">
    <w:p w14:paraId="7AB0CE86" w14:textId="15309A82" w:rsidR="00DB11BD" w:rsidRPr="005351BC" w:rsidRDefault="00DB11BD" w:rsidP="00AC496A">
      <w:pPr>
        <w:pStyle w:val="EndnoteText"/>
        <w:rPr>
          <w:rFonts w:asciiTheme="minorHAnsi" w:hAnsiTheme="minorHAnsi" w:cstheme="minorHAnsi"/>
        </w:rPr>
      </w:pPr>
      <w:r w:rsidRPr="005351BC">
        <w:rPr>
          <w:rStyle w:val="EndnoteReference"/>
          <w:rFonts w:cstheme="minorHAnsi"/>
        </w:rPr>
        <w:endnoteRef/>
      </w:r>
      <w:r w:rsidR="00D81EF9" w:rsidRPr="005351BC">
        <w:rPr>
          <w:rFonts w:asciiTheme="minorHAnsi" w:hAnsiTheme="minorHAnsi" w:cstheme="minorHAnsi"/>
        </w:rPr>
        <w:t xml:space="preserve"> V</w:t>
      </w:r>
      <w:r w:rsidR="00B90660" w:rsidRPr="005351BC">
        <w:rPr>
          <w:rFonts w:asciiTheme="minorHAnsi" w:hAnsiTheme="minorHAnsi" w:cstheme="minorHAnsi"/>
        </w:rPr>
        <w:t>SC</w:t>
      </w:r>
      <w:r w:rsidR="00D81EF9" w:rsidRPr="005351BC">
        <w:rPr>
          <w:rFonts w:asciiTheme="minorHAnsi" w:hAnsiTheme="minorHAnsi" w:cstheme="minorHAnsi"/>
        </w:rPr>
        <w:t xml:space="preserve"> (2020), Sector Snapshot: Victoria’s Real Estate Sector, available </w:t>
      </w:r>
      <w:hyperlink r:id="rId54" w:history="1">
        <w:r w:rsidR="00D81EF9" w:rsidRPr="005351BC">
          <w:rPr>
            <w:rStyle w:val="Hyperlink"/>
            <w:rFonts w:asciiTheme="minorHAnsi" w:hAnsiTheme="minorHAnsi" w:cstheme="minorHAnsi"/>
          </w:rPr>
          <w:t>here</w:t>
        </w:r>
      </w:hyperlink>
      <w:r w:rsidR="00D81EF9" w:rsidRPr="005351BC">
        <w:rPr>
          <w:rFonts w:asciiTheme="minorHAnsi" w:hAnsiTheme="minorHAnsi" w:cstheme="minorHAnsi"/>
        </w:rPr>
        <w:t>.</w:t>
      </w:r>
    </w:p>
  </w:endnote>
  <w:endnote w:id="81">
    <w:p w14:paraId="0A19C6CF" w14:textId="04A42474" w:rsidR="00160185" w:rsidRPr="005351BC" w:rsidRDefault="00160185">
      <w:pPr>
        <w:pStyle w:val="EndnoteText"/>
        <w:rPr>
          <w:lang w:val="en-AU"/>
        </w:rPr>
      </w:pPr>
      <w:r w:rsidRPr="005351BC">
        <w:rPr>
          <w:rStyle w:val="EndnoteReference"/>
        </w:rPr>
        <w:endnoteRef/>
      </w:r>
      <w:r w:rsidRPr="005351BC">
        <w:t xml:space="preserve"> </w:t>
      </w:r>
      <w:r w:rsidRPr="005351BC">
        <w:rPr>
          <w:rFonts w:asciiTheme="minorHAnsi" w:hAnsiTheme="minorHAnsi" w:cstheme="minorHAnsi"/>
        </w:rPr>
        <w:t>V</w:t>
      </w:r>
      <w:r w:rsidR="00B90660" w:rsidRPr="005351BC">
        <w:rPr>
          <w:rFonts w:asciiTheme="minorHAnsi" w:hAnsiTheme="minorHAnsi" w:cstheme="minorHAnsi"/>
        </w:rPr>
        <w:t>SC</w:t>
      </w:r>
      <w:r w:rsidRPr="005351BC">
        <w:rPr>
          <w:rFonts w:asciiTheme="minorHAnsi" w:hAnsiTheme="minorHAnsi" w:cstheme="minorHAnsi"/>
        </w:rPr>
        <w:t xml:space="preserve"> (2020), Sector Snapshot: Victoria’s Real Estate Sector, available </w:t>
      </w:r>
      <w:hyperlink r:id="rId55" w:history="1">
        <w:r w:rsidRPr="005351BC">
          <w:rPr>
            <w:rStyle w:val="Hyperlink"/>
            <w:rFonts w:asciiTheme="minorHAnsi" w:hAnsiTheme="minorHAnsi" w:cstheme="minorHAnsi"/>
          </w:rPr>
          <w:t>here</w:t>
        </w:r>
      </w:hyperlink>
      <w:r w:rsidRPr="005351BC">
        <w:rPr>
          <w:rFonts w:asciiTheme="minorHAnsi" w:hAnsiTheme="minorHAnsi" w:cstheme="minorHAnsi"/>
        </w:rPr>
        <w:t>.</w:t>
      </w:r>
    </w:p>
  </w:endnote>
  <w:endnote w:id="82">
    <w:p w14:paraId="59EBE58A" w14:textId="77777777" w:rsidR="00CF3FAF" w:rsidRPr="005351BC" w:rsidRDefault="00CF3FAF" w:rsidP="00CF3FAF">
      <w:pPr>
        <w:pStyle w:val="EndnoteText"/>
        <w:rPr>
          <w:rFonts w:asciiTheme="minorHAnsi" w:hAnsiTheme="minorHAnsi" w:cstheme="minorHAnsi"/>
        </w:rPr>
      </w:pPr>
      <w:r w:rsidRPr="005351BC">
        <w:rPr>
          <w:rFonts w:cstheme="minorHAnsi"/>
          <w:vertAlign w:val="superscript"/>
        </w:rPr>
        <w:endnoteRef/>
      </w:r>
      <w:r w:rsidRPr="005351BC">
        <w:rPr>
          <w:rFonts w:asciiTheme="minorHAnsi" w:hAnsiTheme="minorHAnsi" w:cstheme="minorHAnsi"/>
          <w:vertAlign w:val="superscript"/>
        </w:rPr>
        <w:t xml:space="preserve"> </w:t>
      </w:r>
      <w:r w:rsidRPr="005351BC">
        <w:rPr>
          <w:rFonts w:asciiTheme="minorHAnsi" w:hAnsiTheme="minorHAnsi" w:cstheme="minorHAnsi"/>
        </w:rPr>
        <w:t xml:space="preserve">NCVER (2021), Total VET students and courses 2020, available </w:t>
      </w:r>
      <w:hyperlink r:id="rId56" w:history="1">
        <w:r w:rsidRPr="005351BC">
          <w:rPr>
            <w:rFonts w:asciiTheme="minorHAnsi" w:hAnsiTheme="minorHAnsi" w:cstheme="minorHAnsi"/>
            <w:u w:val="single"/>
          </w:rPr>
          <w:t>here</w:t>
        </w:r>
      </w:hyperlink>
      <w:r w:rsidRPr="005351BC">
        <w:rPr>
          <w:rFonts w:asciiTheme="minorHAnsi" w:hAnsiTheme="minorHAnsi" w:cstheme="minorHAnsi"/>
        </w:rPr>
        <w:t>.</w:t>
      </w:r>
    </w:p>
  </w:endnote>
  <w:endnote w:id="83">
    <w:p w14:paraId="49D1D5AB" w14:textId="77777777" w:rsidR="00CF3FAF" w:rsidRPr="005351BC" w:rsidRDefault="00CF3FAF" w:rsidP="00CF3FAF">
      <w:pPr>
        <w:pStyle w:val="EndnoteText"/>
        <w:rPr>
          <w:lang w:val="en-AU"/>
        </w:rPr>
      </w:pPr>
      <w:r w:rsidRPr="005351BC">
        <w:rPr>
          <w:rFonts w:cstheme="minorHAnsi"/>
          <w:vertAlign w:val="superscript"/>
        </w:rPr>
        <w:endnoteRef/>
      </w:r>
      <w:r w:rsidRPr="005351BC">
        <w:rPr>
          <w:rFonts w:asciiTheme="minorHAnsi" w:hAnsiTheme="minorHAnsi" w:cstheme="minorHAnsi"/>
          <w:vertAlign w:val="superscript"/>
        </w:rPr>
        <w:t xml:space="preserve"> </w:t>
      </w:r>
      <w:r w:rsidRPr="005351BC">
        <w:rPr>
          <w:rFonts w:asciiTheme="minorHAnsi" w:hAnsiTheme="minorHAnsi" w:cstheme="minorHAnsi"/>
        </w:rPr>
        <w:t xml:space="preserve">Department of Education, Skills and Employment (2021), Selected Higher Education Statistics – 2019 Student data, available </w:t>
      </w:r>
      <w:hyperlink r:id="rId57" w:history="1">
        <w:r w:rsidRPr="005351BC">
          <w:rPr>
            <w:rFonts w:asciiTheme="minorHAnsi" w:hAnsiTheme="minorHAnsi" w:cstheme="minorHAnsi"/>
            <w:u w:val="single"/>
          </w:rPr>
          <w:t>here</w:t>
        </w:r>
        <w:r w:rsidRPr="005351BC">
          <w:rPr>
            <w:rFonts w:asciiTheme="minorHAnsi" w:hAnsiTheme="minorHAnsi" w:cstheme="minorHAnsi"/>
          </w:rPr>
          <w:t>.</w:t>
        </w:r>
      </w:hyperlink>
    </w:p>
  </w:endnote>
  <w:endnote w:id="84">
    <w:p w14:paraId="11FEE89A" w14:textId="77777777" w:rsidR="00CF3FAF" w:rsidRPr="005351BC" w:rsidRDefault="00CF3FAF" w:rsidP="00CF3FAF">
      <w:pPr>
        <w:pStyle w:val="EndnoteText"/>
        <w:rPr>
          <w:rFonts w:asciiTheme="minorHAnsi" w:hAnsiTheme="minorHAnsi" w:cstheme="minorHAnsi"/>
        </w:rPr>
      </w:pPr>
      <w:r w:rsidRPr="005351BC">
        <w:rPr>
          <w:rStyle w:val="EndnoteReference"/>
          <w:rFonts w:cstheme="minorHAnsi"/>
        </w:rPr>
        <w:endnoteRef/>
      </w:r>
      <w:r w:rsidRPr="005351BC">
        <w:rPr>
          <w:rFonts w:asciiTheme="minorHAnsi" w:hAnsiTheme="minorHAnsi" w:cstheme="minorHAnsi"/>
        </w:rPr>
        <w:t xml:space="preserve"> ABS Census (2016), Education attainment by industry (Victoria).</w:t>
      </w:r>
    </w:p>
  </w:endnote>
  <w:endnote w:id="85">
    <w:p w14:paraId="7B2E0980" w14:textId="77777777" w:rsidR="00CF3FAF" w:rsidRPr="005351BC" w:rsidRDefault="00CF3FAF" w:rsidP="00CF3FAF">
      <w:pPr>
        <w:pStyle w:val="EndnoteText"/>
        <w:rPr>
          <w:rFonts w:asciiTheme="minorHAnsi" w:hAnsiTheme="minorHAnsi" w:cstheme="minorHAnsi"/>
        </w:rPr>
      </w:pPr>
      <w:r w:rsidRPr="005351BC">
        <w:rPr>
          <w:rStyle w:val="EndnoteReference"/>
          <w:rFonts w:cstheme="minorHAnsi"/>
        </w:rPr>
        <w:endnoteRef/>
      </w:r>
      <w:r w:rsidRPr="005351BC">
        <w:rPr>
          <w:rFonts w:asciiTheme="minorHAnsi" w:hAnsiTheme="minorHAnsi" w:cstheme="minorHAnsi"/>
        </w:rPr>
        <w:t xml:space="preserve"> Victorian Department of Education and Training (DET) (2022), Funded course list, available </w:t>
      </w:r>
      <w:hyperlink r:id="rId58" w:history="1">
        <w:r w:rsidRPr="005351BC">
          <w:rPr>
            <w:rStyle w:val="Hyperlink"/>
            <w:rFonts w:asciiTheme="minorHAnsi" w:hAnsiTheme="minorHAnsi" w:cstheme="minorHAnsi"/>
          </w:rPr>
          <w:t>here</w:t>
        </w:r>
      </w:hyperlink>
      <w:r w:rsidRPr="005351BC">
        <w:rPr>
          <w:rFonts w:asciiTheme="minorHAnsi" w:hAnsiTheme="minorHAnsi" w:cstheme="minorHAnsi"/>
        </w:rPr>
        <w:t xml:space="preserve">. </w:t>
      </w:r>
    </w:p>
  </w:endnote>
  <w:endnote w:id="86">
    <w:p w14:paraId="302F5E20" w14:textId="77777777" w:rsidR="00CF3FAF" w:rsidRPr="005351BC" w:rsidRDefault="00CF3FAF" w:rsidP="00CF3FAF">
      <w:pPr>
        <w:pStyle w:val="EndnoteText"/>
        <w:rPr>
          <w:rFonts w:asciiTheme="minorHAnsi" w:hAnsiTheme="minorHAnsi" w:cstheme="minorHAnsi"/>
          <w:lang w:val="en-AU"/>
        </w:rPr>
      </w:pPr>
      <w:r w:rsidRPr="005351BC">
        <w:rPr>
          <w:rStyle w:val="EndnoteReference"/>
          <w:rFonts w:cstheme="minorHAnsi"/>
        </w:rPr>
        <w:endnoteRef/>
      </w:r>
      <w:r w:rsidRPr="005351BC">
        <w:rPr>
          <w:rFonts w:asciiTheme="minorHAnsi" w:hAnsiTheme="minorHAnsi" w:cstheme="minorHAnsi"/>
        </w:rPr>
        <w:t xml:space="preserve"> DET (2022), Funded Skill Set List, available </w:t>
      </w:r>
      <w:hyperlink r:id="rId59" w:history="1">
        <w:r w:rsidRPr="005351BC">
          <w:rPr>
            <w:rStyle w:val="Hyperlink"/>
            <w:rFonts w:asciiTheme="minorHAnsi" w:hAnsiTheme="minorHAnsi" w:cstheme="minorHAnsi"/>
          </w:rPr>
          <w:t>here</w:t>
        </w:r>
      </w:hyperlink>
      <w:r w:rsidRPr="005351BC">
        <w:rPr>
          <w:rFonts w:asciiTheme="minorHAnsi" w:hAnsiTheme="minorHAnsi" w:cstheme="minorHAnsi"/>
        </w:rPr>
        <w:t xml:space="preserve">. </w:t>
      </w:r>
    </w:p>
  </w:endnote>
  <w:endnote w:id="87">
    <w:p w14:paraId="243AB763" w14:textId="77777777" w:rsidR="00CF3FAF" w:rsidRPr="005351BC" w:rsidRDefault="00CF3FAF" w:rsidP="00CF3FAF">
      <w:pPr>
        <w:pStyle w:val="EndnoteText"/>
        <w:rPr>
          <w:rFonts w:asciiTheme="minorHAnsi" w:hAnsiTheme="minorHAnsi" w:cstheme="minorHAnsi"/>
        </w:rPr>
      </w:pPr>
      <w:r w:rsidRPr="005351BC">
        <w:rPr>
          <w:rStyle w:val="EndnoteReference"/>
          <w:rFonts w:cstheme="minorHAnsi"/>
        </w:rPr>
        <w:endnoteRef/>
      </w:r>
      <w:r w:rsidRPr="005351BC">
        <w:rPr>
          <w:rFonts w:asciiTheme="minorHAnsi" w:hAnsiTheme="minorHAnsi" w:cstheme="minorHAnsi"/>
        </w:rPr>
        <w:t xml:space="preserve"> </w:t>
      </w:r>
      <w:r w:rsidRPr="005351BC">
        <w:t>ABS Census (2016), Education attainment by industry (Victoria).</w:t>
      </w:r>
    </w:p>
  </w:endnote>
  <w:endnote w:id="88">
    <w:p w14:paraId="7B9A088F" w14:textId="77777777" w:rsidR="00CF3FAF" w:rsidRPr="005351BC" w:rsidRDefault="00CF3FAF" w:rsidP="00CF3FAF">
      <w:pPr>
        <w:pStyle w:val="EndnoteText"/>
        <w:rPr>
          <w:rFonts w:asciiTheme="minorHAnsi" w:hAnsiTheme="minorHAnsi" w:cstheme="minorHAnsi"/>
        </w:rPr>
      </w:pPr>
      <w:r w:rsidRPr="005351BC">
        <w:rPr>
          <w:rStyle w:val="EndnoteReference"/>
          <w:rFonts w:cstheme="minorHAnsi"/>
        </w:rPr>
        <w:endnoteRef/>
      </w:r>
      <w:r w:rsidRPr="005351BC">
        <w:rPr>
          <w:rFonts w:asciiTheme="minorHAnsi" w:hAnsiTheme="minorHAnsi" w:cstheme="minorHAnsi"/>
        </w:rPr>
        <w:t xml:space="preserve"> </w:t>
      </w:r>
      <w:r w:rsidRPr="005351BC">
        <w:t xml:space="preserve">NSC (2021), Skills Priority List, available </w:t>
      </w:r>
      <w:hyperlink r:id="rId60" w:history="1">
        <w:r w:rsidRPr="005351BC">
          <w:rPr>
            <w:rStyle w:val="Hyperlink"/>
          </w:rPr>
          <w:t xml:space="preserve">here. </w:t>
        </w:r>
      </w:hyperlink>
    </w:p>
  </w:endnote>
  <w:endnote w:id="89">
    <w:p w14:paraId="5F474D9C" w14:textId="77777777" w:rsidR="00CF3FAF" w:rsidRPr="005351BC" w:rsidRDefault="00CF3FAF" w:rsidP="00CF3FAF">
      <w:pPr>
        <w:pStyle w:val="EndnoteText"/>
        <w:rPr>
          <w:lang w:val="en-AU"/>
        </w:rPr>
      </w:pPr>
      <w:r w:rsidRPr="005351BC">
        <w:rPr>
          <w:rStyle w:val="EndnoteReference"/>
        </w:rPr>
        <w:endnoteRef/>
      </w:r>
      <w:r w:rsidRPr="005351BC">
        <w:t xml:space="preserve"> </w:t>
      </w:r>
      <w:r w:rsidRPr="005351BC">
        <w:rPr>
          <w:rFonts w:eastAsia="Arial" w:cs="Arial"/>
        </w:rPr>
        <w:t xml:space="preserve">Department of Education, Skills and Employment (2021), Selected Higher Education Statistics – 2019 Student data, available </w:t>
      </w:r>
      <w:hyperlink r:id="rId61" w:history="1">
        <w:r w:rsidRPr="005351BC">
          <w:rPr>
            <w:rFonts w:eastAsia="Arial" w:cs="Arial"/>
            <w:color w:val="000000"/>
            <w:u w:val="single"/>
          </w:rPr>
          <w:t>here.</w:t>
        </w:r>
      </w:hyperlink>
    </w:p>
  </w:endnote>
  <w:endnote w:id="90">
    <w:p w14:paraId="4D7936A8" w14:textId="77777777" w:rsidR="00CF3FAF" w:rsidRPr="005351BC" w:rsidRDefault="00CF3FAF" w:rsidP="00CF3FAF">
      <w:pPr>
        <w:pStyle w:val="EndnoteText"/>
        <w:rPr>
          <w:lang w:val="en-AU"/>
        </w:rPr>
      </w:pPr>
      <w:r w:rsidRPr="005351BC">
        <w:rPr>
          <w:rFonts w:cstheme="minorHAnsi"/>
          <w:vertAlign w:val="superscript"/>
        </w:rPr>
        <w:endnoteRef/>
      </w:r>
      <w:r w:rsidRPr="005351BC">
        <w:rPr>
          <w:rFonts w:asciiTheme="minorHAnsi" w:hAnsiTheme="minorHAnsi" w:cstheme="minorHAnsi"/>
        </w:rPr>
        <w:t xml:space="preserve"> Department of Education, Skills and Employment (2021), Selected Higher Education Statistics - 2019 Student data, available </w:t>
      </w:r>
      <w:hyperlink r:id="rId62" w:history="1">
        <w:r w:rsidRPr="005351BC">
          <w:rPr>
            <w:rFonts w:asciiTheme="minorHAnsi" w:hAnsiTheme="minorHAnsi" w:cstheme="minorHAnsi"/>
            <w:u w:val="single"/>
          </w:rPr>
          <w:t>here</w:t>
        </w:r>
      </w:hyperlink>
      <w:r w:rsidRPr="005351BC">
        <w:rPr>
          <w:rFonts w:ascii="Segoe UI" w:hAnsi="Segoe UI" w:cs="Segoe UI"/>
          <w:color w:val="242424"/>
          <w:shd w:val="clear" w:color="auto" w:fill="FFFFFF"/>
        </w:rPr>
        <w:t xml:space="preserve"> </w:t>
      </w:r>
    </w:p>
  </w:endnote>
  <w:endnote w:id="91">
    <w:p w14:paraId="37DEC162" w14:textId="43A37CF8" w:rsidR="007352F7" w:rsidRPr="005351BC" w:rsidRDefault="007352F7" w:rsidP="007352F7">
      <w:pPr>
        <w:pStyle w:val="EndnoteText"/>
        <w:rPr>
          <w:rFonts w:asciiTheme="minorHAnsi" w:hAnsiTheme="minorHAnsi" w:cstheme="minorHAnsi"/>
        </w:rPr>
      </w:pPr>
      <w:r w:rsidRPr="005351BC">
        <w:rPr>
          <w:rStyle w:val="EndnoteReference"/>
          <w:rFonts w:cstheme="minorHAnsi"/>
        </w:rPr>
        <w:endnoteRef/>
      </w:r>
      <w:r w:rsidRPr="005351BC">
        <w:rPr>
          <w:rFonts w:asciiTheme="minorHAnsi" w:hAnsiTheme="minorHAnsi" w:cstheme="minorHAnsi"/>
        </w:rPr>
        <w:t xml:space="preserve"> </w:t>
      </w:r>
      <w:r w:rsidR="004C13AC" w:rsidRPr="005351BC">
        <w:rPr>
          <w:rFonts w:asciiTheme="minorHAnsi" w:hAnsiTheme="minorHAnsi" w:cstheme="minorHAnsi"/>
        </w:rPr>
        <w:t>Australian Government National Careers Institute</w:t>
      </w:r>
      <w:r w:rsidR="001D2EF8" w:rsidRPr="005351BC">
        <w:rPr>
          <w:rFonts w:asciiTheme="minorHAnsi" w:hAnsiTheme="minorHAnsi" w:cstheme="minorHAnsi"/>
        </w:rPr>
        <w:t xml:space="preserve"> (202</w:t>
      </w:r>
      <w:r w:rsidR="00117789" w:rsidRPr="005351BC">
        <w:rPr>
          <w:rFonts w:asciiTheme="minorHAnsi" w:hAnsiTheme="minorHAnsi" w:cstheme="minorHAnsi"/>
        </w:rPr>
        <w:t xml:space="preserve">2), Certificate IV in Entrepreneurship and New Business, available </w:t>
      </w:r>
      <w:hyperlink r:id="rId63" w:history="1">
        <w:r w:rsidR="00117789" w:rsidRPr="005351BC">
          <w:rPr>
            <w:rStyle w:val="Hyperlink"/>
            <w:rFonts w:asciiTheme="minorHAnsi" w:hAnsiTheme="minorHAnsi" w:cstheme="minorHAnsi"/>
          </w:rPr>
          <w:t>here.</w:t>
        </w:r>
      </w:hyperlink>
      <w:r w:rsidR="00117789" w:rsidRPr="005351BC">
        <w:rPr>
          <w:rFonts w:asciiTheme="minorHAnsi" w:hAnsiTheme="minorHAnsi" w:cstheme="minorHAnsi"/>
        </w:rPr>
        <w:t xml:space="preserve"> </w:t>
      </w:r>
    </w:p>
  </w:endnote>
  <w:endnote w:id="92">
    <w:p w14:paraId="77ADAA7C" w14:textId="71FE018B" w:rsidR="007352F7" w:rsidRPr="005351BC" w:rsidRDefault="007352F7" w:rsidP="007352F7">
      <w:pPr>
        <w:pStyle w:val="EndnoteText"/>
      </w:pPr>
      <w:r w:rsidRPr="005351BC">
        <w:rPr>
          <w:rStyle w:val="EndnoteReference"/>
          <w:rFonts w:cstheme="minorHAnsi"/>
        </w:rPr>
        <w:endnoteRef/>
      </w:r>
      <w:r w:rsidRPr="005351BC">
        <w:rPr>
          <w:rFonts w:asciiTheme="minorHAnsi" w:hAnsiTheme="minorHAnsi" w:cstheme="minorHAnsi"/>
        </w:rPr>
        <w:t xml:space="preserve"> </w:t>
      </w:r>
      <w:r w:rsidR="00FC7E13" w:rsidRPr="005351BC">
        <w:rPr>
          <w:rFonts w:asciiTheme="minorHAnsi" w:hAnsiTheme="minorHAnsi" w:cstheme="minorHAnsi"/>
        </w:rPr>
        <w:t>VSC</w:t>
      </w:r>
      <w:r w:rsidR="001D2EF8" w:rsidRPr="005351BC">
        <w:rPr>
          <w:rFonts w:asciiTheme="minorHAnsi" w:hAnsiTheme="minorHAnsi" w:cstheme="minorHAnsi"/>
        </w:rPr>
        <w:t xml:space="preserve"> (2020), Sector Snapshot: Victoria’s Real Estate Sector, available </w:t>
      </w:r>
      <w:hyperlink r:id="rId64" w:history="1">
        <w:r w:rsidR="001D2EF8" w:rsidRPr="005351BC">
          <w:rPr>
            <w:rStyle w:val="Hyperlink"/>
            <w:rFonts w:asciiTheme="minorHAnsi" w:hAnsiTheme="minorHAnsi" w:cstheme="minorHAnsi"/>
          </w:rPr>
          <w:t>here</w:t>
        </w:r>
      </w:hyperlink>
      <w:r w:rsidR="001D2EF8" w:rsidRPr="005351BC">
        <w:rPr>
          <w:rFonts w:asciiTheme="minorHAnsi" w:hAnsiTheme="minorHAnsi" w:cstheme="minorHAnsi"/>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panose1 w:val="00000000000000000000"/>
    <w:charset w:val="00"/>
    <w:family w:val="roman"/>
    <w:notTrueType/>
    <w:pitch w:val="default"/>
  </w:font>
  <w:font w:name="Yu Gothic Medium">
    <w:panose1 w:val="020B0500000000000000"/>
    <w:charset w:val="80"/>
    <w:family w:val="swiss"/>
    <w:pitch w:val="variable"/>
    <w:sig w:usb0="E00002FF" w:usb1="2AC7FDFF" w:usb2="00000016" w:usb3="00000000" w:csb0="0002009F" w:csb1="00000000"/>
  </w:font>
  <w:font w:name="@SimSun-ExtB">
    <w:charset w:val="86"/>
    <w:family w:val="modern"/>
    <w:pitch w:val="fixed"/>
    <w:sig w:usb0="00000003" w:usb1="0A0E0000" w:usb2="00000010" w:usb3="00000000" w:csb0="0004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41049544"/>
      <w:docPartObj>
        <w:docPartGallery w:val="Page Numbers (Bottom of Page)"/>
        <w:docPartUnique/>
      </w:docPartObj>
    </w:sdtPr>
    <w:sdtEndPr>
      <w:rPr>
        <w:rStyle w:val="PageNumber"/>
      </w:rPr>
    </w:sdtEndPr>
    <w:sdtContent>
      <w:p w14:paraId="47B794FC" w14:textId="77777777" w:rsidR="00E04C23" w:rsidRDefault="00E04C23" w:rsidP="006D49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DB5FCF" w14:textId="77777777" w:rsidR="00E04C23" w:rsidRDefault="00E04C23" w:rsidP="006D491C">
    <w:pPr>
      <w:pStyle w:val="Footer"/>
      <w:ind w:right="360"/>
      <w:rPr>
        <w:rStyle w:val="PageNumber"/>
      </w:rPr>
    </w:pPr>
  </w:p>
  <w:p w14:paraId="42F7875A" w14:textId="77777777" w:rsidR="00E04C23" w:rsidRDefault="00E04C23" w:rsidP="00B259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1E646" w14:textId="77777777" w:rsidR="00E04C23" w:rsidRPr="00094104" w:rsidRDefault="00E04C23" w:rsidP="00B259EA">
    <w:pPr>
      <w:pStyle w:val="Footer"/>
      <w:rPr>
        <w:color w:val="000000"/>
      </w:rPr>
    </w:pPr>
    <w:bookmarkStart w:id="0" w:name="_Toc390071409"/>
  </w:p>
  <w:bookmarkEnd w:id="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4725438"/>
      <w:docPartObj>
        <w:docPartGallery w:val="Page Numbers (Bottom of Page)"/>
        <w:docPartUnique/>
      </w:docPartObj>
    </w:sdtPr>
    <w:sdtEndPr>
      <w:rPr>
        <w:rStyle w:val="PageNumber"/>
      </w:rPr>
    </w:sdtEndPr>
    <w:sdtContent>
      <w:p w14:paraId="0B338825" w14:textId="77777777" w:rsidR="00E04C23" w:rsidRDefault="00E04C23" w:rsidP="006D49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2FAB1EE" w14:textId="643C590C" w:rsidR="00E04C23" w:rsidRPr="00E66B30" w:rsidRDefault="004A443E" w:rsidP="006D491C">
    <w:pPr>
      <w:pStyle w:val="Footer"/>
      <w:ind w:right="360"/>
    </w:pPr>
    <w:r>
      <w:t xml:space="preserve">Industry Insight | </w:t>
    </w:r>
    <w:r w:rsidR="002D59B3">
      <w:t xml:space="preserve">Rental, </w:t>
    </w:r>
    <w:r w:rsidR="00892CFF">
      <w:t>H</w:t>
    </w:r>
    <w:r w:rsidR="002D59B3">
      <w:t xml:space="preserve">iring and </w:t>
    </w:r>
    <w:r w:rsidR="00892CFF">
      <w:t>R</w:t>
    </w:r>
    <w:r w:rsidR="002D59B3">
      <w:t xml:space="preserve">eal </w:t>
    </w:r>
    <w:r w:rsidR="00892CFF">
      <w:t>E</w:t>
    </w:r>
    <w:r w:rsidR="002D59B3">
      <w:t xml:space="preserve">state </w:t>
    </w:r>
    <w:r w:rsidR="00892CFF">
      <w:t>S</w:t>
    </w:r>
    <w:r w:rsidR="002D59B3">
      <w:t>ervices</w:t>
    </w:r>
    <w:r>
      <w:t xml:space="preserve"> | </w:t>
    </w:r>
    <w:r w:rsidR="006E0EE6">
      <w:t>October</w:t>
    </w:r>
    <w:r w:rsidR="00FB6259">
      <w:t xml:space="preserve"> </w:t>
    </w:r>
    <w: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5F2BC" w14:textId="77777777" w:rsidR="0094732C" w:rsidRDefault="0094732C" w:rsidP="00B259EA">
      <w:r>
        <w:separator/>
      </w:r>
    </w:p>
  </w:footnote>
  <w:footnote w:type="continuationSeparator" w:id="0">
    <w:p w14:paraId="7472CD51" w14:textId="77777777" w:rsidR="0094732C" w:rsidRDefault="0094732C" w:rsidP="00B259EA">
      <w:r>
        <w:continuationSeparator/>
      </w:r>
    </w:p>
  </w:footnote>
  <w:footnote w:type="continuationNotice" w:id="1">
    <w:p w14:paraId="4F6DAFD3" w14:textId="77777777" w:rsidR="0094732C" w:rsidRDefault="0094732C">
      <w:pPr>
        <w:spacing w:after="0" w:line="240" w:lineRule="auto"/>
      </w:pPr>
    </w:p>
  </w:footnote>
  <w:footnote w:id="2">
    <w:p w14:paraId="0CE61310" w14:textId="77777777" w:rsidR="00FD4BC2" w:rsidRPr="00001815" w:rsidRDefault="00FD4BC2" w:rsidP="00FD4BC2">
      <w:pPr>
        <w:pStyle w:val="FootnoteText"/>
        <w:rPr>
          <w:rFonts w:cs="Arial"/>
          <w:sz w:val="20"/>
        </w:rPr>
      </w:pPr>
      <w:r w:rsidRPr="00001815">
        <w:rPr>
          <w:rStyle w:val="FootnoteReference"/>
          <w:rFonts w:cs="Arial"/>
          <w:sz w:val="20"/>
        </w:rPr>
        <w:footnoteRef/>
      </w:r>
      <w:r w:rsidRPr="00001815">
        <w:rPr>
          <w:rFonts w:cs="Arial"/>
          <w:sz w:val="20"/>
        </w:rPr>
        <w:t xml:space="preserve"> 3-year compound annual growth rate</w:t>
      </w:r>
    </w:p>
  </w:footnote>
  <w:footnote w:id="3">
    <w:p w14:paraId="7175FF9C" w14:textId="77777777" w:rsidR="00FD4BC2" w:rsidRPr="00001815" w:rsidRDefault="00FD4BC2" w:rsidP="00FD4BC2">
      <w:pPr>
        <w:pStyle w:val="FootnoteText"/>
        <w:rPr>
          <w:rFonts w:cs="Arial"/>
          <w:sz w:val="20"/>
        </w:rPr>
      </w:pPr>
      <w:r w:rsidRPr="00001815">
        <w:rPr>
          <w:rStyle w:val="FootnoteReference"/>
          <w:rFonts w:cs="Arial"/>
          <w:sz w:val="20"/>
        </w:rPr>
        <w:footnoteRef/>
      </w:r>
      <w:r w:rsidRPr="00001815">
        <w:rPr>
          <w:rFonts w:cs="Arial"/>
          <w:sz w:val="20"/>
        </w:rPr>
        <w:t xml:space="preserve"> Computed for 2017 to 2020 employment growth for pre-COVID comparison</w:t>
      </w:r>
    </w:p>
  </w:footnote>
  <w:footnote w:id="4">
    <w:p w14:paraId="56DC09B8" w14:textId="77777777" w:rsidR="00FD4BC2" w:rsidRPr="00001815" w:rsidRDefault="00FD4BC2" w:rsidP="00FD4BC2">
      <w:pPr>
        <w:pStyle w:val="FootnoteText"/>
        <w:rPr>
          <w:rFonts w:cs="Arial"/>
          <w:sz w:val="20"/>
        </w:rPr>
      </w:pPr>
      <w:r w:rsidRPr="00001815">
        <w:rPr>
          <w:rStyle w:val="FootnoteReference"/>
          <w:rFonts w:cs="Arial"/>
          <w:sz w:val="20"/>
        </w:rPr>
        <w:footnoteRef/>
      </w:r>
      <w:r w:rsidRPr="00001815">
        <w:rPr>
          <w:rFonts w:cs="Arial"/>
          <w:sz w:val="20"/>
        </w:rPr>
        <w:t xml:space="preserve"> 3-year compound annual growth rate</w:t>
      </w:r>
    </w:p>
  </w:footnote>
  <w:footnote w:id="5">
    <w:p w14:paraId="526DB009" w14:textId="77777777" w:rsidR="00FD4BC2" w:rsidRPr="00001815" w:rsidRDefault="00FD4BC2" w:rsidP="00FD4BC2">
      <w:pPr>
        <w:pStyle w:val="FootnoteText"/>
        <w:rPr>
          <w:rFonts w:cs="Arial"/>
          <w:sz w:val="20"/>
        </w:rPr>
      </w:pPr>
      <w:r w:rsidRPr="00001815">
        <w:rPr>
          <w:rStyle w:val="FootnoteReference"/>
          <w:rFonts w:cs="Arial"/>
          <w:sz w:val="20"/>
        </w:rPr>
        <w:footnoteRef/>
      </w:r>
      <w:r w:rsidRPr="00001815">
        <w:rPr>
          <w:rFonts w:cs="Arial"/>
          <w:sz w:val="20"/>
        </w:rPr>
        <w:t xml:space="preserve"> Computed for 2017 to 2020 employment growth for pre-COVID comparison</w:t>
      </w:r>
    </w:p>
  </w:footnote>
  <w:footnote w:id="6">
    <w:p w14:paraId="404F1FA9" w14:textId="71C2F5D5" w:rsidR="00DF306F" w:rsidRDefault="00DF306F">
      <w:pPr>
        <w:pStyle w:val="FootnoteText"/>
      </w:pPr>
      <w:r w:rsidRPr="00001815">
        <w:rPr>
          <w:rStyle w:val="FootnoteReference"/>
          <w:rFonts w:cs="Arial"/>
          <w:sz w:val="20"/>
        </w:rPr>
        <w:footnoteRef/>
      </w:r>
      <w:r w:rsidR="00767A18" w:rsidRPr="00001815">
        <w:rPr>
          <w:rFonts w:cs="Arial"/>
          <w:sz w:val="20"/>
        </w:rPr>
        <w:t xml:space="preserve"> </w:t>
      </w:r>
      <w:r w:rsidR="00FB5638">
        <w:rPr>
          <w:rFonts w:cs="Arial"/>
          <w:sz w:val="20"/>
        </w:rPr>
        <w:t xml:space="preserve">Footnote for Table 2: </w:t>
      </w:r>
      <w:r w:rsidR="00767A18" w:rsidRPr="00001815">
        <w:rPr>
          <w:rFonts w:cs="Arial"/>
          <w:sz w:val="20"/>
        </w:rPr>
        <w:t>Due to rounding, some totals may not correspond with the sum of the separate figures</w:t>
      </w:r>
    </w:p>
  </w:footnote>
  <w:footnote w:id="7">
    <w:p w14:paraId="142C8588" w14:textId="08428D04" w:rsidR="005A685F" w:rsidRPr="00DA24A5" w:rsidRDefault="005A685F">
      <w:pPr>
        <w:pStyle w:val="FootnoteText"/>
        <w:rPr>
          <w:sz w:val="20"/>
        </w:rPr>
      </w:pPr>
      <w:r w:rsidRPr="00DA24A5">
        <w:rPr>
          <w:rStyle w:val="FootnoteReference"/>
          <w:sz w:val="20"/>
        </w:rPr>
        <w:footnoteRef/>
      </w:r>
      <w:r w:rsidRPr="00DA24A5">
        <w:rPr>
          <w:sz w:val="20"/>
        </w:rPr>
        <w:t xml:space="preserve"> </w:t>
      </w:r>
      <w:r w:rsidR="00CA5164" w:rsidRPr="00DA24A5">
        <w:rPr>
          <w:sz w:val="20"/>
        </w:rPr>
        <w:t xml:space="preserve">VET enrolments related to the Rental, hiring and real estate services industry include only courses that are deemed as primary pathways into this sector. Many of these courses serve multiple industries and the total enrolment numbers are reflective of this broader pipeline. VET enrolments in courses that primarily feeds into other sectors but also support the </w:t>
      </w:r>
      <w:r w:rsidR="00DD049A" w:rsidRPr="00DA24A5">
        <w:rPr>
          <w:sz w:val="20"/>
        </w:rPr>
        <w:t>Rental, hiring and real estate services</w:t>
      </w:r>
      <w:r w:rsidR="00CA5164" w:rsidRPr="00DA24A5">
        <w:rPr>
          <w:sz w:val="20"/>
        </w:rPr>
        <w:t xml:space="preserve"> industry are included in the industry in which the course primarily supports.</w:t>
      </w:r>
    </w:p>
  </w:footnote>
  <w:footnote w:id="8">
    <w:p w14:paraId="1A77CEC9" w14:textId="77777777" w:rsidR="00CD1CBC" w:rsidRPr="00375681" w:rsidRDefault="00CD1CBC" w:rsidP="00CD1CBC">
      <w:pPr>
        <w:pStyle w:val="FootnoteText"/>
        <w:rPr>
          <w:rFonts w:cs="Arial"/>
          <w:sz w:val="20"/>
        </w:rPr>
      </w:pPr>
      <w:r w:rsidRPr="00375681">
        <w:rPr>
          <w:rStyle w:val="FootnoteReference"/>
          <w:rFonts w:cs="Arial"/>
          <w:sz w:val="20"/>
        </w:rPr>
        <w:footnoteRef/>
      </w:r>
      <w:r w:rsidRPr="00375681">
        <w:rPr>
          <w:rFonts w:cs="Arial"/>
          <w:sz w:val="20"/>
        </w:rPr>
        <w:t xml:space="preserve"> 3-year compound annual growth rate</w:t>
      </w:r>
    </w:p>
  </w:footnote>
  <w:footnote w:id="9">
    <w:p w14:paraId="0144B251" w14:textId="77777777" w:rsidR="00CD1CBC" w:rsidRPr="00375681" w:rsidRDefault="00CD1CBC" w:rsidP="00CD1CBC">
      <w:pPr>
        <w:pStyle w:val="FootnoteText"/>
        <w:rPr>
          <w:rFonts w:cs="Arial"/>
          <w:sz w:val="20"/>
        </w:rPr>
      </w:pPr>
      <w:r w:rsidRPr="00375681">
        <w:rPr>
          <w:rStyle w:val="FootnoteReference"/>
          <w:rFonts w:cs="Arial"/>
          <w:sz w:val="20"/>
        </w:rPr>
        <w:footnoteRef/>
      </w:r>
      <w:r w:rsidRPr="00375681">
        <w:rPr>
          <w:rFonts w:cs="Arial"/>
          <w:sz w:val="20"/>
        </w:rPr>
        <w:t xml:space="preserve"> Computed for 2017 to 2020 employment growth for pre-COVID comparison</w:t>
      </w:r>
    </w:p>
  </w:footnote>
  <w:footnote w:id="10">
    <w:p w14:paraId="437970DE" w14:textId="77777777" w:rsidR="00CD1CBC" w:rsidRPr="00375681" w:rsidRDefault="00CD1CBC" w:rsidP="00CD1CBC">
      <w:pPr>
        <w:pStyle w:val="FootnoteText"/>
        <w:rPr>
          <w:rFonts w:cs="Arial"/>
          <w:sz w:val="20"/>
        </w:rPr>
      </w:pPr>
      <w:r w:rsidRPr="00375681">
        <w:rPr>
          <w:rStyle w:val="FootnoteReference"/>
          <w:rFonts w:cs="Arial"/>
          <w:sz w:val="20"/>
        </w:rPr>
        <w:footnoteRef/>
      </w:r>
      <w:r w:rsidRPr="00375681">
        <w:rPr>
          <w:rFonts w:cs="Arial"/>
          <w:sz w:val="20"/>
        </w:rPr>
        <w:t xml:space="preserve"> 3-year compound annual growth rate</w:t>
      </w:r>
    </w:p>
  </w:footnote>
  <w:footnote w:id="11">
    <w:p w14:paraId="24EBCB45" w14:textId="77777777" w:rsidR="00CD1CBC" w:rsidRPr="00375681" w:rsidRDefault="00CD1CBC" w:rsidP="00CD1CBC">
      <w:pPr>
        <w:pStyle w:val="FootnoteText"/>
        <w:rPr>
          <w:rFonts w:cs="Arial"/>
          <w:sz w:val="20"/>
        </w:rPr>
      </w:pPr>
      <w:r w:rsidRPr="00375681">
        <w:rPr>
          <w:rStyle w:val="FootnoteReference"/>
          <w:rFonts w:cs="Arial"/>
          <w:sz w:val="20"/>
        </w:rPr>
        <w:footnoteRef/>
      </w:r>
      <w:r w:rsidRPr="00375681">
        <w:rPr>
          <w:rFonts w:cs="Arial"/>
          <w:sz w:val="20"/>
        </w:rPr>
        <w:t xml:space="preserve"> Computed for 2017 to 2020 employment growth for pre-COVID comparison</w:t>
      </w:r>
    </w:p>
  </w:footnote>
  <w:footnote w:id="12">
    <w:p w14:paraId="1850BB98" w14:textId="20265E65" w:rsidR="00B94597" w:rsidRPr="00375681" w:rsidRDefault="00B94597" w:rsidP="00B94597">
      <w:pPr>
        <w:pStyle w:val="FootnoteText"/>
        <w:rPr>
          <w:sz w:val="20"/>
        </w:rPr>
      </w:pPr>
      <w:r w:rsidRPr="00375681">
        <w:rPr>
          <w:rStyle w:val="FootnoteReference"/>
          <w:rFonts w:cs="Arial"/>
          <w:sz w:val="20"/>
        </w:rPr>
        <w:footnoteRef/>
      </w:r>
      <w:r w:rsidR="009A237A" w:rsidRPr="00375681">
        <w:rPr>
          <w:rFonts w:cs="Arial"/>
          <w:sz w:val="20"/>
        </w:rPr>
        <w:t xml:space="preserve"> </w:t>
      </w:r>
      <w:r w:rsidR="00FB5638">
        <w:rPr>
          <w:rFonts w:cs="Arial"/>
          <w:sz w:val="20"/>
        </w:rPr>
        <w:t xml:space="preserve">Footnote for Table </w:t>
      </w:r>
      <w:r w:rsidR="00715161">
        <w:rPr>
          <w:rFonts w:cs="Arial"/>
          <w:sz w:val="20"/>
        </w:rPr>
        <w:t>5</w:t>
      </w:r>
      <w:r w:rsidR="00FB5638">
        <w:rPr>
          <w:rFonts w:cs="Arial"/>
          <w:sz w:val="20"/>
        </w:rPr>
        <w:t xml:space="preserve">: </w:t>
      </w:r>
      <w:r w:rsidR="009A237A" w:rsidRPr="00375681">
        <w:rPr>
          <w:rFonts w:cs="Arial"/>
          <w:sz w:val="20"/>
        </w:rPr>
        <w:t>Due to rounding, some totals may not correspond with the sum of the separate figures</w:t>
      </w:r>
    </w:p>
  </w:footnote>
  <w:footnote w:id="13">
    <w:p w14:paraId="04AEE422" w14:textId="4E705621" w:rsidR="002A5F3D" w:rsidRPr="002A5F3D" w:rsidRDefault="002A5F3D">
      <w:pPr>
        <w:pStyle w:val="FootnoteText"/>
        <w:rPr>
          <w:lang w:val="en-AU"/>
        </w:rPr>
      </w:pPr>
      <w:r w:rsidRPr="00375681">
        <w:rPr>
          <w:rStyle w:val="FootnoteReference"/>
          <w:sz w:val="20"/>
        </w:rPr>
        <w:footnoteRef/>
      </w:r>
      <w:r w:rsidRPr="00375681">
        <w:rPr>
          <w:sz w:val="20"/>
        </w:rPr>
        <w:t xml:space="preserve"> </w:t>
      </w:r>
      <w:r w:rsidR="00FB5638">
        <w:rPr>
          <w:sz w:val="20"/>
        </w:rPr>
        <w:t xml:space="preserve">Footnote for Table </w:t>
      </w:r>
      <w:r w:rsidR="00715161">
        <w:rPr>
          <w:sz w:val="20"/>
        </w:rPr>
        <w:t>5</w:t>
      </w:r>
      <w:r w:rsidR="00FB5638">
        <w:rPr>
          <w:sz w:val="20"/>
        </w:rPr>
        <w:t xml:space="preserve">: </w:t>
      </w:r>
      <w:r w:rsidR="00115C6F" w:rsidRPr="00375681">
        <w:rPr>
          <w:rFonts w:asciiTheme="minorHAnsi" w:hAnsiTheme="minorHAnsi" w:cstheme="minorHAnsi"/>
          <w:sz w:val="20"/>
          <w:shd w:val="clear" w:color="auto" w:fill="FFFFFF"/>
        </w:rPr>
        <w:t>S</w:t>
      </w:r>
      <w:r w:rsidRPr="00375681">
        <w:rPr>
          <w:rFonts w:asciiTheme="minorHAnsi" w:hAnsiTheme="minorHAnsi" w:cstheme="minorHAnsi"/>
          <w:sz w:val="20"/>
          <w:shd w:val="clear" w:color="auto" w:fill="FFFFFF"/>
        </w:rPr>
        <w:t>upporting roles such as accountants have been excluded, as they are included in the Professional, Financial and Information Services insight report.</w:t>
      </w:r>
    </w:p>
  </w:footnote>
  <w:footnote w:id="14">
    <w:p w14:paraId="50D124B8" w14:textId="77777777" w:rsidR="00CF3FAF" w:rsidRPr="00375681" w:rsidRDefault="00CF3FAF" w:rsidP="00CF3FAF">
      <w:pPr>
        <w:pStyle w:val="FootnoteText"/>
        <w:rPr>
          <w:sz w:val="20"/>
        </w:rPr>
      </w:pPr>
      <w:r w:rsidRPr="00375681">
        <w:rPr>
          <w:rStyle w:val="FootnoteReference"/>
          <w:sz w:val="20"/>
        </w:rPr>
        <w:footnoteRef/>
      </w:r>
      <w:r w:rsidRPr="00375681">
        <w:rPr>
          <w:sz w:val="20"/>
        </w:rPr>
        <w:t xml:space="preserve"> VET enrolments related to the Rental, hiring and real estate services industry include only courses that are deemed as primary pathways into this sector. Many of these courses serve multiple industries and the total enrolment numbers are reflective of this broader pipeline. VET enrolments in courses that primarily feeds into other sectors but also support the Rental, hiring and real estate services industry are included in the industry in which the course primarily supports.</w:t>
      </w:r>
    </w:p>
  </w:footnote>
  <w:footnote w:id="15">
    <w:p w14:paraId="027A8961" w14:textId="1D618DBA" w:rsidR="00CF3FAF" w:rsidRPr="00375681" w:rsidRDefault="00CF3FAF" w:rsidP="00CF3FAF">
      <w:pPr>
        <w:pStyle w:val="FootnoteText"/>
        <w:rPr>
          <w:sz w:val="20"/>
          <w:lang w:val="en-AU"/>
        </w:rPr>
      </w:pPr>
      <w:r w:rsidRPr="00375681">
        <w:rPr>
          <w:rStyle w:val="FootnoteReference"/>
          <w:sz w:val="20"/>
        </w:rPr>
        <w:footnoteRef/>
      </w:r>
      <w:r w:rsidRPr="00375681">
        <w:rPr>
          <w:sz w:val="20"/>
        </w:rPr>
        <w:t xml:space="preserve"> This number is determined by taking the total number of VET enrolments in courses undertaken prior to employment, combined with 1/3 of the total number of HE enrolments in AQF 5-8 courses (as these courses are traditionally undertaken prior to employment and the average </w:t>
      </w:r>
      <w:proofErr w:type="gramStart"/>
      <w:r w:rsidR="00AE6AE4" w:rsidRPr="00375681">
        <w:rPr>
          <w:sz w:val="20"/>
        </w:rPr>
        <w:t>B</w:t>
      </w:r>
      <w:r w:rsidRPr="00375681">
        <w:rPr>
          <w:sz w:val="20"/>
        </w:rPr>
        <w:t>achelor</w:t>
      </w:r>
      <w:proofErr w:type="gramEnd"/>
      <w:r w:rsidRPr="00375681">
        <w:rPr>
          <w:sz w:val="20"/>
        </w:rPr>
        <w:t xml:space="preserve"> degree is three years, so only those in their final year of study will enter the workforce the following year). </w:t>
      </w:r>
    </w:p>
  </w:footnote>
  <w:footnote w:id="16">
    <w:p w14:paraId="324F12D2" w14:textId="2E50E26D" w:rsidR="00DE252D" w:rsidRPr="00375681" w:rsidRDefault="00DE252D" w:rsidP="00DE252D">
      <w:pPr>
        <w:pStyle w:val="CommentText"/>
      </w:pPr>
      <w:r w:rsidRPr="00375681">
        <w:rPr>
          <w:rStyle w:val="FootnoteReference"/>
        </w:rPr>
        <w:footnoteRef/>
      </w:r>
      <w:r w:rsidR="003F026F">
        <w:t xml:space="preserve"> Footnote for Table 9:</w:t>
      </w:r>
      <w:r w:rsidRPr="00375681">
        <w:t xml:space="preserve"> </w:t>
      </w:r>
      <w:r w:rsidRPr="00375681">
        <w:rPr>
          <w:rFonts w:asciiTheme="minorHAnsi" w:hAnsiTheme="minorHAnsi" w:cstheme="minorHAnsi"/>
        </w:rPr>
        <w:t xml:space="preserve">VET courses can support a range of occupations across a range of industries, and occupations can also support a range of industries. </w:t>
      </w:r>
      <w:r w:rsidRPr="00375681">
        <w:rPr>
          <w:rFonts w:asciiTheme="minorHAnsi" w:hAnsiTheme="minorHAnsi" w:cstheme="minorHAnsi"/>
          <w:color w:val="242424"/>
          <w:shd w:val="clear" w:color="auto" w:fill="FFFFFF"/>
        </w:rPr>
        <w:t>To present the likely VET trained employment pipeline by industry, enrolments for a course have been assigned to the most common industry in which people seek employment.</w:t>
      </w:r>
    </w:p>
    <w:p w14:paraId="1E91C3C7" w14:textId="77777777" w:rsidR="00DE252D" w:rsidRPr="007A07AD" w:rsidRDefault="00DE252D" w:rsidP="00DE252D">
      <w:pPr>
        <w:pStyle w:val="FootnoteText"/>
      </w:pPr>
    </w:p>
  </w:footnote>
  <w:footnote w:id="17">
    <w:p w14:paraId="31F4FC3F" w14:textId="77777777" w:rsidR="00CF3FAF" w:rsidRPr="00375681" w:rsidRDefault="00CF3FAF" w:rsidP="00CF3FAF">
      <w:pPr>
        <w:pStyle w:val="FootnoteText"/>
        <w:rPr>
          <w:sz w:val="20"/>
          <w:lang w:val="en-AU"/>
        </w:rPr>
      </w:pPr>
      <w:r w:rsidRPr="00375681">
        <w:rPr>
          <w:rStyle w:val="FootnoteReference"/>
          <w:sz w:val="20"/>
        </w:rPr>
        <w:footnoteRef/>
      </w:r>
      <w:r w:rsidRPr="00375681">
        <w:rPr>
          <w:sz w:val="20"/>
        </w:rPr>
        <w:t xml:space="preserve"> Equivalent full-time student load (EFTSL) is the measure used to determine a student's study-load. The University sets a unit value for each of its courses. One EFTSL is the amount of student load determined by the University to be equal to a full-time load at 100 percent intensity for one student for one year.</w:t>
      </w:r>
    </w:p>
  </w:footnote>
  <w:footnote w:id="18">
    <w:p w14:paraId="566F02D4" w14:textId="12209E41" w:rsidR="000D5D68" w:rsidRPr="00FA494A" w:rsidRDefault="000D5D68" w:rsidP="000D5D68">
      <w:pPr>
        <w:pStyle w:val="FootnoteText"/>
        <w:rPr>
          <w:rFonts w:asciiTheme="minorHAnsi" w:hAnsiTheme="minorHAnsi" w:cstheme="minorHAnsi"/>
          <w:szCs w:val="16"/>
          <w:lang w:val="en-AU"/>
        </w:rPr>
      </w:pPr>
      <w:r w:rsidRPr="00375681">
        <w:rPr>
          <w:rStyle w:val="FootnoteReference"/>
          <w:rFonts w:asciiTheme="minorHAnsi" w:hAnsiTheme="minorHAnsi" w:cstheme="minorHAnsi"/>
          <w:sz w:val="20"/>
        </w:rPr>
        <w:footnoteRef/>
      </w:r>
      <w:r w:rsidRPr="00375681">
        <w:rPr>
          <w:rFonts w:asciiTheme="minorHAnsi" w:hAnsiTheme="minorHAnsi" w:cstheme="minorHAnsi"/>
          <w:sz w:val="20"/>
        </w:rPr>
        <w:t xml:space="preserve"> </w:t>
      </w:r>
      <w:r w:rsidR="003F026F">
        <w:rPr>
          <w:rFonts w:asciiTheme="minorHAnsi" w:hAnsiTheme="minorHAnsi" w:cstheme="minorHAnsi"/>
          <w:sz w:val="20"/>
        </w:rPr>
        <w:t xml:space="preserve">Footnote for Table 10: </w:t>
      </w:r>
      <w:r w:rsidRPr="00375681">
        <w:rPr>
          <w:rFonts w:asciiTheme="minorHAnsi" w:hAnsiTheme="minorHAnsi" w:cstheme="minorHAnsi"/>
          <w:color w:val="242424"/>
          <w:sz w:val="20"/>
          <w:shd w:val="clear" w:color="auto" w:fill="FFFFFF"/>
        </w:rPr>
        <w:t>A course may be allocated to different narrow field of educations by different higher education providers based on the primary purpose of the course. Higher education enrolments reported against a course under a specified narrow field of education reflect only the portion of enrolment allocated to the narrow field of education and are not reflective of the total enrolment for the course.</w:t>
      </w:r>
    </w:p>
  </w:footnote>
  <w:footnote w:id="19">
    <w:p w14:paraId="5C825A1C" w14:textId="77777777" w:rsidR="00691CEC" w:rsidRPr="00375681" w:rsidRDefault="00691CEC" w:rsidP="00691CEC">
      <w:pPr>
        <w:pStyle w:val="FootnoteText"/>
        <w:rPr>
          <w:sz w:val="20"/>
        </w:rPr>
      </w:pPr>
      <w:r w:rsidRPr="00375681">
        <w:rPr>
          <w:rStyle w:val="FootnoteReference"/>
          <w:sz w:val="20"/>
        </w:rPr>
        <w:footnoteRef/>
      </w:r>
      <w:r w:rsidRPr="00375681">
        <w:rPr>
          <w:sz w:val="20"/>
        </w:rPr>
        <w:t xml:space="preserve"> This will generally underestimate demand as it does not account for the need to replace workers who leave a job for other reasons, such as switching occupations or migrating out of Victoria.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CB11F" w14:textId="72328996" w:rsidR="00025344" w:rsidRDefault="00913934">
    <w:pPr>
      <w:pStyle w:val="Header"/>
    </w:pPr>
    <w:r>
      <w:rPr>
        <w:noProof/>
      </w:rPr>
      <w:drawing>
        <wp:anchor distT="0" distB="0" distL="114300" distR="114300" simplePos="0" relativeHeight="251658241" behindDoc="1" locked="0" layoutInCell="1" allowOverlap="1" wp14:anchorId="3FFCD8D1" wp14:editId="71465B50">
          <wp:simplePos x="0" y="0"/>
          <wp:positionH relativeFrom="page">
            <wp:posOffset>6985</wp:posOffset>
          </wp:positionH>
          <wp:positionV relativeFrom="page">
            <wp:posOffset>15191</wp:posOffset>
          </wp:positionV>
          <wp:extent cx="7549900" cy="10671371"/>
          <wp:effectExtent l="0" t="0" r="0" b="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pic:cNvPicPr/>
                </pic:nvPicPr>
                <pic:blipFill>
                  <a:blip r:embed="rId1">
                    <a:extLst>
                      <a:ext uri="{28A0092B-C50C-407E-A947-70E740481C1C}">
                        <a14:useLocalDpi xmlns:a14="http://schemas.microsoft.com/office/drawing/2010/main" val="0"/>
                      </a:ext>
                    </a:extLst>
                  </a:blip>
                  <a:stretch>
                    <a:fillRect/>
                  </a:stretch>
                </pic:blipFill>
                <pic:spPr>
                  <a:xfrm>
                    <a:off x="0" y="0"/>
                    <a:ext cx="7549900" cy="1067137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0549E" w14:textId="251B3D4E" w:rsidR="00E04C23" w:rsidRPr="00BD2062" w:rsidRDefault="00950562" w:rsidP="00950562">
    <w:pPr>
      <w:pStyle w:val="Header"/>
    </w:pPr>
    <w:r>
      <w:rPr>
        <w:noProof/>
      </w:rPr>
      <w:drawing>
        <wp:anchor distT="0" distB="0" distL="114300" distR="114300" simplePos="0" relativeHeight="251658240" behindDoc="1" locked="0" layoutInCell="1" allowOverlap="1" wp14:anchorId="408A37C8" wp14:editId="4492E459">
          <wp:simplePos x="0" y="0"/>
          <wp:positionH relativeFrom="page">
            <wp:posOffset>0</wp:posOffset>
          </wp:positionH>
          <wp:positionV relativeFrom="page">
            <wp:posOffset>0</wp:posOffset>
          </wp:positionV>
          <wp:extent cx="7560000" cy="813600"/>
          <wp:effectExtent l="0" t="0" r="0" b="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60000" cy="81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E27EB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0CCB2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90A5C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30676A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1D082E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86AD6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288106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382779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9261D0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BB27D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686BBB"/>
    <w:multiLevelType w:val="hybridMultilevel"/>
    <w:tmpl w:val="8940E8DA"/>
    <w:lvl w:ilvl="0" w:tplc="0F1272F2">
      <w:start w:val="1"/>
      <w:numFmt w:val="bullet"/>
      <w:pStyle w:val="List2"/>
      <w:lvlText w:val="–"/>
      <w:lvlJc w:val="left"/>
      <w:pPr>
        <w:tabs>
          <w:tab w:val="num" w:pos="640"/>
        </w:tabs>
        <w:ind w:left="640" w:hanging="357"/>
      </w:pPr>
      <w:rPr>
        <w:rFonts w:ascii="Calibri" w:hAnsi="Calibri"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1" w15:restartNumberingAfterBreak="0">
    <w:nsid w:val="088B72F4"/>
    <w:multiLevelType w:val="multilevel"/>
    <w:tmpl w:val="57B6678C"/>
    <w:styleLink w:val="ListNumbers2"/>
    <w:lvl w:ilvl="0">
      <w:start w:val="1"/>
      <w:numFmt w:val="none"/>
      <w:lvlText w:val=""/>
      <w:lvlJc w:val="left"/>
      <w:pPr>
        <w:tabs>
          <w:tab w:val="num" w:pos="0"/>
        </w:tabs>
        <w:ind w:left="0" w:firstLine="0"/>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decimal"/>
      <w:lvlText w:val="%6%1."/>
      <w:lvlJc w:val="left"/>
      <w:pPr>
        <w:tabs>
          <w:tab w:val="num" w:pos="567"/>
        </w:tabs>
        <w:ind w:left="567" w:hanging="567"/>
      </w:pPr>
      <w:rPr>
        <w:rFonts w:hint="default"/>
      </w:rPr>
    </w:lvl>
    <w:lvl w:ilvl="6">
      <w:start w:val="1"/>
      <w:numFmt w:val="decimal"/>
      <w:lvlText w:val="%6.%7.%1"/>
      <w:lvlJc w:val="left"/>
      <w:pPr>
        <w:tabs>
          <w:tab w:val="num" w:pos="567"/>
        </w:tabs>
        <w:ind w:left="567" w:hanging="567"/>
      </w:pPr>
      <w:rPr>
        <w:rFonts w:hint="default"/>
      </w:rPr>
    </w:lvl>
    <w:lvl w:ilvl="7">
      <w:start w:val="1"/>
      <w:numFmt w:val="decimal"/>
      <w:lvlText w:val="%1"/>
      <w:lvlJc w:val="left"/>
      <w:pPr>
        <w:ind w:left="3744" w:hanging="1224"/>
      </w:pPr>
      <w:rPr>
        <w:rFonts w:hint="default"/>
      </w:rPr>
    </w:lvl>
    <w:lvl w:ilvl="8">
      <w:start w:val="1"/>
      <w:numFmt w:val="decimal"/>
      <w:lvlText w:val="%1"/>
      <w:lvlJc w:val="left"/>
      <w:pPr>
        <w:ind w:left="4320" w:hanging="1440"/>
      </w:pPr>
      <w:rPr>
        <w:rFonts w:hint="default"/>
      </w:rPr>
    </w:lvl>
  </w:abstractNum>
  <w:abstractNum w:abstractNumId="12" w15:restartNumberingAfterBreak="0">
    <w:nsid w:val="099A1172"/>
    <w:multiLevelType w:val="hybridMultilevel"/>
    <w:tmpl w:val="D09681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30E2EF9"/>
    <w:multiLevelType w:val="hybridMultilevel"/>
    <w:tmpl w:val="A132758A"/>
    <w:lvl w:ilvl="0" w:tplc="D408B96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9A642E"/>
    <w:multiLevelType w:val="hybridMultilevel"/>
    <w:tmpl w:val="ECB44A28"/>
    <w:lvl w:ilvl="0" w:tplc="190E7A82">
      <w:start w:val="1"/>
      <w:numFmt w:val="bullet"/>
      <w:pStyle w:val="List"/>
      <w:lvlText w:val="–"/>
      <w:lvlJc w:val="left"/>
      <w:pPr>
        <w:tabs>
          <w:tab w:val="num" w:pos="357"/>
        </w:tabs>
        <w:ind w:left="357"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7065A8"/>
    <w:multiLevelType w:val="multilevel"/>
    <w:tmpl w:val="0C08EC58"/>
    <w:styleLink w:val="111"/>
    <w:lvl w:ilvl="0">
      <w:start w:val="1"/>
      <w:numFmt w:val="decimal"/>
      <w:pStyle w:val="Heading6"/>
      <w:lvlText w:val="%1."/>
      <w:lvlJc w:val="left"/>
      <w:pPr>
        <w:tabs>
          <w:tab w:val="num" w:pos="357"/>
        </w:tabs>
        <w:ind w:left="357" w:hanging="357"/>
      </w:pPr>
      <w:rPr>
        <w:rFonts w:hint="default"/>
      </w:rPr>
    </w:lvl>
    <w:lvl w:ilvl="1">
      <w:start w:val="1"/>
      <w:numFmt w:val="decimal"/>
      <w:pStyle w:val="Heading7"/>
      <w:lvlText w:val="%1.%2."/>
      <w:lvlJc w:val="left"/>
      <w:pPr>
        <w:ind w:left="454" w:hanging="454"/>
      </w:pPr>
      <w:rPr>
        <w:rFonts w:hint="default"/>
      </w:rPr>
    </w:lvl>
    <w:lvl w:ilvl="2">
      <w:start w:val="1"/>
      <w:numFmt w:val="none"/>
      <w:lvlText w:val=""/>
      <w:lvlJc w:val="left"/>
      <w:pPr>
        <w:ind w:left="0" w:firstLine="0"/>
      </w:pPr>
      <w:rPr>
        <w:rFonts w:hint="default"/>
      </w:rPr>
    </w:lvl>
    <w:lvl w:ilvl="3">
      <w:start w:val="1"/>
      <w:numFmt w:val="none"/>
      <w:pStyle w:val="Heading4"/>
      <w:lvlText w:val=""/>
      <w:lvlJc w:val="left"/>
      <w:pPr>
        <w:tabs>
          <w:tab w:val="num" w:pos="0"/>
        </w:tabs>
        <w:ind w:left="0" w:firstLine="0"/>
      </w:pPr>
      <w:rPr>
        <w:rFonts w:hint="default"/>
      </w:rPr>
    </w:lvl>
    <w:lvl w:ilvl="4">
      <w:start w:val="1"/>
      <w:numFmt w:val="none"/>
      <w:pStyle w:val="Heading5"/>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pStyle w:val="Heading8"/>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6" w15:restartNumberingAfterBreak="0">
    <w:nsid w:val="2A5D70EA"/>
    <w:multiLevelType w:val="hybridMultilevel"/>
    <w:tmpl w:val="C8BEBBFC"/>
    <w:lvl w:ilvl="0" w:tplc="388CD30E">
      <w:start w:val="1"/>
      <w:numFmt w:val="bullet"/>
      <w:pStyle w:val="NormalTablesList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86673A"/>
    <w:multiLevelType w:val="multilevel"/>
    <w:tmpl w:val="0C08EC58"/>
    <w:numStyleLink w:val="111"/>
  </w:abstractNum>
  <w:abstractNum w:abstractNumId="18" w15:restartNumberingAfterBreak="0">
    <w:nsid w:val="39D1413D"/>
    <w:multiLevelType w:val="multilevel"/>
    <w:tmpl w:val="CB6ED078"/>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9" w15:restartNumberingAfterBreak="0">
    <w:nsid w:val="3AA22A2B"/>
    <w:multiLevelType w:val="hybridMultilevel"/>
    <w:tmpl w:val="FFFFFFFF"/>
    <w:lvl w:ilvl="0" w:tplc="C860A9E8">
      <w:start w:val="1"/>
      <w:numFmt w:val="bullet"/>
      <w:lvlText w:val=""/>
      <w:lvlJc w:val="left"/>
      <w:pPr>
        <w:ind w:left="360" w:hanging="360"/>
      </w:pPr>
      <w:rPr>
        <w:rFonts w:ascii="Symbol" w:hAnsi="Symbol" w:hint="default"/>
      </w:rPr>
    </w:lvl>
    <w:lvl w:ilvl="1" w:tplc="C6927442">
      <w:start w:val="1"/>
      <w:numFmt w:val="bullet"/>
      <w:lvlText w:val="o"/>
      <w:lvlJc w:val="left"/>
      <w:pPr>
        <w:ind w:left="1080" w:hanging="360"/>
      </w:pPr>
      <w:rPr>
        <w:rFonts w:ascii="Courier New" w:hAnsi="Courier New" w:hint="default"/>
      </w:rPr>
    </w:lvl>
    <w:lvl w:ilvl="2" w:tplc="7AD6F32E">
      <w:start w:val="1"/>
      <w:numFmt w:val="bullet"/>
      <w:lvlText w:val=""/>
      <w:lvlJc w:val="left"/>
      <w:pPr>
        <w:ind w:left="1800" w:hanging="360"/>
      </w:pPr>
      <w:rPr>
        <w:rFonts w:ascii="Wingdings" w:hAnsi="Wingdings" w:hint="default"/>
      </w:rPr>
    </w:lvl>
    <w:lvl w:ilvl="3" w:tplc="F4888C82">
      <w:start w:val="1"/>
      <w:numFmt w:val="bullet"/>
      <w:lvlText w:val=""/>
      <w:lvlJc w:val="left"/>
      <w:pPr>
        <w:ind w:left="2520" w:hanging="360"/>
      </w:pPr>
      <w:rPr>
        <w:rFonts w:ascii="Symbol" w:hAnsi="Symbol" w:hint="default"/>
      </w:rPr>
    </w:lvl>
    <w:lvl w:ilvl="4" w:tplc="C4E2A7A0">
      <w:start w:val="1"/>
      <w:numFmt w:val="bullet"/>
      <w:lvlText w:val="o"/>
      <w:lvlJc w:val="left"/>
      <w:pPr>
        <w:ind w:left="3240" w:hanging="360"/>
      </w:pPr>
      <w:rPr>
        <w:rFonts w:ascii="Courier New" w:hAnsi="Courier New" w:hint="default"/>
      </w:rPr>
    </w:lvl>
    <w:lvl w:ilvl="5" w:tplc="47AAC6EE">
      <w:start w:val="1"/>
      <w:numFmt w:val="bullet"/>
      <w:lvlText w:val=""/>
      <w:lvlJc w:val="left"/>
      <w:pPr>
        <w:ind w:left="3960" w:hanging="360"/>
      </w:pPr>
      <w:rPr>
        <w:rFonts w:ascii="Wingdings" w:hAnsi="Wingdings" w:hint="default"/>
      </w:rPr>
    </w:lvl>
    <w:lvl w:ilvl="6" w:tplc="35186930">
      <w:start w:val="1"/>
      <w:numFmt w:val="bullet"/>
      <w:lvlText w:val=""/>
      <w:lvlJc w:val="left"/>
      <w:pPr>
        <w:ind w:left="4680" w:hanging="360"/>
      </w:pPr>
      <w:rPr>
        <w:rFonts w:ascii="Symbol" w:hAnsi="Symbol" w:hint="default"/>
      </w:rPr>
    </w:lvl>
    <w:lvl w:ilvl="7" w:tplc="BDA04A3E">
      <w:start w:val="1"/>
      <w:numFmt w:val="bullet"/>
      <w:lvlText w:val="o"/>
      <w:lvlJc w:val="left"/>
      <w:pPr>
        <w:ind w:left="5400" w:hanging="360"/>
      </w:pPr>
      <w:rPr>
        <w:rFonts w:ascii="Courier New" w:hAnsi="Courier New" w:hint="default"/>
      </w:rPr>
    </w:lvl>
    <w:lvl w:ilvl="8" w:tplc="80B0679C">
      <w:start w:val="1"/>
      <w:numFmt w:val="bullet"/>
      <w:lvlText w:val=""/>
      <w:lvlJc w:val="left"/>
      <w:pPr>
        <w:ind w:left="6120" w:hanging="360"/>
      </w:pPr>
      <w:rPr>
        <w:rFonts w:ascii="Wingdings" w:hAnsi="Wingdings" w:hint="default"/>
      </w:rPr>
    </w:lvl>
  </w:abstractNum>
  <w:abstractNum w:abstractNumId="20"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CAD5DA"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B3D2157"/>
    <w:multiLevelType w:val="multilevel"/>
    <w:tmpl w:val="310876F2"/>
    <w:styleLink w:val="TableexpListnumberedmultilevel"/>
    <w:lvl w:ilvl="0">
      <w:start w:val="1"/>
      <w:numFmt w:val="decimal"/>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4BFC51EE"/>
    <w:multiLevelType w:val="hybridMultilevel"/>
    <w:tmpl w:val="A1F0F3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C940414"/>
    <w:multiLevelType w:val="hybridMultilevel"/>
    <w:tmpl w:val="26920D06"/>
    <w:lvl w:ilvl="0" w:tplc="3D741314">
      <w:start w:val="1"/>
      <w:numFmt w:val="bullet"/>
      <w:pStyle w:val="NormalTablesListBullet2"/>
      <w:lvlText w:val="–"/>
      <w:lvlJc w:val="left"/>
      <w:pPr>
        <w:ind w:left="567" w:hanging="283"/>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37262C"/>
    <w:multiLevelType w:val="hybridMultilevel"/>
    <w:tmpl w:val="5D3895FA"/>
    <w:lvl w:ilvl="0" w:tplc="BDEEC9D6">
      <w:start w:val="1"/>
      <w:numFmt w:val="bullet"/>
      <w:pStyle w:val="List4"/>
      <w:lvlText w:val="–"/>
      <w:lvlJc w:val="left"/>
      <w:pPr>
        <w:tabs>
          <w:tab w:val="num" w:pos="1206"/>
        </w:tabs>
        <w:ind w:left="1206" w:hanging="357"/>
      </w:pPr>
      <w:rPr>
        <w:rFonts w:ascii="Calibri" w:hAnsi="Calibri" w:hint="default"/>
      </w:rPr>
    </w:lvl>
    <w:lvl w:ilvl="1" w:tplc="08090003" w:tentative="1">
      <w:start w:val="1"/>
      <w:numFmt w:val="bullet"/>
      <w:lvlText w:val="o"/>
      <w:lvlJc w:val="left"/>
      <w:pPr>
        <w:ind w:left="2289" w:hanging="360"/>
      </w:pPr>
      <w:rPr>
        <w:rFonts w:ascii="Courier New" w:hAnsi="Courier New" w:cs="Courier New" w:hint="default"/>
      </w:rPr>
    </w:lvl>
    <w:lvl w:ilvl="2" w:tplc="08090005" w:tentative="1">
      <w:start w:val="1"/>
      <w:numFmt w:val="bullet"/>
      <w:lvlText w:val=""/>
      <w:lvlJc w:val="left"/>
      <w:pPr>
        <w:ind w:left="3009" w:hanging="360"/>
      </w:pPr>
      <w:rPr>
        <w:rFonts w:ascii="Wingdings" w:hAnsi="Wingdings" w:hint="default"/>
      </w:rPr>
    </w:lvl>
    <w:lvl w:ilvl="3" w:tplc="08090001" w:tentative="1">
      <w:start w:val="1"/>
      <w:numFmt w:val="bullet"/>
      <w:lvlText w:val=""/>
      <w:lvlJc w:val="left"/>
      <w:pPr>
        <w:ind w:left="3729" w:hanging="360"/>
      </w:pPr>
      <w:rPr>
        <w:rFonts w:ascii="Symbol" w:hAnsi="Symbol" w:hint="default"/>
      </w:rPr>
    </w:lvl>
    <w:lvl w:ilvl="4" w:tplc="08090003" w:tentative="1">
      <w:start w:val="1"/>
      <w:numFmt w:val="bullet"/>
      <w:lvlText w:val="o"/>
      <w:lvlJc w:val="left"/>
      <w:pPr>
        <w:ind w:left="4449" w:hanging="360"/>
      </w:pPr>
      <w:rPr>
        <w:rFonts w:ascii="Courier New" w:hAnsi="Courier New" w:cs="Courier New" w:hint="default"/>
      </w:rPr>
    </w:lvl>
    <w:lvl w:ilvl="5" w:tplc="08090005" w:tentative="1">
      <w:start w:val="1"/>
      <w:numFmt w:val="bullet"/>
      <w:lvlText w:val=""/>
      <w:lvlJc w:val="left"/>
      <w:pPr>
        <w:ind w:left="5169" w:hanging="360"/>
      </w:pPr>
      <w:rPr>
        <w:rFonts w:ascii="Wingdings" w:hAnsi="Wingdings" w:hint="default"/>
      </w:rPr>
    </w:lvl>
    <w:lvl w:ilvl="6" w:tplc="08090001" w:tentative="1">
      <w:start w:val="1"/>
      <w:numFmt w:val="bullet"/>
      <w:lvlText w:val=""/>
      <w:lvlJc w:val="left"/>
      <w:pPr>
        <w:ind w:left="5889" w:hanging="360"/>
      </w:pPr>
      <w:rPr>
        <w:rFonts w:ascii="Symbol" w:hAnsi="Symbol" w:hint="default"/>
      </w:rPr>
    </w:lvl>
    <w:lvl w:ilvl="7" w:tplc="08090003" w:tentative="1">
      <w:start w:val="1"/>
      <w:numFmt w:val="bullet"/>
      <w:lvlText w:val="o"/>
      <w:lvlJc w:val="left"/>
      <w:pPr>
        <w:ind w:left="6609" w:hanging="360"/>
      </w:pPr>
      <w:rPr>
        <w:rFonts w:ascii="Courier New" w:hAnsi="Courier New" w:cs="Courier New" w:hint="default"/>
      </w:rPr>
    </w:lvl>
    <w:lvl w:ilvl="8" w:tplc="08090005" w:tentative="1">
      <w:start w:val="1"/>
      <w:numFmt w:val="bullet"/>
      <w:lvlText w:val=""/>
      <w:lvlJc w:val="left"/>
      <w:pPr>
        <w:ind w:left="7329" w:hanging="360"/>
      </w:pPr>
      <w:rPr>
        <w:rFonts w:ascii="Wingdings" w:hAnsi="Wingdings" w:hint="default"/>
      </w:rPr>
    </w:lvl>
  </w:abstractNum>
  <w:abstractNum w:abstractNumId="25" w15:restartNumberingAfterBreak="0">
    <w:nsid w:val="58B030FE"/>
    <w:multiLevelType w:val="multilevel"/>
    <w:tmpl w:val="A40495DC"/>
    <w:styleLink w:val="TableNListnumberedmultilevel"/>
    <w:lvl w:ilvl="0">
      <w:start w:val="1"/>
      <w:numFmt w:val="decimal"/>
      <w:pStyle w:val="TableNListnumbered"/>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08A63C0"/>
    <w:multiLevelType w:val="multilevel"/>
    <w:tmpl w:val="780CC2E4"/>
    <w:styleLink w:val="ListBullets"/>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567"/>
        </w:tabs>
        <w:ind w:left="567" w:hanging="283"/>
      </w:pPr>
      <w:rPr>
        <w:rFonts w:ascii="Tahoma" w:hAnsi="Tahoma" w:hint="default"/>
      </w:rPr>
    </w:lvl>
    <w:lvl w:ilvl="3">
      <w:start w:val="1"/>
      <w:numFmt w:val="bullet"/>
      <w:lvlText w:val=""/>
      <w:lvlJc w:val="left"/>
      <w:pPr>
        <w:tabs>
          <w:tab w:val="num" w:pos="851"/>
        </w:tabs>
        <w:ind w:left="851" w:hanging="284"/>
      </w:pPr>
      <w:rPr>
        <w:rFonts w:ascii="Symbol" w:hAnsi="Symbol" w:hint="default"/>
      </w:rPr>
    </w:lvl>
    <w:lvl w:ilvl="4">
      <w:start w:val="1"/>
      <w:numFmt w:val="bullet"/>
      <w:lvlText w:val="–"/>
      <w:lvlJc w:val="left"/>
      <w:pPr>
        <w:tabs>
          <w:tab w:val="num" w:pos="851"/>
        </w:tabs>
        <w:ind w:left="851" w:hanging="284"/>
      </w:pPr>
      <w:rPr>
        <w:rFonts w:ascii="Tahoma" w:hAnsi="Tahoma"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7" w15:restartNumberingAfterBreak="0">
    <w:nsid w:val="614C7747"/>
    <w:multiLevelType w:val="hybridMultilevel"/>
    <w:tmpl w:val="72C45E52"/>
    <w:lvl w:ilvl="0" w:tplc="667070EE">
      <w:start w:val="1"/>
      <w:numFmt w:val="bullet"/>
      <w:pStyle w:val="List3"/>
      <w:lvlText w:val="–"/>
      <w:lvlJc w:val="left"/>
      <w:pPr>
        <w:tabs>
          <w:tab w:val="num" w:pos="923"/>
        </w:tabs>
        <w:ind w:left="923" w:hanging="357"/>
      </w:pPr>
      <w:rPr>
        <w:rFonts w:ascii="Calibri" w:hAnsi="Calibri"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28" w15:restartNumberingAfterBreak="0">
    <w:nsid w:val="64902E68"/>
    <w:multiLevelType w:val="hybridMultilevel"/>
    <w:tmpl w:val="14D6B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92502A9"/>
    <w:multiLevelType w:val="hybridMultilevel"/>
    <w:tmpl w:val="84C86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E934F55"/>
    <w:multiLevelType w:val="hybridMultilevel"/>
    <w:tmpl w:val="40FA1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1E3583F"/>
    <w:multiLevelType w:val="hybridMultilevel"/>
    <w:tmpl w:val="538450E8"/>
    <w:lvl w:ilvl="0" w:tplc="A2483CD6">
      <w:start w:val="1"/>
      <w:numFmt w:val="decimal"/>
      <w:pStyle w:val="NormalTablesListNumber"/>
      <w:lvlText w:val="%1."/>
      <w:lvlJc w:val="left"/>
      <w:pPr>
        <w:tabs>
          <w:tab w:val="num" w:pos="284"/>
        </w:tabs>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2E33BFC"/>
    <w:multiLevelType w:val="hybridMultilevel"/>
    <w:tmpl w:val="DFFA0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B012DDC"/>
    <w:multiLevelType w:val="multilevel"/>
    <w:tmpl w:val="1CCE64F2"/>
    <w:styleLink w:val="List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850"/>
      </w:pPr>
      <w:rPr>
        <w:rFonts w:hint="default"/>
      </w:rPr>
    </w:lvl>
    <w:lvl w:ilvl="2">
      <w:start w:val="1"/>
      <w:numFmt w:val="decimal"/>
      <w:lvlText w:val="%1.%2.%3."/>
      <w:lvlJc w:val="left"/>
      <w:pPr>
        <w:tabs>
          <w:tab w:val="num" w:pos="1134"/>
        </w:tabs>
        <w:ind w:left="1134" w:hanging="85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ind w:left="2739" w:hanging="2739"/>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3744"/>
      </w:pPr>
      <w:rPr>
        <w:rFonts w:hint="default"/>
      </w:rPr>
    </w:lvl>
    <w:lvl w:ilvl="8">
      <w:start w:val="1"/>
      <w:numFmt w:val="none"/>
      <w:lvlText w:val=""/>
      <w:lvlJc w:val="left"/>
      <w:pPr>
        <w:ind w:left="4320" w:hanging="4320"/>
      </w:pPr>
      <w:rPr>
        <w:rFonts w:hint="default"/>
      </w:rPr>
    </w:lvl>
  </w:abstractNum>
  <w:abstractNum w:abstractNumId="35" w15:restartNumberingAfterBreak="0">
    <w:nsid w:val="7B177FDA"/>
    <w:multiLevelType w:val="hybridMultilevel"/>
    <w:tmpl w:val="3D7ABE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B7A3D95"/>
    <w:multiLevelType w:val="hybridMultilevel"/>
    <w:tmpl w:val="78F84668"/>
    <w:lvl w:ilvl="0" w:tplc="9FFADBC0">
      <w:start w:val="1"/>
      <w:numFmt w:val="bullet"/>
      <w:pStyle w:val="List5"/>
      <w:lvlText w:val="–"/>
      <w:lvlJc w:val="left"/>
      <w:pPr>
        <w:tabs>
          <w:tab w:val="num" w:pos="1489"/>
        </w:tabs>
        <w:ind w:left="1489"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2443381">
    <w:abstractNumId w:val="9"/>
  </w:num>
  <w:num w:numId="2" w16cid:durableId="1044406337">
    <w:abstractNumId w:val="7"/>
  </w:num>
  <w:num w:numId="3" w16cid:durableId="1927767663">
    <w:abstractNumId w:val="6"/>
  </w:num>
  <w:num w:numId="4" w16cid:durableId="706757376">
    <w:abstractNumId w:val="5"/>
  </w:num>
  <w:num w:numId="5" w16cid:durableId="855729155">
    <w:abstractNumId w:val="4"/>
  </w:num>
  <w:num w:numId="6" w16cid:durableId="159128976">
    <w:abstractNumId w:val="8"/>
  </w:num>
  <w:num w:numId="7" w16cid:durableId="1949120072">
    <w:abstractNumId w:val="3"/>
  </w:num>
  <w:num w:numId="8" w16cid:durableId="1193492718">
    <w:abstractNumId w:val="2"/>
  </w:num>
  <w:num w:numId="9" w16cid:durableId="280847796">
    <w:abstractNumId w:val="1"/>
  </w:num>
  <w:num w:numId="10" w16cid:durableId="529924679">
    <w:abstractNumId w:val="0"/>
  </w:num>
  <w:num w:numId="11" w16cid:durableId="2110197474">
    <w:abstractNumId w:val="15"/>
  </w:num>
  <w:num w:numId="12" w16cid:durableId="921639616">
    <w:abstractNumId w:val="14"/>
  </w:num>
  <w:num w:numId="13" w16cid:durableId="155463324">
    <w:abstractNumId w:val="10"/>
  </w:num>
  <w:num w:numId="14" w16cid:durableId="1234315188">
    <w:abstractNumId w:val="27"/>
  </w:num>
  <w:num w:numId="15" w16cid:durableId="1240868823">
    <w:abstractNumId w:val="24"/>
  </w:num>
  <w:num w:numId="16" w16cid:durableId="1377894696">
    <w:abstractNumId w:val="36"/>
  </w:num>
  <w:num w:numId="17" w16cid:durableId="152330782">
    <w:abstractNumId w:val="16"/>
  </w:num>
  <w:num w:numId="18" w16cid:durableId="25759295">
    <w:abstractNumId w:val="31"/>
  </w:num>
  <w:num w:numId="19" w16cid:durableId="803812338">
    <w:abstractNumId w:val="11"/>
  </w:num>
  <w:num w:numId="20" w16cid:durableId="1651591925">
    <w:abstractNumId w:val="34"/>
  </w:num>
  <w:num w:numId="21" w16cid:durableId="591352854">
    <w:abstractNumId w:val="26"/>
  </w:num>
  <w:num w:numId="22" w16cid:durableId="1027946138">
    <w:abstractNumId w:val="23"/>
  </w:num>
  <w:num w:numId="23" w16cid:durableId="2034379141">
    <w:abstractNumId w:val="17"/>
  </w:num>
  <w:num w:numId="24" w16cid:durableId="204216404">
    <w:abstractNumId w:val="33"/>
  </w:num>
  <w:num w:numId="25" w16cid:durableId="319312427">
    <w:abstractNumId w:val="13"/>
  </w:num>
  <w:num w:numId="26" w16cid:durableId="1112283736">
    <w:abstractNumId w:val="21"/>
  </w:num>
  <w:num w:numId="27" w16cid:durableId="1896311098">
    <w:abstractNumId w:val="30"/>
  </w:num>
  <w:num w:numId="28" w16cid:durableId="1970895919">
    <w:abstractNumId w:val="20"/>
  </w:num>
  <w:num w:numId="29" w16cid:durableId="1043872305">
    <w:abstractNumId w:val="18"/>
  </w:num>
  <w:num w:numId="30" w16cid:durableId="1418016073">
    <w:abstractNumId w:val="25"/>
  </w:num>
  <w:num w:numId="31" w16cid:durableId="2099671582">
    <w:abstractNumId w:val="22"/>
  </w:num>
  <w:num w:numId="32" w16cid:durableId="1244100716">
    <w:abstractNumId w:val="35"/>
  </w:num>
  <w:num w:numId="33" w16cid:durableId="41231630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45521835">
    <w:abstractNumId w:val="31"/>
    <w:lvlOverride w:ilvl="0">
      <w:startOverride w:val="1"/>
    </w:lvlOverride>
  </w:num>
  <w:num w:numId="35" w16cid:durableId="1356466542">
    <w:abstractNumId w:val="31"/>
    <w:lvlOverride w:ilvl="0">
      <w:startOverride w:val="1"/>
    </w:lvlOverride>
  </w:num>
  <w:num w:numId="36" w16cid:durableId="170142150">
    <w:abstractNumId w:val="31"/>
    <w:lvlOverride w:ilvl="0">
      <w:startOverride w:val="1"/>
    </w:lvlOverride>
  </w:num>
  <w:num w:numId="37" w16cid:durableId="1540819195">
    <w:abstractNumId w:val="31"/>
    <w:lvlOverride w:ilvl="0">
      <w:startOverride w:val="1"/>
    </w:lvlOverride>
  </w:num>
  <w:num w:numId="38" w16cid:durableId="52143190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0570342">
    <w:abstractNumId w:val="12"/>
  </w:num>
  <w:num w:numId="40" w16cid:durableId="1753313174">
    <w:abstractNumId w:val="19"/>
  </w:num>
  <w:num w:numId="41" w16cid:durableId="698705322">
    <w:abstractNumId w:val="32"/>
  </w:num>
  <w:num w:numId="42" w16cid:durableId="935403454">
    <w:abstractNumId w:val="29"/>
  </w:num>
  <w:num w:numId="43" w16cid:durableId="167331877">
    <w:abstractNumId w:val="2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547"/>
    <w:rsid w:val="0000092D"/>
    <w:rsid w:val="0000099C"/>
    <w:rsid w:val="00000B40"/>
    <w:rsid w:val="00001815"/>
    <w:rsid w:val="00002FFB"/>
    <w:rsid w:val="000030E8"/>
    <w:rsid w:val="000036CB"/>
    <w:rsid w:val="000040BF"/>
    <w:rsid w:val="00005A00"/>
    <w:rsid w:val="00005B8D"/>
    <w:rsid w:val="0000708F"/>
    <w:rsid w:val="00007793"/>
    <w:rsid w:val="00007905"/>
    <w:rsid w:val="00010D26"/>
    <w:rsid w:val="00011F8B"/>
    <w:rsid w:val="0001231E"/>
    <w:rsid w:val="000124C4"/>
    <w:rsid w:val="000125D2"/>
    <w:rsid w:val="00012836"/>
    <w:rsid w:val="00012AB8"/>
    <w:rsid w:val="00013125"/>
    <w:rsid w:val="000132C1"/>
    <w:rsid w:val="000138E3"/>
    <w:rsid w:val="00013BD1"/>
    <w:rsid w:val="00014335"/>
    <w:rsid w:val="00015453"/>
    <w:rsid w:val="00015B64"/>
    <w:rsid w:val="000168F7"/>
    <w:rsid w:val="00016B87"/>
    <w:rsid w:val="0002028B"/>
    <w:rsid w:val="000207DE"/>
    <w:rsid w:val="00020B22"/>
    <w:rsid w:val="000213E9"/>
    <w:rsid w:val="000215A4"/>
    <w:rsid w:val="00021B22"/>
    <w:rsid w:val="000233F2"/>
    <w:rsid w:val="000234FA"/>
    <w:rsid w:val="00025344"/>
    <w:rsid w:val="000255BC"/>
    <w:rsid w:val="00025DB8"/>
    <w:rsid w:val="000267B9"/>
    <w:rsid w:val="0002706D"/>
    <w:rsid w:val="000275C1"/>
    <w:rsid w:val="000309E8"/>
    <w:rsid w:val="00031C19"/>
    <w:rsid w:val="00031F88"/>
    <w:rsid w:val="00032223"/>
    <w:rsid w:val="00032503"/>
    <w:rsid w:val="0003283C"/>
    <w:rsid w:val="000329AC"/>
    <w:rsid w:val="0003528B"/>
    <w:rsid w:val="00035760"/>
    <w:rsid w:val="000366ED"/>
    <w:rsid w:val="00036B2B"/>
    <w:rsid w:val="00037B45"/>
    <w:rsid w:val="000404BC"/>
    <w:rsid w:val="000426D1"/>
    <w:rsid w:val="00043924"/>
    <w:rsid w:val="00043A15"/>
    <w:rsid w:val="00043AA3"/>
    <w:rsid w:val="00044180"/>
    <w:rsid w:val="0004424D"/>
    <w:rsid w:val="00046A4E"/>
    <w:rsid w:val="00046AA7"/>
    <w:rsid w:val="00047D69"/>
    <w:rsid w:val="0005006D"/>
    <w:rsid w:val="00050333"/>
    <w:rsid w:val="00051AFE"/>
    <w:rsid w:val="00053E9B"/>
    <w:rsid w:val="000540D1"/>
    <w:rsid w:val="000555CF"/>
    <w:rsid w:val="0005570A"/>
    <w:rsid w:val="0005655D"/>
    <w:rsid w:val="00056749"/>
    <w:rsid w:val="00057DAC"/>
    <w:rsid w:val="000609CF"/>
    <w:rsid w:val="000612CB"/>
    <w:rsid w:val="0006158A"/>
    <w:rsid w:val="00061687"/>
    <w:rsid w:val="00061871"/>
    <w:rsid w:val="000636C7"/>
    <w:rsid w:val="00063BE3"/>
    <w:rsid w:val="000645D4"/>
    <w:rsid w:val="0006489E"/>
    <w:rsid w:val="000656DA"/>
    <w:rsid w:val="00065A17"/>
    <w:rsid w:val="00067577"/>
    <w:rsid w:val="00071C30"/>
    <w:rsid w:val="000725B6"/>
    <w:rsid w:val="00072797"/>
    <w:rsid w:val="00072FA4"/>
    <w:rsid w:val="000731BB"/>
    <w:rsid w:val="000732CA"/>
    <w:rsid w:val="00073B0E"/>
    <w:rsid w:val="0007483E"/>
    <w:rsid w:val="0007555B"/>
    <w:rsid w:val="000757E0"/>
    <w:rsid w:val="000758B5"/>
    <w:rsid w:val="0007708E"/>
    <w:rsid w:val="00077608"/>
    <w:rsid w:val="00077A0D"/>
    <w:rsid w:val="000806F3"/>
    <w:rsid w:val="00081151"/>
    <w:rsid w:val="00082485"/>
    <w:rsid w:val="0008279C"/>
    <w:rsid w:val="00082959"/>
    <w:rsid w:val="000829D1"/>
    <w:rsid w:val="00090251"/>
    <w:rsid w:val="00090AF1"/>
    <w:rsid w:val="00091222"/>
    <w:rsid w:val="000919DA"/>
    <w:rsid w:val="00093532"/>
    <w:rsid w:val="000938FC"/>
    <w:rsid w:val="00094104"/>
    <w:rsid w:val="0009430C"/>
    <w:rsid w:val="0009597C"/>
    <w:rsid w:val="00095A63"/>
    <w:rsid w:val="00096267"/>
    <w:rsid w:val="00096B5B"/>
    <w:rsid w:val="00096C80"/>
    <w:rsid w:val="000A082C"/>
    <w:rsid w:val="000A2DA7"/>
    <w:rsid w:val="000A4EE8"/>
    <w:rsid w:val="000A5715"/>
    <w:rsid w:val="000A5DC0"/>
    <w:rsid w:val="000A7BA4"/>
    <w:rsid w:val="000B13DD"/>
    <w:rsid w:val="000B1D4B"/>
    <w:rsid w:val="000B1F64"/>
    <w:rsid w:val="000B22F1"/>
    <w:rsid w:val="000B3313"/>
    <w:rsid w:val="000B4D77"/>
    <w:rsid w:val="000B5C14"/>
    <w:rsid w:val="000B6180"/>
    <w:rsid w:val="000B635E"/>
    <w:rsid w:val="000B7DA6"/>
    <w:rsid w:val="000B7DA7"/>
    <w:rsid w:val="000C048A"/>
    <w:rsid w:val="000C1591"/>
    <w:rsid w:val="000C1F20"/>
    <w:rsid w:val="000C4BC1"/>
    <w:rsid w:val="000C5645"/>
    <w:rsid w:val="000C77E7"/>
    <w:rsid w:val="000C7BFD"/>
    <w:rsid w:val="000D1616"/>
    <w:rsid w:val="000D1DE2"/>
    <w:rsid w:val="000D30CC"/>
    <w:rsid w:val="000D344F"/>
    <w:rsid w:val="000D3B40"/>
    <w:rsid w:val="000D4591"/>
    <w:rsid w:val="000D4DBC"/>
    <w:rsid w:val="000D576B"/>
    <w:rsid w:val="000D5801"/>
    <w:rsid w:val="000D5D68"/>
    <w:rsid w:val="000D5E45"/>
    <w:rsid w:val="000D70CF"/>
    <w:rsid w:val="000D78DF"/>
    <w:rsid w:val="000D7B22"/>
    <w:rsid w:val="000E12FD"/>
    <w:rsid w:val="000E148C"/>
    <w:rsid w:val="000E1628"/>
    <w:rsid w:val="000E2055"/>
    <w:rsid w:val="000E2366"/>
    <w:rsid w:val="000E2756"/>
    <w:rsid w:val="000E2A77"/>
    <w:rsid w:val="000E2D3D"/>
    <w:rsid w:val="000E315F"/>
    <w:rsid w:val="000E4023"/>
    <w:rsid w:val="000E402B"/>
    <w:rsid w:val="000E420F"/>
    <w:rsid w:val="000E5086"/>
    <w:rsid w:val="000E5AC3"/>
    <w:rsid w:val="000E783C"/>
    <w:rsid w:val="000F029D"/>
    <w:rsid w:val="000F0B7A"/>
    <w:rsid w:val="000F1EFC"/>
    <w:rsid w:val="000F25AD"/>
    <w:rsid w:val="000F2B20"/>
    <w:rsid w:val="000F35D4"/>
    <w:rsid w:val="000F4A56"/>
    <w:rsid w:val="000F4E31"/>
    <w:rsid w:val="000F4FE6"/>
    <w:rsid w:val="000F5404"/>
    <w:rsid w:val="000F589C"/>
    <w:rsid w:val="000F6882"/>
    <w:rsid w:val="000F688A"/>
    <w:rsid w:val="000F6C78"/>
    <w:rsid w:val="000F7AF6"/>
    <w:rsid w:val="00100403"/>
    <w:rsid w:val="00100740"/>
    <w:rsid w:val="00100961"/>
    <w:rsid w:val="00101157"/>
    <w:rsid w:val="00102C95"/>
    <w:rsid w:val="00102FA5"/>
    <w:rsid w:val="00104284"/>
    <w:rsid w:val="001045B6"/>
    <w:rsid w:val="00104A24"/>
    <w:rsid w:val="001051E0"/>
    <w:rsid w:val="00105B7A"/>
    <w:rsid w:val="0010606F"/>
    <w:rsid w:val="00106B9A"/>
    <w:rsid w:val="001073A4"/>
    <w:rsid w:val="001073ED"/>
    <w:rsid w:val="001109D8"/>
    <w:rsid w:val="001119C1"/>
    <w:rsid w:val="00111B81"/>
    <w:rsid w:val="00112883"/>
    <w:rsid w:val="00112EF0"/>
    <w:rsid w:val="001138B9"/>
    <w:rsid w:val="00113DC7"/>
    <w:rsid w:val="00114B41"/>
    <w:rsid w:val="00115C6F"/>
    <w:rsid w:val="00116158"/>
    <w:rsid w:val="00116390"/>
    <w:rsid w:val="00117016"/>
    <w:rsid w:val="0011724D"/>
    <w:rsid w:val="00117789"/>
    <w:rsid w:val="00120CAC"/>
    <w:rsid w:val="00121649"/>
    <w:rsid w:val="00122383"/>
    <w:rsid w:val="0012261C"/>
    <w:rsid w:val="00124C8E"/>
    <w:rsid w:val="00125920"/>
    <w:rsid w:val="00125CF2"/>
    <w:rsid w:val="00125F72"/>
    <w:rsid w:val="001263EE"/>
    <w:rsid w:val="00126958"/>
    <w:rsid w:val="00126BE9"/>
    <w:rsid w:val="00126D61"/>
    <w:rsid w:val="001275C0"/>
    <w:rsid w:val="00127BAA"/>
    <w:rsid w:val="00127C00"/>
    <w:rsid w:val="00127ED4"/>
    <w:rsid w:val="00130A8A"/>
    <w:rsid w:val="001331B6"/>
    <w:rsid w:val="00133745"/>
    <w:rsid w:val="001338C1"/>
    <w:rsid w:val="001346E2"/>
    <w:rsid w:val="00135979"/>
    <w:rsid w:val="00135EF3"/>
    <w:rsid w:val="00137375"/>
    <w:rsid w:val="001374BD"/>
    <w:rsid w:val="0014084E"/>
    <w:rsid w:val="00141819"/>
    <w:rsid w:val="00141EE8"/>
    <w:rsid w:val="00142464"/>
    <w:rsid w:val="0014359C"/>
    <w:rsid w:val="00143D94"/>
    <w:rsid w:val="00144246"/>
    <w:rsid w:val="00144BB2"/>
    <w:rsid w:val="00145A87"/>
    <w:rsid w:val="00147123"/>
    <w:rsid w:val="00147EE6"/>
    <w:rsid w:val="001504F8"/>
    <w:rsid w:val="00150722"/>
    <w:rsid w:val="00150C9E"/>
    <w:rsid w:val="001510A3"/>
    <w:rsid w:val="001512C9"/>
    <w:rsid w:val="001514BE"/>
    <w:rsid w:val="00151BBE"/>
    <w:rsid w:val="00151E2B"/>
    <w:rsid w:val="00152305"/>
    <w:rsid w:val="0015362B"/>
    <w:rsid w:val="001537E5"/>
    <w:rsid w:val="001556FA"/>
    <w:rsid w:val="00155CBF"/>
    <w:rsid w:val="001563A2"/>
    <w:rsid w:val="00156FCA"/>
    <w:rsid w:val="00157F8E"/>
    <w:rsid w:val="00160185"/>
    <w:rsid w:val="00160357"/>
    <w:rsid w:val="001609EC"/>
    <w:rsid w:val="00160EB2"/>
    <w:rsid w:val="001613E2"/>
    <w:rsid w:val="0016149D"/>
    <w:rsid w:val="00162624"/>
    <w:rsid w:val="001633C8"/>
    <w:rsid w:val="0016379C"/>
    <w:rsid w:val="0016409A"/>
    <w:rsid w:val="001641C2"/>
    <w:rsid w:val="001654B5"/>
    <w:rsid w:val="00165BD1"/>
    <w:rsid w:val="0016605B"/>
    <w:rsid w:val="00167A26"/>
    <w:rsid w:val="001706CA"/>
    <w:rsid w:val="0017159F"/>
    <w:rsid w:val="001715B1"/>
    <w:rsid w:val="0017165B"/>
    <w:rsid w:val="001724B5"/>
    <w:rsid w:val="001736C7"/>
    <w:rsid w:val="001737AD"/>
    <w:rsid w:val="001740DB"/>
    <w:rsid w:val="00174509"/>
    <w:rsid w:val="00174A73"/>
    <w:rsid w:val="00174D95"/>
    <w:rsid w:val="00175A8C"/>
    <w:rsid w:val="00176835"/>
    <w:rsid w:val="001774BF"/>
    <w:rsid w:val="0017778D"/>
    <w:rsid w:val="00177AD7"/>
    <w:rsid w:val="00180A70"/>
    <w:rsid w:val="00180AD3"/>
    <w:rsid w:val="00180B56"/>
    <w:rsid w:val="00181C6E"/>
    <w:rsid w:val="0018207F"/>
    <w:rsid w:val="00182C16"/>
    <w:rsid w:val="00183D51"/>
    <w:rsid w:val="00183DAF"/>
    <w:rsid w:val="00184F7E"/>
    <w:rsid w:val="0018519E"/>
    <w:rsid w:val="00185745"/>
    <w:rsid w:val="00186AF1"/>
    <w:rsid w:val="00186B70"/>
    <w:rsid w:val="001879F0"/>
    <w:rsid w:val="001905A7"/>
    <w:rsid w:val="00190700"/>
    <w:rsid w:val="00190935"/>
    <w:rsid w:val="00191643"/>
    <w:rsid w:val="0019193B"/>
    <w:rsid w:val="00191C77"/>
    <w:rsid w:val="00194761"/>
    <w:rsid w:val="00195677"/>
    <w:rsid w:val="00195DC2"/>
    <w:rsid w:val="00195EA2"/>
    <w:rsid w:val="001969DA"/>
    <w:rsid w:val="00196E46"/>
    <w:rsid w:val="00196F27"/>
    <w:rsid w:val="00197644"/>
    <w:rsid w:val="00197661"/>
    <w:rsid w:val="001976A3"/>
    <w:rsid w:val="001A09F8"/>
    <w:rsid w:val="001A0A72"/>
    <w:rsid w:val="001A187F"/>
    <w:rsid w:val="001A2071"/>
    <w:rsid w:val="001A3A8D"/>
    <w:rsid w:val="001A3C8A"/>
    <w:rsid w:val="001A3CBD"/>
    <w:rsid w:val="001A7452"/>
    <w:rsid w:val="001B408C"/>
    <w:rsid w:val="001B5BE9"/>
    <w:rsid w:val="001B7DD4"/>
    <w:rsid w:val="001C044E"/>
    <w:rsid w:val="001C26A4"/>
    <w:rsid w:val="001C3B85"/>
    <w:rsid w:val="001C3D34"/>
    <w:rsid w:val="001C3FC1"/>
    <w:rsid w:val="001C4D2A"/>
    <w:rsid w:val="001C6472"/>
    <w:rsid w:val="001C6B0E"/>
    <w:rsid w:val="001C6BD0"/>
    <w:rsid w:val="001C6F39"/>
    <w:rsid w:val="001C717F"/>
    <w:rsid w:val="001C733F"/>
    <w:rsid w:val="001D0685"/>
    <w:rsid w:val="001D0A57"/>
    <w:rsid w:val="001D10EA"/>
    <w:rsid w:val="001D1248"/>
    <w:rsid w:val="001D1451"/>
    <w:rsid w:val="001D16D7"/>
    <w:rsid w:val="001D241E"/>
    <w:rsid w:val="001D2EF8"/>
    <w:rsid w:val="001D2F92"/>
    <w:rsid w:val="001D33D6"/>
    <w:rsid w:val="001D3DB0"/>
    <w:rsid w:val="001D3ED8"/>
    <w:rsid w:val="001D6A44"/>
    <w:rsid w:val="001D77B4"/>
    <w:rsid w:val="001D7CFD"/>
    <w:rsid w:val="001E0C55"/>
    <w:rsid w:val="001E2790"/>
    <w:rsid w:val="001E34D0"/>
    <w:rsid w:val="001E4090"/>
    <w:rsid w:val="001E4EDB"/>
    <w:rsid w:val="001F0C8D"/>
    <w:rsid w:val="001F13E7"/>
    <w:rsid w:val="001F1F34"/>
    <w:rsid w:val="001F23B7"/>
    <w:rsid w:val="001F30E3"/>
    <w:rsid w:val="001F3872"/>
    <w:rsid w:val="001F38A0"/>
    <w:rsid w:val="001F3940"/>
    <w:rsid w:val="001F39E6"/>
    <w:rsid w:val="001F5421"/>
    <w:rsid w:val="001F7D0B"/>
    <w:rsid w:val="00200360"/>
    <w:rsid w:val="002013C7"/>
    <w:rsid w:val="00201EB3"/>
    <w:rsid w:val="0020468B"/>
    <w:rsid w:val="00204987"/>
    <w:rsid w:val="00204A01"/>
    <w:rsid w:val="002056AD"/>
    <w:rsid w:val="002066B7"/>
    <w:rsid w:val="002068F6"/>
    <w:rsid w:val="00206A8B"/>
    <w:rsid w:val="00206B75"/>
    <w:rsid w:val="002070C1"/>
    <w:rsid w:val="002071AE"/>
    <w:rsid w:val="00207AD1"/>
    <w:rsid w:val="002104FD"/>
    <w:rsid w:val="00210941"/>
    <w:rsid w:val="00211545"/>
    <w:rsid w:val="00211D8F"/>
    <w:rsid w:val="002133D8"/>
    <w:rsid w:val="00213EB9"/>
    <w:rsid w:val="00215CAD"/>
    <w:rsid w:val="00216937"/>
    <w:rsid w:val="00217578"/>
    <w:rsid w:val="00217AAF"/>
    <w:rsid w:val="00217DA9"/>
    <w:rsid w:val="00220D68"/>
    <w:rsid w:val="002216CB"/>
    <w:rsid w:val="002217F7"/>
    <w:rsid w:val="00223201"/>
    <w:rsid w:val="002235F7"/>
    <w:rsid w:val="0022386E"/>
    <w:rsid w:val="002243D1"/>
    <w:rsid w:val="0022493D"/>
    <w:rsid w:val="00224DAB"/>
    <w:rsid w:val="002258CE"/>
    <w:rsid w:val="00225FD1"/>
    <w:rsid w:val="002265E1"/>
    <w:rsid w:val="00226A35"/>
    <w:rsid w:val="00226DD1"/>
    <w:rsid w:val="00227601"/>
    <w:rsid w:val="00227FB5"/>
    <w:rsid w:val="002313A1"/>
    <w:rsid w:val="00231BD2"/>
    <w:rsid w:val="00232970"/>
    <w:rsid w:val="00232FC4"/>
    <w:rsid w:val="002336EC"/>
    <w:rsid w:val="002337A5"/>
    <w:rsid w:val="00233812"/>
    <w:rsid w:val="00234BD1"/>
    <w:rsid w:val="00235444"/>
    <w:rsid w:val="002355B7"/>
    <w:rsid w:val="00236327"/>
    <w:rsid w:val="00237C1E"/>
    <w:rsid w:val="0024005E"/>
    <w:rsid w:val="002425C2"/>
    <w:rsid w:val="002435EC"/>
    <w:rsid w:val="00244D5E"/>
    <w:rsid w:val="00245F06"/>
    <w:rsid w:val="00246B8E"/>
    <w:rsid w:val="00247141"/>
    <w:rsid w:val="00247B90"/>
    <w:rsid w:val="0025048E"/>
    <w:rsid w:val="00250EEE"/>
    <w:rsid w:val="00252865"/>
    <w:rsid w:val="00252CE1"/>
    <w:rsid w:val="0025381B"/>
    <w:rsid w:val="00253B40"/>
    <w:rsid w:val="002563A4"/>
    <w:rsid w:val="0025779E"/>
    <w:rsid w:val="00260082"/>
    <w:rsid w:val="0026162A"/>
    <w:rsid w:val="00261CCA"/>
    <w:rsid w:val="00262460"/>
    <w:rsid w:val="002625BA"/>
    <w:rsid w:val="002627EF"/>
    <w:rsid w:val="00262951"/>
    <w:rsid w:val="00262D83"/>
    <w:rsid w:val="002630AF"/>
    <w:rsid w:val="00263564"/>
    <w:rsid w:val="002644C2"/>
    <w:rsid w:val="0026459F"/>
    <w:rsid w:val="00264BAC"/>
    <w:rsid w:val="00264EBD"/>
    <w:rsid w:val="00266F42"/>
    <w:rsid w:val="00267A49"/>
    <w:rsid w:val="002713BB"/>
    <w:rsid w:val="002725CB"/>
    <w:rsid w:val="00272B6A"/>
    <w:rsid w:val="00273864"/>
    <w:rsid w:val="0027477B"/>
    <w:rsid w:val="00274A50"/>
    <w:rsid w:val="00276992"/>
    <w:rsid w:val="00276AB4"/>
    <w:rsid w:val="00276C04"/>
    <w:rsid w:val="002775D7"/>
    <w:rsid w:val="002778DD"/>
    <w:rsid w:val="00280F91"/>
    <w:rsid w:val="002812BE"/>
    <w:rsid w:val="00281C33"/>
    <w:rsid w:val="00282AB4"/>
    <w:rsid w:val="00283348"/>
    <w:rsid w:val="002840EF"/>
    <w:rsid w:val="00284323"/>
    <w:rsid w:val="002843E7"/>
    <w:rsid w:val="00285100"/>
    <w:rsid w:val="00285115"/>
    <w:rsid w:val="00285AA5"/>
    <w:rsid w:val="002866D5"/>
    <w:rsid w:val="002872CE"/>
    <w:rsid w:val="00287579"/>
    <w:rsid w:val="002903FB"/>
    <w:rsid w:val="00290CE8"/>
    <w:rsid w:val="00290FCD"/>
    <w:rsid w:val="002916D3"/>
    <w:rsid w:val="002922A4"/>
    <w:rsid w:val="00293267"/>
    <w:rsid w:val="002938CF"/>
    <w:rsid w:val="00293B78"/>
    <w:rsid w:val="00294372"/>
    <w:rsid w:val="002955B5"/>
    <w:rsid w:val="002957DC"/>
    <w:rsid w:val="002965A1"/>
    <w:rsid w:val="0029675E"/>
    <w:rsid w:val="00296A89"/>
    <w:rsid w:val="00296C17"/>
    <w:rsid w:val="00296F4E"/>
    <w:rsid w:val="002A2535"/>
    <w:rsid w:val="002A3C91"/>
    <w:rsid w:val="002A4D22"/>
    <w:rsid w:val="002A555B"/>
    <w:rsid w:val="002A5F3D"/>
    <w:rsid w:val="002A6A20"/>
    <w:rsid w:val="002A6DE5"/>
    <w:rsid w:val="002A6E44"/>
    <w:rsid w:val="002B021C"/>
    <w:rsid w:val="002B09B8"/>
    <w:rsid w:val="002B0BB5"/>
    <w:rsid w:val="002B10FC"/>
    <w:rsid w:val="002B12F8"/>
    <w:rsid w:val="002B347A"/>
    <w:rsid w:val="002B3A49"/>
    <w:rsid w:val="002B491B"/>
    <w:rsid w:val="002B4D54"/>
    <w:rsid w:val="002B5277"/>
    <w:rsid w:val="002B56C3"/>
    <w:rsid w:val="002B5D00"/>
    <w:rsid w:val="002B668E"/>
    <w:rsid w:val="002B6D59"/>
    <w:rsid w:val="002B6FA8"/>
    <w:rsid w:val="002C0877"/>
    <w:rsid w:val="002C0CE7"/>
    <w:rsid w:val="002C184F"/>
    <w:rsid w:val="002C1FE7"/>
    <w:rsid w:val="002C3DEF"/>
    <w:rsid w:val="002C46AF"/>
    <w:rsid w:val="002C486E"/>
    <w:rsid w:val="002C5BA3"/>
    <w:rsid w:val="002C755F"/>
    <w:rsid w:val="002C7844"/>
    <w:rsid w:val="002D0BD8"/>
    <w:rsid w:val="002D0EC7"/>
    <w:rsid w:val="002D1B29"/>
    <w:rsid w:val="002D1B5B"/>
    <w:rsid w:val="002D3153"/>
    <w:rsid w:val="002D4E1C"/>
    <w:rsid w:val="002D5526"/>
    <w:rsid w:val="002D59B3"/>
    <w:rsid w:val="002D6B05"/>
    <w:rsid w:val="002D742B"/>
    <w:rsid w:val="002E0811"/>
    <w:rsid w:val="002E1315"/>
    <w:rsid w:val="002E211D"/>
    <w:rsid w:val="002E249A"/>
    <w:rsid w:val="002E2F7A"/>
    <w:rsid w:val="002E3D49"/>
    <w:rsid w:val="002E435B"/>
    <w:rsid w:val="002E4825"/>
    <w:rsid w:val="002E6BFB"/>
    <w:rsid w:val="002F1B46"/>
    <w:rsid w:val="002F335F"/>
    <w:rsid w:val="002F3750"/>
    <w:rsid w:val="002F3CB6"/>
    <w:rsid w:val="002F4439"/>
    <w:rsid w:val="002F4FDB"/>
    <w:rsid w:val="002F709A"/>
    <w:rsid w:val="002F7BC3"/>
    <w:rsid w:val="003004AF"/>
    <w:rsid w:val="00300CF2"/>
    <w:rsid w:val="00301458"/>
    <w:rsid w:val="00301D6B"/>
    <w:rsid w:val="00302281"/>
    <w:rsid w:val="003029AC"/>
    <w:rsid w:val="00303E9A"/>
    <w:rsid w:val="00304AF1"/>
    <w:rsid w:val="00305CA8"/>
    <w:rsid w:val="00305F88"/>
    <w:rsid w:val="003074C1"/>
    <w:rsid w:val="00307AED"/>
    <w:rsid w:val="00310308"/>
    <w:rsid w:val="00311875"/>
    <w:rsid w:val="003142F3"/>
    <w:rsid w:val="00314367"/>
    <w:rsid w:val="0032058A"/>
    <w:rsid w:val="003215E0"/>
    <w:rsid w:val="003222AC"/>
    <w:rsid w:val="00322474"/>
    <w:rsid w:val="00323174"/>
    <w:rsid w:val="003234AF"/>
    <w:rsid w:val="00324DDB"/>
    <w:rsid w:val="00324F41"/>
    <w:rsid w:val="00326879"/>
    <w:rsid w:val="003270AD"/>
    <w:rsid w:val="0032773E"/>
    <w:rsid w:val="00330CF1"/>
    <w:rsid w:val="00330DBA"/>
    <w:rsid w:val="00335009"/>
    <w:rsid w:val="003357E5"/>
    <w:rsid w:val="00336CF7"/>
    <w:rsid w:val="00337421"/>
    <w:rsid w:val="0033796A"/>
    <w:rsid w:val="00340FE3"/>
    <w:rsid w:val="00342076"/>
    <w:rsid w:val="00342CF2"/>
    <w:rsid w:val="00344957"/>
    <w:rsid w:val="003457CA"/>
    <w:rsid w:val="00345E02"/>
    <w:rsid w:val="00345E7E"/>
    <w:rsid w:val="0034642B"/>
    <w:rsid w:val="0034679E"/>
    <w:rsid w:val="00346F8B"/>
    <w:rsid w:val="00352518"/>
    <w:rsid w:val="00352A9F"/>
    <w:rsid w:val="00352AA7"/>
    <w:rsid w:val="0035487D"/>
    <w:rsid w:val="00355729"/>
    <w:rsid w:val="00356A2E"/>
    <w:rsid w:val="00356E6D"/>
    <w:rsid w:val="00357550"/>
    <w:rsid w:val="00357F82"/>
    <w:rsid w:val="00361066"/>
    <w:rsid w:val="00361768"/>
    <w:rsid w:val="00361D65"/>
    <w:rsid w:val="003633C4"/>
    <w:rsid w:val="00363D01"/>
    <w:rsid w:val="003648A1"/>
    <w:rsid w:val="0036569B"/>
    <w:rsid w:val="0036579F"/>
    <w:rsid w:val="003674A0"/>
    <w:rsid w:val="00371C08"/>
    <w:rsid w:val="00371E46"/>
    <w:rsid w:val="00372272"/>
    <w:rsid w:val="0037278E"/>
    <w:rsid w:val="00373C99"/>
    <w:rsid w:val="00373D93"/>
    <w:rsid w:val="00375681"/>
    <w:rsid w:val="00376974"/>
    <w:rsid w:val="0037766A"/>
    <w:rsid w:val="00377C08"/>
    <w:rsid w:val="00380359"/>
    <w:rsid w:val="0038105D"/>
    <w:rsid w:val="00383316"/>
    <w:rsid w:val="00383A38"/>
    <w:rsid w:val="00383BAB"/>
    <w:rsid w:val="003862A7"/>
    <w:rsid w:val="00386E31"/>
    <w:rsid w:val="003878BC"/>
    <w:rsid w:val="0039161E"/>
    <w:rsid w:val="0039199D"/>
    <w:rsid w:val="00393D64"/>
    <w:rsid w:val="00394589"/>
    <w:rsid w:val="00395A93"/>
    <w:rsid w:val="00395E44"/>
    <w:rsid w:val="00397EE9"/>
    <w:rsid w:val="003A043D"/>
    <w:rsid w:val="003A053F"/>
    <w:rsid w:val="003A0CBF"/>
    <w:rsid w:val="003A0EEA"/>
    <w:rsid w:val="003A0FFF"/>
    <w:rsid w:val="003A16FB"/>
    <w:rsid w:val="003A3571"/>
    <w:rsid w:val="003A3725"/>
    <w:rsid w:val="003A54CD"/>
    <w:rsid w:val="003A6348"/>
    <w:rsid w:val="003B4B1E"/>
    <w:rsid w:val="003B5F32"/>
    <w:rsid w:val="003B5F72"/>
    <w:rsid w:val="003B7DB6"/>
    <w:rsid w:val="003C0B12"/>
    <w:rsid w:val="003C2726"/>
    <w:rsid w:val="003C3332"/>
    <w:rsid w:val="003C360E"/>
    <w:rsid w:val="003C3B0A"/>
    <w:rsid w:val="003C4137"/>
    <w:rsid w:val="003C4618"/>
    <w:rsid w:val="003C50A2"/>
    <w:rsid w:val="003C5FBC"/>
    <w:rsid w:val="003D0408"/>
    <w:rsid w:val="003D1753"/>
    <w:rsid w:val="003D18C1"/>
    <w:rsid w:val="003D1E64"/>
    <w:rsid w:val="003D2190"/>
    <w:rsid w:val="003D2478"/>
    <w:rsid w:val="003D27CD"/>
    <w:rsid w:val="003D2B2E"/>
    <w:rsid w:val="003D357D"/>
    <w:rsid w:val="003D4171"/>
    <w:rsid w:val="003D4DD3"/>
    <w:rsid w:val="003D4E3A"/>
    <w:rsid w:val="003D5721"/>
    <w:rsid w:val="003D5FEC"/>
    <w:rsid w:val="003D60BD"/>
    <w:rsid w:val="003D6C6E"/>
    <w:rsid w:val="003D7707"/>
    <w:rsid w:val="003D7AAC"/>
    <w:rsid w:val="003D7F8F"/>
    <w:rsid w:val="003E0A83"/>
    <w:rsid w:val="003E0EF4"/>
    <w:rsid w:val="003E1D22"/>
    <w:rsid w:val="003E2757"/>
    <w:rsid w:val="003E2802"/>
    <w:rsid w:val="003E4946"/>
    <w:rsid w:val="003E503B"/>
    <w:rsid w:val="003E5237"/>
    <w:rsid w:val="003E6105"/>
    <w:rsid w:val="003E76B6"/>
    <w:rsid w:val="003E7C8B"/>
    <w:rsid w:val="003F026F"/>
    <w:rsid w:val="003F0F64"/>
    <w:rsid w:val="003F1196"/>
    <w:rsid w:val="003F4E53"/>
    <w:rsid w:val="003F5771"/>
    <w:rsid w:val="003F6772"/>
    <w:rsid w:val="003F7911"/>
    <w:rsid w:val="004001F6"/>
    <w:rsid w:val="004018ED"/>
    <w:rsid w:val="0040329E"/>
    <w:rsid w:val="0040538F"/>
    <w:rsid w:val="00405574"/>
    <w:rsid w:val="004058C0"/>
    <w:rsid w:val="00405E00"/>
    <w:rsid w:val="00406B14"/>
    <w:rsid w:val="00406F7B"/>
    <w:rsid w:val="004103E4"/>
    <w:rsid w:val="00410502"/>
    <w:rsid w:val="00411E3E"/>
    <w:rsid w:val="00412841"/>
    <w:rsid w:val="0041345D"/>
    <w:rsid w:val="0041562E"/>
    <w:rsid w:val="00415655"/>
    <w:rsid w:val="004159B1"/>
    <w:rsid w:val="0041651B"/>
    <w:rsid w:val="00416942"/>
    <w:rsid w:val="00416AF8"/>
    <w:rsid w:val="00420009"/>
    <w:rsid w:val="0042106D"/>
    <w:rsid w:val="00421923"/>
    <w:rsid w:val="0042278F"/>
    <w:rsid w:val="00422FD7"/>
    <w:rsid w:val="004235DB"/>
    <w:rsid w:val="00425FD0"/>
    <w:rsid w:val="0042601B"/>
    <w:rsid w:val="004269B7"/>
    <w:rsid w:val="00427292"/>
    <w:rsid w:val="004305F5"/>
    <w:rsid w:val="004312DC"/>
    <w:rsid w:val="00431B12"/>
    <w:rsid w:val="00431DBC"/>
    <w:rsid w:val="00432B75"/>
    <w:rsid w:val="004330BC"/>
    <w:rsid w:val="004333C4"/>
    <w:rsid w:val="0043366D"/>
    <w:rsid w:val="004336BC"/>
    <w:rsid w:val="00433EC0"/>
    <w:rsid w:val="00434671"/>
    <w:rsid w:val="00434C04"/>
    <w:rsid w:val="00435C30"/>
    <w:rsid w:val="0043690F"/>
    <w:rsid w:val="00436EA2"/>
    <w:rsid w:val="00436F75"/>
    <w:rsid w:val="004373BF"/>
    <w:rsid w:val="0044169C"/>
    <w:rsid w:val="00442711"/>
    <w:rsid w:val="00442B41"/>
    <w:rsid w:val="0044301E"/>
    <w:rsid w:val="00443F34"/>
    <w:rsid w:val="004443C7"/>
    <w:rsid w:val="004455DA"/>
    <w:rsid w:val="00445A7F"/>
    <w:rsid w:val="00446B4A"/>
    <w:rsid w:val="00447672"/>
    <w:rsid w:val="00447CE0"/>
    <w:rsid w:val="00450440"/>
    <w:rsid w:val="00450798"/>
    <w:rsid w:val="00450F4E"/>
    <w:rsid w:val="004521EB"/>
    <w:rsid w:val="00452326"/>
    <w:rsid w:val="00452B7D"/>
    <w:rsid w:val="0045337D"/>
    <w:rsid w:val="00455021"/>
    <w:rsid w:val="004561CE"/>
    <w:rsid w:val="004564F1"/>
    <w:rsid w:val="00456D92"/>
    <w:rsid w:val="00456F13"/>
    <w:rsid w:val="0045741B"/>
    <w:rsid w:val="00457F9D"/>
    <w:rsid w:val="004600E8"/>
    <w:rsid w:val="00460B9C"/>
    <w:rsid w:val="004630B5"/>
    <w:rsid w:val="00464003"/>
    <w:rsid w:val="004641ED"/>
    <w:rsid w:val="004649BF"/>
    <w:rsid w:val="004674BF"/>
    <w:rsid w:val="00467CD5"/>
    <w:rsid w:val="00467D65"/>
    <w:rsid w:val="0047004E"/>
    <w:rsid w:val="0047021F"/>
    <w:rsid w:val="0047041F"/>
    <w:rsid w:val="0047100F"/>
    <w:rsid w:val="0047113D"/>
    <w:rsid w:val="00471E49"/>
    <w:rsid w:val="00473189"/>
    <w:rsid w:val="00474D26"/>
    <w:rsid w:val="004754EF"/>
    <w:rsid w:val="00476299"/>
    <w:rsid w:val="004763CD"/>
    <w:rsid w:val="004776C0"/>
    <w:rsid w:val="004778BB"/>
    <w:rsid w:val="0048046B"/>
    <w:rsid w:val="004809CA"/>
    <w:rsid w:val="00480CE0"/>
    <w:rsid w:val="004812D2"/>
    <w:rsid w:val="00481B7C"/>
    <w:rsid w:val="00483850"/>
    <w:rsid w:val="0048423F"/>
    <w:rsid w:val="00485094"/>
    <w:rsid w:val="00485D8F"/>
    <w:rsid w:val="00485DE9"/>
    <w:rsid w:val="00487545"/>
    <w:rsid w:val="00490C02"/>
    <w:rsid w:val="00490FC5"/>
    <w:rsid w:val="0049227D"/>
    <w:rsid w:val="0049258A"/>
    <w:rsid w:val="004929D3"/>
    <w:rsid w:val="00492AA9"/>
    <w:rsid w:val="00493250"/>
    <w:rsid w:val="004946D1"/>
    <w:rsid w:val="00497A09"/>
    <w:rsid w:val="004A0D6E"/>
    <w:rsid w:val="004A105D"/>
    <w:rsid w:val="004A11B2"/>
    <w:rsid w:val="004A225B"/>
    <w:rsid w:val="004A27F6"/>
    <w:rsid w:val="004A29A7"/>
    <w:rsid w:val="004A342E"/>
    <w:rsid w:val="004A3B5A"/>
    <w:rsid w:val="004A443E"/>
    <w:rsid w:val="004A4C57"/>
    <w:rsid w:val="004A69F5"/>
    <w:rsid w:val="004B0122"/>
    <w:rsid w:val="004B08C4"/>
    <w:rsid w:val="004B0AAA"/>
    <w:rsid w:val="004B1388"/>
    <w:rsid w:val="004B1F84"/>
    <w:rsid w:val="004B1FB6"/>
    <w:rsid w:val="004B2B9A"/>
    <w:rsid w:val="004B32AA"/>
    <w:rsid w:val="004B34FF"/>
    <w:rsid w:val="004B3970"/>
    <w:rsid w:val="004B5C6E"/>
    <w:rsid w:val="004C0E21"/>
    <w:rsid w:val="004C12D9"/>
    <w:rsid w:val="004C13AC"/>
    <w:rsid w:val="004C1C58"/>
    <w:rsid w:val="004C26B3"/>
    <w:rsid w:val="004C375B"/>
    <w:rsid w:val="004C37D9"/>
    <w:rsid w:val="004C3C14"/>
    <w:rsid w:val="004C4C41"/>
    <w:rsid w:val="004C5895"/>
    <w:rsid w:val="004C589F"/>
    <w:rsid w:val="004C5C6B"/>
    <w:rsid w:val="004C6A03"/>
    <w:rsid w:val="004C724A"/>
    <w:rsid w:val="004C7EE9"/>
    <w:rsid w:val="004D134B"/>
    <w:rsid w:val="004D1AA7"/>
    <w:rsid w:val="004D204A"/>
    <w:rsid w:val="004D444F"/>
    <w:rsid w:val="004D488A"/>
    <w:rsid w:val="004E193D"/>
    <w:rsid w:val="004E292D"/>
    <w:rsid w:val="004E2BAD"/>
    <w:rsid w:val="004E43E5"/>
    <w:rsid w:val="004E5237"/>
    <w:rsid w:val="004E6477"/>
    <w:rsid w:val="004E6808"/>
    <w:rsid w:val="004F084A"/>
    <w:rsid w:val="004F094F"/>
    <w:rsid w:val="004F1BDD"/>
    <w:rsid w:val="004F1F65"/>
    <w:rsid w:val="004F262E"/>
    <w:rsid w:val="004F27B5"/>
    <w:rsid w:val="004F2A1A"/>
    <w:rsid w:val="004F31C5"/>
    <w:rsid w:val="004F5232"/>
    <w:rsid w:val="004F5B3F"/>
    <w:rsid w:val="004F5E49"/>
    <w:rsid w:val="004F76AE"/>
    <w:rsid w:val="0050002D"/>
    <w:rsid w:val="00500BEE"/>
    <w:rsid w:val="005015DA"/>
    <w:rsid w:val="00501F56"/>
    <w:rsid w:val="00501FCC"/>
    <w:rsid w:val="005028DC"/>
    <w:rsid w:val="00502A09"/>
    <w:rsid w:val="0050361F"/>
    <w:rsid w:val="00503828"/>
    <w:rsid w:val="005045C4"/>
    <w:rsid w:val="00504888"/>
    <w:rsid w:val="00505A04"/>
    <w:rsid w:val="0051081A"/>
    <w:rsid w:val="0051147B"/>
    <w:rsid w:val="005114D2"/>
    <w:rsid w:val="005121B3"/>
    <w:rsid w:val="0051382D"/>
    <w:rsid w:val="00513EFC"/>
    <w:rsid w:val="00515383"/>
    <w:rsid w:val="00515480"/>
    <w:rsid w:val="00516EF3"/>
    <w:rsid w:val="0051737B"/>
    <w:rsid w:val="005200C4"/>
    <w:rsid w:val="00520BC2"/>
    <w:rsid w:val="00523345"/>
    <w:rsid w:val="00524298"/>
    <w:rsid w:val="00524D4D"/>
    <w:rsid w:val="00524F2E"/>
    <w:rsid w:val="00525FD5"/>
    <w:rsid w:val="0052739E"/>
    <w:rsid w:val="00530830"/>
    <w:rsid w:val="00532433"/>
    <w:rsid w:val="00534139"/>
    <w:rsid w:val="005343A9"/>
    <w:rsid w:val="00534916"/>
    <w:rsid w:val="0053497D"/>
    <w:rsid w:val="00534B04"/>
    <w:rsid w:val="005351BC"/>
    <w:rsid w:val="005358E2"/>
    <w:rsid w:val="00536709"/>
    <w:rsid w:val="0053748C"/>
    <w:rsid w:val="0053776D"/>
    <w:rsid w:val="005402CF"/>
    <w:rsid w:val="0054201B"/>
    <w:rsid w:val="00542D80"/>
    <w:rsid w:val="00543CDA"/>
    <w:rsid w:val="00546FBA"/>
    <w:rsid w:val="0055065A"/>
    <w:rsid w:val="00550BAA"/>
    <w:rsid w:val="005535E8"/>
    <w:rsid w:val="005543F4"/>
    <w:rsid w:val="00554B53"/>
    <w:rsid w:val="0055543C"/>
    <w:rsid w:val="005554F7"/>
    <w:rsid w:val="00555717"/>
    <w:rsid w:val="005578C0"/>
    <w:rsid w:val="00557D39"/>
    <w:rsid w:val="00561DB4"/>
    <w:rsid w:val="00564A2E"/>
    <w:rsid w:val="00564DDE"/>
    <w:rsid w:val="00564EB9"/>
    <w:rsid w:val="00565AE2"/>
    <w:rsid w:val="00565CDF"/>
    <w:rsid w:val="00565D02"/>
    <w:rsid w:val="00565EF6"/>
    <w:rsid w:val="005700A1"/>
    <w:rsid w:val="005729B6"/>
    <w:rsid w:val="005730AE"/>
    <w:rsid w:val="00573FD0"/>
    <w:rsid w:val="005757CB"/>
    <w:rsid w:val="00576D79"/>
    <w:rsid w:val="005774DE"/>
    <w:rsid w:val="00577DE7"/>
    <w:rsid w:val="00580553"/>
    <w:rsid w:val="0058069B"/>
    <w:rsid w:val="00581839"/>
    <w:rsid w:val="00581956"/>
    <w:rsid w:val="00581DAD"/>
    <w:rsid w:val="0058376D"/>
    <w:rsid w:val="00583BB2"/>
    <w:rsid w:val="00583E46"/>
    <w:rsid w:val="00584BE9"/>
    <w:rsid w:val="005859B2"/>
    <w:rsid w:val="00586DDB"/>
    <w:rsid w:val="00587647"/>
    <w:rsid w:val="005909B9"/>
    <w:rsid w:val="00591096"/>
    <w:rsid w:val="005918DB"/>
    <w:rsid w:val="005918FF"/>
    <w:rsid w:val="0059206D"/>
    <w:rsid w:val="005924F4"/>
    <w:rsid w:val="0059386C"/>
    <w:rsid w:val="005944A6"/>
    <w:rsid w:val="005965B3"/>
    <w:rsid w:val="005969BD"/>
    <w:rsid w:val="005974AB"/>
    <w:rsid w:val="005978E7"/>
    <w:rsid w:val="00597903"/>
    <w:rsid w:val="00597B3E"/>
    <w:rsid w:val="00597DB9"/>
    <w:rsid w:val="00597ED5"/>
    <w:rsid w:val="005A0265"/>
    <w:rsid w:val="005A0D12"/>
    <w:rsid w:val="005A0FC9"/>
    <w:rsid w:val="005A1BC2"/>
    <w:rsid w:val="005A2230"/>
    <w:rsid w:val="005A2BD3"/>
    <w:rsid w:val="005A2CDD"/>
    <w:rsid w:val="005A37C1"/>
    <w:rsid w:val="005A37DB"/>
    <w:rsid w:val="005A3A92"/>
    <w:rsid w:val="005A4019"/>
    <w:rsid w:val="005A497E"/>
    <w:rsid w:val="005A4E32"/>
    <w:rsid w:val="005A6015"/>
    <w:rsid w:val="005A685F"/>
    <w:rsid w:val="005A74AC"/>
    <w:rsid w:val="005A7DB3"/>
    <w:rsid w:val="005A7F56"/>
    <w:rsid w:val="005B057E"/>
    <w:rsid w:val="005B06FB"/>
    <w:rsid w:val="005B270E"/>
    <w:rsid w:val="005B380D"/>
    <w:rsid w:val="005B3FB6"/>
    <w:rsid w:val="005B47BA"/>
    <w:rsid w:val="005B49C7"/>
    <w:rsid w:val="005B6F81"/>
    <w:rsid w:val="005C054E"/>
    <w:rsid w:val="005C0BFA"/>
    <w:rsid w:val="005C1956"/>
    <w:rsid w:val="005C1A93"/>
    <w:rsid w:val="005C2F1F"/>
    <w:rsid w:val="005C54F1"/>
    <w:rsid w:val="005C740D"/>
    <w:rsid w:val="005C7F16"/>
    <w:rsid w:val="005C7F73"/>
    <w:rsid w:val="005D116C"/>
    <w:rsid w:val="005D1178"/>
    <w:rsid w:val="005D17E1"/>
    <w:rsid w:val="005D1B78"/>
    <w:rsid w:val="005D3171"/>
    <w:rsid w:val="005D31D0"/>
    <w:rsid w:val="005D3304"/>
    <w:rsid w:val="005D397A"/>
    <w:rsid w:val="005D4CE2"/>
    <w:rsid w:val="005D4E23"/>
    <w:rsid w:val="005D57C1"/>
    <w:rsid w:val="005D5896"/>
    <w:rsid w:val="005D58B2"/>
    <w:rsid w:val="005D6771"/>
    <w:rsid w:val="005D6848"/>
    <w:rsid w:val="005D7BB8"/>
    <w:rsid w:val="005D7E1B"/>
    <w:rsid w:val="005E0C4A"/>
    <w:rsid w:val="005E18B4"/>
    <w:rsid w:val="005E1C1F"/>
    <w:rsid w:val="005E24C2"/>
    <w:rsid w:val="005E3D0F"/>
    <w:rsid w:val="005E3EDC"/>
    <w:rsid w:val="005E3F55"/>
    <w:rsid w:val="005E4154"/>
    <w:rsid w:val="005E4347"/>
    <w:rsid w:val="005E546B"/>
    <w:rsid w:val="005E6274"/>
    <w:rsid w:val="005E75A0"/>
    <w:rsid w:val="005E761E"/>
    <w:rsid w:val="005F0AA1"/>
    <w:rsid w:val="005F2882"/>
    <w:rsid w:val="005F2A81"/>
    <w:rsid w:val="005F33F8"/>
    <w:rsid w:val="005F3D9F"/>
    <w:rsid w:val="005F45FC"/>
    <w:rsid w:val="005F4C70"/>
    <w:rsid w:val="005F508F"/>
    <w:rsid w:val="005F584E"/>
    <w:rsid w:val="005F6632"/>
    <w:rsid w:val="005F6BB5"/>
    <w:rsid w:val="005F6C3D"/>
    <w:rsid w:val="005F75DA"/>
    <w:rsid w:val="005F7AE7"/>
    <w:rsid w:val="006010AC"/>
    <w:rsid w:val="006014D5"/>
    <w:rsid w:val="0060195C"/>
    <w:rsid w:val="00601A3A"/>
    <w:rsid w:val="00601B44"/>
    <w:rsid w:val="00603E48"/>
    <w:rsid w:val="00605B1B"/>
    <w:rsid w:val="00605D38"/>
    <w:rsid w:val="00606290"/>
    <w:rsid w:val="0060671B"/>
    <w:rsid w:val="006069E3"/>
    <w:rsid w:val="00607392"/>
    <w:rsid w:val="00607F01"/>
    <w:rsid w:val="006102B3"/>
    <w:rsid w:val="00610464"/>
    <w:rsid w:val="0061206F"/>
    <w:rsid w:val="006122B0"/>
    <w:rsid w:val="00612ACA"/>
    <w:rsid w:val="00613318"/>
    <w:rsid w:val="00614773"/>
    <w:rsid w:val="00614D4B"/>
    <w:rsid w:val="006154C3"/>
    <w:rsid w:val="006161EB"/>
    <w:rsid w:val="0061647D"/>
    <w:rsid w:val="00617150"/>
    <w:rsid w:val="006173F6"/>
    <w:rsid w:val="00617AAA"/>
    <w:rsid w:val="00620198"/>
    <w:rsid w:val="0062137F"/>
    <w:rsid w:val="0062168B"/>
    <w:rsid w:val="00622BD2"/>
    <w:rsid w:val="00622D0D"/>
    <w:rsid w:val="00623951"/>
    <w:rsid w:val="00624526"/>
    <w:rsid w:val="00624917"/>
    <w:rsid w:val="006251D2"/>
    <w:rsid w:val="006254FE"/>
    <w:rsid w:val="00626208"/>
    <w:rsid w:val="00626B12"/>
    <w:rsid w:val="006271E4"/>
    <w:rsid w:val="006277F1"/>
    <w:rsid w:val="00627C3B"/>
    <w:rsid w:val="006312CE"/>
    <w:rsid w:val="0063182B"/>
    <w:rsid w:val="0063215B"/>
    <w:rsid w:val="0063245A"/>
    <w:rsid w:val="00632F90"/>
    <w:rsid w:val="0063402A"/>
    <w:rsid w:val="00634CBD"/>
    <w:rsid w:val="00635AC4"/>
    <w:rsid w:val="006368C8"/>
    <w:rsid w:val="00636FDD"/>
    <w:rsid w:val="00637B8B"/>
    <w:rsid w:val="00637E77"/>
    <w:rsid w:val="006403AF"/>
    <w:rsid w:val="00640F77"/>
    <w:rsid w:val="00640FDD"/>
    <w:rsid w:val="00641306"/>
    <w:rsid w:val="006428AD"/>
    <w:rsid w:val="006433B0"/>
    <w:rsid w:val="00643508"/>
    <w:rsid w:val="006436DA"/>
    <w:rsid w:val="00643D87"/>
    <w:rsid w:val="00643FF9"/>
    <w:rsid w:val="0064515F"/>
    <w:rsid w:val="00645294"/>
    <w:rsid w:val="00647AC6"/>
    <w:rsid w:val="00650237"/>
    <w:rsid w:val="006509F9"/>
    <w:rsid w:val="006525E9"/>
    <w:rsid w:val="006526C3"/>
    <w:rsid w:val="00652744"/>
    <w:rsid w:val="00653AAB"/>
    <w:rsid w:val="00653AE8"/>
    <w:rsid w:val="00654179"/>
    <w:rsid w:val="006544FE"/>
    <w:rsid w:val="0065546E"/>
    <w:rsid w:val="006566AC"/>
    <w:rsid w:val="006574DD"/>
    <w:rsid w:val="00660054"/>
    <w:rsid w:val="00661BD5"/>
    <w:rsid w:val="00661FB4"/>
    <w:rsid w:val="00663B15"/>
    <w:rsid w:val="006644EB"/>
    <w:rsid w:val="00664844"/>
    <w:rsid w:val="006658EA"/>
    <w:rsid w:val="00665E93"/>
    <w:rsid w:val="00666F51"/>
    <w:rsid w:val="00667259"/>
    <w:rsid w:val="00667B60"/>
    <w:rsid w:val="00667BC1"/>
    <w:rsid w:val="00667EDC"/>
    <w:rsid w:val="00671164"/>
    <w:rsid w:val="006714DF"/>
    <w:rsid w:val="00672D0A"/>
    <w:rsid w:val="0067307C"/>
    <w:rsid w:val="0067590F"/>
    <w:rsid w:val="00675CB9"/>
    <w:rsid w:val="00677E31"/>
    <w:rsid w:val="006806D7"/>
    <w:rsid w:val="00680D90"/>
    <w:rsid w:val="00680E75"/>
    <w:rsid w:val="00681CD3"/>
    <w:rsid w:val="00684A69"/>
    <w:rsid w:val="0068511F"/>
    <w:rsid w:val="00685613"/>
    <w:rsid w:val="006861BC"/>
    <w:rsid w:val="00687AD7"/>
    <w:rsid w:val="00687F72"/>
    <w:rsid w:val="006913D4"/>
    <w:rsid w:val="00691CEC"/>
    <w:rsid w:val="00693A83"/>
    <w:rsid w:val="006941AE"/>
    <w:rsid w:val="00695056"/>
    <w:rsid w:val="00695617"/>
    <w:rsid w:val="00697357"/>
    <w:rsid w:val="00697375"/>
    <w:rsid w:val="00697699"/>
    <w:rsid w:val="006A0984"/>
    <w:rsid w:val="006A0D14"/>
    <w:rsid w:val="006A1083"/>
    <w:rsid w:val="006A1E24"/>
    <w:rsid w:val="006A214D"/>
    <w:rsid w:val="006A2AD4"/>
    <w:rsid w:val="006A2ED0"/>
    <w:rsid w:val="006A39FE"/>
    <w:rsid w:val="006A3A9B"/>
    <w:rsid w:val="006A44F1"/>
    <w:rsid w:val="006A4706"/>
    <w:rsid w:val="006A48CD"/>
    <w:rsid w:val="006A5ED4"/>
    <w:rsid w:val="006A616C"/>
    <w:rsid w:val="006A623C"/>
    <w:rsid w:val="006A6621"/>
    <w:rsid w:val="006A6937"/>
    <w:rsid w:val="006A6D47"/>
    <w:rsid w:val="006A6F19"/>
    <w:rsid w:val="006A72B0"/>
    <w:rsid w:val="006A7850"/>
    <w:rsid w:val="006B0F8D"/>
    <w:rsid w:val="006B1167"/>
    <w:rsid w:val="006B168E"/>
    <w:rsid w:val="006B176F"/>
    <w:rsid w:val="006B1E39"/>
    <w:rsid w:val="006B2E80"/>
    <w:rsid w:val="006B35E3"/>
    <w:rsid w:val="006B4390"/>
    <w:rsid w:val="006B4F99"/>
    <w:rsid w:val="006B52DE"/>
    <w:rsid w:val="006B5BF3"/>
    <w:rsid w:val="006B5C47"/>
    <w:rsid w:val="006B624C"/>
    <w:rsid w:val="006B653A"/>
    <w:rsid w:val="006B680F"/>
    <w:rsid w:val="006B6CD1"/>
    <w:rsid w:val="006C0848"/>
    <w:rsid w:val="006C15E3"/>
    <w:rsid w:val="006C2FEB"/>
    <w:rsid w:val="006C32F5"/>
    <w:rsid w:val="006C37E3"/>
    <w:rsid w:val="006C5276"/>
    <w:rsid w:val="006C5403"/>
    <w:rsid w:val="006C5ABF"/>
    <w:rsid w:val="006C5B22"/>
    <w:rsid w:val="006C6329"/>
    <w:rsid w:val="006C7625"/>
    <w:rsid w:val="006C7B5B"/>
    <w:rsid w:val="006D28D2"/>
    <w:rsid w:val="006D2CD4"/>
    <w:rsid w:val="006D2E67"/>
    <w:rsid w:val="006D36BA"/>
    <w:rsid w:val="006D3AFC"/>
    <w:rsid w:val="006D3EDC"/>
    <w:rsid w:val="006D4259"/>
    <w:rsid w:val="006D491C"/>
    <w:rsid w:val="006D548B"/>
    <w:rsid w:val="006D6D78"/>
    <w:rsid w:val="006D74DC"/>
    <w:rsid w:val="006E08D9"/>
    <w:rsid w:val="006E0D65"/>
    <w:rsid w:val="006E0EE6"/>
    <w:rsid w:val="006E227A"/>
    <w:rsid w:val="006E2B65"/>
    <w:rsid w:val="006E3CCF"/>
    <w:rsid w:val="006E3D05"/>
    <w:rsid w:val="006E595A"/>
    <w:rsid w:val="006E5C4E"/>
    <w:rsid w:val="006E5EEF"/>
    <w:rsid w:val="006E6322"/>
    <w:rsid w:val="006E7656"/>
    <w:rsid w:val="006F090A"/>
    <w:rsid w:val="006F33C9"/>
    <w:rsid w:val="006F4850"/>
    <w:rsid w:val="006F511A"/>
    <w:rsid w:val="006F5A02"/>
    <w:rsid w:val="006F666A"/>
    <w:rsid w:val="006F66D7"/>
    <w:rsid w:val="006F6C7E"/>
    <w:rsid w:val="006F7514"/>
    <w:rsid w:val="00700F0D"/>
    <w:rsid w:val="0070156D"/>
    <w:rsid w:val="00701655"/>
    <w:rsid w:val="00701884"/>
    <w:rsid w:val="007023DA"/>
    <w:rsid w:val="00704F05"/>
    <w:rsid w:val="00705912"/>
    <w:rsid w:val="00705E69"/>
    <w:rsid w:val="0070702E"/>
    <w:rsid w:val="00707A9B"/>
    <w:rsid w:val="00710110"/>
    <w:rsid w:val="00710D4B"/>
    <w:rsid w:val="00712438"/>
    <w:rsid w:val="00712B7E"/>
    <w:rsid w:val="00715161"/>
    <w:rsid w:val="00715874"/>
    <w:rsid w:val="00716E52"/>
    <w:rsid w:val="0071763F"/>
    <w:rsid w:val="00717D28"/>
    <w:rsid w:val="00717E95"/>
    <w:rsid w:val="00721EE2"/>
    <w:rsid w:val="0072242B"/>
    <w:rsid w:val="00724E99"/>
    <w:rsid w:val="00726410"/>
    <w:rsid w:val="00726F5B"/>
    <w:rsid w:val="00727A54"/>
    <w:rsid w:val="0073070E"/>
    <w:rsid w:val="00731F0E"/>
    <w:rsid w:val="00732709"/>
    <w:rsid w:val="00732B09"/>
    <w:rsid w:val="007352F7"/>
    <w:rsid w:val="007359BD"/>
    <w:rsid w:val="007362DC"/>
    <w:rsid w:val="00736BA7"/>
    <w:rsid w:val="007373B2"/>
    <w:rsid w:val="007379B6"/>
    <w:rsid w:val="00737F84"/>
    <w:rsid w:val="00740D1D"/>
    <w:rsid w:val="00741249"/>
    <w:rsid w:val="007414A9"/>
    <w:rsid w:val="00742C3A"/>
    <w:rsid w:val="00743728"/>
    <w:rsid w:val="00743D90"/>
    <w:rsid w:val="007445CB"/>
    <w:rsid w:val="00744F1D"/>
    <w:rsid w:val="007458A1"/>
    <w:rsid w:val="00745915"/>
    <w:rsid w:val="0074601F"/>
    <w:rsid w:val="0074651C"/>
    <w:rsid w:val="007472E8"/>
    <w:rsid w:val="0075069E"/>
    <w:rsid w:val="0075305D"/>
    <w:rsid w:val="00753C71"/>
    <w:rsid w:val="007541E9"/>
    <w:rsid w:val="00757211"/>
    <w:rsid w:val="00760885"/>
    <w:rsid w:val="00760A45"/>
    <w:rsid w:val="00760D51"/>
    <w:rsid w:val="0076160C"/>
    <w:rsid w:val="00762729"/>
    <w:rsid w:val="007635A0"/>
    <w:rsid w:val="0076475E"/>
    <w:rsid w:val="00765D7C"/>
    <w:rsid w:val="007662EA"/>
    <w:rsid w:val="00767A18"/>
    <w:rsid w:val="00767CAA"/>
    <w:rsid w:val="0077056D"/>
    <w:rsid w:val="0077197B"/>
    <w:rsid w:val="00772D3B"/>
    <w:rsid w:val="00772DB5"/>
    <w:rsid w:val="00774821"/>
    <w:rsid w:val="00774C03"/>
    <w:rsid w:val="00774CAE"/>
    <w:rsid w:val="00775E28"/>
    <w:rsid w:val="0077690E"/>
    <w:rsid w:val="00776F13"/>
    <w:rsid w:val="00780372"/>
    <w:rsid w:val="00781229"/>
    <w:rsid w:val="0078153D"/>
    <w:rsid w:val="00781940"/>
    <w:rsid w:val="0078216E"/>
    <w:rsid w:val="00782F2C"/>
    <w:rsid w:val="0078505E"/>
    <w:rsid w:val="00785612"/>
    <w:rsid w:val="0078596E"/>
    <w:rsid w:val="00785B1C"/>
    <w:rsid w:val="0078621D"/>
    <w:rsid w:val="00786ED5"/>
    <w:rsid w:val="007872B7"/>
    <w:rsid w:val="007875F4"/>
    <w:rsid w:val="00790DBC"/>
    <w:rsid w:val="007919B9"/>
    <w:rsid w:val="007929B4"/>
    <w:rsid w:val="00793BFB"/>
    <w:rsid w:val="00793C8F"/>
    <w:rsid w:val="00793E8E"/>
    <w:rsid w:val="00794365"/>
    <w:rsid w:val="007944CC"/>
    <w:rsid w:val="00794E38"/>
    <w:rsid w:val="00795CF6"/>
    <w:rsid w:val="00797040"/>
    <w:rsid w:val="00797127"/>
    <w:rsid w:val="00797A30"/>
    <w:rsid w:val="00797B2A"/>
    <w:rsid w:val="007A002C"/>
    <w:rsid w:val="007A119D"/>
    <w:rsid w:val="007A1AD3"/>
    <w:rsid w:val="007A20E5"/>
    <w:rsid w:val="007A3D88"/>
    <w:rsid w:val="007A5237"/>
    <w:rsid w:val="007A54C7"/>
    <w:rsid w:val="007A5894"/>
    <w:rsid w:val="007A59FC"/>
    <w:rsid w:val="007A61D0"/>
    <w:rsid w:val="007A6F70"/>
    <w:rsid w:val="007A7740"/>
    <w:rsid w:val="007B0297"/>
    <w:rsid w:val="007B0BB7"/>
    <w:rsid w:val="007B0D40"/>
    <w:rsid w:val="007B15FA"/>
    <w:rsid w:val="007B270F"/>
    <w:rsid w:val="007B27C3"/>
    <w:rsid w:val="007B2942"/>
    <w:rsid w:val="007B3FB7"/>
    <w:rsid w:val="007B40EE"/>
    <w:rsid w:val="007B76B2"/>
    <w:rsid w:val="007B78D4"/>
    <w:rsid w:val="007B7D58"/>
    <w:rsid w:val="007B7E52"/>
    <w:rsid w:val="007C082F"/>
    <w:rsid w:val="007C137E"/>
    <w:rsid w:val="007C1CC0"/>
    <w:rsid w:val="007C3DB8"/>
    <w:rsid w:val="007C5987"/>
    <w:rsid w:val="007C59A3"/>
    <w:rsid w:val="007C660D"/>
    <w:rsid w:val="007C6A24"/>
    <w:rsid w:val="007C70ED"/>
    <w:rsid w:val="007D000A"/>
    <w:rsid w:val="007D036F"/>
    <w:rsid w:val="007D1AA1"/>
    <w:rsid w:val="007D22A8"/>
    <w:rsid w:val="007D23F9"/>
    <w:rsid w:val="007D2405"/>
    <w:rsid w:val="007D28F4"/>
    <w:rsid w:val="007D2EC7"/>
    <w:rsid w:val="007D338F"/>
    <w:rsid w:val="007D3FD5"/>
    <w:rsid w:val="007D46E0"/>
    <w:rsid w:val="007D5D08"/>
    <w:rsid w:val="007D5EB7"/>
    <w:rsid w:val="007D62A4"/>
    <w:rsid w:val="007D6EB7"/>
    <w:rsid w:val="007D760E"/>
    <w:rsid w:val="007D783B"/>
    <w:rsid w:val="007E0EB6"/>
    <w:rsid w:val="007E1D1B"/>
    <w:rsid w:val="007E31FE"/>
    <w:rsid w:val="007E32E4"/>
    <w:rsid w:val="007E39C0"/>
    <w:rsid w:val="007F0262"/>
    <w:rsid w:val="007F0BF3"/>
    <w:rsid w:val="007F1B70"/>
    <w:rsid w:val="007F30A5"/>
    <w:rsid w:val="007F38C6"/>
    <w:rsid w:val="007F4794"/>
    <w:rsid w:val="007F4827"/>
    <w:rsid w:val="007F490C"/>
    <w:rsid w:val="007F5051"/>
    <w:rsid w:val="007F5358"/>
    <w:rsid w:val="007F7352"/>
    <w:rsid w:val="0080139E"/>
    <w:rsid w:val="00801C8B"/>
    <w:rsid w:val="00801E03"/>
    <w:rsid w:val="008021FF"/>
    <w:rsid w:val="00803399"/>
    <w:rsid w:val="008034E9"/>
    <w:rsid w:val="00803D47"/>
    <w:rsid w:val="00803FCD"/>
    <w:rsid w:val="00804A66"/>
    <w:rsid w:val="00807306"/>
    <w:rsid w:val="00807AC7"/>
    <w:rsid w:val="00810B2B"/>
    <w:rsid w:val="00811CDC"/>
    <w:rsid w:val="00812AE9"/>
    <w:rsid w:val="00812D9B"/>
    <w:rsid w:val="00813C75"/>
    <w:rsid w:val="008152D7"/>
    <w:rsid w:val="00817F55"/>
    <w:rsid w:val="0082066E"/>
    <w:rsid w:val="00821436"/>
    <w:rsid w:val="008220DB"/>
    <w:rsid w:val="008225D4"/>
    <w:rsid w:val="00825678"/>
    <w:rsid w:val="008256C5"/>
    <w:rsid w:val="008256E2"/>
    <w:rsid w:val="008259CB"/>
    <w:rsid w:val="0082621A"/>
    <w:rsid w:val="00826501"/>
    <w:rsid w:val="00826519"/>
    <w:rsid w:val="00826F6B"/>
    <w:rsid w:val="008273DA"/>
    <w:rsid w:val="008308F0"/>
    <w:rsid w:val="00831547"/>
    <w:rsid w:val="008316C5"/>
    <w:rsid w:val="00831C21"/>
    <w:rsid w:val="0083253A"/>
    <w:rsid w:val="00833735"/>
    <w:rsid w:val="00833E14"/>
    <w:rsid w:val="00834DA3"/>
    <w:rsid w:val="00835C61"/>
    <w:rsid w:val="0083652C"/>
    <w:rsid w:val="00836735"/>
    <w:rsid w:val="00836C6F"/>
    <w:rsid w:val="00837D68"/>
    <w:rsid w:val="008407FC"/>
    <w:rsid w:val="00840E1B"/>
    <w:rsid w:val="00841B9F"/>
    <w:rsid w:val="00841F38"/>
    <w:rsid w:val="0084225E"/>
    <w:rsid w:val="008426AE"/>
    <w:rsid w:val="008443FC"/>
    <w:rsid w:val="00844E16"/>
    <w:rsid w:val="00845A41"/>
    <w:rsid w:val="00845BE9"/>
    <w:rsid w:val="0084614F"/>
    <w:rsid w:val="00847039"/>
    <w:rsid w:val="008475A8"/>
    <w:rsid w:val="00847A5F"/>
    <w:rsid w:val="00847CE1"/>
    <w:rsid w:val="00851E50"/>
    <w:rsid w:val="00852626"/>
    <w:rsid w:val="0085312E"/>
    <w:rsid w:val="0085314A"/>
    <w:rsid w:val="00853AC8"/>
    <w:rsid w:val="00854CC6"/>
    <w:rsid w:val="008554DC"/>
    <w:rsid w:val="0085566E"/>
    <w:rsid w:val="00855675"/>
    <w:rsid w:val="00855E21"/>
    <w:rsid w:val="00856543"/>
    <w:rsid w:val="00856967"/>
    <w:rsid w:val="00860454"/>
    <w:rsid w:val="008604D1"/>
    <w:rsid w:val="00861E0C"/>
    <w:rsid w:val="00861E7D"/>
    <w:rsid w:val="008635FA"/>
    <w:rsid w:val="00864302"/>
    <w:rsid w:val="0086497B"/>
    <w:rsid w:val="008663B0"/>
    <w:rsid w:val="00866F54"/>
    <w:rsid w:val="00870FDD"/>
    <w:rsid w:val="00871C74"/>
    <w:rsid w:val="00871F05"/>
    <w:rsid w:val="00873794"/>
    <w:rsid w:val="00873EA3"/>
    <w:rsid w:val="008744AD"/>
    <w:rsid w:val="00874558"/>
    <w:rsid w:val="008745E6"/>
    <w:rsid w:val="0087473A"/>
    <w:rsid w:val="00874B0E"/>
    <w:rsid w:val="008768FC"/>
    <w:rsid w:val="00876909"/>
    <w:rsid w:val="00876E0E"/>
    <w:rsid w:val="0087716C"/>
    <w:rsid w:val="00880D5E"/>
    <w:rsid w:val="00882E47"/>
    <w:rsid w:val="0088311C"/>
    <w:rsid w:val="00884495"/>
    <w:rsid w:val="0088510B"/>
    <w:rsid w:val="00885E7C"/>
    <w:rsid w:val="00886523"/>
    <w:rsid w:val="0088680F"/>
    <w:rsid w:val="008873FE"/>
    <w:rsid w:val="0089073B"/>
    <w:rsid w:val="00891222"/>
    <w:rsid w:val="008914B1"/>
    <w:rsid w:val="00891625"/>
    <w:rsid w:val="00892872"/>
    <w:rsid w:val="00892AF2"/>
    <w:rsid w:val="00892CFF"/>
    <w:rsid w:val="00892FC6"/>
    <w:rsid w:val="008933F0"/>
    <w:rsid w:val="00893409"/>
    <w:rsid w:val="0089465F"/>
    <w:rsid w:val="0089485C"/>
    <w:rsid w:val="0089501D"/>
    <w:rsid w:val="008964F6"/>
    <w:rsid w:val="00896622"/>
    <w:rsid w:val="00897CFE"/>
    <w:rsid w:val="008A2189"/>
    <w:rsid w:val="008A26AC"/>
    <w:rsid w:val="008A2C24"/>
    <w:rsid w:val="008A3377"/>
    <w:rsid w:val="008A5F34"/>
    <w:rsid w:val="008A6DE5"/>
    <w:rsid w:val="008B1862"/>
    <w:rsid w:val="008B2537"/>
    <w:rsid w:val="008B28D1"/>
    <w:rsid w:val="008B2AE9"/>
    <w:rsid w:val="008B351C"/>
    <w:rsid w:val="008B565E"/>
    <w:rsid w:val="008B57A1"/>
    <w:rsid w:val="008B5856"/>
    <w:rsid w:val="008B693F"/>
    <w:rsid w:val="008B6968"/>
    <w:rsid w:val="008B733F"/>
    <w:rsid w:val="008B7B50"/>
    <w:rsid w:val="008C0648"/>
    <w:rsid w:val="008C0A52"/>
    <w:rsid w:val="008C2A49"/>
    <w:rsid w:val="008C2FC9"/>
    <w:rsid w:val="008C3C6B"/>
    <w:rsid w:val="008C3CE2"/>
    <w:rsid w:val="008C5A83"/>
    <w:rsid w:val="008C6B89"/>
    <w:rsid w:val="008C6D1E"/>
    <w:rsid w:val="008C77A6"/>
    <w:rsid w:val="008C7E45"/>
    <w:rsid w:val="008D112A"/>
    <w:rsid w:val="008D14CE"/>
    <w:rsid w:val="008D27CD"/>
    <w:rsid w:val="008D29F4"/>
    <w:rsid w:val="008D4788"/>
    <w:rsid w:val="008D6B8A"/>
    <w:rsid w:val="008D73DA"/>
    <w:rsid w:val="008D7A65"/>
    <w:rsid w:val="008D7C0D"/>
    <w:rsid w:val="008D7E1F"/>
    <w:rsid w:val="008E024E"/>
    <w:rsid w:val="008E0AF6"/>
    <w:rsid w:val="008E14F5"/>
    <w:rsid w:val="008E223D"/>
    <w:rsid w:val="008E2DB2"/>
    <w:rsid w:val="008E318F"/>
    <w:rsid w:val="008E3793"/>
    <w:rsid w:val="008E43E6"/>
    <w:rsid w:val="008E4AC4"/>
    <w:rsid w:val="008E5542"/>
    <w:rsid w:val="008E7613"/>
    <w:rsid w:val="008E7E5F"/>
    <w:rsid w:val="008F20D3"/>
    <w:rsid w:val="008F2327"/>
    <w:rsid w:val="008F26DF"/>
    <w:rsid w:val="008F47AA"/>
    <w:rsid w:val="008F4808"/>
    <w:rsid w:val="008F4960"/>
    <w:rsid w:val="008F553C"/>
    <w:rsid w:val="008F6656"/>
    <w:rsid w:val="008F6AD9"/>
    <w:rsid w:val="008F780E"/>
    <w:rsid w:val="008F7931"/>
    <w:rsid w:val="008F7AC9"/>
    <w:rsid w:val="008F7FA2"/>
    <w:rsid w:val="00901685"/>
    <w:rsid w:val="00901F3D"/>
    <w:rsid w:val="00902059"/>
    <w:rsid w:val="00903ABD"/>
    <w:rsid w:val="00904308"/>
    <w:rsid w:val="00904652"/>
    <w:rsid w:val="0090499B"/>
    <w:rsid w:val="00905246"/>
    <w:rsid w:val="00907028"/>
    <w:rsid w:val="00907E8F"/>
    <w:rsid w:val="00907EC4"/>
    <w:rsid w:val="00910215"/>
    <w:rsid w:val="0091075F"/>
    <w:rsid w:val="0091082F"/>
    <w:rsid w:val="00912E61"/>
    <w:rsid w:val="00913052"/>
    <w:rsid w:val="00913425"/>
    <w:rsid w:val="0091382B"/>
    <w:rsid w:val="00913934"/>
    <w:rsid w:val="00913C28"/>
    <w:rsid w:val="00913DC5"/>
    <w:rsid w:val="009147BD"/>
    <w:rsid w:val="009149C5"/>
    <w:rsid w:val="0091502D"/>
    <w:rsid w:val="00915726"/>
    <w:rsid w:val="009163CE"/>
    <w:rsid w:val="009205D7"/>
    <w:rsid w:val="00921462"/>
    <w:rsid w:val="0092396C"/>
    <w:rsid w:val="00924C9C"/>
    <w:rsid w:val="009250A3"/>
    <w:rsid w:val="009250F6"/>
    <w:rsid w:val="00925929"/>
    <w:rsid w:val="00925BD3"/>
    <w:rsid w:val="0092688C"/>
    <w:rsid w:val="009272EA"/>
    <w:rsid w:val="00931102"/>
    <w:rsid w:val="00931A27"/>
    <w:rsid w:val="00932C13"/>
    <w:rsid w:val="0093313A"/>
    <w:rsid w:val="00933F30"/>
    <w:rsid w:val="0093401A"/>
    <w:rsid w:val="009341E8"/>
    <w:rsid w:val="009343E3"/>
    <w:rsid w:val="0093551C"/>
    <w:rsid w:val="00935533"/>
    <w:rsid w:val="00935CF5"/>
    <w:rsid w:val="009361D7"/>
    <w:rsid w:val="00936814"/>
    <w:rsid w:val="00941F79"/>
    <w:rsid w:val="00943DA1"/>
    <w:rsid w:val="00944546"/>
    <w:rsid w:val="00944A94"/>
    <w:rsid w:val="00944E1D"/>
    <w:rsid w:val="00944F4D"/>
    <w:rsid w:val="00945155"/>
    <w:rsid w:val="00946AD5"/>
    <w:rsid w:val="0094732C"/>
    <w:rsid w:val="00947747"/>
    <w:rsid w:val="009477C9"/>
    <w:rsid w:val="00950562"/>
    <w:rsid w:val="00951626"/>
    <w:rsid w:val="00952699"/>
    <w:rsid w:val="0095303C"/>
    <w:rsid w:val="00953441"/>
    <w:rsid w:val="00953DD1"/>
    <w:rsid w:val="00953E3B"/>
    <w:rsid w:val="00953F33"/>
    <w:rsid w:val="00954486"/>
    <w:rsid w:val="009551D9"/>
    <w:rsid w:val="00955290"/>
    <w:rsid w:val="00955919"/>
    <w:rsid w:val="0095592A"/>
    <w:rsid w:val="00955E73"/>
    <w:rsid w:val="0095600F"/>
    <w:rsid w:val="00956D02"/>
    <w:rsid w:val="0095756A"/>
    <w:rsid w:val="00957845"/>
    <w:rsid w:val="0096009D"/>
    <w:rsid w:val="00960A80"/>
    <w:rsid w:val="00961442"/>
    <w:rsid w:val="00961819"/>
    <w:rsid w:val="009625BB"/>
    <w:rsid w:val="00962C47"/>
    <w:rsid w:val="00962DC5"/>
    <w:rsid w:val="009631E2"/>
    <w:rsid w:val="00963238"/>
    <w:rsid w:val="009643BA"/>
    <w:rsid w:val="009645CC"/>
    <w:rsid w:val="0096461E"/>
    <w:rsid w:val="0096690A"/>
    <w:rsid w:val="00966D5E"/>
    <w:rsid w:val="00970161"/>
    <w:rsid w:val="009717D8"/>
    <w:rsid w:val="0097279A"/>
    <w:rsid w:val="00973FCD"/>
    <w:rsid w:val="00975770"/>
    <w:rsid w:val="00976A95"/>
    <w:rsid w:val="00976DE6"/>
    <w:rsid w:val="00977C20"/>
    <w:rsid w:val="00980CFD"/>
    <w:rsid w:val="00982D79"/>
    <w:rsid w:val="0098441C"/>
    <w:rsid w:val="00985758"/>
    <w:rsid w:val="00985B6A"/>
    <w:rsid w:val="00986614"/>
    <w:rsid w:val="00987E8C"/>
    <w:rsid w:val="00991C1C"/>
    <w:rsid w:val="0099332E"/>
    <w:rsid w:val="009937D8"/>
    <w:rsid w:val="009943AE"/>
    <w:rsid w:val="00994D61"/>
    <w:rsid w:val="00995269"/>
    <w:rsid w:val="0099548F"/>
    <w:rsid w:val="0099653C"/>
    <w:rsid w:val="00996E44"/>
    <w:rsid w:val="009A0328"/>
    <w:rsid w:val="009A1CC4"/>
    <w:rsid w:val="009A1FF5"/>
    <w:rsid w:val="009A237A"/>
    <w:rsid w:val="009A24B1"/>
    <w:rsid w:val="009A2794"/>
    <w:rsid w:val="009A2F32"/>
    <w:rsid w:val="009A341D"/>
    <w:rsid w:val="009A3C1A"/>
    <w:rsid w:val="009A4117"/>
    <w:rsid w:val="009A49F8"/>
    <w:rsid w:val="009A56E9"/>
    <w:rsid w:val="009A5C77"/>
    <w:rsid w:val="009A6F60"/>
    <w:rsid w:val="009B03DA"/>
    <w:rsid w:val="009B05A4"/>
    <w:rsid w:val="009B355D"/>
    <w:rsid w:val="009B47A1"/>
    <w:rsid w:val="009B5F0D"/>
    <w:rsid w:val="009B724F"/>
    <w:rsid w:val="009B7412"/>
    <w:rsid w:val="009B7B55"/>
    <w:rsid w:val="009C0586"/>
    <w:rsid w:val="009C10B1"/>
    <w:rsid w:val="009C18CF"/>
    <w:rsid w:val="009C35AC"/>
    <w:rsid w:val="009C47A4"/>
    <w:rsid w:val="009C5814"/>
    <w:rsid w:val="009C7B6E"/>
    <w:rsid w:val="009C7F4E"/>
    <w:rsid w:val="009D0ED0"/>
    <w:rsid w:val="009D1960"/>
    <w:rsid w:val="009D2BF4"/>
    <w:rsid w:val="009D2E5F"/>
    <w:rsid w:val="009D2E83"/>
    <w:rsid w:val="009D43A8"/>
    <w:rsid w:val="009D4B2E"/>
    <w:rsid w:val="009D4C94"/>
    <w:rsid w:val="009D5342"/>
    <w:rsid w:val="009D647D"/>
    <w:rsid w:val="009D68AA"/>
    <w:rsid w:val="009D6DE9"/>
    <w:rsid w:val="009D7386"/>
    <w:rsid w:val="009D7B00"/>
    <w:rsid w:val="009D7B4C"/>
    <w:rsid w:val="009D7C4C"/>
    <w:rsid w:val="009E0DA0"/>
    <w:rsid w:val="009E146D"/>
    <w:rsid w:val="009E14A4"/>
    <w:rsid w:val="009E1A9E"/>
    <w:rsid w:val="009E1B48"/>
    <w:rsid w:val="009E1BDA"/>
    <w:rsid w:val="009E1BE3"/>
    <w:rsid w:val="009E23A4"/>
    <w:rsid w:val="009E2855"/>
    <w:rsid w:val="009E2FB4"/>
    <w:rsid w:val="009E33A8"/>
    <w:rsid w:val="009E594B"/>
    <w:rsid w:val="009E6B4D"/>
    <w:rsid w:val="009E6EE9"/>
    <w:rsid w:val="009E6FE1"/>
    <w:rsid w:val="009F002C"/>
    <w:rsid w:val="009F0360"/>
    <w:rsid w:val="009F2894"/>
    <w:rsid w:val="009F2CB0"/>
    <w:rsid w:val="009F2E41"/>
    <w:rsid w:val="009F50FD"/>
    <w:rsid w:val="009F58C4"/>
    <w:rsid w:val="009F61CD"/>
    <w:rsid w:val="00A00133"/>
    <w:rsid w:val="00A003F5"/>
    <w:rsid w:val="00A004BF"/>
    <w:rsid w:val="00A0113C"/>
    <w:rsid w:val="00A01662"/>
    <w:rsid w:val="00A0167A"/>
    <w:rsid w:val="00A01BE4"/>
    <w:rsid w:val="00A0226D"/>
    <w:rsid w:val="00A02961"/>
    <w:rsid w:val="00A02FB0"/>
    <w:rsid w:val="00A03553"/>
    <w:rsid w:val="00A05216"/>
    <w:rsid w:val="00A0707F"/>
    <w:rsid w:val="00A10056"/>
    <w:rsid w:val="00A104DD"/>
    <w:rsid w:val="00A1179A"/>
    <w:rsid w:val="00A121EE"/>
    <w:rsid w:val="00A13FF9"/>
    <w:rsid w:val="00A1447A"/>
    <w:rsid w:val="00A14893"/>
    <w:rsid w:val="00A1778A"/>
    <w:rsid w:val="00A20575"/>
    <w:rsid w:val="00A22C7C"/>
    <w:rsid w:val="00A2303F"/>
    <w:rsid w:val="00A23DDE"/>
    <w:rsid w:val="00A253D2"/>
    <w:rsid w:val="00A260FD"/>
    <w:rsid w:val="00A26227"/>
    <w:rsid w:val="00A26B33"/>
    <w:rsid w:val="00A27491"/>
    <w:rsid w:val="00A27E78"/>
    <w:rsid w:val="00A32AFC"/>
    <w:rsid w:val="00A330E5"/>
    <w:rsid w:val="00A3369B"/>
    <w:rsid w:val="00A33BD7"/>
    <w:rsid w:val="00A33C0B"/>
    <w:rsid w:val="00A349DC"/>
    <w:rsid w:val="00A358FD"/>
    <w:rsid w:val="00A37186"/>
    <w:rsid w:val="00A37B6A"/>
    <w:rsid w:val="00A37FAE"/>
    <w:rsid w:val="00A40F1C"/>
    <w:rsid w:val="00A41F92"/>
    <w:rsid w:val="00A4203C"/>
    <w:rsid w:val="00A42400"/>
    <w:rsid w:val="00A42E81"/>
    <w:rsid w:val="00A433AE"/>
    <w:rsid w:val="00A43463"/>
    <w:rsid w:val="00A44058"/>
    <w:rsid w:val="00A4466E"/>
    <w:rsid w:val="00A446D0"/>
    <w:rsid w:val="00A447A0"/>
    <w:rsid w:val="00A45D46"/>
    <w:rsid w:val="00A45E83"/>
    <w:rsid w:val="00A466DA"/>
    <w:rsid w:val="00A4717B"/>
    <w:rsid w:val="00A50917"/>
    <w:rsid w:val="00A50B2F"/>
    <w:rsid w:val="00A5187B"/>
    <w:rsid w:val="00A52BC8"/>
    <w:rsid w:val="00A52C35"/>
    <w:rsid w:val="00A532A1"/>
    <w:rsid w:val="00A56287"/>
    <w:rsid w:val="00A569EA"/>
    <w:rsid w:val="00A56E63"/>
    <w:rsid w:val="00A60022"/>
    <w:rsid w:val="00A63020"/>
    <w:rsid w:val="00A63051"/>
    <w:rsid w:val="00A65FFB"/>
    <w:rsid w:val="00A666B6"/>
    <w:rsid w:val="00A70706"/>
    <w:rsid w:val="00A71107"/>
    <w:rsid w:val="00A71223"/>
    <w:rsid w:val="00A71CBF"/>
    <w:rsid w:val="00A7278D"/>
    <w:rsid w:val="00A7286E"/>
    <w:rsid w:val="00A72902"/>
    <w:rsid w:val="00A73612"/>
    <w:rsid w:val="00A7450F"/>
    <w:rsid w:val="00A75527"/>
    <w:rsid w:val="00A7554A"/>
    <w:rsid w:val="00A75574"/>
    <w:rsid w:val="00A75F55"/>
    <w:rsid w:val="00A77D23"/>
    <w:rsid w:val="00A77FA1"/>
    <w:rsid w:val="00A77FF9"/>
    <w:rsid w:val="00A8049F"/>
    <w:rsid w:val="00A80673"/>
    <w:rsid w:val="00A82960"/>
    <w:rsid w:val="00A82BB7"/>
    <w:rsid w:val="00A841BB"/>
    <w:rsid w:val="00A849BD"/>
    <w:rsid w:val="00A860A7"/>
    <w:rsid w:val="00A86D7D"/>
    <w:rsid w:val="00A86F66"/>
    <w:rsid w:val="00A871B0"/>
    <w:rsid w:val="00A87D5A"/>
    <w:rsid w:val="00A914C4"/>
    <w:rsid w:val="00A92001"/>
    <w:rsid w:val="00A93C3F"/>
    <w:rsid w:val="00A94901"/>
    <w:rsid w:val="00A95218"/>
    <w:rsid w:val="00A95E17"/>
    <w:rsid w:val="00A96959"/>
    <w:rsid w:val="00AA0652"/>
    <w:rsid w:val="00AA12B4"/>
    <w:rsid w:val="00AA35F9"/>
    <w:rsid w:val="00AA3E81"/>
    <w:rsid w:val="00AA45E7"/>
    <w:rsid w:val="00AA4A81"/>
    <w:rsid w:val="00AA4EE7"/>
    <w:rsid w:val="00AA534F"/>
    <w:rsid w:val="00AA5522"/>
    <w:rsid w:val="00AA709A"/>
    <w:rsid w:val="00AA78C7"/>
    <w:rsid w:val="00AB0E4D"/>
    <w:rsid w:val="00AB44C6"/>
    <w:rsid w:val="00AB4C20"/>
    <w:rsid w:val="00AB4E01"/>
    <w:rsid w:val="00AB6303"/>
    <w:rsid w:val="00AB68C7"/>
    <w:rsid w:val="00AB7117"/>
    <w:rsid w:val="00AB7FC8"/>
    <w:rsid w:val="00AC0B5D"/>
    <w:rsid w:val="00AC232C"/>
    <w:rsid w:val="00AC2463"/>
    <w:rsid w:val="00AC3D4C"/>
    <w:rsid w:val="00AC3E06"/>
    <w:rsid w:val="00AC496A"/>
    <w:rsid w:val="00AC595D"/>
    <w:rsid w:val="00AC63B6"/>
    <w:rsid w:val="00AD0A45"/>
    <w:rsid w:val="00AD104C"/>
    <w:rsid w:val="00AD1376"/>
    <w:rsid w:val="00AD1607"/>
    <w:rsid w:val="00AD217E"/>
    <w:rsid w:val="00AD358C"/>
    <w:rsid w:val="00AD3F25"/>
    <w:rsid w:val="00AD44CE"/>
    <w:rsid w:val="00AD4A31"/>
    <w:rsid w:val="00AD6CAF"/>
    <w:rsid w:val="00AD7120"/>
    <w:rsid w:val="00AD7C6D"/>
    <w:rsid w:val="00AD7C7F"/>
    <w:rsid w:val="00AD7EF6"/>
    <w:rsid w:val="00AE0A52"/>
    <w:rsid w:val="00AE0AF7"/>
    <w:rsid w:val="00AE0ECC"/>
    <w:rsid w:val="00AE1D73"/>
    <w:rsid w:val="00AE2B0B"/>
    <w:rsid w:val="00AE3780"/>
    <w:rsid w:val="00AE54F2"/>
    <w:rsid w:val="00AE5F79"/>
    <w:rsid w:val="00AE62B6"/>
    <w:rsid w:val="00AE6483"/>
    <w:rsid w:val="00AE6AE4"/>
    <w:rsid w:val="00AE6AE5"/>
    <w:rsid w:val="00AE78AB"/>
    <w:rsid w:val="00AE7A76"/>
    <w:rsid w:val="00AE7C5B"/>
    <w:rsid w:val="00AF0ADE"/>
    <w:rsid w:val="00AF12DA"/>
    <w:rsid w:val="00AF141A"/>
    <w:rsid w:val="00AF1B52"/>
    <w:rsid w:val="00AF2F56"/>
    <w:rsid w:val="00AF507F"/>
    <w:rsid w:val="00AF55E6"/>
    <w:rsid w:val="00AF5E41"/>
    <w:rsid w:val="00B01BE6"/>
    <w:rsid w:val="00B01C0D"/>
    <w:rsid w:val="00B03264"/>
    <w:rsid w:val="00B03BC1"/>
    <w:rsid w:val="00B0436F"/>
    <w:rsid w:val="00B0477F"/>
    <w:rsid w:val="00B04B0A"/>
    <w:rsid w:val="00B05036"/>
    <w:rsid w:val="00B06B95"/>
    <w:rsid w:val="00B0771C"/>
    <w:rsid w:val="00B07A13"/>
    <w:rsid w:val="00B100AC"/>
    <w:rsid w:val="00B11279"/>
    <w:rsid w:val="00B11CBF"/>
    <w:rsid w:val="00B12031"/>
    <w:rsid w:val="00B12986"/>
    <w:rsid w:val="00B136ED"/>
    <w:rsid w:val="00B13EA2"/>
    <w:rsid w:val="00B1536B"/>
    <w:rsid w:val="00B166A4"/>
    <w:rsid w:val="00B16E79"/>
    <w:rsid w:val="00B1759B"/>
    <w:rsid w:val="00B17628"/>
    <w:rsid w:val="00B204F3"/>
    <w:rsid w:val="00B2069A"/>
    <w:rsid w:val="00B21618"/>
    <w:rsid w:val="00B21ED5"/>
    <w:rsid w:val="00B2277D"/>
    <w:rsid w:val="00B22849"/>
    <w:rsid w:val="00B22A84"/>
    <w:rsid w:val="00B22FB0"/>
    <w:rsid w:val="00B238AB"/>
    <w:rsid w:val="00B249EB"/>
    <w:rsid w:val="00B259EA"/>
    <w:rsid w:val="00B27BF1"/>
    <w:rsid w:val="00B31206"/>
    <w:rsid w:val="00B3204C"/>
    <w:rsid w:val="00B330A9"/>
    <w:rsid w:val="00B33F38"/>
    <w:rsid w:val="00B356D9"/>
    <w:rsid w:val="00B3582F"/>
    <w:rsid w:val="00B35D98"/>
    <w:rsid w:val="00B36B86"/>
    <w:rsid w:val="00B36D09"/>
    <w:rsid w:val="00B370D3"/>
    <w:rsid w:val="00B4028C"/>
    <w:rsid w:val="00B409E7"/>
    <w:rsid w:val="00B40F86"/>
    <w:rsid w:val="00B43A0F"/>
    <w:rsid w:val="00B44536"/>
    <w:rsid w:val="00B45FBD"/>
    <w:rsid w:val="00B46BDB"/>
    <w:rsid w:val="00B501FD"/>
    <w:rsid w:val="00B51AC2"/>
    <w:rsid w:val="00B51CBE"/>
    <w:rsid w:val="00B51CD8"/>
    <w:rsid w:val="00B51DF9"/>
    <w:rsid w:val="00B52001"/>
    <w:rsid w:val="00B5256F"/>
    <w:rsid w:val="00B52E68"/>
    <w:rsid w:val="00B54768"/>
    <w:rsid w:val="00B54F06"/>
    <w:rsid w:val="00B5592E"/>
    <w:rsid w:val="00B562D8"/>
    <w:rsid w:val="00B5720B"/>
    <w:rsid w:val="00B57956"/>
    <w:rsid w:val="00B60FB9"/>
    <w:rsid w:val="00B6195F"/>
    <w:rsid w:val="00B61ABE"/>
    <w:rsid w:val="00B62C07"/>
    <w:rsid w:val="00B62E92"/>
    <w:rsid w:val="00B631D4"/>
    <w:rsid w:val="00B63C06"/>
    <w:rsid w:val="00B64534"/>
    <w:rsid w:val="00B6480E"/>
    <w:rsid w:val="00B650FC"/>
    <w:rsid w:val="00B65E77"/>
    <w:rsid w:val="00B666EE"/>
    <w:rsid w:val="00B67F7C"/>
    <w:rsid w:val="00B700F8"/>
    <w:rsid w:val="00B70F64"/>
    <w:rsid w:val="00B7164E"/>
    <w:rsid w:val="00B71F91"/>
    <w:rsid w:val="00B723AA"/>
    <w:rsid w:val="00B724DD"/>
    <w:rsid w:val="00B726CE"/>
    <w:rsid w:val="00B72DC6"/>
    <w:rsid w:val="00B72DC8"/>
    <w:rsid w:val="00B75D4A"/>
    <w:rsid w:val="00B76399"/>
    <w:rsid w:val="00B77B6D"/>
    <w:rsid w:val="00B8024D"/>
    <w:rsid w:val="00B80D16"/>
    <w:rsid w:val="00B80FCA"/>
    <w:rsid w:val="00B81306"/>
    <w:rsid w:val="00B820F4"/>
    <w:rsid w:val="00B82372"/>
    <w:rsid w:val="00B8305F"/>
    <w:rsid w:val="00B84AF4"/>
    <w:rsid w:val="00B84ED8"/>
    <w:rsid w:val="00B86269"/>
    <w:rsid w:val="00B86BFE"/>
    <w:rsid w:val="00B8732E"/>
    <w:rsid w:val="00B87DF3"/>
    <w:rsid w:val="00B9047C"/>
    <w:rsid w:val="00B904B5"/>
    <w:rsid w:val="00B90660"/>
    <w:rsid w:val="00B91508"/>
    <w:rsid w:val="00B91687"/>
    <w:rsid w:val="00B91717"/>
    <w:rsid w:val="00B92E07"/>
    <w:rsid w:val="00B92EEF"/>
    <w:rsid w:val="00B9388F"/>
    <w:rsid w:val="00B94597"/>
    <w:rsid w:val="00B96127"/>
    <w:rsid w:val="00BA005C"/>
    <w:rsid w:val="00BA09E5"/>
    <w:rsid w:val="00BA0D53"/>
    <w:rsid w:val="00BA10FA"/>
    <w:rsid w:val="00BA1E32"/>
    <w:rsid w:val="00BA1F2F"/>
    <w:rsid w:val="00BA32C4"/>
    <w:rsid w:val="00BA3AAD"/>
    <w:rsid w:val="00BA59C2"/>
    <w:rsid w:val="00BA62E3"/>
    <w:rsid w:val="00BB02C6"/>
    <w:rsid w:val="00BB03E6"/>
    <w:rsid w:val="00BB0E16"/>
    <w:rsid w:val="00BB16FC"/>
    <w:rsid w:val="00BB2F92"/>
    <w:rsid w:val="00BB38E1"/>
    <w:rsid w:val="00BC0448"/>
    <w:rsid w:val="00BC0EDE"/>
    <w:rsid w:val="00BC17A2"/>
    <w:rsid w:val="00BC18B3"/>
    <w:rsid w:val="00BC1B01"/>
    <w:rsid w:val="00BC1CEA"/>
    <w:rsid w:val="00BC2005"/>
    <w:rsid w:val="00BC26F5"/>
    <w:rsid w:val="00BC354A"/>
    <w:rsid w:val="00BC3C63"/>
    <w:rsid w:val="00BC42F6"/>
    <w:rsid w:val="00BC4B01"/>
    <w:rsid w:val="00BC4EC3"/>
    <w:rsid w:val="00BC5967"/>
    <w:rsid w:val="00BC5D3D"/>
    <w:rsid w:val="00BC5F9B"/>
    <w:rsid w:val="00BC6F05"/>
    <w:rsid w:val="00BD0770"/>
    <w:rsid w:val="00BD0CBB"/>
    <w:rsid w:val="00BD0CF4"/>
    <w:rsid w:val="00BD2B88"/>
    <w:rsid w:val="00BD2C06"/>
    <w:rsid w:val="00BD391B"/>
    <w:rsid w:val="00BD3DD6"/>
    <w:rsid w:val="00BD4521"/>
    <w:rsid w:val="00BD49E0"/>
    <w:rsid w:val="00BD4A93"/>
    <w:rsid w:val="00BD4CFC"/>
    <w:rsid w:val="00BD6C83"/>
    <w:rsid w:val="00BD788E"/>
    <w:rsid w:val="00BD7A4A"/>
    <w:rsid w:val="00BE002F"/>
    <w:rsid w:val="00BE0B71"/>
    <w:rsid w:val="00BE0D46"/>
    <w:rsid w:val="00BE2FBF"/>
    <w:rsid w:val="00BE364D"/>
    <w:rsid w:val="00BE3AD7"/>
    <w:rsid w:val="00BE3CAD"/>
    <w:rsid w:val="00BE5036"/>
    <w:rsid w:val="00BE6239"/>
    <w:rsid w:val="00BE745D"/>
    <w:rsid w:val="00BE7BA2"/>
    <w:rsid w:val="00BE7FD9"/>
    <w:rsid w:val="00BF05E5"/>
    <w:rsid w:val="00BF10FF"/>
    <w:rsid w:val="00BF1502"/>
    <w:rsid w:val="00BF15F8"/>
    <w:rsid w:val="00BF1A90"/>
    <w:rsid w:val="00BF1FA0"/>
    <w:rsid w:val="00BF31F6"/>
    <w:rsid w:val="00BF324F"/>
    <w:rsid w:val="00BF3BF5"/>
    <w:rsid w:val="00BF4155"/>
    <w:rsid w:val="00BF59EE"/>
    <w:rsid w:val="00BF6B6C"/>
    <w:rsid w:val="00BF6B77"/>
    <w:rsid w:val="00BF6DBB"/>
    <w:rsid w:val="00BF7638"/>
    <w:rsid w:val="00C00858"/>
    <w:rsid w:val="00C011B8"/>
    <w:rsid w:val="00C01468"/>
    <w:rsid w:val="00C0155D"/>
    <w:rsid w:val="00C01D9F"/>
    <w:rsid w:val="00C0227C"/>
    <w:rsid w:val="00C03396"/>
    <w:rsid w:val="00C03B7F"/>
    <w:rsid w:val="00C041BF"/>
    <w:rsid w:val="00C10779"/>
    <w:rsid w:val="00C11685"/>
    <w:rsid w:val="00C12201"/>
    <w:rsid w:val="00C12208"/>
    <w:rsid w:val="00C13BE6"/>
    <w:rsid w:val="00C1457B"/>
    <w:rsid w:val="00C157E9"/>
    <w:rsid w:val="00C160DE"/>
    <w:rsid w:val="00C2051D"/>
    <w:rsid w:val="00C21D75"/>
    <w:rsid w:val="00C22D66"/>
    <w:rsid w:val="00C233CA"/>
    <w:rsid w:val="00C23921"/>
    <w:rsid w:val="00C24FDE"/>
    <w:rsid w:val="00C2517D"/>
    <w:rsid w:val="00C2619C"/>
    <w:rsid w:val="00C262A4"/>
    <w:rsid w:val="00C26B2A"/>
    <w:rsid w:val="00C31082"/>
    <w:rsid w:val="00C32967"/>
    <w:rsid w:val="00C32D23"/>
    <w:rsid w:val="00C32EA9"/>
    <w:rsid w:val="00C33774"/>
    <w:rsid w:val="00C339B3"/>
    <w:rsid w:val="00C33F65"/>
    <w:rsid w:val="00C34B77"/>
    <w:rsid w:val="00C353A7"/>
    <w:rsid w:val="00C35412"/>
    <w:rsid w:val="00C3593A"/>
    <w:rsid w:val="00C3705D"/>
    <w:rsid w:val="00C3779A"/>
    <w:rsid w:val="00C37F7D"/>
    <w:rsid w:val="00C41E5A"/>
    <w:rsid w:val="00C42269"/>
    <w:rsid w:val="00C42ABC"/>
    <w:rsid w:val="00C42CD2"/>
    <w:rsid w:val="00C435CB"/>
    <w:rsid w:val="00C45105"/>
    <w:rsid w:val="00C4573F"/>
    <w:rsid w:val="00C47070"/>
    <w:rsid w:val="00C473FE"/>
    <w:rsid w:val="00C47FC6"/>
    <w:rsid w:val="00C519A0"/>
    <w:rsid w:val="00C51FD0"/>
    <w:rsid w:val="00C52396"/>
    <w:rsid w:val="00C52734"/>
    <w:rsid w:val="00C52AC1"/>
    <w:rsid w:val="00C532A3"/>
    <w:rsid w:val="00C532DB"/>
    <w:rsid w:val="00C536C0"/>
    <w:rsid w:val="00C53B3C"/>
    <w:rsid w:val="00C55065"/>
    <w:rsid w:val="00C55120"/>
    <w:rsid w:val="00C55B42"/>
    <w:rsid w:val="00C55EF9"/>
    <w:rsid w:val="00C57B66"/>
    <w:rsid w:val="00C60A01"/>
    <w:rsid w:val="00C612BF"/>
    <w:rsid w:val="00C6156D"/>
    <w:rsid w:val="00C61AB0"/>
    <w:rsid w:val="00C62431"/>
    <w:rsid w:val="00C628D8"/>
    <w:rsid w:val="00C63B9B"/>
    <w:rsid w:val="00C64CEF"/>
    <w:rsid w:val="00C64DF2"/>
    <w:rsid w:val="00C653ED"/>
    <w:rsid w:val="00C655FA"/>
    <w:rsid w:val="00C66361"/>
    <w:rsid w:val="00C667D0"/>
    <w:rsid w:val="00C66BE7"/>
    <w:rsid w:val="00C66C26"/>
    <w:rsid w:val="00C70B9E"/>
    <w:rsid w:val="00C714C1"/>
    <w:rsid w:val="00C71E26"/>
    <w:rsid w:val="00C730AB"/>
    <w:rsid w:val="00C73B32"/>
    <w:rsid w:val="00C75D7B"/>
    <w:rsid w:val="00C80718"/>
    <w:rsid w:val="00C81249"/>
    <w:rsid w:val="00C82BC9"/>
    <w:rsid w:val="00C831E3"/>
    <w:rsid w:val="00C83710"/>
    <w:rsid w:val="00C83CC2"/>
    <w:rsid w:val="00C840C4"/>
    <w:rsid w:val="00C84D75"/>
    <w:rsid w:val="00C9041A"/>
    <w:rsid w:val="00C90C53"/>
    <w:rsid w:val="00C90D96"/>
    <w:rsid w:val="00C90E87"/>
    <w:rsid w:val="00C91BE5"/>
    <w:rsid w:val="00C91E90"/>
    <w:rsid w:val="00C92329"/>
    <w:rsid w:val="00C92639"/>
    <w:rsid w:val="00C930CC"/>
    <w:rsid w:val="00C93282"/>
    <w:rsid w:val="00C93359"/>
    <w:rsid w:val="00C93471"/>
    <w:rsid w:val="00C946AD"/>
    <w:rsid w:val="00C94F6C"/>
    <w:rsid w:val="00C953ED"/>
    <w:rsid w:val="00C9564E"/>
    <w:rsid w:val="00C96F28"/>
    <w:rsid w:val="00CA033F"/>
    <w:rsid w:val="00CA1B3D"/>
    <w:rsid w:val="00CA2027"/>
    <w:rsid w:val="00CA25F1"/>
    <w:rsid w:val="00CA404C"/>
    <w:rsid w:val="00CA48A7"/>
    <w:rsid w:val="00CA4F52"/>
    <w:rsid w:val="00CA4FF6"/>
    <w:rsid w:val="00CA5164"/>
    <w:rsid w:val="00CA6771"/>
    <w:rsid w:val="00CA7CAE"/>
    <w:rsid w:val="00CB0F1B"/>
    <w:rsid w:val="00CB1743"/>
    <w:rsid w:val="00CB2171"/>
    <w:rsid w:val="00CB2944"/>
    <w:rsid w:val="00CB2B56"/>
    <w:rsid w:val="00CB450E"/>
    <w:rsid w:val="00CB479E"/>
    <w:rsid w:val="00CB4A7C"/>
    <w:rsid w:val="00CB5B36"/>
    <w:rsid w:val="00CB645B"/>
    <w:rsid w:val="00CB6582"/>
    <w:rsid w:val="00CB7E97"/>
    <w:rsid w:val="00CC1D16"/>
    <w:rsid w:val="00CC2EFC"/>
    <w:rsid w:val="00CC3CD8"/>
    <w:rsid w:val="00CC5952"/>
    <w:rsid w:val="00CC6360"/>
    <w:rsid w:val="00CC6B78"/>
    <w:rsid w:val="00CC7251"/>
    <w:rsid w:val="00CC7C75"/>
    <w:rsid w:val="00CD0517"/>
    <w:rsid w:val="00CD0DA8"/>
    <w:rsid w:val="00CD0F0A"/>
    <w:rsid w:val="00CD1CBC"/>
    <w:rsid w:val="00CD2976"/>
    <w:rsid w:val="00CD352B"/>
    <w:rsid w:val="00CD3DCF"/>
    <w:rsid w:val="00CD471B"/>
    <w:rsid w:val="00CD54EF"/>
    <w:rsid w:val="00CD57BC"/>
    <w:rsid w:val="00CD57D7"/>
    <w:rsid w:val="00CD62AD"/>
    <w:rsid w:val="00CD7636"/>
    <w:rsid w:val="00CE0209"/>
    <w:rsid w:val="00CE0CCC"/>
    <w:rsid w:val="00CE13A4"/>
    <w:rsid w:val="00CE1F4C"/>
    <w:rsid w:val="00CE264A"/>
    <w:rsid w:val="00CE2886"/>
    <w:rsid w:val="00CE325A"/>
    <w:rsid w:val="00CE5033"/>
    <w:rsid w:val="00CE5651"/>
    <w:rsid w:val="00CE572D"/>
    <w:rsid w:val="00CE62A3"/>
    <w:rsid w:val="00CE62B6"/>
    <w:rsid w:val="00CE63DD"/>
    <w:rsid w:val="00CF32B4"/>
    <w:rsid w:val="00CF3377"/>
    <w:rsid w:val="00CF3606"/>
    <w:rsid w:val="00CF3FAF"/>
    <w:rsid w:val="00CF4871"/>
    <w:rsid w:val="00CF4D25"/>
    <w:rsid w:val="00CF5222"/>
    <w:rsid w:val="00CF56DA"/>
    <w:rsid w:val="00CF73C0"/>
    <w:rsid w:val="00CF7E90"/>
    <w:rsid w:val="00D00A7F"/>
    <w:rsid w:val="00D00B65"/>
    <w:rsid w:val="00D00BC9"/>
    <w:rsid w:val="00D00CAD"/>
    <w:rsid w:val="00D01C25"/>
    <w:rsid w:val="00D027E6"/>
    <w:rsid w:val="00D02929"/>
    <w:rsid w:val="00D029A8"/>
    <w:rsid w:val="00D03B7C"/>
    <w:rsid w:val="00D042EA"/>
    <w:rsid w:val="00D05C42"/>
    <w:rsid w:val="00D06EA2"/>
    <w:rsid w:val="00D0758B"/>
    <w:rsid w:val="00D07A76"/>
    <w:rsid w:val="00D07B56"/>
    <w:rsid w:val="00D07FE1"/>
    <w:rsid w:val="00D10957"/>
    <w:rsid w:val="00D10CE7"/>
    <w:rsid w:val="00D10E78"/>
    <w:rsid w:val="00D12650"/>
    <w:rsid w:val="00D13374"/>
    <w:rsid w:val="00D14369"/>
    <w:rsid w:val="00D151CB"/>
    <w:rsid w:val="00D15AE8"/>
    <w:rsid w:val="00D16371"/>
    <w:rsid w:val="00D16C93"/>
    <w:rsid w:val="00D2395E"/>
    <w:rsid w:val="00D262E2"/>
    <w:rsid w:val="00D2643E"/>
    <w:rsid w:val="00D272BA"/>
    <w:rsid w:val="00D30B48"/>
    <w:rsid w:val="00D30B9B"/>
    <w:rsid w:val="00D30F88"/>
    <w:rsid w:val="00D32B33"/>
    <w:rsid w:val="00D330AC"/>
    <w:rsid w:val="00D347F1"/>
    <w:rsid w:val="00D361D8"/>
    <w:rsid w:val="00D37C8E"/>
    <w:rsid w:val="00D42A58"/>
    <w:rsid w:val="00D431E9"/>
    <w:rsid w:val="00D43E32"/>
    <w:rsid w:val="00D4416E"/>
    <w:rsid w:val="00D443F6"/>
    <w:rsid w:val="00D444A0"/>
    <w:rsid w:val="00D455A1"/>
    <w:rsid w:val="00D45895"/>
    <w:rsid w:val="00D45BA2"/>
    <w:rsid w:val="00D45BD7"/>
    <w:rsid w:val="00D45DDD"/>
    <w:rsid w:val="00D463AA"/>
    <w:rsid w:val="00D47029"/>
    <w:rsid w:val="00D4719B"/>
    <w:rsid w:val="00D4719F"/>
    <w:rsid w:val="00D4789E"/>
    <w:rsid w:val="00D50576"/>
    <w:rsid w:val="00D51065"/>
    <w:rsid w:val="00D5291E"/>
    <w:rsid w:val="00D54756"/>
    <w:rsid w:val="00D55736"/>
    <w:rsid w:val="00D558C9"/>
    <w:rsid w:val="00D559C9"/>
    <w:rsid w:val="00D60A0C"/>
    <w:rsid w:val="00D60B73"/>
    <w:rsid w:val="00D61251"/>
    <w:rsid w:val="00D629DB"/>
    <w:rsid w:val="00D62A81"/>
    <w:rsid w:val="00D63844"/>
    <w:rsid w:val="00D63CE8"/>
    <w:rsid w:val="00D64075"/>
    <w:rsid w:val="00D642A8"/>
    <w:rsid w:val="00D6510F"/>
    <w:rsid w:val="00D6536C"/>
    <w:rsid w:val="00D6680E"/>
    <w:rsid w:val="00D66B7D"/>
    <w:rsid w:val="00D66C09"/>
    <w:rsid w:val="00D67406"/>
    <w:rsid w:val="00D6778B"/>
    <w:rsid w:val="00D71617"/>
    <w:rsid w:val="00D72962"/>
    <w:rsid w:val="00D734E8"/>
    <w:rsid w:val="00D74A8C"/>
    <w:rsid w:val="00D74DED"/>
    <w:rsid w:val="00D7545C"/>
    <w:rsid w:val="00D7577D"/>
    <w:rsid w:val="00D75C74"/>
    <w:rsid w:val="00D7627E"/>
    <w:rsid w:val="00D76A1B"/>
    <w:rsid w:val="00D76B90"/>
    <w:rsid w:val="00D7722C"/>
    <w:rsid w:val="00D77FEC"/>
    <w:rsid w:val="00D80803"/>
    <w:rsid w:val="00D80ED1"/>
    <w:rsid w:val="00D81E0E"/>
    <w:rsid w:val="00D81EF9"/>
    <w:rsid w:val="00D8338D"/>
    <w:rsid w:val="00D83A26"/>
    <w:rsid w:val="00D83B33"/>
    <w:rsid w:val="00D85247"/>
    <w:rsid w:val="00D86ACB"/>
    <w:rsid w:val="00D86DE6"/>
    <w:rsid w:val="00D87CA9"/>
    <w:rsid w:val="00D87D21"/>
    <w:rsid w:val="00D9069C"/>
    <w:rsid w:val="00D90940"/>
    <w:rsid w:val="00D9198C"/>
    <w:rsid w:val="00D91C28"/>
    <w:rsid w:val="00D935E2"/>
    <w:rsid w:val="00D937AD"/>
    <w:rsid w:val="00D94F72"/>
    <w:rsid w:val="00D957AD"/>
    <w:rsid w:val="00DA24A5"/>
    <w:rsid w:val="00DA2783"/>
    <w:rsid w:val="00DA2BBE"/>
    <w:rsid w:val="00DA3BD2"/>
    <w:rsid w:val="00DA4301"/>
    <w:rsid w:val="00DA44FA"/>
    <w:rsid w:val="00DA5AD5"/>
    <w:rsid w:val="00DA5D5F"/>
    <w:rsid w:val="00DA6626"/>
    <w:rsid w:val="00DA6B69"/>
    <w:rsid w:val="00DA768A"/>
    <w:rsid w:val="00DA7AA3"/>
    <w:rsid w:val="00DB01B1"/>
    <w:rsid w:val="00DB11BD"/>
    <w:rsid w:val="00DB1B32"/>
    <w:rsid w:val="00DB1C5D"/>
    <w:rsid w:val="00DB208A"/>
    <w:rsid w:val="00DB3C87"/>
    <w:rsid w:val="00DB43EC"/>
    <w:rsid w:val="00DB4AAE"/>
    <w:rsid w:val="00DB4DBE"/>
    <w:rsid w:val="00DB5461"/>
    <w:rsid w:val="00DB5491"/>
    <w:rsid w:val="00DB66DB"/>
    <w:rsid w:val="00DB7049"/>
    <w:rsid w:val="00DC0314"/>
    <w:rsid w:val="00DC0E05"/>
    <w:rsid w:val="00DC19D4"/>
    <w:rsid w:val="00DC2450"/>
    <w:rsid w:val="00DC2563"/>
    <w:rsid w:val="00DC2959"/>
    <w:rsid w:val="00DC4401"/>
    <w:rsid w:val="00DC537E"/>
    <w:rsid w:val="00DC5900"/>
    <w:rsid w:val="00DC70F0"/>
    <w:rsid w:val="00DC766A"/>
    <w:rsid w:val="00DD049A"/>
    <w:rsid w:val="00DD0E60"/>
    <w:rsid w:val="00DD10D9"/>
    <w:rsid w:val="00DD17CC"/>
    <w:rsid w:val="00DD2A27"/>
    <w:rsid w:val="00DD5BAF"/>
    <w:rsid w:val="00DD7F75"/>
    <w:rsid w:val="00DE1565"/>
    <w:rsid w:val="00DE252D"/>
    <w:rsid w:val="00DE279D"/>
    <w:rsid w:val="00DE3BD1"/>
    <w:rsid w:val="00DE4C54"/>
    <w:rsid w:val="00DE57B2"/>
    <w:rsid w:val="00DE5EE0"/>
    <w:rsid w:val="00DE61BC"/>
    <w:rsid w:val="00DE62B3"/>
    <w:rsid w:val="00DE6317"/>
    <w:rsid w:val="00DF175A"/>
    <w:rsid w:val="00DF1CAD"/>
    <w:rsid w:val="00DF1D13"/>
    <w:rsid w:val="00DF306F"/>
    <w:rsid w:val="00DF428B"/>
    <w:rsid w:val="00DF44E8"/>
    <w:rsid w:val="00DF4670"/>
    <w:rsid w:val="00DF4A52"/>
    <w:rsid w:val="00DF5E7D"/>
    <w:rsid w:val="00DF5FCE"/>
    <w:rsid w:val="00DF64A3"/>
    <w:rsid w:val="00DF6524"/>
    <w:rsid w:val="00DF697C"/>
    <w:rsid w:val="00DF6D6C"/>
    <w:rsid w:val="00DF78EF"/>
    <w:rsid w:val="00DF7D9E"/>
    <w:rsid w:val="00E00240"/>
    <w:rsid w:val="00E00F4A"/>
    <w:rsid w:val="00E04783"/>
    <w:rsid w:val="00E04C23"/>
    <w:rsid w:val="00E05053"/>
    <w:rsid w:val="00E05339"/>
    <w:rsid w:val="00E05D11"/>
    <w:rsid w:val="00E06C12"/>
    <w:rsid w:val="00E07844"/>
    <w:rsid w:val="00E07D06"/>
    <w:rsid w:val="00E10277"/>
    <w:rsid w:val="00E11A82"/>
    <w:rsid w:val="00E11FA0"/>
    <w:rsid w:val="00E129CF"/>
    <w:rsid w:val="00E12E76"/>
    <w:rsid w:val="00E133AF"/>
    <w:rsid w:val="00E1365A"/>
    <w:rsid w:val="00E14519"/>
    <w:rsid w:val="00E14E09"/>
    <w:rsid w:val="00E14FEA"/>
    <w:rsid w:val="00E15126"/>
    <w:rsid w:val="00E15892"/>
    <w:rsid w:val="00E17287"/>
    <w:rsid w:val="00E1786A"/>
    <w:rsid w:val="00E204A4"/>
    <w:rsid w:val="00E20E59"/>
    <w:rsid w:val="00E21584"/>
    <w:rsid w:val="00E21892"/>
    <w:rsid w:val="00E218E5"/>
    <w:rsid w:val="00E21F56"/>
    <w:rsid w:val="00E23328"/>
    <w:rsid w:val="00E243D2"/>
    <w:rsid w:val="00E2493B"/>
    <w:rsid w:val="00E26742"/>
    <w:rsid w:val="00E2674F"/>
    <w:rsid w:val="00E2687E"/>
    <w:rsid w:val="00E27170"/>
    <w:rsid w:val="00E30333"/>
    <w:rsid w:val="00E3327A"/>
    <w:rsid w:val="00E344E8"/>
    <w:rsid w:val="00E35FEE"/>
    <w:rsid w:val="00E36708"/>
    <w:rsid w:val="00E37217"/>
    <w:rsid w:val="00E37228"/>
    <w:rsid w:val="00E37727"/>
    <w:rsid w:val="00E4086C"/>
    <w:rsid w:val="00E40AA6"/>
    <w:rsid w:val="00E40EEC"/>
    <w:rsid w:val="00E41237"/>
    <w:rsid w:val="00E41D09"/>
    <w:rsid w:val="00E4242A"/>
    <w:rsid w:val="00E42E61"/>
    <w:rsid w:val="00E4308E"/>
    <w:rsid w:val="00E438B9"/>
    <w:rsid w:val="00E43E0D"/>
    <w:rsid w:val="00E444A7"/>
    <w:rsid w:val="00E44DE1"/>
    <w:rsid w:val="00E4797C"/>
    <w:rsid w:val="00E50624"/>
    <w:rsid w:val="00E5099E"/>
    <w:rsid w:val="00E50A1A"/>
    <w:rsid w:val="00E51337"/>
    <w:rsid w:val="00E52ECD"/>
    <w:rsid w:val="00E52F8B"/>
    <w:rsid w:val="00E54CF7"/>
    <w:rsid w:val="00E55451"/>
    <w:rsid w:val="00E55C77"/>
    <w:rsid w:val="00E55D2A"/>
    <w:rsid w:val="00E566A0"/>
    <w:rsid w:val="00E6101E"/>
    <w:rsid w:val="00E6111F"/>
    <w:rsid w:val="00E61891"/>
    <w:rsid w:val="00E62585"/>
    <w:rsid w:val="00E62979"/>
    <w:rsid w:val="00E641C0"/>
    <w:rsid w:val="00E6476E"/>
    <w:rsid w:val="00E6481D"/>
    <w:rsid w:val="00E6495E"/>
    <w:rsid w:val="00E654A2"/>
    <w:rsid w:val="00E6593B"/>
    <w:rsid w:val="00E65942"/>
    <w:rsid w:val="00E66B30"/>
    <w:rsid w:val="00E66D6E"/>
    <w:rsid w:val="00E6748C"/>
    <w:rsid w:val="00E67CED"/>
    <w:rsid w:val="00E70D80"/>
    <w:rsid w:val="00E71841"/>
    <w:rsid w:val="00E71D52"/>
    <w:rsid w:val="00E71ECC"/>
    <w:rsid w:val="00E728EF"/>
    <w:rsid w:val="00E732F3"/>
    <w:rsid w:val="00E737F2"/>
    <w:rsid w:val="00E73F09"/>
    <w:rsid w:val="00E74460"/>
    <w:rsid w:val="00E74F2B"/>
    <w:rsid w:val="00E759FA"/>
    <w:rsid w:val="00E7622B"/>
    <w:rsid w:val="00E766D0"/>
    <w:rsid w:val="00E76C9F"/>
    <w:rsid w:val="00E819D5"/>
    <w:rsid w:val="00E81C6C"/>
    <w:rsid w:val="00E82627"/>
    <w:rsid w:val="00E82C91"/>
    <w:rsid w:val="00E82F40"/>
    <w:rsid w:val="00E851F7"/>
    <w:rsid w:val="00E86120"/>
    <w:rsid w:val="00E86DC0"/>
    <w:rsid w:val="00E923FC"/>
    <w:rsid w:val="00E92614"/>
    <w:rsid w:val="00E92F44"/>
    <w:rsid w:val="00E9381E"/>
    <w:rsid w:val="00E9384C"/>
    <w:rsid w:val="00E94B64"/>
    <w:rsid w:val="00E95371"/>
    <w:rsid w:val="00E955C0"/>
    <w:rsid w:val="00E95C7E"/>
    <w:rsid w:val="00E95DC6"/>
    <w:rsid w:val="00E9751B"/>
    <w:rsid w:val="00EA064E"/>
    <w:rsid w:val="00EA07CC"/>
    <w:rsid w:val="00EA091B"/>
    <w:rsid w:val="00EA0CE3"/>
    <w:rsid w:val="00EA0CFA"/>
    <w:rsid w:val="00EA1595"/>
    <w:rsid w:val="00EA2F21"/>
    <w:rsid w:val="00EA365A"/>
    <w:rsid w:val="00EA37A1"/>
    <w:rsid w:val="00EA3B85"/>
    <w:rsid w:val="00EA55F0"/>
    <w:rsid w:val="00EA58CF"/>
    <w:rsid w:val="00EA6176"/>
    <w:rsid w:val="00EA6643"/>
    <w:rsid w:val="00EA67C7"/>
    <w:rsid w:val="00EB04E4"/>
    <w:rsid w:val="00EB0772"/>
    <w:rsid w:val="00EB12ED"/>
    <w:rsid w:val="00EB2AC1"/>
    <w:rsid w:val="00EB31E0"/>
    <w:rsid w:val="00EB3CA6"/>
    <w:rsid w:val="00EB41FD"/>
    <w:rsid w:val="00EB5299"/>
    <w:rsid w:val="00EB5471"/>
    <w:rsid w:val="00EB54CC"/>
    <w:rsid w:val="00EB6117"/>
    <w:rsid w:val="00EB6724"/>
    <w:rsid w:val="00EB6ABA"/>
    <w:rsid w:val="00EB6DB7"/>
    <w:rsid w:val="00EB7393"/>
    <w:rsid w:val="00EB7AEC"/>
    <w:rsid w:val="00EB7B75"/>
    <w:rsid w:val="00EC0369"/>
    <w:rsid w:val="00EC1131"/>
    <w:rsid w:val="00EC139A"/>
    <w:rsid w:val="00EC15E9"/>
    <w:rsid w:val="00EC220A"/>
    <w:rsid w:val="00EC2881"/>
    <w:rsid w:val="00EC2D4C"/>
    <w:rsid w:val="00EC45B1"/>
    <w:rsid w:val="00EC4638"/>
    <w:rsid w:val="00EC5795"/>
    <w:rsid w:val="00EC59A1"/>
    <w:rsid w:val="00EC6003"/>
    <w:rsid w:val="00EC7B0D"/>
    <w:rsid w:val="00ED0842"/>
    <w:rsid w:val="00ED0900"/>
    <w:rsid w:val="00ED10B7"/>
    <w:rsid w:val="00ED1147"/>
    <w:rsid w:val="00ED213F"/>
    <w:rsid w:val="00ED31BB"/>
    <w:rsid w:val="00ED6BFB"/>
    <w:rsid w:val="00EE0A2C"/>
    <w:rsid w:val="00EE0CAA"/>
    <w:rsid w:val="00EE1417"/>
    <w:rsid w:val="00EE2110"/>
    <w:rsid w:val="00EE2423"/>
    <w:rsid w:val="00EE2AEF"/>
    <w:rsid w:val="00EE2B97"/>
    <w:rsid w:val="00EE2E3F"/>
    <w:rsid w:val="00EE325E"/>
    <w:rsid w:val="00EE36B9"/>
    <w:rsid w:val="00EE370A"/>
    <w:rsid w:val="00EE3F42"/>
    <w:rsid w:val="00EE5651"/>
    <w:rsid w:val="00EE664F"/>
    <w:rsid w:val="00EE6898"/>
    <w:rsid w:val="00EE6D2E"/>
    <w:rsid w:val="00EE7C50"/>
    <w:rsid w:val="00EF03E3"/>
    <w:rsid w:val="00EF0627"/>
    <w:rsid w:val="00EF0CA4"/>
    <w:rsid w:val="00EF17FE"/>
    <w:rsid w:val="00EF1EE4"/>
    <w:rsid w:val="00EF313A"/>
    <w:rsid w:val="00EF37DF"/>
    <w:rsid w:val="00EF37EF"/>
    <w:rsid w:val="00EF3D46"/>
    <w:rsid w:val="00EF3FB3"/>
    <w:rsid w:val="00EF7752"/>
    <w:rsid w:val="00EF7F01"/>
    <w:rsid w:val="00F0068F"/>
    <w:rsid w:val="00F02012"/>
    <w:rsid w:val="00F05FA6"/>
    <w:rsid w:val="00F0621D"/>
    <w:rsid w:val="00F06AEC"/>
    <w:rsid w:val="00F10355"/>
    <w:rsid w:val="00F10910"/>
    <w:rsid w:val="00F12FA2"/>
    <w:rsid w:val="00F13118"/>
    <w:rsid w:val="00F13222"/>
    <w:rsid w:val="00F132F2"/>
    <w:rsid w:val="00F13925"/>
    <w:rsid w:val="00F1497A"/>
    <w:rsid w:val="00F14A62"/>
    <w:rsid w:val="00F15BCF"/>
    <w:rsid w:val="00F16CB9"/>
    <w:rsid w:val="00F17669"/>
    <w:rsid w:val="00F17697"/>
    <w:rsid w:val="00F2006C"/>
    <w:rsid w:val="00F206B3"/>
    <w:rsid w:val="00F20AFB"/>
    <w:rsid w:val="00F21135"/>
    <w:rsid w:val="00F21807"/>
    <w:rsid w:val="00F21DD2"/>
    <w:rsid w:val="00F24159"/>
    <w:rsid w:val="00F275F0"/>
    <w:rsid w:val="00F27793"/>
    <w:rsid w:val="00F30B50"/>
    <w:rsid w:val="00F31198"/>
    <w:rsid w:val="00F31EAF"/>
    <w:rsid w:val="00F32EA9"/>
    <w:rsid w:val="00F32F3C"/>
    <w:rsid w:val="00F34D64"/>
    <w:rsid w:val="00F34D81"/>
    <w:rsid w:val="00F35C02"/>
    <w:rsid w:val="00F35CEC"/>
    <w:rsid w:val="00F373EB"/>
    <w:rsid w:val="00F37E2B"/>
    <w:rsid w:val="00F37F0B"/>
    <w:rsid w:val="00F40A9C"/>
    <w:rsid w:val="00F42C8C"/>
    <w:rsid w:val="00F440C7"/>
    <w:rsid w:val="00F44E87"/>
    <w:rsid w:val="00F453CD"/>
    <w:rsid w:val="00F45657"/>
    <w:rsid w:val="00F466C1"/>
    <w:rsid w:val="00F46B4E"/>
    <w:rsid w:val="00F50BD8"/>
    <w:rsid w:val="00F50EA0"/>
    <w:rsid w:val="00F5165D"/>
    <w:rsid w:val="00F51722"/>
    <w:rsid w:val="00F51FDD"/>
    <w:rsid w:val="00F5388A"/>
    <w:rsid w:val="00F54024"/>
    <w:rsid w:val="00F54C84"/>
    <w:rsid w:val="00F54D33"/>
    <w:rsid w:val="00F55020"/>
    <w:rsid w:val="00F55460"/>
    <w:rsid w:val="00F567D2"/>
    <w:rsid w:val="00F574FF"/>
    <w:rsid w:val="00F5769F"/>
    <w:rsid w:val="00F57D7E"/>
    <w:rsid w:val="00F600AA"/>
    <w:rsid w:val="00F60499"/>
    <w:rsid w:val="00F62D92"/>
    <w:rsid w:val="00F62F12"/>
    <w:rsid w:val="00F63714"/>
    <w:rsid w:val="00F63744"/>
    <w:rsid w:val="00F64FEE"/>
    <w:rsid w:val="00F654EC"/>
    <w:rsid w:val="00F65A4E"/>
    <w:rsid w:val="00F65CB8"/>
    <w:rsid w:val="00F65E26"/>
    <w:rsid w:val="00F66083"/>
    <w:rsid w:val="00F723F8"/>
    <w:rsid w:val="00F7487D"/>
    <w:rsid w:val="00F74922"/>
    <w:rsid w:val="00F74B5C"/>
    <w:rsid w:val="00F75489"/>
    <w:rsid w:val="00F75FD8"/>
    <w:rsid w:val="00F7650A"/>
    <w:rsid w:val="00F7669A"/>
    <w:rsid w:val="00F76EC1"/>
    <w:rsid w:val="00F77362"/>
    <w:rsid w:val="00F77C14"/>
    <w:rsid w:val="00F80B55"/>
    <w:rsid w:val="00F80C9C"/>
    <w:rsid w:val="00F813CA"/>
    <w:rsid w:val="00F81609"/>
    <w:rsid w:val="00F82039"/>
    <w:rsid w:val="00F824AD"/>
    <w:rsid w:val="00F82775"/>
    <w:rsid w:val="00F82BA8"/>
    <w:rsid w:val="00F832B8"/>
    <w:rsid w:val="00F83B63"/>
    <w:rsid w:val="00F83D8C"/>
    <w:rsid w:val="00F849D3"/>
    <w:rsid w:val="00F85278"/>
    <w:rsid w:val="00F858BE"/>
    <w:rsid w:val="00F85FE4"/>
    <w:rsid w:val="00F86AA2"/>
    <w:rsid w:val="00F8789C"/>
    <w:rsid w:val="00F90366"/>
    <w:rsid w:val="00F931E5"/>
    <w:rsid w:val="00F935E1"/>
    <w:rsid w:val="00F94463"/>
    <w:rsid w:val="00F944F8"/>
    <w:rsid w:val="00F94B33"/>
    <w:rsid w:val="00F9516B"/>
    <w:rsid w:val="00F956A6"/>
    <w:rsid w:val="00F962FC"/>
    <w:rsid w:val="00F964B2"/>
    <w:rsid w:val="00F96732"/>
    <w:rsid w:val="00F96C28"/>
    <w:rsid w:val="00FA07C4"/>
    <w:rsid w:val="00FA2379"/>
    <w:rsid w:val="00FA2BB9"/>
    <w:rsid w:val="00FA37D1"/>
    <w:rsid w:val="00FA5080"/>
    <w:rsid w:val="00FA5788"/>
    <w:rsid w:val="00FA5E8E"/>
    <w:rsid w:val="00FA6176"/>
    <w:rsid w:val="00FA66F5"/>
    <w:rsid w:val="00FA766F"/>
    <w:rsid w:val="00FB101E"/>
    <w:rsid w:val="00FB2C42"/>
    <w:rsid w:val="00FB4167"/>
    <w:rsid w:val="00FB42DD"/>
    <w:rsid w:val="00FB514B"/>
    <w:rsid w:val="00FB5638"/>
    <w:rsid w:val="00FB5A27"/>
    <w:rsid w:val="00FB618D"/>
    <w:rsid w:val="00FB6259"/>
    <w:rsid w:val="00FB629D"/>
    <w:rsid w:val="00FB6B6F"/>
    <w:rsid w:val="00FB7481"/>
    <w:rsid w:val="00FB748D"/>
    <w:rsid w:val="00FB7A06"/>
    <w:rsid w:val="00FC1162"/>
    <w:rsid w:val="00FC179A"/>
    <w:rsid w:val="00FC1968"/>
    <w:rsid w:val="00FC1E4D"/>
    <w:rsid w:val="00FC23A5"/>
    <w:rsid w:val="00FC2B7B"/>
    <w:rsid w:val="00FC2B86"/>
    <w:rsid w:val="00FC30B1"/>
    <w:rsid w:val="00FC3287"/>
    <w:rsid w:val="00FC3BC8"/>
    <w:rsid w:val="00FC5977"/>
    <w:rsid w:val="00FC635B"/>
    <w:rsid w:val="00FC688F"/>
    <w:rsid w:val="00FC71AC"/>
    <w:rsid w:val="00FC796F"/>
    <w:rsid w:val="00FC7E13"/>
    <w:rsid w:val="00FD06CC"/>
    <w:rsid w:val="00FD0705"/>
    <w:rsid w:val="00FD0AF3"/>
    <w:rsid w:val="00FD2088"/>
    <w:rsid w:val="00FD2334"/>
    <w:rsid w:val="00FD3193"/>
    <w:rsid w:val="00FD40F8"/>
    <w:rsid w:val="00FD4BC2"/>
    <w:rsid w:val="00FD5B3C"/>
    <w:rsid w:val="00FD5CF5"/>
    <w:rsid w:val="00FD601E"/>
    <w:rsid w:val="00FD69F3"/>
    <w:rsid w:val="00FD6CB6"/>
    <w:rsid w:val="00FE0EB3"/>
    <w:rsid w:val="00FE1A83"/>
    <w:rsid w:val="00FE28A3"/>
    <w:rsid w:val="00FE32D7"/>
    <w:rsid w:val="00FE477A"/>
    <w:rsid w:val="00FE4928"/>
    <w:rsid w:val="00FE4C7A"/>
    <w:rsid w:val="00FE55D6"/>
    <w:rsid w:val="00FE6043"/>
    <w:rsid w:val="00FE6CD7"/>
    <w:rsid w:val="00FE74B1"/>
    <w:rsid w:val="00FE752E"/>
    <w:rsid w:val="00FE7D66"/>
    <w:rsid w:val="00FF16A6"/>
    <w:rsid w:val="00FF1B3C"/>
    <w:rsid w:val="00FF22C9"/>
    <w:rsid w:val="00FF264A"/>
    <w:rsid w:val="00FF3A5E"/>
    <w:rsid w:val="00FF487C"/>
    <w:rsid w:val="00FF5BB9"/>
    <w:rsid w:val="00FF5E5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999BAE"/>
  <w15:chartTrackingRefBased/>
  <w15:docId w15:val="{FF1E8F28-C64F-49A2-B656-15A577AE5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8B96C6" w:themeColor="text2"/>
        <w:sz w:val="26"/>
        <w:szCs w:val="26"/>
        <w:lang w:val="en-US" w:eastAsia="ja-JP" w:bidi="ar-SA"/>
      </w:rPr>
    </w:rPrDefault>
    <w:pPrDefault>
      <w:pPr>
        <w:spacing w:after="160" w:line="276" w:lineRule="auto"/>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104"/>
    <w:pPr>
      <w:spacing w:line="264" w:lineRule="auto"/>
      <w:ind w:left="0" w:firstLine="0"/>
    </w:pPr>
    <w:rPr>
      <w:rFonts w:ascii="Arial" w:hAnsi="Arial"/>
      <w:color w:val="auto"/>
      <w:sz w:val="20"/>
    </w:rPr>
  </w:style>
  <w:style w:type="paragraph" w:styleId="Heading1">
    <w:name w:val="heading 1"/>
    <w:basedOn w:val="Normal"/>
    <w:next w:val="Normal"/>
    <w:link w:val="Heading1Char"/>
    <w:uiPriority w:val="9"/>
    <w:qFormat/>
    <w:rsid w:val="00DB11BD"/>
    <w:pPr>
      <w:keepNext/>
      <w:keepLines/>
      <w:pageBreakBefore/>
      <w:spacing w:after="440"/>
      <w:outlineLvl w:val="0"/>
    </w:pPr>
    <w:rPr>
      <w:rFonts w:eastAsiaTheme="majorEastAsia" w:cs="Times New Roman (Headings CS)"/>
      <w:b/>
      <w:color w:val="000000" w:themeColor="text1"/>
      <w:sz w:val="32"/>
      <w:szCs w:val="32"/>
    </w:rPr>
  </w:style>
  <w:style w:type="paragraph" w:styleId="Heading2">
    <w:name w:val="heading 2"/>
    <w:basedOn w:val="Normal"/>
    <w:next w:val="Normal"/>
    <w:link w:val="Heading2Char"/>
    <w:uiPriority w:val="9"/>
    <w:unhideWhenUsed/>
    <w:qFormat/>
    <w:rsid w:val="00EA064E"/>
    <w:pPr>
      <w:keepNext/>
      <w:keepLines/>
      <w:spacing w:before="320"/>
      <w:outlineLvl w:val="1"/>
    </w:pPr>
    <w:rPr>
      <w:rFonts w:eastAsiaTheme="majorEastAsia" w:cstheme="majorBidi"/>
      <w:b/>
      <w:color w:val="000000" w:themeColor="text1"/>
      <w:sz w:val="26"/>
    </w:rPr>
  </w:style>
  <w:style w:type="paragraph" w:styleId="Heading3">
    <w:name w:val="heading 3"/>
    <w:basedOn w:val="Normal"/>
    <w:next w:val="Normal"/>
    <w:link w:val="Heading3Char"/>
    <w:uiPriority w:val="9"/>
    <w:unhideWhenUsed/>
    <w:qFormat/>
    <w:rsid w:val="009551D9"/>
    <w:pPr>
      <w:keepNext/>
      <w:keepLines/>
      <w:outlineLvl w:val="2"/>
    </w:pPr>
    <w:rPr>
      <w:rFonts w:eastAsiaTheme="majorEastAsia" w:cstheme="majorBidi"/>
      <w:b/>
      <w:color w:val="000000" w:themeColor="text1"/>
      <w:sz w:val="22"/>
      <w:szCs w:val="24"/>
    </w:rPr>
  </w:style>
  <w:style w:type="paragraph" w:styleId="Heading4">
    <w:name w:val="heading 4"/>
    <w:basedOn w:val="Normal"/>
    <w:next w:val="Normal"/>
    <w:link w:val="Heading4Char"/>
    <w:uiPriority w:val="9"/>
    <w:unhideWhenUsed/>
    <w:qFormat/>
    <w:rsid w:val="00EA365A"/>
    <w:pPr>
      <w:keepNext/>
      <w:keepLines/>
      <w:numPr>
        <w:ilvl w:val="3"/>
        <w:numId w:val="38"/>
      </w:numPr>
      <w:outlineLvl w:val="3"/>
    </w:pPr>
    <w:rPr>
      <w:rFonts w:eastAsiaTheme="majorEastAsia" w:cstheme="majorBidi"/>
      <w:b/>
      <w:iCs/>
    </w:rPr>
  </w:style>
  <w:style w:type="paragraph" w:styleId="Heading5">
    <w:name w:val="heading 5"/>
    <w:basedOn w:val="Normal"/>
    <w:next w:val="Normal"/>
    <w:link w:val="Heading5Char"/>
    <w:uiPriority w:val="9"/>
    <w:unhideWhenUsed/>
    <w:qFormat/>
    <w:rsid w:val="00EA365A"/>
    <w:pPr>
      <w:keepNext/>
      <w:keepLines/>
      <w:numPr>
        <w:ilvl w:val="4"/>
        <w:numId w:val="38"/>
      </w:numPr>
      <w:outlineLvl w:val="4"/>
    </w:pPr>
    <w:rPr>
      <w:rFonts w:eastAsiaTheme="majorEastAsia" w:cstheme="majorBidi"/>
      <w:b/>
      <w:i/>
    </w:rPr>
  </w:style>
  <w:style w:type="paragraph" w:styleId="Heading6">
    <w:name w:val="heading 6"/>
    <w:basedOn w:val="Heading2"/>
    <w:next w:val="Normal"/>
    <w:link w:val="Heading6Char"/>
    <w:uiPriority w:val="9"/>
    <w:unhideWhenUsed/>
    <w:qFormat/>
    <w:rsid w:val="00EA365A"/>
    <w:pPr>
      <w:numPr>
        <w:numId w:val="38"/>
      </w:numPr>
      <w:outlineLvl w:val="5"/>
    </w:pPr>
  </w:style>
  <w:style w:type="paragraph" w:styleId="Heading7">
    <w:name w:val="heading 7"/>
    <w:basedOn w:val="Heading3"/>
    <w:next w:val="Normal"/>
    <w:link w:val="Heading7Char"/>
    <w:uiPriority w:val="9"/>
    <w:unhideWhenUsed/>
    <w:qFormat/>
    <w:rsid w:val="00EA365A"/>
    <w:pPr>
      <w:numPr>
        <w:ilvl w:val="1"/>
        <w:numId w:val="38"/>
      </w:numPr>
      <w:outlineLvl w:val="6"/>
    </w:pPr>
    <w:rPr>
      <w:iCs/>
    </w:rPr>
  </w:style>
  <w:style w:type="paragraph" w:styleId="Heading8">
    <w:name w:val="heading 8"/>
    <w:basedOn w:val="Normal"/>
    <w:next w:val="Normal"/>
    <w:link w:val="Heading8Char"/>
    <w:uiPriority w:val="9"/>
    <w:unhideWhenUsed/>
    <w:qFormat/>
    <w:rsid w:val="00EA064E"/>
    <w:pPr>
      <w:keepNext/>
      <w:keepLines/>
      <w:numPr>
        <w:ilvl w:val="7"/>
        <w:numId w:val="38"/>
      </w:numPr>
      <w:spacing w:after="480"/>
      <w:outlineLvl w:val="7"/>
    </w:pPr>
    <w:rPr>
      <w:rFonts w:eastAsiaTheme="majorEastAsia" w:cstheme="majorBidi"/>
      <w:color w:val="000000" w:themeColor="text1"/>
      <w:sz w:val="52"/>
      <w:szCs w:val="21"/>
    </w:rPr>
  </w:style>
  <w:style w:type="paragraph" w:styleId="Heading9">
    <w:name w:val="heading 9"/>
    <w:basedOn w:val="Heading3"/>
    <w:next w:val="Normal"/>
    <w:link w:val="Heading9Char"/>
    <w:uiPriority w:val="9"/>
    <w:unhideWhenUsed/>
    <w:qFormat/>
    <w:rsid w:val="00A532A1"/>
    <w:pPr>
      <w:numPr>
        <w:ilvl w:val="8"/>
      </w:numPr>
      <w:pBdr>
        <w:bottom w:val="single" w:sz="12" w:space="1" w:color="8B96C6" w:themeColor="text2"/>
      </w:pBdr>
      <w:outlineLvl w:val="8"/>
    </w:pPr>
    <w:rPr>
      <w:iCs/>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sid w:val="00A27491"/>
    <w:rPr>
      <w:rFonts w:ascii="Arial" w:hAnsi="Arial"/>
      <w:b w:val="0"/>
      <w:bCs/>
      <w:i w:val="0"/>
      <w:iCs/>
      <w:color w:val="000000"/>
      <w:spacing w:val="5"/>
      <w:u w:val="single"/>
    </w:rPr>
  </w:style>
  <w:style w:type="character" w:styleId="IntenseReference">
    <w:name w:val="Intense Reference"/>
    <w:basedOn w:val="DefaultParagraphFont"/>
    <w:uiPriority w:val="32"/>
    <w:semiHidden/>
    <w:unhideWhenUsed/>
    <w:qFormat/>
    <w:rsid w:val="00094104"/>
    <w:rPr>
      <w:rFonts w:ascii="Arial" w:hAnsi="Arial"/>
      <w:b/>
      <w:bCs/>
      <w:i/>
      <w:caps/>
      <w:smallCaps w:val="0"/>
      <w:color w:val="000000"/>
      <w:spacing w:val="5"/>
    </w:rPr>
  </w:style>
  <w:style w:type="character" w:customStyle="1" w:styleId="Heading1Char">
    <w:name w:val="Heading 1 Char"/>
    <w:basedOn w:val="DefaultParagraphFont"/>
    <w:link w:val="Heading1"/>
    <w:uiPriority w:val="9"/>
    <w:rsid w:val="00DB11BD"/>
    <w:rPr>
      <w:rFonts w:ascii="Arial" w:eastAsiaTheme="majorEastAsia" w:hAnsi="Arial" w:cs="Times New Roman (Headings CS)"/>
      <w:b/>
      <w:color w:val="000000" w:themeColor="text1"/>
      <w:sz w:val="32"/>
      <w:szCs w:val="32"/>
    </w:rPr>
  </w:style>
  <w:style w:type="character" w:customStyle="1" w:styleId="Heading2Char">
    <w:name w:val="Heading 2 Char"/>
    <w:basedOn w:val="DefaultParagraphFont"/>
    <w:link w:val="Heading2"/>
    <w:uiPriority w:val="9"/>
    <w:rsid w:val="00EA064E"/>
    <w:rPr>
      <w:rFonts w:ascii="Arial" w:eastAsiaTheme="majorEastAsia" w:hAnsi="Arial" w:cstheme="majorBidi"/>
      <w:b/>
      <w:color w:val="000000" w:themeColor="text1"/>
    </w:rPr>
  </w:style>
  <w:style w:type="paragraph" w:styleId="Title">
    <w:name w:val="Title"/>
    <w:basedOn w:val="Normal"/>
    <w:link w:val="TitleChar"/>
    <w:uiPriority w:val="1"/>
    <w:qFormat/>
    <w:rsid w:val="006E2B65"/>
    <w:pPr>
      <w:spacing w:after="640"/>
    </w:pPr>
    <w:rPr>
      <w:rFonts w:eastAsiaTheme="majorEastAsia" w:cs="Times New Roman (Headings CS)"/>
      <w:b/>
      <w:color w:val="000000" w:themeColor="text1"/>
      <w:kern w:val="28"/>
      <w:sz w:val="52"/>
      <w:szCs w:val="56"/>
    </w:rPr>
  </w:style>
  <w:style w:type="character" w:customStyle="1" w:styleId="TitleChar">
    <w:name w:val="Title Char"/>
    <w:basedOn w:val="DefaultParagraphFont"/>
    <w:link w:val="Title"/>
    <w:uiPriority w:val="1"/>
    <w:rsid w:val="006E2B65"/>
    <w:rPr>
      <w:rFonts w:ascii="Arial" w:eastAsiaTheme="majorEastAsia" w:hAnsi="Arial" w:cs="Times New Roman (Headings CS)"/>
      <w:b/>
      <w:color w:val="000000" w:themeColor="text1"/>
      <w:kern w:val="28"/>
      <w:sz w:val="52"/>
      <w:szCs w:val="56"/>
    </w:rPr>
  </w:style>
  <w:style w:type="paragraph" w:styleId="Subtitle">
    <w:name w:val="Subtitle"/>
    <w:basedOn w:val="Normal"/>
    <w:link w:val="SubtitleChar"/>
    <w:uiPriority w:val="2"/>
    <w:qFormat/>
    <w:rsid w:val="00025344"/>
    <w:pPr>
      <w:numPr>
        <w:ilvl w:val="1"/>
      </w:numPr>
    </w:pPr>
    <w:rPr>
      <w:rFonts w:eastAsiaTheme="minorEastAsia"/>
      <w:color w:val="000000" w:themeColor="text1"/>
      <w:sz w:val="28"/>
    </w:rPr>
  </w:style>
  <w:style w:type="character" w:customStyle="1" w:styleId="SubtitleChar">
    <w:name w:val="Subtitle Char"/>
    <w:basedOn w:val="DefaultParagraphFont"/>
    <w:link w:val="Subtitle"/>
    <w:uiPriority w:val="2"/>
    <w:rsid w:val="00025344"/>
    <w:rPr>
      <w:rFonts w:ascii="Arial" w:eastAsiaTheme="minorEastAsia" w:hAnsi="Arial"/>
      <w:color w:val="000000" w:themeColor="text1"/>
      <w:sz w:val="28"/>
    </w:rPr>
  </w:style>
  <w:style w:type="paragraph" w:styleId="Date">
    <w:name w:val="Date"/>
    <w:basedOn w:val="Normal"/>
    <w:next w:val="Heading1"/>
    <w:link w:val="DateChar"/>
    <w:uiPriority w:val="3"/>
    <w:qFormat/>
    <w:rsid w:val="00025344"/>
    <w:rPr>
      <w:color w:val="000000" w:themeColor="text1"/>
      <w:sz w:val="28"/>
    </w:rPr>
  </w:style>
  <w:style w:type="character" w:customStyle="1" w:styleId="DateChar">
    <w:name w:val="Date Char"/>
    <w:basedOn w:val="DefaultParagraphFont"/>
    <w:link w:val="Date"/>
    <w:uiPriority w:val="3"/>
    <w:rsid w:val="00025344"/>
    <w:rPr>
      <w:rFonts w:ascii="Arial" w:hAnsi="Arial"/>
      <w:color w:val="000000" w:themeColor="text1"/>
      <w:sz w:val="28"/>
    </w:rPr>
  </w:style>
  <w:style w:type="paragraph" w:styleId="Footer">
    <w:name w:val="footer"/>
    <w:basedOn w:val="Normal"/>
    <w:link w:val="FooterChar"/>
    <w:uiPriority w:val="99"/>
    <w:unhideWhenUsed/>
    <w:qFormat/>
    <w:rsid w:val="00EE5651"/>
    <w:pPr>
      <w:spacing w:after="0"/>
    </w:pPr>
    <w:rPr>
      <w:sz w:val="16"/>
    </w:rPr>
  </w:style>
  <w:style w:type="character" w:customStyle="1" w:styleId="FooterChar">
    <w:name w:val="Footer Char"/>
    <w:basedOn w:val="DefaultParagraphFont"/>
    <w:link w:val="Footer"/>
    <w:uiPriority w:val="99"/>
    <w:rsid w:val="00EE5651"/>
    <w:rPr>
      <w:color w:val="auto"/>
      <w:sz w:val="16"/>
    </w:rPr>
  </w:style>
  <w:style w:type="table" w:styleId="TableGrid">
    <w:name w:val="Table Grid"/>
    <w:aliases w:val="Nous Table,Table,NOUS,NOUS Side Header"/>
    <w:basedOn w:val="TableNormal"/>
    <w:uiPriority w:val="39"/>
    <w:rsid w:val="00E7622B"/>
    <w:pPr>
      <w:spacing w:after="0" w:line="240" w:lineRule="auto"/>
    </w:pPr>
    <w:rPr>
      <w:color w:val="000000" w:themeColor="text1"/>
    </w:rPr>
    <w:tblPr>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style>
  <w:style w:type="paragraph" w:styleId="Header">
    <w:name w:val="header"/>
    <w:basedOn w:val="Normal"/>
    <w:link w:val="HeaderChar"/>
    <w:uiPriority w:val="99"/>
    <w:unhideWhenUsed/>
    <w:qFormat/>
    <w:pPr>
      <w:spacing w:after="0"/>
    </w:pPr>
  </w:style>
  <w:style w:type="character" w:customStyle="1" w:styleId="HeaderChar">
    <w:name w:val="Header Char"/>
    <w:basedOn w:val="DefaultParagraphFont"/>
    <w:link w:val="Header"/>
    <w:uiPriority w:val="99"/>
    <w:rPr>
      <w:rFonts w:asciiTheme="minorHAnsi" w:hAnsiTheme="minorHAnsi"/>
      <w:color w:val="000000"/>
    </w:rPr>
  </w:style>
  <w:style w:type="paragraph" w:styleId="Caption">
    <w:name w:val="caption"/>
    <w:basedOn w:val="Normal"/>
    <w:next w:val="Normal"/>
    <w:uiPriority w:val="35"/>
    <w:unhideWhenUsed/>
    <w:qFormat/>
    <w:rsid w:val="009551D9"/>
    <w:pPr>
      <w:spacing w:after="200"/>
    </w:pPr>
    <w:rPr>
      <w:b/>
      <w:iCs/>
      <w:color w:val="000000" w:themeColor="text1"/>
      <w:sz w:val="18"/>
      <w:szCs w:val="18"/>
    </w:rPr>
  </w:style>
  <w:style w:type="character" w:styleId="Emphasis">
    <w:name w:val="Emphasis"/>
    <w:basedOn w:val="DefaultParagraphFont"/>
    <w:uiPriority w:val="20"/>
    <w:unhideWhenUsed/>
    <w:qFormat/>
    <w:rsid w:val="00A27491"/>
    <w:rPr>
      <w:rFonts w:asciiTheme="minorHAnsi" w:hAnsiTheme="minorHAnsi"/>
      <w:i/>
      <w:iCs/>
      <w:caps/>
      <w:smallCaps w:val="0"/>
      <w:color w:val="000000"/>
    </w:rPr>
  </w:style>
  <w:style w:type="character" w:styleId="IntenseEmphasis">
    <w:name w:val="Intense Emphasis"/>
    <w:basedOn w:val="DefaultParagraphFont"/>
    <w:uiPriority w:val="21"/>
    <w:semiHidden/>
    <w:unhideWhenUsed/>
    <w:qFormat/>
    <w:rsid w:val="00094104"/>
    <w:rPr>
      <w:rFonts w:ascii="Arial" w:hAnsi="Arial"/>
      <w:b/>
      <w:iCs/>
      <w:caps/>
      <w:smallCaps w:val="0"/>
      <w:color w:val="000000"/>
    </w:rPr>
  </w:style>
  <w:style w:type="paragraph" w:styleId="IntenseQuote">
    <w:name w:val="Intense Quote"/>
    <w:basedOn w:val="Normal"/>
    <w:next w:val="Normal"/>
    <w:link w:val="IntenseQuoteChar"/>
    <w:uiPriority w:val="30"/>
    <w:unhideWhenUsed/>
    <w:qFormat/>
    <w:rsid w:val="009551D9"/>
    <w:pPr>
      <w:spacing w:before="360" w:after="360"/>
    </w:pPr>
    <w:rPr>
      <w:i/>
      <w:iCs/>
      <w:color w:val="000000" w:themeColor="text1"/>
      <w:sz w:val="28"/>
    </w:rPr>
  </w:style>
  <w:style w:type="character" w:customStyle="1" w:styleId="IntenseQuoteChar">
    <w:name w:val="Intense Quote Char"/>
    <w:basedOn w:val="DefaultParagraphFont"/>
    <w:link w:val="IntenseQuote"/>
    <w:uiPriority w:val="30"/>
    <w:rsid w:val="009551D9"/>
    <w:rPr>
      <w:rFonts w:ascii="Arial" w:hAnsi="Arial"/>
      <w:i/>
      <w:iCs/>
      <w:color w:val="000000" w:themeColor="text1"/>
      <w:sz w:val="28"/>
    </w:rPr>
  </w:style>
  <w:style w:type="character" w:styleId="PlaceholderText">
    <w:name w:val="Placeholder Text"/>
    <w:basedOn w:val="DefaultParagraphFont"/>
    <w:uiPriority w:val="99"/>
    <w:semiHidden/>
    <w:rsid w:val="00EE5651"/>
    <w:rPr>
      <w:rFonts w:asciiTheme="minorHAnsi" w:hAnsiTheme="minorHAnsi"/>
      <w:color w:val="808080"/>
    </w:rPr>
  </w:style>
  <w:style w:type="paragraph" w:styleId="Quote">
    <w:name w:val="Quote"/>
    <w:basedOn w:val="Normal"/>
    <w:next w:val="Normal"/>
    <w:link w:val="QuoteChar"/>
    <w:uiPriority w:val="29"/>
    <w:unhideWhenUsed/>
    <w:qFormat/>
    <w:rsid w:val="009551D9"/>
    <w:rPr>
      <w:i/>
      <w:iCs/>
      <w:color w:val="000000" w:themeColor="text1"/>
      <w:sz w:val="28"/>
    </w:rPr>
  </w:style>
  <w:style w:type="character" w:customStyle="1" w:styleId="QuoteChar">
    <w:name w:val="Quote Char"/>
    <w:basedOn w:val="DefaultParagraphFont"/>
    <w:link w:val="Quote"/>
    <w:uiPriority w:val="29"/>
    <w:rsid w:val="009551D9"/>
    <w:rPr>
      <w:rFonts w:ascii="Arial" w:hAnsi="Arial"/>
      <w:i/>
      <w:iCs/>
      <w:color w:val="000000" w:themeColor="text1"/>
      <w:sz w:val="28"/>
    </w:rPr>
  </w:style>
  <w:style w:type="character" w:styleId="Strong">
    <w:name w:val="Strong"/>
    <w:basedOn w:val="DefaultParagraphFont"/>
    <w:uiPriority w:val="22"/>
    <w:unhideWhenUsed/>
    <w:qFormat/>
    <w:rsid w:val="00094104"/>
    <w:rPr>
      <w:rFonts w:ascii="Arial" w:hAnsi="Arial"/>
      <w:b/>
      <w:bCs/>
      <w:color w:val="000000"/>
    </w:rPr>
  </w:style>
  <w:style w:type="character" w:styleId="SubtleEmphasis">
    <w:name w:val="Subtle Emphasis"/>
    <w:basedOn w:val="DefaultParagraphFont"/>
    <w:uiPriority w:val="19"/>
    <w:semiHidden/>
    <w:unhideWhenUsed/>
    <w:qFormat/>
    <w:rsid w:val="00A27491"/>
    <w:rPr>
      <w:rFonts w:ascii="Arial" w:hAnsi="Arial"/>
      <w:i/>
      <w:iCs/>
      <w:color w:val="000000"/>
    </w:rPr>
  </w:style>
  <w:style w:type="character" w:styleId="SubtleReference">
    <w:name w:val="Subtle Reference"/>
    <w:basedOn w:val="DefaultParagraphFont"/>
    <w:uiPriority w:val="31"/>
    <w:semiHidden/>
    <w:unhideWhenUsed/>
    <w:qFormat/>
    <w:rsid w:val="00094104"/>
    <w:rPr>
      <w:rFonts w:ascii="Arial" w:hAnsi="Arial"/>
      <w:i/>
      <w:caps/>
      <w:smallCaps w:val="0"/>
      <w:color w:val="000000"/>
    </w:rPr>
  </w:style>
  <w:style w:type="paragraph" w:styleId="TOCHeading">
    <w:name w:val="TOC Heading"/>
    <w:basedOn w:val="Heading1"/>
    <w:next w:val="Normal"/>
    <w:uiPriority w:val="39"/>
    <w:unhideWhenUsed/>
    <w:qFormat/>
    <w:rsid w:val="00EE3F42"/>
    <w:pPr>
      <w:ind w:left="3402"/>
      <w:outlineLvl w:val="9"/>
    </w:pPr>
  </w:style>
  <w:style w:type="character" w:customStyle="1" w:styleId="Heading3Char">
    <w:name w:val="Heading 3 Char"/>
    <w:basedOn w:val="DefaultParagraphFont"/>
    <w:link w:val="Heading3"/>
    <w:uiPriority w:val="19"/>
    <w:rsid w:val="009551D9"/>
    <w:rPr>
      <w:rFonts w:ascii="Arial" w:eastAsiaTheme="majorEastAsia" w:hAnsi="Arial" w:cstheme="majorBidi"/>
      <w:b/>
      <w:color w:val="000000" w:themeColor="text1"/>
      <w:sz w:val="22"/>
      <w:szCs w:val="24"/>
    </w:rPr>
  </w:style>
  <w:style w:type="character" w:customStyle="1" w:styleId="Heading4Char">
    <w:name w:val="Heading 4 Char"/>
    <w:basedOn w:val="DefaultParagraphFont"/>
    <w:link w:val="Heading4"/>
    <w:uiPriority w:val="9"/>
    <w:rsid w:val="004D488A"/>
    <w:rPr>
      <w:rFonts w:ascii="Arial" w:eastAsiaTheme="majorEastAsia" w:hAnsi="Arial" w:cstheme="majorBidi"/>
      <w:b/>
      <w:iCs/>
      <w:color w:val="auto"/>
      <w:sz w:val="20"/>
    </w:rPr>
  </w:style>
  <w:style w:type="character" w:customStyle="1" w:styleId="Heading5Char">
    <w:name w:val="Heading 5 Char"/>
    <w:basedOn w:val="DefaultParagraphFont"/>
    <w:link w:val="Heading5"/>
    <w:uiPriority w:val="9"/>
    <w:rsid w:val="004D488A"/>
    <w:rPr>
      <w:rFonts w:ascii="Arial" w:eastAsiaTheme="majorEastAsia" w:hAnsi="Arial" w:cstheme="majorBidi"/>
      <w:b/>
      <w:i/>
      <w:color w:val="auto"/>
      <w:sz w:val="20"/>
    </w:rPr>
  </w:style>
  <w:style w:type="character" w:customStyle="1" w:styleId="Heading6Char">
    <w:name w:val="Heading 6 Char"/>
    <w:basedOn w:val="DefaultParagraphFont"/>
    <w:link w:val="Heading6"/>
    <w:uiPriority w:val="9"/>
    <w:rsid w:val="00A71223"/>
    <w:rPr>
      <w:rFonts w:ascii="Arial" w:eastAsiaTheme="majorEastAsia" w:hAnsi="Arial" w:cstheme="majorBidi"/>
      <w:b/>
      <w:color w:val="000000" w:themeColor="text1"/>
    </w:rPr>
  </w:style>
  <w:style w:type="character" w:customStyle="1" w:styleId="Heading7Char">
    <w:name w:val="Heading 7 Char"/>
    <w:basedOn w:val="DefaultParagraphFont"/>
    <w:link w:val="Heading7"/>
    <w:uiPriority w:val="9"/>
    <w:rsid w:val="00A71223"/>
    <w:rPr>
      <w:rFonts w:ascii="Arial" w:eastAsiaTheme="majorEastAsia" w:hAnsi="Arial" w:cstheme="majorBidi"/>
      <w:b/>
      <w:iCs/>
      <w:color w:val="000000" w:themeColor="text1"/>
      <w:sz w:val="22"/>
      <w:szCs w:val="24"/>
    </w:rPr>
  </w:style>
  <w:style w:type="character" w:customStyle="1" w:styleId="Heading8Char">
    <w:name w:val="Heading 8 Char"/>
    <w:basedOn w:val="DefaultParagraphFont"/>
    <w:link w:val="Heading8"/>
    <w:uiPriority w:val="9"/>
    <w:rsid w:val="00EA064E"/>
    <w:rPr>
      <w:rFonts w:ascii="Arial" w:eastAsiaTheme="majorEastAsia" w:hAnsi="Arial" w:cstheme="majorBidi"/>
      <w:color w:val="000000" w:themeColor="text1"/>
      <w:sz w:val="52"/>
      <w:szCs w:val="21"/>
    </w:rPr>
  </w:style>
  <w:style w:type="character" w:customStyle="1" w:styleId="Heading9Char">
    <w:name w:val="Heading 9 Char"/>
    <w:basedOn w:val="DefaultParagraphFont"/>
    <w:link w:val="Heading9"/>
    <w:uiPriority w:val="9"/>
    <w:rsid w:val="00A532A1"/>
    <w:rPr>
      <w:rFonts w:ascii="Arial" w:eastAsiaTheme="majorEastAsia" w:hAnsi="Arial" w:cstheme="majorBidi"/>
      <w:b/>
      <w:iCs/>
      <w:color w:val="000000" w:themeColor="text1"/>
      <w:szCs w:val="21"/>
    </w:rPr>
  </w:style>
  <w:style w:type="paragraph" w:styleId="ListNumber">
    <w:name w:val="List Number"/>
    <w:basedOn w:val="Normal"/>
    <w:uiPriority w:val="99"/>
    <w:unhideWhenUsed/>
    <w:rsid w:val="006C5403"/>
    <w:pPr>
      <w:numPr>
        <w:numId w:val="6"/>
      </w:numPr>
    </w:pPr>
  </w:style>
  <w:style w:type="paragraph" w:styleId="ListNumber2">
    <w:name w:val="List Number 2"/>
    <w:basedOn w:val="Normal"/>
    <w:uiPriority w:val="99"/>
    <w:unhideWhenUsed/>
    <w:rsid w:val="006C5403"/>
    <w:pPr>
      <w:numPr>
        <w:numId w:val="7"/>
      </w:numPr>
    </w:pPr>
  </w:style>
  <w:style w:type="paragraph" w:styleId="ListParagraph">
    <w:name w:val="List Paragraph"/>
    <w:basedOn w:val="Normal"/>
    <w:uiPriority w:val="34"/>
    <w:unhideWhenUsed/>
    <w:qFormat/>
    <w:rsid w:val="0087473A"/>
    <w:pPr>
      <w:ind w:left="720"/>
      <w:contextualSpacing/>
    </w:pPr>
  </w:style>
  <w:style w:type="paragraph" w:styleId="BalloonText">
    <w:name w:val="Balloon Text"/>
    <w:basedOn w:val="Normal"/>
    <w:link w:val="BalloonTextChar"/>
    <w:uiPriority w:val="99"/>
    <w:semiHidden/>
    <w:unhideWhenUsed/>
    <w:rsid w:val="003C3332"/>
    <w:pPr>
      <w:spacing w:after="0"/>
    </w:pPr>
    <w:rPr>
      <w:rFonts w:cs="Times New Roman"/>
      <w:sz w:val="18"/>
      <w:szCs w:val="18"/>
    </w:rPr>
  </w:style>
  <w:style w:type="numbering" w:customStyle="1" w:styleId="111">
    <w:name w:val="1./1.1."/>
    <w:basedOn w:val="NoList"/>
    <w:uiPriority w:val="99"/>
    <w:rsid w:val="00EA365A"/>
    <w:pPr>
      <w:numPr>
        <w:numId w:val="11"/>
      </w:numPr>
    </w:pPr>
  </w:style>
  <w:style w:type="character" w:customStyle="1" w:styleId="BalloonTextChar">
    <w:name w:val="Balloon Text Char"/>
    <w:basedOn w:val="DefaultParagraphFont"/>
    <w:link w:val="BalloonText"/>
    <w:uiPriority w:val="99"/>
    <w:semiHidden/>
    <w:rsid w:val="003C3332"/>
    <w:rPr>
      <w:rFonts w:ascii="Arial" w:hAnsi="Arial" w:cs="Times New Roman"/>
      <w:color w:val="auto"/>
      <w:sz w:val="18"/>
      <w:szCs w:val="18"/>
    </w:rPr>
  </w:style>
  <w:style w:type="paragraph" w:styleId="List">
    <w:name w:val="List"/>
    <w:basedOn w:val="Normal"/>
    <w:uiPriority w:val="99"/>
    <w:unhideWhenUsed/>
    <w:rsid w:val="006C5403"/>
    <w:pPr>
      <w:numPr>
        <w:numId w:val="12"/>
      </w:numPr>
      <w:tabs>
        <w:tab w:val="left" w:pos="357"/>
      </w:tabs>
    </w:pPr>
  </w:style>
  <w:style w:type="paragraph" w:styleId="ListBullet">
    <w:name w:val="List Bullet"/>
    <w:basedOn w:val="Normal"/>
    <w:uiPriority w:val="99"/>
    <w:unhideWhenUsed/>
    <w:rsid w:val="006C5403"/>
    <w:pPr>
      <w:numPr>
        <w:numId w:val="1"/>
      </w:numPr>
    </w:pPr>
  </w:style>
  <w:style w:type="paragraph" w:styleId="ListBullet2">
    <w:name w:val="List Bullet 2"/>
    <w:basedOn w:val="Normal"/>
    <w:uiPriority w:val="99"/>
    <w:unhideWhenUsed/>
    <w:rsid w:val="006C5403"/>
    <w:pPr>
      <w:numPr>
        <w:numId w:val="2"/>
      </w:numPr>
    </w:pPr>
  </w:style>
  <w:style w:type="paragraph" w:styleId="ListBullet3">
    <w:name w:val="List Bullet 3"/>
    <w:basedOn w:val="Normal"/>
    <w:uiPriority w:val="99"/>
    <w:unhideWhenUsed/>
    <w:rsid w:val="006C5403"/>
    <w:pPr>
      <w:numPr>
        <w:numId w:val="3"/>
      </w:numPr>
    </w:pPr>
  </w:style>
  <w:style w:type="paragraph" w:styleId="ListBullet4">
    <w:name w:val="List Bullet 4"/>
    <w:basedOn w:val="Normal"/>
    <w:uiPriority w:val="99"/>
    <w:unhideWhenUsed/>
    <w:rsid w:val="006C5403"/>
    <w:pPr>
      <w:numPr>
        <w:numId w:val="4"/>
      </w:numPr>
    </w:pPr>
  </w:style>
  <w:style w:type="paragraph" w:styleId="ListBullet5">
    <w:name w:val="List Bullet 5"/>
    <w:basedOn w:val="Normal"/>
    <w:uiPriority w:val="99"/>
    <w:unhideWhenUsed/>
    <w:rsid w:val="006C5403"/>
    <w:pPr>
      <w:numPr>
        <w:numId w:val="5"/>
      </w:numPr>
    </w:pPr>
  </w:style>
  <w:style w:type="paragraph" w:styleId="List2">
    <w:name w:val="List 2"/>
    <w:basedOn w:val="Normal"/>
    <w:uiPriority w:val="99"/>
    <w:unhideWhenUsed/>
    <w:rsid w:val="006C5403"/>
    <w:pPr>
      <w:numPr>
        <w:numId w:val="13"/>
      </w:numPr>
      <w:tabs>
        <w:tab w:val="clear" w:pos="640"/>
        <w:tab w:val="left" w:pos="357"/>
      </w:tabs>
    </w:pPr>
  </w:style>
  <w:style w:type="paragraph" w:styleId="List3">
    <w:name w:val="List 3"/>
    <w:basedOn w:val="Normal"/>
    <w:uiPriority w:val="99"/>
    <w:unhideWhenUsed/>
    <w:rsid w:val="006C5403"/>
    <w:pPr>
      <w:numPr>
        <w:numId w:val="14"/>
      </w:numPr>
      <w:tabs>
        <w:tab w:val="clear" w:pos="923"/>
        <w:tab w:val="left" w:pos="1077"/>
      </w:tabs>
    </w:pPr>
  </w:style>
  <w:style w:type="paragraph" w:styleId="List4">
    <w:name w:val="List 4"/>
    <w:basedOn w:val="Normal"/>
    <w:uiPriority w:val="99"/>
    <w:unhideWhenUsed/>
    <w:rsid w:val="006C5403"/>
    <w:pPr>
      <w:numPr>
        <w:numId w:val="15"/>
      </w:numPr>
      <w:tabs>
        <w:tab w:val="clear" w:pos="1206"/>
        <w:tab w:val="left" w:pos="1440"/>
      </w:tabs>
    </w:pPr>
  </w:style>
  <w:style w:type="paragraph" w:styleId="List5">
    <w:name w:val="List 5"/>
    <w:basedOn w:val="Normal"/>
    <w:uiPriority w:val="99"/>
    <w:unhideWhenUsed/>
    <w:rsid w:val="006C5403"/>
    <w:pPr>
      <w:numPr>
        <w:numId w:val="16"/>
      </w:numPr>
      <w:tabs>
        <w:tab w:val="clear" w:pos="1489"/>
        <w:tab w:val="left" w:pos="1797"/>
      </w:tabs>
    </w:pPr>
  </w:style>
  <w:style w:type="paragraph" w:styleId="ListContinue">
    <w:name w:val="List Continue"/>
    <w:basedOn w:val="Normal"/>
    <w:uiPriority w:val="99"/>
    <w:unhideWhenUsed/>
    <w:rsid w:val="00C655FA"/>
    <w:pPr>
      <w:ind w:left="357"/>
    </w:pPr>
  </w:style>
  <w:style w:type="paragraph" w:styleId="ListContinue2">
    <w:name w:val="List Continue 2"/>
    <w:basedOn w:val="Normal"/>
    <w:uiPriority w:val="99"/>
    <w:unhideWhenUsed/>
    <w:rsid w:val="00C655FA"/>
    <w:pPr>
      <w:ind w:left="720"/>
    </w:pPr>
  </w:style>
  <w:style w:type="paragraph" w:styleId="ListContinue3">
    <w:name w:val="List Continue 3"/>
    <w:basedOn w:val="Normal"/>
    <w:uiPriority w:val="99"/>
    <w:unhideWhenUsed/>
    <w:rsid w:val="00C655FA"/>
    <w:pPr>
      <w:ind w:left="1077"/>
    </w:pPr>
  </w:style>
  <w:style w:type="paragraph" w:styleId="ListContinue4">
    <w:name w:val="List Continue 4"/>
    <w:basedOn w:val="Normal"/>
    <w:uiPriority w:val="99"/>
    <w:unhideWhenUsed/>
    <w:rsid w:val="00C655FA"/>
    <w:pPr>
      <w:ind w:left="1440"/>
    </w:pPr>
  </w:style>
  <w:style w:type="paragraph" w:styleId="ListContinue5">
    <w:name w:val="List Continue 5"/>
    <w:basedOn w:val="Normal"/>
    <w:uiPriority w:val="99"/>
    <w:unhideWhenUsed/>
    <w:rsid w:val="00C655FA"/>
    <w:pPr>
      <w:spacing w:after="120"/>
      <w:ind w:left="1797"/>
    </w:pPr>
  </w:style>
  <w:style w:type="paragraph" w:styleId="ListNumber3">
    <w:name w:val="List Number 3"/>
    <w:basedOn w:val="Normal"/>
    <w:uiPriority w:val="99"/>
    <w:unhideWhenUsed/>
    <w:rsid w:val="006C5403"/>
    <w:pPr>
      <w:numPr>
        <w:numId w:val="8"/>
      </w:numPr>
    </w:pPr>
  </w:style>
  <w:style w:type="paragraph" w:styleId="ListNumber4">
    <w:name w:val="List Number 4"/>
    <w:basedOn w:val="Normal"/>
    <w:uiPriority w:val="99"/>
    <w:unhideWhenUsed/>
    <w:rsid w:val="006C5403"/>
    <w:pPr>
      <w:numPr>
        <w:numId w:val="9"/>
      </w:numPr>
    </w:pPr>
  </w:style>
  <w:style w:type="paragraph" w:styleId="ListNumber5">
    <w:name w:val="List Number 5"/>
    <w:basedOn w:val="Normal"/>
    <w:uiPriority w:val="99"/>
    <w:unhideWhenUsed/>
    <w:rsid w:val="006C5403"/>
    <w:pPr>
      <w:numPr>
        <w:numId w:val="10"/>
      </w:numPr>
    </w:pPr>
  </w:style>
  <w:style w:type="paragraph" w:styleId="Index1">
    <w:name w:val="index 1"/>
    <w:basedOn w:val="Normal"/>
    <w:next w:val="Normal"/>
    <w:autoRedefine/>
    <w:uiPriority w:val="99"/>
    <w:semiHidden/>
    <w:unhideWhenUsed/>
    <w:rsid w:val="003C3332"/>
    <w:pPr>
      <w:spacing w:after="0"/>
      <w:ind w:left="200" w:hanging="200"/>
    </w:pPr>
  </w:style>
  <w:style w:type="paragraph" w:styleId="IndexHeading">
    <w:name w:val="index heading"/>
    <w:basedOn w:val="Normal"/>
    <w:next w:val="Index1"/>
    <w:uiPriority w:val="99"/>
    <w:semiHidden/>
    <w:unhideWhenUsed/>
    <w:rsid w:val="003C3332"/>
    <w:rPr>
      <w:rFonts w:eastAsiaTheme="majorEastAsia" w:cstheme="majorBidi"/>
      <w:b/>
      <w:bCs/>
    </w:rPr>
  </w:style>
  <w:style w:type="character" w:styleId="LineNumber">
    <w:name w:val="line number"/>
    <w:basedOn w:val="DefaultParagraphFont"/>
    <w:uiPriority w:val="99"/>
    <w:semiHidden/>
    <w:unhideWhenUsed/>
    <w:rsid w:val="003C3332"/>
    <w:rPr>
      <w:rFonts w:ascii="Arial" w:hAnsi="Arial"/>
      <w:color w:val="000000"/>
    </w:rPr>
  </w:style>
  <w:style w:type="character" w:styleId="Mention">
    <w:name w:val="Mention"/>
    <w:basedOn w:val="DefaultParagraphFont"/>
    <w:uiPriority w:val="99"/>
    <w:unhideWhenUsed/>
    <w:rsid w:val="003C3332"/>
    <w:rPr>
      <w:rFonts w:ascii="Arial" w:hAnsi="Arial"/>
      <w:color w:val="2B579A"/>
      <w:shd w:val="clear" w:color="auto" w:fill="E1DFDD"/>
    </w:rPr>
  </w:style>
  <w:style w:type="paragraph" w:styleId="MessageHeader">
    <w:name w:val="Message Header"/>
    <w:basedOn w:val="Normal"/>
    <w:link w:val="MessageHeaderChar"/>
    <w:uiPriority w:val="99"/>
    <w:semiHidden/>
    <w:unhideWhenUsed/>
    <w:rsid w:val="003C333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3C3332"/>
    <w:rPr>
      <w:rFonts w:ascii="Arial" w:eastAsiaTheme="majorEastAsia" w:hAnsi="Arial" w:cstheme="majorBidi"/>
      <w:color w:val="auto"/>
      <w:sz w:val="24"/>
      <w:szCs w:val="24"/>
      <w:shd w:val="pct20" w:color="auto" w:fill="auto"/>
    </w:rPr>
  </w:style>
  <w:style w:type="paragraph" w:styleId="NormalWeb">
    <w:name w:val="Normal (Web)"/>
    <w:basedOn w:val="Normal"/>
    <w:uiPriority w:val="99"/>
    <w:semiHidden/>
    <w:unhideWhenUsed/>
    <w:rsid w:val="003C3332"/>
    <w:rPr>
      <w:rFonts w:cs="Times New Roman"/>
      <w:sz w:val="24"/>
      <w:szCs w:val="24"/>
    </w:rPr>
  </w:style>
  <w:style w:type="character" w:styleId="PageNumber">
    <w:name w:val="page number"/>
    <w:basedOn w:val="DefaultParagraphFont"/>
    <w:uiPriority w:val="99"/>
    <w:semiHidden/>
    <w:unhideWhenUsed/>
    <w:rsid w:val="00094104"/>
    <w:rPr>
      <w:rFonts w:ascii="Arial" w:hAnsi="Arial"/>
      <w:color w:val="000000"/>
    </w:rPr>
  </w:style>
  <w:style w:type="character" w:styleId="SmartHyperlink">
    <w:name w:val="Smart Hyperlink"/>
    <w:basedOn w:val="DefaultParagraphFont"/>
    <w:uiPriority w:val="99"/>
    <w:semiHidden/>
    <w:unhideWhenUsed/>
    <w:rsid w:val="00EE5651"/>
    <w:rPr>
      <w:rFonts w:ascii="Calibri" w:hAnsi="Calibri"/>
      <w:color w:val="000000"/>
      <w:u w:val="dotted"/>
    </w:rPr>
  </w:style>
  <w:style w:type="character" w:styleId="SmartLink">
    <w:name w:val="Smart Link"/>
    <w:basedOn w:val="DefaultParagraphFont"/>
    <w:uiPriority w:val="99"/>
    <w:semiHidden/>
    <w:unhideWhenUsed/>
    <w:rsid w:val="00043A15"/>
    <w:rPr>
      <w:rFonts w:ascii="Calibri" w:hAnsi="Calibri"/>
      <w:color w:val="000000" w:themeColor="text1"/>
      <w:u w:val="single"/>
      <w:shd w:val="clear" w:color="auto" w:fill="F3F2F1"/>
    </w:rPr>
  </w:style>
  <w:style w:type="paragraph" w:styleId="TOAHeading">
    <w:name w:val="toa heading"/>
    <w:basedOn w:val="Normal"/>
    <w:next w:val="Normal"/>
    <w:uiPriority w:val="99"/>
    <w:semiHidden/>
    <w:unhideWhenUsed/>
    <w:rsid w:val="003C3332"/>
    <w:pPr>
      <w:spacing w:before="120"/>
    </w:pPr>
    <w:rPr>
      <w:rFonts w:eastAsiaTheme="majorEastAsia" w:cstheme="majorBidi"/>
      <w:b/>
      <w:bCs/>
      <w:sz w:val="24"/>
      <w:szCs w:val="24"/>
    </w:rPr>
  </w:style>
  <w:style w:type="character" w:styleId="UnresolvedMention">
    <w:name w:val="Unresolved Mention"/>
    <w:basedOn w:val="DefaultParagraphFont"/>
    <w:uiPriority w:val="99"/>
    <w:unhideWhenUsed/>
    <w:rsid w:val="00EE5651"/>
    <w:rPr>
      <w:rFonts w:ascii="Calibri" w:hAnsi="Calibri"/>
      <w:color w:val="605E5C"/>
      <w:shd w:val="clear" w:color="auto" w:fill="E1DFDD"/>
    </w:rPr>
  </w:style>
  <w:style w:type="character" w:styleId="Hyperlink">
    <w:name w:val="Hyperlink"/>
    <w:basedOn w:val="DefaultParagraphFont"/>
    <w:uiPriority w:val="99"/>
    <w:unhideWhenUsed/>
    <w:rsid w:val="00043A15"/>
    <w:rPr>
      <w:rFonts w:ascii="Arial" w:hAnsi="Arial"/>
      <w:color w:val="000000" w:themeColor="text1"/>
      <w:u w:val="single"/>
    </w:rPr>
  </w:style>
  <w:style w:type="character" w:styleId="HTMLAcronym">
    <w:name w:val="HTML Acronym"/>
    <w:basedOn w:val="DefaultParagraphFont"/>
    <w:uiPriority w:val="99"/>
    <w:semiHidden/>
    <w:unhideWhenUsed/>
    <w:rsid w:val="003C3332"/>
    <w:rPr>
      <w:rFonts w:ascii="Arial" w:hAnsi="Arial"/>
      <w:color w:val="000000"/>
    </w:rPr>
  </w:style>
  <w:style w:type="paragraph" w:styleId="EnvelopeReturn">
    <w:name w:val="envelope return"/>
    <w:basedOn w:val="Normal"/>
    <w:uiPriority w:val="99"/>
    <w:semiHidden/>
    <w:unhideWhenUsed/>
    <w:rsid w:val="003C3332"/>
    <w:pPr>
      <w:spacing w:after="0"/>
    </w:pPr>
    <w:rPr>
      <w:rFonts w:eastAsiaTheme="majorEastAsia" w:cstheme="majorBidi"/>
      <w:szCs w:val="20"/>
    </w:rPr>
  </w:style>
  <w:style w:type="paragraph" w:styleId="EnvelopeAddress">
    <w:name w:val="envelope address"/>
    <w:basedOn w:val="Normal"/>
    <w:uiPriority w:val="99"/>
    <w:semiHidden/>
    <w:unhideWhenUsed/>
    <w:rsid w:val="00EE5651"/>
    <w:pPr>
      <w:framePr w:w="7920" w:h="1980" w:hRule="exact" w:hSpace="180" w:wrap="auto" w:hAnchor="page" w:xAlign="center" w:yAlign="bottom"/>
      <w:spacing w:after="0"/>
      <w:ind w:left="2880"/>
    </w:pPr>
    <w:rPr>
      <w:rFonts w:eastAsiaTheme="majorEastAsia" w:cstheme="majorBidi"/>
      <w:sz w:val="24"/>
      <w:szCs w:val="24"/>
    </w:rPr>
  </w:style>
  <w:style w:type="character" w:styleId="FollowedHyperlink">
    <w:name w:val="FollowedHyperlink"/>
    <w:basedOn w:val="DefaultParagraphFont"/>
    <w:uiPriority w:val="99"/>
    <w:semiHidden/>
    <w:unhideWhenUsed/>
    <w:rsid w:val="00043A15"/>
    <w:rPr>
      <w:rFonts w:ascii="Arial" w:hAnsi="Arial"/>
      <w:color w:val="000000" w:themeColor="text1"/>
      <w:u w:val="single"/>
    </w:rPr>
  </w:style>
  <w:style w:type="character" w:styleId="EndnoteReference">
    <w:name w:val="endnote reference"/>
    <w:basedOn w:val="DefaultParagraphFont"/>
    <w:uiPriority w:val="99"/>
    <w:semiHidden/>
    <w:unhideWhenUsed/>
    <w:rsid w:val="00EE5651"/>
    <w:rPr>
      <w:rFonts w:asciiTheme="minorHAnsi" w:hAnsiTheme="minorHAnsi"/>
      <w:color w:val="000000"/>
      <w:vertAlign w:val="superscript"/>
    </w:rPr>
  </w:style>
  <w:style w:type="character" w:styleId="CommentReference">
    <w:name w:val="annotation reference"/>
    <w:basedOn w:val="DefaultParagraphFont"/>
    <w:uiPriority w:val="99"/>
    <w:semiHidden/>
    <w:unhideWhenUsed/>
    <w:rsid w:val="00EE5651"/>
    <w:rPr>
      <w:rFonts w:asciiTheme="minorHAnsi" w:hAnsiTheme="minorHAnsi"/>
      <w:color w:val="000000"/>
      <w:sz w:val="16"/>
      <w:szCs w:val="16"/>
    </w:rPr>
  </w:style>
  <w:style w:type="paragraph" w:styleId="BlockText">
    <w:name w:val="Block Text"/>
    <w:basedOn w:val="Normal"/>
    <w:uiPriority w:val="99"/>
    <w:unhideWhenUsed/>
    <w:rsid w:val="000F5404"/>
    <w:pPr>
      <w:pBdr>
        <w:top w:val="single" w:sz="12" w:space="10" w:color="8B96C7"/>
        <w:left w:val="single" w:sz="12" w:space="10" w:color="8B96C7"/>
        <w:bottom w:val="single" w:sz="12" w:space="10" w:color="8B96C7"/>
        <w:right w:val="single" w:sz="12" w:space="30" w:color="8B96C7"/>
      </w:pBdr>
      <w:ind w:left="255" w:right="567"/>
      <w:jc w:val="center"/>
    </w:pPr>
    <w:rPr>
      <w:rFonts w:eastAsiaTheme="minorEastAsia"/>
      <w:i/>
      <w:iCs/>
      <w:color w:val="000000" w:themeColor="text1"/>
    </w:rPr>
  </w:style>
  <w:style w:type="paragraph" w:customStyle="1" w:styleId="NormalTables">
    <w:name w:val="Normal – Tables"/>
    <w:basedOn w:val="Normal"/>
    <w:qFormat/>
    <w:rsid w:val="00780372"/>
    <w:pPr>
      <w:spacing w:before="80" w:after="80"/>
    </w:pPr>
    <w:rPr>
      <w:lang w:val="en-AU"/>
    </w:rPr>
  </w:style>
  <w:style w:type="paragraph" w:customStyle="1" w:styleId="NormalTablesListBullet">
    <w:name w:val="Normal – Tables – List Bullet"/>
    <w:basedOn w:val="NormalTables"/>
    <w:qFormat/>
    <w:rsid w:val="00E3327A"/>
    <w:pPr>
      <w:numPr>
        <w:numId w:val="17"/>
      </w:numPr>
    </w:pPr>
  </w:style>
  <w:style w:type="paragraph" w:customStyle="1" w:styleId="NormalTablesListNumber">
    <w:name w:val="Normal – Tables – List Number"/>
    <w:basedOn w:val="NormalTablesListBullet"/>
    <w:qFormat/>
    <w:rsid w:val="00E3327A"/>
    <w:pPr>
      <w:numPr>
        <w:numId w:val="37"/>
      </w:numPr>
    </w:pPr>
  </w:style>
  <w:style w:type="paragraph" w:customStyle="1" w:styleId="NormalTablesQuote">
    <w:name w:val="Normal – Tables – Quote"/>
    <w:basedOn w:val="NormalTables"/>
    <w:qFormat/>
    <w:rsid w:val="00BB02C6"/>
    <w:rPr>
      <w:rFonts w:eastAsiaTheme="minorEastAsia"/>
      <w:b/>
      <w:color w:val="000000" w:themeColor="text1"/>
      <w:sz w:val="24"/>
      <w:szCs w:val="20"/>
      <w:lang w:eastAsia="en-US"/>
    </w:rPr>
  </w:style>
  <w:style w:type="paragraph" w:styleId="TOC1">
    <w:name w:val="toc 1"/>
    <w:basedOn w:val="Normal"/>
    <w:next w:val="Normal"/>
    <w:autoRedefine/>
    <w:uiPriority w:val="39"/>
    <w:unhideWhenUsed/>
    <w:rsid w:val="00CB645B"/>
    <w:pPr>
      <w:tabs>
        <w:tab w:val="right" w:leader="dot" w:pos="9061"/>
      </w:tabs>
      <w:spacing w:after="100"/>
      <w:ind w:left="3402"/>
    </w:pPr>
    <w:rPr>
      <w:b/>
    </w:rPr>
  </w:style>
  <w:style w:type="paragraph" w:styleId="TOC2">
    <w:name w:val="toc 2"/>
    <w:basedOn w:val="Normal"/>
    <w:next w:val="Normal"/>
    <w:autoRedefine/>
    <w:uiPriority w:val="39"/>
    <w:unhideWhenUsed/>
    <w:rsid w:val="00CF3FAF"/>
    <w:pPr>
      <w:tabs>
        <w:tab w:val="right" w:leader="dot" w:pos="9061"/>
      </w:tabs>
      <w:spacing w:after="100"/>
      <w:ind w:left="3402"/>
    </w:pPr>
  </w:style>
  <w:style w:type="paragraph" w:styleId="TOC3">
    <w:name w:val="toc 3"/>
    <w:basedOn w:val="Normal"/>
    <w:next w:val="Normal"/>
    <w:autoRedefine/>
    <w:uiPriority w:val="39"/>
    <w:unhideWhenUsed/>
    <w:rsid w:val="00EE3F42"/>
    <w:pPr>
      <w:spacing w:after="100"/>
      <w:ind w:left="3799"/>
    </w:pPr>
  </w:style>
  <w:style w:type="paragraph" w:styleId="FootnoteText">
    <w:name w:val="footnote text"/>
    <w:basedOn w:val="Normal"/>
    <w:link w:val="FootnoteTextChar"/>
    <w:uiPriority w:val="99"/>
    <w:unhideWhenUsed/>
    <w:rsid w:val="00F74922"/>
    <w:pPr>
      <w:spacing w:after="0" w:line="240" w:lineRule="auto"/>
    </w:pPr>
    <w:rPr>
      <w:sz w:val="16"/>
      <w:szCs w:val="20"/>
    </w:rPr>
  </w:style>
  <w:style w:type="character" w:customStyle="1" w:styleId="FootnoteTextChar">
    <w:name w:val="Footnote Text Char"/>
    <w:basedOn w:val="DefaultParagraphFont"/>
    <w:link w:val="FootnoteText"/>
    <w:uiPriority w:val="99"/>
    <w:rsid w:val="00F74922"/>
    <w:rPr>
      <w:color w:val="auto"/>
      <w:sz w:val="16"/>
      <w:szCs w:val="20"/>
    </w:rPr>
  </w:style>
  <w:style w:type="character" w:styleId="FootnoteReference">
    <w:name w:val="footnote reference"/>
    <w:basedOn w:val="DefaultParagraphFont"/>
    <w:uiPriority w:val="99"/>
    <w:unhideWhenUsed/>
    <w:rsid w:val="00F74922"/>
    <w:rPr>
      <w:color w:val="000000"/>
      <w:vertAlign w:val="superscript"/>
    </w:rPr>
  </w:style>
  <w:style w:type="numbering" w:customStyle="1" w:styleId="ListNumbers2">
    <w:name w:val="ListNumbers2"/>
    <w:basedOn w:val="NoList"/>
    <w:uiPriority w:val="99"/>
    <w:rsid w:val="009A5C77"/>
    <w:pPr>
      <w:numPr>
        <w:numId w:val="19"/>
      </w:numPr>
    </w:pPr>
  </w:style>
  <w:style w:type="table" w:customStyle="1" w:styleId="TableGrid-Header">
    <w:name w:val="Table Grid - Header"/>
    <w:basedOn w:val="TableNormal"/>
    <w:uiPriority w:val="99"/>
    <w:rsid w:val="000F5404"/>
    <w:pPr>
      <w:spacing w:after="0" w:line="240" w:lineRule="auto"/>
      <w:ind w:left="0" w:firstLine="0"/>
    </w:pPr>
    <w:rPr>
      <w:rFonts w:eastAsiaTheme="minorEastAsia"/>
      <w:color w:val="000000" w:themeColor="text1"/>
      <w:sz w:val="24"/>
      <w:szCs w:val="24"/>
      <w:lang w:val="en-AU" w:eastAsia="en-US"/>
    </w:rPr>
    <w:tblPr>
      <w:tblBorders>
        <w:top w:val="single" w:sz="4" w:space="0" w:color="949494"/>
        <w:bottom w:val="single" w:sz="4" w:space="0" w:color="949494"/>
        <w:insideH w:val="single" w:sz="4" w:space="0" w:color="949494"/>
        <w:insideV w:val="single" w:sz="4" w:space="0" w:color="949494"/>
      </w:tblBorders>
    </w:tblPr>
    <w:tblStylePr w:type="firstRow">
      <w:rPr>
        <w:b/>
      </w:rPr>
      <w:tblPr/>
      <w:tcPr>
        <w:shd w:val="clear" w:color="auto" w:fill="CCD4EB"/>
      </w:tcPr>
    </w:tblStylePr>
  </w:style>
  <w:style w:type="table" w:customStyle="1" w:styleId="TableGridBox">
    <w:name w:val="Table Grid – Box"/>
    <w:basedOn w:val="TableNormal"/>
    <w:uiPriority w:val="99"/>
    <w:rsid w:val="000F5404"/>
    <w:pPr>
      <w:spacing w:after="120" w:line="240" w:lineRule="auto"/>
      <w:ind w:left="0" w:firstLine="0"/>
    </w:pPr>
    <w:rPr>
      <w:rFonts w:ascii="Arial" w:eastAsiaTheme="minorEastAsia" w:hAnsi="Arial"/>
      <w:color w:val="000000" w:themeColor="text1"/>
      <w:sz w:val="20"/>
      <w:szCs w:val="20"/>
      <w:lang w:val="en-AU" w:eastAsia="en-US"/>
    </w:rPr>
    <w:tblPr>
      <w:tblBorders>
        <w:top w:val="single" w:sz="24" w:space="0" w:color="8B96C7"/>
        <w:left w:val="single" w:sz="24" w:space="0" w:color="8B96C7"/>
        <w:bottom w:val="single" w:sz="24" w:space="0" w:color="8B96C7"/>
        <w:right w:val="single" w:sz="24" w:space="0" w:color="8B96C7"/>
        <w:insideH w:val="single" w:sz="24" w:space="0" w:color="8B96C7"/>
        <w:insideV w:val="single" w:sz="24" w:space="0" w:color="8B96C7"/>
      </w:tblBorders>
    </w:tblPr>
    <w:tcPr>
      <w:shd w:val="clear" w:color="auto" w:fill="auto"/>
    </w:tcPr>
    <w:tblStylePr w:type="firstRow">
      <w:rPr>
        <w:rFonts w:ascii="Arial" w:hAnsi="Arial"/>
        <w:b w:val="0"/>
        <w:color w:val="000000" w:themeColor="text1"/>
      </w:rPr>
      <w:tblPr/>
      <w:tcPr>
        <w:tcBorders>
          <w:top w:val="single" w:sz="24" w:space="0" w:color="8B96C7"/>
          <w:left w:val="single" w:sz="24" w:space="0" w:color="8B96C7"/>
          <w:bottom w:val="single" w:sz="24" w:space="0" w:color="8B96C7"/>
          <w:right w:val="single" w:sz="24" w:space="0" w:color="8B96C7"/>
          <w:insideH w:val="single" w:sz="24" w:space="0" w:color="8B96C7"/>
          <w:insideV w:val="single" w:sz="24" w:space="0" w:color="8B96C7"/>
          <w:tl2br w:val="nil"/>
          <w:tr2bl w:val="nil"/>
        </w:tcBorders>
        <w:shd w:val="clear" w:color="auto" w:fill="auto"/>
      </w:tcPr>
    </w:tblStylePr>
    <w:tblStylePr w:type="lastRow">
      <w:rPr>
        <w:i/>
        <w:iCs/>
      </w:rPr>
    </w:tblStylePr>
    <w:tblStylePr w:type="lastCol">
      <w:rPr>
        <w:i/>
        <w:iCs/>
      </w:rPr>
    </w:tblStylePr>
  </w:style>
  <w:style w:type="table" w:customStyle="1" w:styleId="TableGrid-Transparent">
    <w:name w:val="Table Grid - Transparent"/>
    <w:basedOn w:val="TableNormal"/>
    <w:uiPriority w:val="99"/>
    <w:rsid w:val="00FD2088"/>
    <w:pPr>
      <w:spacing w:after="0" w:line="240" w:lineRule="auto"/>
      <w:ind w:left="0" w:firstLine="0"/>
    </w:pPr>
    <w:rPr>
      <w:rFonts w:eastAsiaTheme="minorEastAsia"/>
      <w:color w:val="000000" w:themeColor="text1"/>
      <w:sz w:val="24"/>
      <w:szCs w:val="24"/>
      <w:lang w:val="en-AU" w:eastAsia="en-US"/>
    </w:rPr>
    <w:tblPr/>
  </w:style>
  <w:style w:type="table" w:styleId="PlainTable5">
    <w:name w:val="Plain Table 5"/>
    <w:basedOn w:val="TableNormal"/>
    <w:uiPriority w:val="45"/>
    <w:rsid w:val="00FD208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FD2088"/>
    <w:pPr>
      <w:spacing w:after="0" w:line="240" w:lineRule="auto"/>
    </w:pPr>
    <w:rPr>
      <w:color w:val="000000" w:themeColor="text1"/>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ListBullets">
    <w:name w:val="ListBullets"/>
    <w:uiPriority w:val="99"/>
    <w:rsid w:val="00624526"/>
    <w:pPr>
      <w:numPr>
        <w:numId w:val="21"/>
      </w:numPr>
    </w:pPr>
  </w:style>
  <w:style w:type="numbering" w:customStyle="1" w:styleId="ListNumbers">
    <w:name w:val="ListNumbers"/>
    <w:uiPriority w:val="99"/>
    <w:rsid w:val="00624526"/>
    <w:pPr>
      <w:numPr>
        <w:numId w:val="20"/>
      </w:numPr>
    </w:pPr>
  </w:style>
  <w:style w:type="paragraph" w:styleId="DocumentMap">
    <w:name w:val="Document Map"/>
    <w:basedOn w:val="Normal"/>
    <w:link w:val="DocumentMapChar"/>
    <w:uiPriority w:val="99"/>
    <w:semiHidden/>
    <w:unhideWhenUsed/>
    <w:rsid w:val="00EE5651"/>
    <w:pPr>
      <w:spacing w:after="0" w:line="240" w:lineRule="auto"/>
    </w:pPr>
    <w:rPr>
      <w:sz w:val="26"/>
    </w:rPr>
  </w:style>
  <w:style w:type="character" w:customStyle="1" w:styleId="DocumentMapChar">
    <w:name w:val="Document Map Char"/>
    <w:basedOn w:val="DefaultParagraphFont"/>
    <w:link w:val="DocumentMap"/>
    <w:uiPriority w:val="99"/>
    <w:semiHidden/>
    <w:rsid w:val="00EE5651"/>
    <w:rPr>
      <w:color w:val="auto"/>
    </w:rPr>
  </w:style>
  <w:style w:type="paragraph" w:customStyle="1" w:styleId="NormalTablesListBullet2">
    <w:name w:val="Normal – Tables – List Bullet 2"/>
    <w:basedOn w:val="NormalTablesListBullet"/>
    <w:qFormat/>
    <w:rsid w:val="00E3327A"/>
    <w:pPr>
      <w:numPr>
        <w:numId w:val="22"/>
      </w:numPr>
    </w:pPr>
    <w:rPr>
      <w:rFonts w:eastAsiaTheme="minorEastAsia"/>
      <w:szCs w:val="24"/>
      <w:lang w:eastAsia="en-US"/>
    </w:rPr>
  </w:style>
  <w:style w:type="table" w:styleId="TableGridLight">
    <w:name w:val="Grid Table Light"/>
    <w:basedOn w:val="TableNormal"/>
    <w:uiPriority w:val="40"/>
    <w:rsid w:val="009551D9"/>
    <w:pPr>
      <w:spacing w:after="0" w:line="240" w:lineRule="auto"/>
    </w:pPr>
    <w:rPr>
      <w:color w:val="000000" w:themeColor="text1"/>
    </w:rPr>
    <w:tblPr>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style>
  <w:style w:type="table" w:styleId="PlainTable1">
    <w:name w:val="Plain Table 1"/>
    <w:basedOn w:val="TableNormal"/>
    <w:uiPriority w:val="41"/>
    <w:rsid w:val="00E7622B"/>
    <w:pPr>
      <w:spacing w:after="0" w:line="240" w:lineRule="auto"/>
    </w:pPr>
    <w:rPr>
      <w:color w:val="000000" w:themeColor="text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7622B"/>
    <w:pPr>
      <w:spacing w:after="0" w:line="240" w:lineRule="auto"/>
    </w:pPr>
    <w:rPr>
      <w:color w:val="000000" w:themeColor="text1"/>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7622B"/>
    <w:pPr>
      <w:spacing w:after="0" w:line="240" w:lineRule="auto"/>
    </w:pPr>
    <w:rPr>
      <w:color w:val="000000" w:themeColor="text1"/>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7622B"/>
    <w:pPr>
      <w:spacing w:after="0" w:line="240" w:lineRule="auto"/>
    </w:pPr>
    <w:rPr>
      <w:color w:val="000000" w:themeColor="text1"/>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FD2088"/>
    <w:pPr>
      <w:spacing w:after="0" w:line="240" w:lineRule="auto"/>
    </w:pPr>
    <w:rPr>
      <w:color w:val="000000" w:themeColor="text1"/>
    </w:rPr>
    <w:tblPr>
      <w:tblStyleRowBandSize w:val="1"/>
      <w:tblStyleColBandSize w:val="1"/>
      <w:tblBorders>
        <w:top w:val="single" w:sz="4" w:space="0" w:color="D0D4E8" w:themeColor="accent1" w:themeTint="66"/>
        <w:left w:val="single" w:sz="4" w:space="0" w:color="D0D4E8" w:themeColor="accent1" w:themeTint="66"/>
        <w:bottom w:val="single" w:sz="4" w:space="0" w:color="D0D4E8" w:themeColor="accent1" w:themeTint="66"/>
        <w:right w:val="single" w:sz="4" w:space="0" w:color="D0D4E8" w:themeColor="accent1" w:themeTint="66"/>
        <w:insideH w:val="single" w:sz="4" w:space="0" w:color="D0D4E8" w:themeColor="accent1" w:themeTint="66"/>
        <w:insideV w:val="single" w:sz="4" w:space="0" w:color="D0D4E8" w:themeColor="accent1" w:themeTint="66"/>
      </w:tblBorders>
    </w:tblPr>
    <w:tblStylePr w:type="firstRow">
      <w:rPr>
        <w:b/>
        <w:bCs/>
      </w:rPr>
      <w:tblPr/>
      <w:tcPr>
        <w:tcBorders>
          <w:bottom w:val="single" w:sz="12" w:space="0" w:color="B8BFDC" w:themeColor="accent1" w:themeTint="99"/>
        </w:tcBorders>
      </w:tcPr>
    </w:tblStylePr>
    <w:tblStylePr w:type="lastRow">
      <w:rPr>
        <w:b/>
        <w:bCs/>
      </w:rPr>
      <w:tblPr/>
      <w:tcPr>
        <w:tcBorders>
          <w:top w:val="double" w:sz="2" w:space="0" w:color="B8BFDC"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D2088"/>
    <w:pPr>
      <w:spacing w:after="0" w:line="240" w:lineRule="auto"/>
    </w:pPr>
    <w:tblPr>
      <w:tblStyleRowBandSize w:val="1"/>
      <w:tblStyleColBandSize w:val="1"/>
      <w:tblBorders>
        <w:top w:val="single" w:sz="4" w:space="0" w:color="7DEDFF" w:themeColor="accent3" w:themeTint="66"/>
        <w:left w:val="single" w:sz="4" w:space="0" w:color="7DEDFF" w:themeColor="accent3" w:themeTint="66"/>
        <w:bottom w:val="single" w:sz="4" w:space="0" w:color="7DEDFF" w:themeColor="accent3" w:themeTint="66"/>
        <w:right w:val="single" w:sz="4" w:space="0" w:color="7DEDFF" w:themeColor="accent3" w:themeTint="66"/>
        <w:insideH w:val="single" w:sz="4" w:space="0" w:color="7DEDFF" w:themeColor="accent3" w:themeTint="66"/>
        <w:insideV w:val="single" w:sz="4" w:space="0" w:color="7DEDFF" w:themeColor="accent3" w:themeTint="66"/>
      </w:tblBorders>
    </w:tblPr>
    <w:tblStylePr w:type="firstRow">
      <w:rPr>
        <w:b/>
        <w:bCs/>
      </w:rPr>
      <w:tblPr/>
      <w:tcPr>
        <w:tcBorders>
          <w:bottom w:val="single" w:sz="12" w:space="0" w:color="3DE4FF" w:themeColor="accent3" w:themeTint="99"/>
        </w:tcBorders>
      </w:tcPr>
    </w:tblStylePr>
    <w:tblStylePr w:type="lastRow">
      <w:rPr>
        <w:b/>
        <w:bCs/>
      </w:rPr>
      <w:tblPr/>
      <w:tcPr>
        <w:tcBorders>
          <w:top w:val="double" w:sz="2" w:space="0" w:color="3DE4FF" w:themeColor="accent3" w:themeTint="99"/>
        </w:tcBorders>
      </w:tcPr>
    </w:tblStylePr>
    <w:tblStylePr w:type="firstCol">
      <w:rPr>
        <w:b/>
        <w:bCs/>
      </w:rPr>
    </w:tblStylePr>
    <w:tblStylePr w:type="lastCol">
      <w:rPr>
        <w:b/>
        <w:bCs/>
      </w:rPr>
    </w:tblStylePr>
  </w:style>
  <w:style w:type="paragraph" w:customStyle="1" w:styleId="Bullet">
    <w:name w:val="Bullet"/>
    <w:basedOn w:val="Normal"/>
    <w:link w:val="BulletChar"/>
    <w:uiPriority w:val="2"/>
    <w:qFormat/>
    <w:rsid w:val="00B3582F"/>
    <w:pPr>
      <w:numPr>
        <w:numId w:val="24"/>
      </w:numPr>
      <w:suppressAutoHyphens/>
      <w:spacing w:after="60" w:line="257" w:lineRule="auto"/>
    </w:pPr>
    <w:rPr>
      <w:rFonts w:eastAsia="Times New Roman" w:cs="Times New Roman"/>
      <w:color w:val="000000" w:themeColor="text1"/>
      <w:szCs w:val="19"/>
      <w:lang w:val="en-AU" w:eastAsia="en-AU"/>
    </w:rPr>
  </w:style>
  <w:style w:type="character" w:customStyle="1" w:styleId="BulletChar">
    <w:name w:val="Bullet Char"/>
    <w:basedOn w:val="DefaultParagraphFont"/>
    <w:link w:val="Bullet"/>
    <w:uiPriority w:val="2"/>
    <w:rsid w:val="00B3582F"/>
    <w:rPr>
      <w:rFonts w:ascii="Arial" w:eastAsia="Times New Roman" w:hAnsi="Arial" w:cs="Times New Roman"/>
      <w:color w:val="000000" w:themeColor="text1"/>
      <w:sz w:val="20"/>
      <w:szCs w:val="19"/>
      <w:lang w:val="en-AU" w:eastAsia="en-AU"/>
    </w:rPr>
  </w:style>
  <w:style w:type="paragraph" w:styleId="CommentText">
    <w:name w:val="annotation text"/>
    <w:basedOn w:val="Normal"/>
    <w:link w:val="CommentTextChar"/>
    <w:uiPriority w:val="99"/>
    <w:unhideWhenUsed/>
    <w:rsid w:val="00B3582F"/>
    <w:pPr>
      <w:spacing w:line="240" w:lineRule="auto"/>
    </w:pPr>
    <w:rPr>
      <w:color w:val="000000" w:themeColor="text1"/>
      <w:szCs w:val="20"/>
      <w:lang w:val="en-AU" w:eastAsia="en-US"/>
    </w:rPr>
  </w:style>
  <w:style w:type="character" w:customStyle="1" w:styleId="CommentTextChar">
    <w:name w:val="Comment Text Char"/>
    <w:basedOn w:val="DefaultParagraphFont"/>
    <w:link w:val="CommentText"/>
    <w:uiPriority w:val="99"/>
    <w:rsid w:val="00B3582F"/>
    <w:rPr>
      <w:rFonts w:ascii="Arial" w:hAnsi="Arial"/>
      <w:color w:val="000000" w:themeColor="text1"/>
      <w:sz w:val="20"/>
      <w:szCs w:val="20"/>
      <w:lang w:val="en-AU" w:eastAsia="en-US"/>
    </w:rPr>
  </w:style>
  <w:style w:type="paragraph" w:styleId="CommentSubject">
    <w:name w:val="annotation subject"/>
    <w:basedOn w:val="CommentText"/>
    <w:next w:val="CommentText"/>
    <w:link w:val="CommentSubjectChar"/>
    <w:uiPriority w:val="99"/>
    <w:semiHidden/>
    <w:unhideWhenUsed/>
    <w:rsid w:val="00015B64"/>
    <w:rPr>
      <w:b/>
      <w:bCs/>
      <w:color w:val="auto"/>
      <w:lang w:val="en-US" w:eastAsia="ja-JP"/>
    </w:rPr>
  </w:style>
  <w:style w:type="character" w:customStyle="1" w:styleId="CommentSubjectChar">
    <w:name w:val="Comment Subject Char"/>
    <w:basedOn w:val="CommentTextChar"/>
    <w:link w:val="CommentSubject"/>
    <w:uiPriority w:val="99"/>
    <w:semiHidden/>
    <w:rsid w:val="00015B64"/>
    <w:rPr>
      <w:rFonts w:ascii="Arial" w:hAnsi="Arial"/>
      <w:b/>
      <w:bCs/>
      <w:color w:val="auto"/>
      <w:sz w:val="20"/>
      <w:szCs w:val="20"/>
      <w:lang w:val="en-AU" w:eastAsia="en-US"/>
    </w:rPr>
  </w:style>
  <w:style w:type="table" w:customStyle="1" w:styleId="NousTableTopandside">
    <w:name w:val="Nous Table_Top and side"/>
    <w:basedOn w:val="TableNormal"/>
    <w:uiPriority w:val="99"/>
    <w:rsid w:val="00216937"/>
    <w:pPr>
      <w:spacing w:after="0" w:line="240" w:lineRule="auto"/>
      <w:ind w:left="0" w:firstLine="0"/>
    </w:pPr>
    <w:rPr>
      <w:color w:val="auto"/>
      <w:sz w:val="22"/>
      <w:szCs w:val="22"/>
      <w:lang w:eastAsia="en-US"/>
    </w:rPr>
    <w:tblPr>
      <w:tblBorders>
        <w:insideH w:val="single" w:sz="8" w:space="0" w:color="F9F9F9"/>
      </w:tblBorders>
      <w:tblCellMar>
        <w:top w:w="57" w:type="dxa"/>
        <w:left w:w="85" w:type="dxa"/>
        <w:bottom w:w="57" w:type="dxa"/>
        <w:right w:w="85" w:type="dxa"/>
      </w:tblCellMar>
    </w:tblPr>
    <w:tblStylePr w:type="firstRow">
      <w:pPr>
        <w:jc w:val="left"/>
      </w:pPr>
      <w:rPr>
        <w:rFonts w:ascii="Yu Gothic Medium" w:hAnsi="Yu Gothic Medium"/>
        <w:b w:val="0"/>
        <w:color w:val="CAD5DA"/>
        <w:sz w:val="18"/>
      </w:rPr>
      <w:tblPr/>
      <w:tcPr>
        <w:tcBorders>
          <w:top w:val="single" w:sz="24" w:space="0" w:color="7961AA"/>
          <w:insideV w:val="single" w:sz="8" w:space="0" w:color="FFFFFF"/>
        </w:tcBorders>
        <w:shd w:val="clear" w:color="auto" w:fill="CAD5DA"/>
        <w:vAlign w:val="center"/>
      </w:tcPr>
    </w:tblStylePr>
    <w:tblStylePr w:type="firstCol">
      <w:pPr>
        <w:jc w:val="left"/>
      </w:pPr>
      <w:rPr>
        <w:rFonts w:ascii="Yu Gothic Medium" w:hAnsi="Yu Gothic Medium"/>
        <w:b w:val="0"/>
        <w:color w:val="CAD5DA"/>
        <w:sz w:val="18"/>
      </w:rPr>
      <w:tblPr/>
      <w:tcPr>
        <w:tcBorders>
          <w:left w:val="nil"/>
        </w:tcBorders>
        <w:shd w:val="clear" w:color="auto" w:fill="CAD5DA"/>
      </w:tcPr>
    </w:tblStylePr>
  </w:style>
  <w:style w:type="table" w:customStyle="1" w:styleId="NOUSSideHeader1">
    <w:name w:val="NOUS Side Header1"/>
    <w:basedOn w:val="TableNormal"/>
    <w:next w:val="TableGrid"/>
    <w:uiPriority w:val="39"/>
    <w:rsid w:val="00D45895"/>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Yu Gothic Medium" w:hAnsi="Yu Gothic Medium"/>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SimSun-ExtB" w:hAnsi="@SimSun-ExtB"/>
        <w:sz w:val="17"/>
      </w:rPr>
    </w:tblStylePr>
    <w:tblStylePr w:type="band2Horz">
      <w:rPr>
        <w:rFonts w:ascii="@SimSun-ExtB" w:hAnsi="@SimSun-ExtB"/>
        <w:sz w:val="17"/>
      </w:rPr>
    </w:tblStylePr>
  </w:style>
  <w:style w:type="numbering" w:customStyle="1" w:styleId="TableexpListnumberedmultilevel">
    <w:name w:val="Table exp List (numbered) multilevel"/>
    <w:uiPriority w:val="99"/>
    <w:rsid w:val="00D45895"/>
    <w:pPr>
      <w:numPr>
        <w:numId w:val="26"/>
      </w:numPr>
    </w:pPr>
  </w:style>
  <w:style w:type="table" w:customStyle="1" w:styleId="NOUSSideHeader2">
    <w:name w:val="NOUS Side Header2"/>
    <w:basedOn w:val="TableNormal"/>
    <w:next w:val="TableGrid"/>
    <w:uiPriority w:val="39"/>
    <w:rsid w:val="00C233CA"/>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Yu Gothic Medium" w:hAnsi="Yu Gothic Medium"/>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SimSun-ExtB" w:hAnsi="@SimSun-ExtB"/>
        <w:sz w:val="17"/>
      </w:rPr>
    </w:tblStylePr>
    <w:tblStylePr w:type="band2Horz">
      <w:rPr>
        <w:rFonts w:ascii="@SimSun-ExtB" w:hAnsi="@SimSun-ExtB"/>
        <w:sz w:val="17"/>
      </w:rPr>
    </w:tblStylePr>
  </w:style>
  <w:style w:type="table" w:customStyle="1" w:styleId="NousTableSide">
    <w:name w:val="Nous Table_Side"/>
    <w:basedOn w:val="TableNormal"/>
    <w:uiPriority w:val="99"/>
    <w:rsid w:val="00C233CA"/>
    <w:pPr>
      <w:spacing w:after="0" w:line="240" w:lineRule="auto"/>
      <w:ind w:left="0" w:firstLine="0"/>
    </w:pPr>
    <w:rPr>
      <w:rFonts w:ascii="Segoe UI" w:hAnsi="Segoe UI"/>
      <w:color w:val="auto"/>
      <w:sz w:val="17"/>
      <w:szCs w:val="22"/>
      <w:lang w:eastAsia="en-US"/>
    </w:rPr>
    <w:tblPr>
      <w:tblBorders>
        <w:top w:val="single" w:sz="8" w:space="0" w:color="CAD5DA"/>
        <w:bottom w:val="single" w:sz="8" w:space="0" w:color="CAD5DA"/>
        <w:insideH w:val="single" w:sz="8" w:space="0" w:color="CAD5DA"/>
      </w:tblBorders>
      <w:tblCellMar>
        <w:top w:w="57" w:type="dxa"/>
        <w:left w:w="85" w:type="dxa"/>
        <w:bottom w:w="57" w:type="dxa"/>
        <w:right w:w="85" w:type="dxa"/>
      </w:tblCellMar>
    </w:tblPr>
    <w:tblStylePr w:type="firstCol">
      <w:pPr>
        <w:jc w:val="left"/>
      </w:pPr>
      <w:rPr>
        <w:rFonts w:ascii="Yu Gothic Medium" w:hAnsi="Yu Gothic Medium"/>
        <w:b w:val="0"/>
        <w:color w:val="CAD5DA"/>
        <w:sz w:val="17"/>
      </w:rPr>
      <w:tblPr/>
      <w:tcPr>
        <w:tcBorders>
          <w:top w:val="single" w:sz="12" w:space="0" w:color="FFFFFF"/>
          <w:left w:val="single" w:sz="18" w:space="0" w:color="7961AA"/>
          <w:bottom w:val="single" w:sz="12" w:space="0" w:color="FFFFFF"/>
          <w:right w:val="single" w:sz="12" w:space="0" w:color="FFFFFF"/>
          <w:insideH w:val="single" w:sz="12" w:space="0" w:color="FFFFFF"/>
          <w:insideV w:val="single" w:sz="12" w:space="0" w:color="FFFFFF"/>
          <w:tl2br w:val="nil"/>
          <w:tr2bl w:val="nil"/>
        </w:tcBorders>
        <w:shd w:val="clear" w:color="auto" w:fill="CAD5DA"/>
      </w:tcPr>
    </w:tblStylePr>
  </w:style>
  <w:style w:type="table" w:customStyle="1" w:styleId="NOUSSideHeader3">
    <w:name w:val="NOUS Side Header3"/>
    <w:basedOn w:val="TableNormal"/>
    <w:next w:val="TableGrid"/>
    <w:uiPriority w:val="39"/>
    <w:rsid w:val="00EF7F01"/>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Yu Gothic Medium" w:hAnsi="Yu Gothic Medium"/>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SimSun-ExtB" w:hAnsi="@SimSun-ExtB"/>
        <w:sz w:val="17"/>
      </w:rPr>
    </w:tblStylePr>
    <w:tblStylePr w:type="band2Horz">
      <w:rPr>
        <w:rFonts w:ascii="@SimSun-ExtB" w:hAnsi="@SimSun-ExtB"/>
        <w:sz w:val="17"/>
      </w:rPr>
    </w:tblStylePr>
  </w:style>
  <w:style w:type="table" w:customStyle="1" w:styleId="NOUSSideHeader4">
    <w:name w:val="NOUS Side Header4"/>
    <w:basedOn w:val="TableNormal"/>
    <w:next w:val="TableGrid"/>
    <w:uiPriority w:val="39"/>
    <w:rsid w:val="006A0D14"/>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Yu Gothic Medium" w:hAnsi="Yu Gothic Medium"/>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SimSun-ExtB" w:hAnsi="@SimSun-ExtB"/>
        <w:sz w:val="17"/>
      </w:rPr>
    </w:tblStylePr>
    <w:tblStylePr w:type="band2Horz">
      <w:rPr>
        <w:rFonts w:ascii="@SimSun-ExtB" w:hAnsi="@SimSun-ExtB"/>
        <w:sz w:val="17"/>
      </w:rPr>
    </w:tblStylePr>
  </w:style>
  <w:style w:type="table" w:customStyle="1" w:styleId="NOUSSideHeader41">
    <w:name w:val="NOUS Side Header41"/>
    <w:basedOn w:val="TableNormal"/>
    <w:next w:val="TableGrid"/>
    <w:uiPriority w:val="39"/>
    <w:rsid w:val="0047041F"/>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Yu Gothic Medium" w:hAnsi="Yu Gothic Medium"/>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SimSun-ExtB" w:hAnsi="@SimSun-ExtB"/>
        <w:sz w:val="17"/>
      </w:rPr>
    </w:tblStylePr>
    <w:tblStylePr w:type="band2Horz">
      <w:rPr>
        <w:rFonts w:ascii="@SimSun-ExtB" w:hAnsi="@SimSun-ExtB"/>
        <w:sz w:val="17"/>
      </w:rPr>
    </w:tblStylePr>
  </w:style>
  <w:style w:type="paragraph" w:styleId="Revision">
    <w:name w:val="Revision"/>
    <w:hidden/>
    <w:uiPriority w:val="99"/>
    <w:semiHidden/>
    <w:rsid w:val="00450F4E"/>
    <w:pPr>
      <w:spacing w:after="0" w:line="240" w:lineRule="auto"/>
      <w:ind w:left="0" w:firstLine="0"/>
    </w:pPr>
    <w:rPr>
      <w:rFonts w:ascii="Arial" w:hAnsi="Arial"/>
      <w:color w:val="auto"/>
      <w:sz w:val="20"/>
    </w:rPr>
  </w:style>
  <w:style w:type="table" w:customStyle="1" w:styleId="NOUSSideHeader5">
    <w:name w:val="NOUS Side Header5"/>
    <w:basedOn w:val="TableNormal"/>
    <w:next w:val="TableGrid"/>
    <w:uiPriority w:val="39"/>
    <w:rsid w:val="007F0BF3"/>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Webdings" w:hAnsi="Webdings"/>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Webdings" w:hAnsi="Webdings"/>
        <w:sz w:val="17"/>
      </w:rPr>
    </w:tblStylePr>
    <w:tblStylePr w:type="band2Horz">
      <w:rPr>
        <w:rFonts w:ascii="Webdings" w:hAnsi="Webdings"/>
        <w:sz w:val="17"/>
      </w:rPr>
    </w:tblStylePr>
  </w:style>
  <w:style w:type="paragraph" w:customStyle="1" w:styleId="longformcalloutnumber">
    <w:name w:val="long form callout number"/>
    <w:basedOn w:val="Normal"/>
    <w:uiPriority w:val="20"/>
    <w:qFormat/>
    <w:rsid w:val="007F0BF3"/>
    <w:pPr>
      <w:numPr>
        <w:numId w:val="28"/>
      </w:numPr>
      <w:tabs>
        <w:tab w:val="num" w:pos="360"/>
      </w:tabs>
      <w:spacing w:before="60" w:after="60" w:line="240" w:lineRule="auto"/>
    </w:pPr>
    <w:rPr>
      <w:b/>
      <w:color w:val="8BA3AE"/>
      <w:szCs w:val="19"/>
      <w:lang w:val="en-AU" w:eastAsia="en-AU"/>
    </w:rPr>
  </w:style>
  <w:style w:type="paragraph" w:customStyle="1" w:styleId="TableexpListnumbered">
    <w:name w:val="Table exp List (numbered)"/>
    <w:basedOn w:val="Normal"/>
    <w:uiPriority w:val="3"/>
    <w:qFormat/>
    <w:rsid w:val="00C64CEF"/>
    <w:pPr>
      <w:spacing w:before="60" w:after="60" w:line="257" w:lineRule="auto"/>
      <w:ind w:left="227" w:hanging="227"/>
    </w:pPr>
    <w:rPr>
      <w:color w:val="000000" w:themeColor="text1"/>
      <w:sz w:val="16"/>
      <w:szCs w:val="22"/>
      <w:lang w:val="en-AU" w:eastAsia="en-US"/>
    </w:rPr>
  </w:style>
  <w:style w:type="table" w:customStyle="1" w:styleId="NOUSSideHeader6">
    <w:name w:val="NOUS Side Header6"/>
    <w:basedOn w:val="TableNormal"/>
    <w:next w:val="TableGrid"/>
    <w:uiPriority w:val="39"/>
    <w:rsid w:val="00995269"/>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Webdings" w:hAnsi="Webdings"/>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Webdings" w:hAnsi="Webdings"/>
        <w:sz w:val="17"/>
      </w:rPr>
    </w:tblStylePr>
    <w:tblStylePr w:type="band2Horz">
      <w:rPr>
        <w:rFonts w:ascii="Webdings" w:hAnsi="Webdings"/>
        <w:sz w:val="17"/>
      </w:rPr>
    </w:tblStylePr>
  </w:style>
  <w:style w:type="table" w:customStyle="1" w:styleId="NOUSSideHeader7">
    <w:name w:val="NOUS Side Header7"/>
    <w:basedOn w:val="TableNormal"/>
    <w:next w:val="TableGrid"/>
    <w:uiPriority w:val="39"/>
    <w:rsid w:val="00D9198C"/>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Webdings" w:hAnsi="Webdings"/>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Webdings" w:hAnsi="Webdings"/>
        <w:sz w:val="17"/>
      </w:rPr>
    </w:tblStylePr>
    <w:tblStylePr w:type="band2Horz">
      <w:rPr>
        <w:rFonts w:ascii="Webdings" w:hAnsi="Webdings"/>
        <w:sz w:val="17"/>
      </w:rPr>
    </w:tblStylePr>
  </w:style>
  <w:style w:type="paragraph" w:customStyle="1" w:styleId="TableNBullet">
    <w:name w:val="Table N Bullet"/>
    <w:basedOn w:val="Normal"/>
    <w:link w:val="TableNBulletChar"/>
    <w:uiPriority w:val="2"/>
    <w:qFormat/>
    <w:rsid w:val="00036B2B"/>
    <w:pPr>
      <w:numPr>
        <w:numId w:val="29"/>
      </w:numPr>
      <w:suppressAutoHyphens/>
      <w:spacing w:before="60" w:after="60" w:line="257" w:lineRule="auto"/>
    </w:pPr>
    <w:rPr>
      <w:rFonts w:eastAsia="Times New Roman" w:cs="Times New Roman"/>
      <w:color w:val="000000" w:themeColor="text1"/>
      <w:sz w:val="17"/>
      <w:szCs w:val="19"/>
      <w:lang w:val="en-AU" w:eastAsia="en-AU"/>
    </w:rPr>
  </w:style>
  <w:style w:type="character" w:customStyle="1" w:styleId="TableNBulletChar">
    <w:name w:val="Table N Bullet Char"/>
    <w:basedOn w:val="DefaultParagraphFont"/>
    <w:link w:val="TableNBullet"/>
    <w:uiPriority w:val="2"/>
    <w:rsid w:val="00036B2B"/>
    <w:rPr>
      <w:rFonts w:ascii="Arial" w:eastAsia="Times New Roman" w:hAnsi="Arial" w:cs="Times New Roman"/>
      <w:color w:val="000000" w:themeColor="text1"/>
      <w:sz w:val="17"/>
      <w:szCs w:val="19"/>
      <w:lang w:val="en-AU" w:eastAsia="en-AU"/>
    </w:rPr>
  </w:style>
  <w:style w:type="paragraph" w:customStyle="1" w:styleId="TableExpbullet">
    <w:name w:val="Table Exp bullet"/>
    <w:basedOn w:val="Normal"/>
    <w:uiPriority w:val="3"/>
    <w:qFormat/>
    <w:rsid w:val="00036B2B"/>
    <w:pPr>
      <w:spacing w:before="60" w:after="60" w:line="257" w:lineRule="auto"/>
      <w:ind w:left="227" w:hanging="227"/>
    </w:pPr>
    <w:rPr>
      <w:color w:val="000000" w:themeColor="text1"/>
      <w:sz w:val="16"/>
      <w:szCs w:val="22"/>
      <w:lang w:val="en-AU" w:eastAsia="en-US"/>
    </w:rPr>
  </w:style>
  <w:style w:type="paragraph" w:styleId="EndnoteText">
    <w:name w:val="endnote text"/>
    <w:basedOn w:val="Normal"/>
    <w:link w:val="EndnoteTextChar"/>
    <w:uiPriority w:val="99"/>
    <w:unhideWhenUsed/>
    <w:rsid w:val="00DB11BD"/>
    <w:pPr>
      <w:spacing w:after="0" w:line="240" w:lineRule="auto"/>
    </w:pPr>
    <w:rPr>
      <w:szCs w:val="20"/>
    </w:rPr>
  </w:style>
  <w:style w:type="character" w:customStyle="1" w:styleId="EndnoteTextChar">
    <w:name w:val="Endnote Text Char"/>
    <w:basedOn w:val="DefaultParagraphFont"/>
    <w:link w:val="EndnoteText"/>
    <w:uiPriority w:val="99"/>
    <w:rsid w:val="00DB11BD"/>
    <w:rPr>
      <w:rFonts w:ascii="Arial" w:hAnsi="Arial"/>
      <w:color w:val="auto"/>
      <w:sz w:val="20"/>
      <w:szCs w:val="20"/>
    </w:rPr>
  </w:style>
  <w:style w:type="paragraph" w:customStyle="1" w:styleId="TableNListnumbered">
    <w:name w:val="Table N List (numbered)"/>
    <w:basedOn w:val="TableNBullet"/>
    <w:uiPriority w:val="2"/>
    <w:qFormat/>
    <w:rsid w:val="004F1BDD"/>
    <w:pPr>
      <w:numPr>
        <w:numId w:val="30"/>
      </w:numPr>
    </w:pPr>
  </w:style>
  <w:style w:type="numbering" w:customStyle="1" w:styleId="TableNListnumberedmultilevel">
    <w:name w:val="Table N List (numbered) multilevel"/>
    <w:uiPriority w:val="99"/>
    <w:rsid w:val="004F1BDD"/>
    <w:pPr>
      <w:numPr>
        <w:numId w:val="30"/>
      </w:numPr>
    </w:pPr>
  </w:style>
  <w:style w:type="paragraph" w:customStyle="1" w:styleId="TableNheader">
    <w:name w:val="Table N header"/>
    <w:basedOn w:val="Normal"/>
    <w:uiPriority w:val="2"/>
    <w:qFormat/>
    <w:rsid w:val="009717D8"/>
    <w:pPr>
      <w:spacing w:before="40" w:after="40" w:line="240" w:lineRule="auto"/>
    </w:pPr>
    <w:rPr>
      <w:b/>
      <w:color w:val="000000" w:themeColor="text1"/>
      <w:szCs w:val="22"/>
      <w:lang w:val="en-AU" w:eastAsia="en-US"/>
    </w:rPr>
  </w:style>
  <w:style w:type="table" w:customStyle="1" w:styleId="NOUSSideHeader21">
    <w:name w:val="NOUS Side Header21"/>
    <w:basedOn w:val="TableNormal"/>
    <w:next w:val="TableGrid"/>
    <w:uiPriority w:val="39"/>
    <w:rsid w:val="00C840C4"/>
    <w:pPr>
      <w:spacing w:after="0" w:line="240" w:lineRule="auto"/>
    </w:pPr>
    <w:rPr>
      <w:color w:val="000000"/>
    </w:rPr>
    <w:tblPr>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634937">
      <w:bodyDiv w:val="1"/>
      <w:marLeft w:val="0"/>
      <w:marRight w:val="0"/>
      <w:marTop w:val="0"/>
      <w:marBottom w:val="0"/>
      <w:divBdr>
        <w:top w:val="none" w:sz="0" w:space="0" w:color="auto"/>
        <w:left w:val="none" w:sz="0" w:space="0" w:color="auto"/>
        <w:bottom w:val="none" w:sz="0" w:space="0" w:color="auto"/>
        <w:right w:val="none" w:sz="0" w:space="0" w:color="auto"/>
      </w:divBdr>
    </w:div>
    <w:div w:id="291446194">
      <w:bodyDiv w:val="1"/>
      <w:marLeft w:val="0"/>
      <w:marRight w:val="0"/>
      <w:marTop w:val="0"/>
      <w:marBottom w:val="0"/>
      <w:divBdr>
        <w:top w:val="none" w:sz="0" w:space="0" w:color="auto"/>
        <w:left w:val="none" w:sz="0" w:space="0" w:color="auto"/>
        <w:bottom w:val="none" w:sz="0" w:space="0" w:color="auto"/>
        <w:right w:val="none" w:sz="0" w:space="0" w:color="auto"/>
      </w:divBdr>
    </w:div>
    <w:div w:id="320282177">
      <w:bodyDiv w:val="1"/>
      <w:marLeft w:val="0"/>
      <w:marRight w:val="0"/>
      <w:marTop w:val="0"/>
      <w:marBottom w:val="0"/>
      <w:divBdr>
        <w:top w:val="none" w:sz="0" w:space="0" w:color="auto"/>
        <w:left w:val="none" w:sz="0" w:space="0" w:color="auto"/>
        <w:bottom w:val="none" w:sz="0" w:space="0" w:color="auto"/>
        <w:right w:val="none" w:sz="0" w:space="0" w:color="auto"/>
      </w:divBdr>
    </w:div>
    <w:div w:id="394548211">
      <w:bodyDiv w:val="1"/>
      <w:marLeft w:val="0"/>
      <w:marRight w:val="0"/>
      <w:marTop w:val="0"/>
      <w:marBottom w:val="0"/>
      <w:divBdr>
        <w:top w:val="none" w:sz="0" w:space="0" w:color="auto"/>
        <w:left w:val="none" w:sz="0" w:space="0" w:color="auto"/>
        <w:bottom w:val="none" w:sz="0" w:space="0" w:color="auto"/>
        <w:right w:val="none" w:sz="0" w:space="0" w:color="auto"/>
      </w:divBdr>
    </w:div>
    <w:div w:id="423648433">
      <w:bodyDiv w:val="1"/>
      <w:marLeft w:val="0"/>
      <w:marRight w:val="0"/>
      <w:marTop w:val="0"/>
      <w:marBottom w:val="0"/>
      <w:divBdr>
        <w:top w:val="none" w:sz="0" w:space="0" w:color="auto"/>
        <w:left w:val="none" w:sz="0" w:space="0" w:color="auto"/>
        <w:bottom w:val="none" w:sz="0" w:space="0" w:color="auto"/>
        <w:right w:val="none" w:sz="0" w:space="0" w:color="auto"/>
      </w:divBdr>
    </w:div>
    <w:div w:id="473105592">
      <w:bodyDiv w:val="1"/>
      <w:marLeft w:val="0"/>
      <w:marRight w:val="0"/>
      <w:marTop w:val="0"/>
      <w:marBottom w:val="0"/>
      <w:divBdr>
        <w:top w:val="none" w:sz="0" w:space="0" w:color="auto"/>
        <w:left w:val="none" w:sz="0" w:space="0" w:color="auto"/>
        <w:bottom w:val="none" w:sz="0" w:space="0" w:color="auto"/>
        <w:right w:val="none" w:sz="0" w:space="0" w:color="auto"/>
      </w:divBdr>
    </w:div>
    <w:div w:id="613562938">
      <w:bodyDiv w:val="1"/>
      <w:marLeft w:val="0"/>
      <w:marRight w:val="0"/>
      <w:marTop w:val="0"/>
      <w:marBottom w:val="0"/>
      <w:divBdr>
        <w:top w:val="none" w:sz="0" w:space="0" w:color="auto"/>
        <w:left w:val="none" w:sz="0" w:space="0" w:color="auto"/>
        <w:bottom w:val="none" w:sz="0" w:space="0" w:color="auto"/>
        <w:right w:val="none" w:sz="0" w:space="0" w:color="auto"/>
      </w:divBdr>
    </w:div>
    <w:div w:id="620261008">
      <w:bodyDiv w:val="1"/>
      <w:marLeft w:val="0"/>
      <w:marRight w:val="0"/>
      <w:marTop w:val="0"/>
      <w:marBottom w:val="0"/>
      <w:divBdr>
        <w:top w:val="none" w:sz="0" w:space="0" w:color="auto"/>
        <w:left w:val="none" w:sz="0" w:space="0" w:color="auto"/>
        <w:bottom w:val="none" w:sz="0" w:space="0" w:color="auto"/>
        <w:right w:val="none" w:sz="0" w:space="0" w:color="auto"/>
      </w:divBdr>
    </w:div>
    <w:div w:id="883519476">
      <w:bodyDiv w:val="1"/>
      <w:marLeft w:val="0"/>
      <w:marRight w:val="0"/>
      <w:marTop w:val="0"/>
      <w:marBottom w:val="0"/>
      <w:divBdr>
        <w:top w:val="none" w:sz="0" w:space="0" w:color="auto"/>
        <w:left w:val="none" w:sz="0" w:space="0" w:color="auto"/>
        <w:bottom w:val="none" w:sz="0" w:space="0" w:color="auto"/>
        <w:right w:val="none" w:sz="0" w:space="0" w:color="auto"/>
      </w:divBdr>
    </w:div>
    <w:div w:id="938412422">
      <w:bodyDiv w:val="1"/>
      <w:marLeft w:val="0"/>
      <w:marRight w:val="0"/>
      <w:marTop w:val="0"/>
      <w:marBottom w:val="0"/>
      <w:divBdr>
        <w:top w:val="none" w:sz="0" w:space="0" w:color="auto"/>
        <w:left w:val="none" w:sz="0" w:space="0" w:color="auto"/>
        <w:bottom w:val="none" w:sz="0" w:space="0" w:color="auto"/>
        <w:right w:val="none" w:sz="0" w:space="0" w:color="auto"/>
      </w:divBdr>
    </w:div>
    <w:div w:id="1443064432">
      <w:bodyDiv w:val="1"/>
      <w:marLeft w:val="0"/>
      <w:marRight w:val="0"/>
      <w:marTop w:val="0"/>
      <w:marBottom w:val="0"/>
      <w:divBdr>
        <w:top w:val="none" w:sz="0" w:space="0" w:color="auto"/>
        <w:left w:val="none" w:sz="0" w:space="0" w:color="auto"/>
        <w:bottom w:val="none" w:sz="0" w:space="0" w:color="auto"/>
        <w:right w:val="none" w:sz="0" w:space="0" w:color="auto"/>
      </w:divBdr>
    </w:div>
    <w:div w:id="1532497016">
      <w:bodyDiv w:val="1"/>
      <w:marLeft w:val="0"/>
      <w:marRight w:val="0"/>
      <w:marTop w:val="0"/>
      <w:marBottom w:val="0"/>
      <w:divBdr>
        <w:top w:val="none" w:sz="0" w:space="0" w:color="auto"/>
        <w:left w:val="none" w:sz="0" w:space="0" w:color="auto"/>
        <w:bottom w:val="none" w:sz="0" w:space="0" w:color="auto"/>
        <w:right w:val="none" w:sz="0" w:space="0" w:color="auto"/>
      </w:divBdr>
    </w:div>
    <w:div w:id="1685786696">
      <w:bodyDiv w:val="1"/>
      <w:marLeft w:val="0"/>
      <w:marRight w:val="0"/>
      <w:marTop w:val="0"/>
      <w:marBottom w:val="0"/>
      <w:divBdr>
        <w:top w:val="none" w:sz="0" w:space="0" w:color="auto"/>
        <w:left w:val="none" w:sz="0" w:space="0" w:color="auto"/>
        <w:bottom w:val="none" w:sz="0" w:space="0" w:color="auto"/>
        <w:right w:val="none" w:sz="0" w:space="0" w:color="auto"/>
      </w:divBdr>
    </w:div>
    <w:div w:id="1749306509">
      <w:bodyDiv w:val="1"/>
      <w:marLeft w:val="0"/>
      <w:marRight w:val="0"/>
      <w:marTop w:val="0"/>
      <w:marBottom w:val="0"/>
      <w:divBdr>
        <w:top w:val="none" w:sz="0" w:space="0" w:color="auto"/>
        <w:left w:val="none" w:sz="0" w:space="0" w:color="auto"/>
        <w:bottom w:val="none" w:sz="0" w:space="0" w:color="auto"/>
        <w:right w:val="none" w:sz="0" w:space="0" w:color="auto"/>
      </w:divBdr>
    </w:div>
    <w:div w:id="1856990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education.vic.gov.au/training/providers/funding/Pages/fundedcourses.aspx?Redirect=1"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cver.edu.au/research-and-statistics/publications/all-publications/total-vet-students-and-courses-2020" TargetMode="External"/></Relationships>
</file>

<file path=word/_rels/endnotes.xml.rels><?xml version="1.0" encoding="UTF-8" standalone="yes"?>
<Relationships xmlns="http://schemas.openxmlformats.org/package/2006/relationships"><Relationship Id="rId13" Type="http://schemas.openxmlformats.org/officeDocument/2006/relationships/hyperlink" Target="https://www.vic.gov.au/sites/default/files/2021-06/Sector-Snapshot-Real-Estate-sector-November-2020-1.pdf" TargetMode="External"/><Relationship Id="rId18" Type="http://schemas.openxmlformats.org/officeDocument/2006/relationships/hyperlink" Target="https://www.afr.com/property/residential/freedom-frenzy-drives-record-victorian-regional-price-rises-20220125-p59r48" TargetMode="External"/><Relationship Id="rId26" Type="http://schemas.openxmlformats.org/officeDocument/2006/relationships/hyperlink" Target="https://engage.vic.gov.au/review-real-estate-education-regulations" TargetMode="External"/><Relationship Id="rId39" Type="http://schemas.openxmlformats.org/officeDocument/2006/relationships/hyperlink" Target="https://apo.org.au/sites/default/files/resource-files/2017-02/apo-nid74060.pdf" TargetMode="External"/><Relationship Id="rId21" Type="http://schemas.openxmlformats.org/officeDocument/2006/relationships/hyperlink" Target="https://www.vic.gov.au/sites/default/files/2021-06/Sector-Snapshot-Real-Estate-sector-November-2020-1.pdf" TargetMode="External"/><Relationship Id="rId34" Type="http://schemas.openxmlformats.org/officeDocument/2006/relationships/hyperlink" Target="https://geelongaustralia.com.au/armstrongcreek/armstrong/article/item/8cfafd49ea31e3f.aspx" TargetMode="External"/><Relationship Id="rId42" Type="http://schemas.openxmlformats.org/officeDocument/2006/relationships/hyperlink" Target="https://www.vba.vic.gov.au/cladding" TargetMode="External"/><Relationship Id="rId47" Type="http://schemas.openxmlformats.org/officeDocument/2006/relationships/hyperlink" Target="https://www.mla.com.au/globalassets/mla-corporate/prices--markets/documents/trends--analysis/cattle-projections/feb2021-mla-australian-cattle-industry-projections.pdf" TargetMode="External"/><Relationship Id="rId50" Type="http://schemas.openxmlformats.org/officeDocument/2006/relationships/hyperlink" Target="https://www.abs.gov.au/statistics/labour/employment-and-unemployment/labour-force-australia-detailed/feb-2022" TargetMode="External"/><Relationship Id="rId55" Type="http://schemas.openxmlformats.org/officeDocument/2006/relationships/hyperlink" Target="https://www.vic.gov.au/sites/default/files/2021-06/Sector-Snapshot-Real-Estate-sector-November-2020-1.pdf" TargetMode="External"/><Relationship Id="rId63" Type="http://schemas.openxmlformats.org/officeDocument/2006/relationships/hyperlink" Target="https://www.myskills.gov.au/courses/details?Code=BSB40320" TargetMode="External"/><Relationship Id="rId7" Type="http://schemas.openxmlformats.org/officeDocument/2006/relationships/hyperlink" Target="https://www.abs.gov.au/statistics/labour/employment-and-unemployment/labour-force-australia-detailed/feb-2022" TargetMode="External"/><Relationship Id="rId2" Type="http://schemas.openxmlformats.org/officeDocument/2006/relationships/hyperlink" Target="https://www.abs.gov.au/statistics/labour/employment-and-unemployment/labour-force-australia-detailed/feb-2022" TargetMode="External"/><Relationship Id="rId16" Type="http://schemas.openxmlformats.org/officeDocument/2006/relationships/hyperlink" Target="https://www.planning.vic.gov.au/__data/assets/pdf_file/0032/332996/Victoria_in_Future_2019.pdf" TargetMode="External"/><Relationship Id="rId29" Type="http://schemas.openxmlformats.org/officeDocument/2006/relationships/hyperlink" Target="https://www.dffh.vic.gov.au/publications/rental-report" TargetMode="External"/><Relationship Id="rId11" Type="http://schemas.openxmlformats.org/officeDocument/2006/relationships/hyperlink" Target="https://www.realestate.com.au/news/victorias-256-trillion-real-estate-market/" TargetMode="External"/><Relationship Id="rId24" Type="http://schemas.openxmlformats.org/officeDocument/2006/relationships/hyperlink" Target="https://www.afr.com/policy/economy/rate-hike-expectations-firmly-in-2022-but-how-high-can-they-go-20220215-p59wkx" TargetMode="External"/><Relationship Id="rId32" Type="http://schemas.openxmlformats.org/officeDocument/2006/relationships/hyperlink" Target="https://reiv.com.au/policy-resources/latest-news/victorian-real-estate-market-closes-2021-on-a-high" TargetMode="External"/><Relationship Id="rId37" Type="http://schemas.openxmlformats.org/officeDocument/2006/relationships/hyperlink" Target="https://www.planning.vic.gov.au/__data/assets/pdf_file/0032/332996/Victoria_in_Future_2019.pdf" TargetMode="External"/><Relationship Id="rId40" Type="http://schemas.openxmlformats.org/officeDocument/2006/relationships/hyperlink" Target="https://www.vic.gov.au/sites/default/files/2021-06/Sector-Snapshot-Real-Estate-sector-November-2020-1.pdf" TargetMode="External"/><Relationship Id="rId45" Type="http://schemas.openxmlformats.org/officeDocument/2006/relationships/hyperlink" Target="https://www.news.com.au/travel/travel-advice/money/the-great-summer-australian-roadtrip-struggling-as-car-rental-prices-soar/news-story/29eb27c9054ce6b624d4c8f17ff00ca7" TargetMode="External"/><Relationship Id="rId53" Type="http://schemas.openxmlformats.org/officeDocument/2006/relationships/hyperlink" Target="https://www.nationalskillscommission.gov.au/topics/skills-priority-list" TargetMode="External"/><Relationship Id="rId58" Type="http://schemas.openxmlformats.org/officeDocument/2006/relationships/hyperlink" Target="https://www.education.vic.gov.au/training/providers/funding/Pages/fundedcourses.aspx?Redirect=1" TargetMode="External"/><Relationship Id="rId5" Type="http://schemas.openxmlformats.org/officeDocument/2006/relationships/hyperlink" Target="https://www.dese.gov.au/higher-education-statistics/student-data/selected-higher-education-statistics-2019-student-data" TargetMode="External"/><Relationship Id="rId61" Type="http://schemas.openxmlformats.org/officeDocument/2006/relationships/hyperlink" Target="https://www.dese.gov.au/higher-education-statistics/student-data/selected-higher-education-statistics-2019-student-data" TargetMode="External"/><Relationship Id="rId19" Type="http://schemas.openxmlformats.org/officeDocument/2006/relationships/hyperlink" Target="https://www.vic.gov.au/sites/default/files/2021-06/Sector-Snapshot-Real-Estate-sector-November-2020-1.pdf" TargetMode="External"/><Relationship Id="rId14" Type="http://schemas.openxmlformats.org/officeDocument/2006/relationships/hyperlink" Target="https://propertyupdate.com.au/the-latest-median-property-prices-in-australias-major-cities/" TargetMode="External"/><Relationship Id="rId22" Type="http://schemas.openxmlformats.org/officeDocument/2006/relationships/hyperlink" Target="https://www.abs.gov.au/statistics/labour/employment-and-unemployment/labour-force-australia-detailed/feb-2022" TargetMode="External"/><Relationship Id="rId27" Type="http://schemas.openxmlformats.org/officeDocument/2006/relationships/hyperlink" Target="https://www.theage.com.au/property/news/blight-on-the-industry-victorian-property-underquoting-laws-set-for-review-20220211-p59vr1.html" TargetMode="External"/><Relationship Id="rId30" Type="http://schemas.openxmlformats.org/officeDocument/2006/relationships/hyperlink" Target="https://www.9news.com.au/national/australia-what-will-happen-to-property-prices-when-interest-rates-rise/352c25ac-50a9-4c6e-b4fd-bfcde307c815" TargetMode="External"/><Relationship Id="rId35" Type="http://schemas.openxmlformats.org/officeDocument/2006/relationships/hyperlink" Target="https://www.integragroup.com.au/post/thriving-community-of-lucas-set-to-grow" TargetMode="External"/><Relationship Id="rId43" Type="http://schemas.openxmlformats.org/officeDocument/2006/relationships/hyperlink" Target="https://apo.org.au/sites/default/files/resource-files/2017-02/apo-nid74060.pdf" TargetMode="External"/><Relationship Id="rId48" Type="http://schemas.openxmlformats.org/officeDocument/2006/relationships/hyperlink" Target="https://www.abc.net.au/news/2021-11-20/november-rains-push-cattle-prices-higher/100633980" TargetMode="External"/><Relationship Id="rId56" Type="http://schemas.openxmlformats.org/officeDocument/2006/relationships/hyperlink" Target="https://www.ncver.edu.au/research-and-statistics/publications/all-publications/total-vet-students-and-courses-2020" TargetMode="External"/><Relationship Id="rId64" Type="http://schemas.openxmlformats.org/officeDocument/2006/relationships/hyperlink" Target="https://www.vic.gov.au/sites/default/files/2021-06/Sector-Snapshot-Real-Estate-sector-November-2020-1.pdf" TargetMode="External"/><Relationship Id="rId8" Type="http://schemas.openxmlformats.org/officeDocument/2006/relationships/hyperlink" Target="https://nationalindustryinsights.aisc.net.au/industries/property-services" TargetMode="External"/><Relationship Id="rId51" Type="http://schemas.openxmlformats.org/officeDocument/2006/relationships/hyperlink" Target="https://www.nationalskillscommission.gov.au/reports/australian-jobs-2021/emerging-occupations" TargetMode="External"/><Relationship Id="rId3" Type="http://schemas.openxmlformats.org/officeDocument/2006/relationships/hyperlink" Target="https://www.abs.gov.au/statistics/labour/employment-and-unemployment/labour-force-australia-detailed/feb-2022" TargetMode="External"/><Relationship Id="rId12" Type="http://schemas.openxmlformats.org/officeDocument/2006/relationships/hyperlink" Target="https://www.realestate.com.au/news/victorias-256-trillion-real-estate-market/" TargetMode="External"/><Relationship Id="rId17" Type="http://schemas.openxmlformats.org/officeDocument/2006/relationships/hyperlink" Target="https://www.abs.gov.au/statistics/people/population/regional-internal-migration-estimates-provisional/latest-release" TargetMode="External"/><Relationship Id="rId25" Type="http://schemas.openxmlformats.org/officeDocument/2006/relationships/hyperlink" Target="https://www.consumer.vic.gov.au/housing/renting/changes-to-renting-laws/guide-to-rental-law-changes" TargetMode="External"/><Relationship Id="rId33" Type="http://schemas.openxmlformats.org/officeDocument/2006/relationships/hyperlink" Target="https://media.ruralcouncilsvictoria.org.au/wp-content/uploads/2021/05/27134328/RCV-Demographic-Destiny-Report-26-May-2021.pdf" TargetMode="External"/><Relationship Id="rId38" Type="http://schemas.openxmlformats.org/officeDocument/2006/relationships/hyperlink" Target="https://www.smh.com.au/business/companies/the-five-day-office-week-is-dead-long-live-the-hybrid-model-says-productivity-boss-20210706-p587d4.html" TargetMode="External"/><Relationship Id="rId46" Type="http://schemas.openxmlformats.org/officeDocument/2006/relationships/hyperlink" Target="https://www.mla.com.au/globalassets/mla-corporate/prices--markets/documents/trends--analysis/cattle-projections/feb2021-mla-australian-cattle-industry-projections.pdf" TargetMode="External"/><Relationship Id="rId59" Type="http://schemas.openxmlformats.org/officeDocument/2006/relationships/hyperlink" Target="https://www.education.vic.gov.au/training/providers/funding/Pages/fundedcourses.aspx?Redirect=1" TargetMode="External"/><Relationship Id="rId20" Type="http://schemas.openxmlformats.org/officeDocument/2006/relationships/hyperlink" Target="https://www.realestate.com.au/news/melbourne-rental-market-renters-fresh-struggle-as-conditions-shift/" TargetMode="External"/><Relationship Id="rId41" Type="http://schemas.openxmlformats.org/officeDocument/2006/relationships/hyperlink" Target="https://www.vba.vic.gov.au/cladding" TargetMode="External"/><Relationship Id="rId54" Type="http://schemas.openxmlformats.org/officeDocument/2006/relationships/hyperlink" Target="https://www.vic.gov.au/sites/default/files/2021-06/Sector-Snapshot-Real-Estate-sector-November-2020-1.pdf" TargetMode="External"/><Relationship Id="rId62" Type="http://schemas.openxmlformats.org/officeDocument/2006/relationships/hyperlink" Target="https://www.dese.gov.au/higher-education-statistics/student-data/selected-higher-education-statistics-2019-student-data" TargetMode="External"/><Relationship Id="rId1" Type="http://schemas.openxmlformats.org/officeDocument/2006/relationships/hyperlink" Target="https://www.abs.gov.au/ausstats/abs@.nsf/Previousproducts/0875AD322082E937CA25711F00146E43?opendocument" TargetMode="External"/><Relationship Id="rId6" Type="http://schemas.openxmlformats.org/officeDocument/2006/relationships/hyperlink" Target="https://www.ncver.edu.au/research-and-statistics/publications/all-publications/total-vet-students-and-courses-2020" TargetMode="External"/><Relationship Id="rId15" Type="http://schemas.openxmlformats.org/officeDocument/2006/relationships/hyperlink" Target="https://www.vic.gov.au/sites/default/files/2021-06/Sector-Snapshot-Real-Estate-sector-November-2020-1.pdf" TargetMode="External"/><Relationship Id="rId23" Type="http://schemas.openxmlformats.org/officeDocument/2006/relationships/hyperlink" Target="https://pestleanalysis.com/pestel-framework/" TargetMode="External"/><Relationship Id="rId28" Type="http://schemas.openxmlformats.org/officeDocument/2006/relationships/hyperlink" Target="https://www.rba.gov.au/chart-pack/household-sector.html" TargetMode="External"/><Relationship Id="rId36" Type="http://schemas.openxmlformats.org/officeDocument/2006/relationships/hyperlink" Target="https://www.bendigo.vic.gov.au/sites/default/files/2018-01/Greater%20Bendigo%20Housing%20Strategy%20Adopted%20Jan%202018.pdf" TargetMode="External"/><Relationship Id="rId49" Type="http://schemas.openxmlformats.org/officeDocument/2006/relationships/hyperlink" Target="https://www.abs.gov.au/statistics/labour/employment-and-unemployment/labour-force-australia-detailed/feb-2022" TargetMode="External"/><Relationship Id="rId57" Type="http://schemas.openxmlformats.org/officeDocument/2006/relationships/hyperlink" Target="https://www.dese.gov.au/higher-education-statistics/student-data/selected-higher-education-statistics-2019-student-data" TargetMode="External"/><Relationship Id="rId10" Type="http://schemas.openxmlformats.org/officeDocument/2006/relationships/hyperlink" Target="https://www.vic.gov.au/sites/default/files/2021-06/Sector-Snapshot-Real-Estate-sector-November-2020-1.pdf" TargetMode="External"/><Relationship Id="rId31" Type="http://schemas.openxmlformats.org/officeDocument/2006/relationships/hyperlink" Target="https://www.ausbanking.org.au/data/" TargetMode="External"/><Relationship Id="rId44" Type="http://schemas.openxmlformats.org/officeDocument/2006/relationships/hyperlink" Target="https://www.news.com.au/travel/travel-advice/money/the-great-summer-australian-roadtrip-struggling-as-car-rental-prices-soar/news-story/29eb27c9054ce6b624d4c8f17ff00ca7" TargetMode="External"/><Relationship Id="rId52" Type="http://schemas.openxmlformats.org/officeDocument/2006/relationships/hyperlink" Target="https://www.nationalskillscommission.gov.au/reports/australian-jobs-2021/emerging-occupations" TargetMode="External"/><Relationship Id="rId60" Type="http://schemas.openxmlformats.org/officeDocument/2006/relationships/hyperlink" Target="https://www.nationalskillscommission.gov.au/topics/skills-priority-list" TargetMode="External"/><Relationship Id="rId4" Type="http://schemas.openxmlformats.org/officeDocument/2006/relationships/hyperlink" Target="https://www.ncver.edu.au/research-and-statistics/publications/all-publications/total-vet-students-and-courses-2020" TargetMode="External"/><Relationship Id="rId9" Type="http://schemas.openxmlformats.org/officeDocument/2006/relationships/hyperlink" Target="https://www.abs.gov.au/ausstats/abs@.nsf/Previousproducts/0875AD322082E937CA25711F00146E43?opendocu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vsp3">
  <a:themeElements>
    <a:clrScheme name="VSP3">
      <a:dk1>
        <a:srgbClr val="000000"/>
      </a:dk1>
      <a:lt1>
        <a:srgbClr val="FFFFFF"/>
      </a:lt1>
      <a:dk2>
        <a:srgbClr val="8B96C6"/>
      </a:dk2>
      <a:lt2>
        <a:srgbClr val="CAD5DA"/>
      </a:lt2>
      <a:accent1>
        <a:srgbClr val="8A95C6"/>
      </a:accent1>
      <a:accent2>
        <a:srgbClr val="0066CC"/>
      </a:accent2>
      <a:accent3>
        <a:srgbClr val="00A2BB"/>
      </a:accent3>
      <a:accent4>
        <a:srgbClr val="66CC99"/>
      </a:accent4>
      <a:accent5>
        <a:srgbClr val="DEE787"/>
      </a:accent5>
      <a:accent6>
        <a:srgbClr val="FFCC66"/>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vsp3" id="{5B2F5D73-F4E3-D74D-BA71-355C780DC6BA}" vid="{0FD3EB6E-6F9E-5F4A-AADA-BFDCEBCE453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588D2D78AA0D46AB4349BDBD51C850" ma:contentTypeVersion="10" ma:contentTypeDescription="Create a new document." ma:contentTypeScope="" ma:versionID="d9f0fdb363c4ff3e3eddfe021ecb0b52">
  <xsd:schema xmlns:xsd="http://www.w3.org/2001/XMLSchema" xmlns:xs="http://www.w3.org/2001/XMLSchema" xmlns:p="http://schemas.microsoft.com/office/2006/metadata/properties" xmlns:ns2="39e505dd-6941-495a-8bc0-05377cfb5de2" xmlns:ns3="801828e8-0558-4d05-883f-23074c970427" targetNamespace="http://schemas.microsoft.com/office/2006/metadata/properties" ma:root="true" ma:fieldsID="3ca59252e0721a25bb62a00ced7c0a70" ns2:_="" ns3:_="">
    <xsd:import namespace="39e505dd-6941-495a-8bc0-05377cfb5de2"/>
    <xsd:import namespace="801828e8-0558-4d05-883f-23074c9704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e505dd-6941-495a-8bc0-05377cfb5d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1828e8-0558-4d05-883f-23074c9704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801828e8-0558-4d05-883f-23074c970427">
      <UserInfo>
        <DisplayName>Craig Robertson</DisplayName>
        <AccountId>41</AccountId>
        <AccountType/>
      </UserInfo>
      <UserInfo>
        <DisplayName>Victoria Gell</DisplayName>
        <AccountId>12</AccountId>
        <AccountType/>
      </UserInfo>
      <UserInfo>
        <DisplayName>Erwin Lagura</DisplayName>
        <AccountId>40</AccountId>
        <AccountType/>
      </UserInfo>
      <UserInfo>
        <DisplayName>Koreena Tulio</DisplayName>
        <AccountId>129</AccountId>
        <AccountType/>
      </UserInfo>
    </SharedWithUsers>
  </documentManagement>
</p:properties>
</file>

<file path=customXml/itemProps1.xml><?xml version="1.0" encoding="utf-8"?>
<ds:datastoreItem xmlns:ds="http://schemas.openxmlformats.org/officeDocument/2006/customXml" ds:itemID="{7F3BB646-EEC5-4983-AA96-74CF37B583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e505dd-6941-495a-8bc0-05377cfb5de2"/>
    <ds:schemaRef ds:uri="801828e8-0558-4d05-883f-23074c9704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DFA7A4-F3B7-4F6B-9A01-3129762727BC}">
  <ds:schemaRefs>
    <ds:schemaRef ds:uri="http://schemas.microsoft.com/sharepoint/v3/contenttype/forms"/>
  </ds:schemaRefs>
</ds:datastoreItem>
</file>

<file path=customXml/itemProps3.xml><?xml version="1.0" encoding="utf-8"?>
<ds:datastoreItem xmlns:ds="http://schemas.openxmlformats.org/officeDocument/2006/customXml" ds:itemID="{35ED6C7D-3F4B-224E-87DF-6D0149E77458}">
  <ds:schemaRefs>
    <ds:schemaRef ds:uri="http://schemas.openxmlformats.org/officeDocument/2006/bibliography"/>
  </ds:schemaRefs>
</ds:datastoreItem>
</file>

<file path=customXml/itemProps4.xml><?xml version="1.0" encoding="utf-8"?>
<ds:datastoreItem xmlns:ds="http://schemas.openxmlformats.org/officeDocument/2006/customXml" ds:itemID="{063BE605-6F95-4B1B-91E3-BBAAC4DE3016}">
  <ds:schemaRefs>
    <ds:schemaRef ds:uri="http://schemas.openxmlformats.org/package/2006/metadata/core-properties"/>
    <ds:schemaRef ds:uri="http://schemas.microsoft.com/office/2006/metadata/properties"/>
    <ds:schemaRef ds:uri="http://purl.org/dc/dcmitype/"/>
    <ds:schemaRef ds:uri="39e505dd-6941-495a-8bc0-05377cfb5de2"/>
    <ds:schemaRef ds:uri="http://schemas.microsoft.com/office/2006/documentManagement/types"/>
    <ds:schemaRef ds:uri="http://purl.org/dc/terms/"/>
    <ds:schemaRef ds:uri="http://schemas.microsoft.com/office/infopath/2007/PartnerControls"/>
    <ds:schemaRef ds:uri="801828e8-0558-4d05-883f-23074c970427"/>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31</Pages>
  <Words>9020</Words>
  <Characters>51417</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60317</CharactersWithSpaces>
  <SharedDoc>false</SharedDoc>
  <HLinks>
    <vt:vector size="474" baseType="variant">
      <vt:variant>
        <vt:i4>6750243</vt:i4>
      </vt:variant>
      <vt:variant>
        <vt:i4>129</vt:i4>
      </vt:variant>
      <vt:variant>
        <vt:i4>0</vt:i4>
      </vt:variant>
      <vt:variant>
        <vt:i4>5</vt:i4>
      </vt:variant>
      <vt:variant>
        <vt:lpwstr>https://www.education.vic.gov.au/training/providers/funding/Pages/fundedcourses.aspx?Redirect=1</vt:lpwstr>
      </vt:variant>
      <vt:variant>
        <vt:lpwstr/>
      </vt:variant>
      <vt:variant>
        <vt:i4>6750243</vt:i4>
      </vt:variant>
      <vt:variant>
        <vt:i4>126</vt:i4>
      </vt:variant>
      <vt:variant>
        <vt:i4>0</vt:i4>
      </vt:variant>
      <vt:variant>
        <vt:i4>5</vt:i4>
      </vt:variant>
      <vt:variant>
        <vt:lpwstr>https://www.education.vic.gov.au/training/providers/funding/Pages/fundedcourses.aspx?Redirect=1</vt:lpwstr>
      </vt:variant>
      <vt:variant>
        <vt:lpwstr/>
      </vt:variant>
      <vt:variant>
        <vt:i4>7864432</vt:i4>
      </vt:variant>
      <vt:variant>
        <vt:i4>123</vt:i4>
      </vt:variant>
      <vt:variant>
        <vt:i4>0</vt:i4>
      </vt:variant>
      <vt:variant>
        <vt:i4>5</vt:i4>
      </vt:variant>
      <vt:variant>
        <vt:lpwstr>https://www.ncver.edu.au/research-and-statistics/publications/all-publications/total-vet-students-and-courses-2020</vt:lpwstr>
      </vt:variant>
      <vt:variant>
        <vt:lpwstr/>
      </vt:variant>
      <vt:variant>
        <vt:i4>1572916</vt:i4>
      </vt:variant>
      <vt:variant>
        <vt:i4>68</vt:i4>
      </vt:variant>
      <vt:variant>
        <vt:i4>0</vt:i4>
      </vt:variant>
      <vt:variant>
        <vt:i4>5</vt:i4>
      </vt:variant>
      <vt:variant>
        <vt:lpwstr/>
      </vt:variant>
      <vt:variant>
        <vt:lpwstr>_Toc111118575</vt:lpwstr>
      </vt:variant>
      <vt:variant>
        <vt:i4>1572916</vt:i4>
      </vt:variant>
      <vt:variant>
        <vt:i4>62</vt:i4>
      </vt:variant>
      <vt:variant>
        <vt:i4>0</vt:i4>
      </vt:variant>
      <vt:variant>
        <vt:i4>5</vt:i4>
      </vt:variant>
      <vt:variant>
        <vt:lpwstr/>
      </vt:variant>
      <vt:variant>
        <vt:lpwstr>_Toc111118574</vt:lpwstr>
      </vt:variant>
      <vt:variant>
        <vt:i4>1572916</vt:i4>
      </vt:variant>
      <vt:variant>
        <vt:i4>56</vt:i4>
      </vt:variant>
      <vt:variant>
        <vt:i4>0</vt:i4>
      </vt:variant>
      <vt:variant>
        <vt:i4>5</vt:i4>
      </vt:variant>
      <vt:variant>
        <vt:lpwstr/>
      </vt:variant>
      <vt:variant>
        <vt:lpwstr>_Toc111118572</vt:lpwstr>
      </vt:variant>
      <vt:variant>
        <vt:i4>1638452</vt:i4>
      </vt:variant>
      <vt:variant>
        <vt:i4>50</vt:i4>
      </vt:variant>
      <vt:variant>
        <vt:i4>0</vt:i4>
      </vt:variant>
      <vt:variant>
        <vt:i4>5</vt:i4>
      </vt:variant>
      <vt:variant>
        <vt:lpwstr/>
      </vt:variant>
      <vt:variant>
        <vt:lpwstr>_Toc111118569</vt:lpwstr>
      </vt:variant>
      <vt:variant>
        <vt:i4>1638452</vt:i4>
      </vt:variant>
      <vt:variant>
        <vt:i4>44</vt:i4>
      </vt:variant>
      <vt:variant>
        <vt:i4>0</vt:i4>
      </vt:variant>
      <vt:variant>
        <vt:i4>5</vt:i4>
      </vt:variant>
      <vt:variant>
        <vt:lpwstr/>
      </vt:variant>
      <vt:variant>
        <vt:lpwstr>_Toc111118566</vt:lpwstr>
      </vt:variant>
      <vt:variant>
        <vt:i4>1638452</vt:i4>
      </vt:variant>
      <vt:variant>
        <vt:i4>38</vt:i4>
      </vt:variant>
      <vt:variant>
        <vt:i4>0</vt:i4>
      </vt:variant>
      <vt:variant>
        <vt:i4>5</vt:i4>
      </vt:variant>
      <vt:variant>
        <vt:lpwstr/>
      </vt:variant>
      <vt:variant>
        <vt:lpwstr>_Toc111118564</vt:lpwstr>
      </vt:variant>
      <vt:variant>
        <vt:i4>1638452</vt:i4>
      </vt:variant>
      <vt:variant>
        <vt:i4>32</vt:i4>
      </vt:variant>
      <vt:variant>
        <vt:i4>0</vt:i4>
      </vt:variant>
      <vt:variant>
        <vt:i4>5</vt:i4>
      </vt:variant>
      <vt:variant>
        <vt:lpwstr/>
      </vt:variant>
      <vt:variant>
        <vt:lpwstr>_Toc111118561</vt:lpwstr>
      </vt:variant>
      <vt:variant>
        <vt:i4>1703988</vt:i4>
      </vt:variant>
      <vt:variant>
        <vt:i4>26</vt:i4>
      </vt:variant>
      <vt:variant>
        <vt:i4>0</vt:i4>
      </vt:variant>
      <vt:variant>
        <vt:i4>5</vt:i4>
      </vt:variant>
      <vt:variant>
        <vt:lpwstr/>
      </vt:variant>
      <vt:variant>
        <vt:lpwstr>_Toc111118558</vt:lpwstr>
      </vt:variant>
      <vt:variant>
        <vt:i4>1703988</vt:i4>
      </vt:variant>
      <vt:variant>
        <vt:i4>20</vt:i4>
      </vt:variant>
      <vt:variant>
        <vt:i4>0</vt:i4>
      </vt:variant>
      <vt:variant>
        <vt:i4>5</vt:i4>
      </vt:variant>
      <vt:variant>
        <vt:lpwstr/>
      </vt:variant>
      <vt:variant>
        <vt:lpwstr>_Toc111118555</vt:lpwstr>
      </vt:variant>
      <vt:variant>
        <vt:i4>1703988</vt:i4>
      </vt:variant>
      <vt:variant>
        <vt:i4>14</vt:i4>
      </vt:variant>
      <vt:variant>
        <vt:i4>0</vt:i4>
      </vt:variant>
      <vt:variant>
        <vt:i4>5</vt:i4>
      </vt:variant>
      <vt:variant>
        <vt:lpwstr/>
      </vt:variant>
      <vt:variant>
        <vt:lpwstr>_Toc111118554</vt:lpwstr>
      </vt:variant>
      <vt:variant>
        <vt:i4>1703988</vt:i4>
      </vt:variant>
      <vt:variant>
        <vt:i4>8</vt:i4>
      </vt:variant>
      <vt:variant>
        <vt:i4>0</vt:i4>
      </vt:variant>
      <vt:variant>
        <vt:i4>5</vt:i4>
      </vt:variant>
      <vt:variant>
        <vt:lpwstr/>
      </vt:variant>
      <vt:variant>
        <vt:lpwstr>_Toc111118553</vt:lpwstr>
      </vt:variant>
      <vt:variant>
        <vt:i4>1703988</vt:i4>
      </vt:variant>
      <vt:variant>
        <vt:i4>2</vt:i4>
      </vt:variant>
      <vt:variant>
        <vt:i4>0</vt:i4>
      </vt:variant>
      <vt:variant>
        <vt:i4>5</vt:i4>
      </vt:variant>
      <vt:variant>
        <vt:lpwstr/>
      </vt:variant>
      <vt:variant>
        <vt:lpwstr>_Toc111118552</vt:lpwstr>
      </vt:variant>
      <vt:variant>
        <vt:i4>1572941</vt:i4>
      </vt:variant>
      <vt:variant>
        <vt:i4>189</vt:i4>
      </vt:variant>
      <vt:variant>
        <vt:i4>0</vt:i4>
      </vt:variant>
      <vt:variant>
        <vt:i4>5</vt:i4>
      </vt:variant>
      <vt:variant>
        <vt:lpwstr>https://www.vic.gov.au/sites/default/files/2021-06/Sector-Snapshot-Real-Estate-sector-November-2020-1.pdf</vt:lpwstr>
      </vt:variant>
      <vt:variant>
        <vt:lpwstr/>
      </vt:variant>
      <vt:variant>
        <vt:i4>1179667</vt:i4>
      </vt:variant>
      <vt:variant>
        <vt:i4>186</vt:i4>
      </vt:variant>
      <vt:variant>
        <vt:i4>0</vt:i4>
      </vt:variant>
      <vt:variant>
        <vt:i4>5</vt:i4>
      </vt:variant>
      <vt:variant>
        <vt:lpwstr>https://www.myskills.gov.au/courses/details?Code=BSB40320</vt:lpwstr>
      </vt:variant>
      <vt:variant>
        <vt:lpwstr/>
      </vt:variant>
      <vt:variant>
        <vt:i4>8126569</vt:i4>
      </vt:variant>
      <vt:variant>
        <vt:i4>183</vt:i4>
      </vt:variant>
      <vt:variant>
        <vt:i4>0</vt:i4>
      </vt:variant>
      <vt:variant>
        <vt:i4>5</vt:i4>
      </vt:variant>
      <vt:variant>
        <vt:lpwstr>https://www.dese.gov.au/higher-education-statistics/student-data/selected-higher-education-statistics-2019-student-data</vt:lpwstr>
      </vt:variant>
      <vt:variant>
        <vt:lpwstr/>
      </vt:variant>
      <vt:variant>
        <vt:i4>8126569</vt:i4>
      </vt:variant>
      <vt:variant>
        <vt:i4>180</vt:i4>
      </vt:variant>
      <vt:variant>
        <vt:i4>0</vt:i4>
      </vt:variant>
      <vt:variant>
        <vt:i4>5</vt:i4>
      </vt:variant>
      <vt:variant>
        <vt:lpwstr>https://www.dese.gov.au/higher-education-statistics/student-data/selected-higher-education-statistics-2019-student-data</vt:lpwstr>
      </vt:variant>
      <vt:variant>
        <vt:lpwstr/>
      </vt:variant>
      <vt:variant>
        <vt:i4>2293796</vt:i4>
      </vt:variant>
      <vt:variant>
        <vt:i4>177</vt:i4>
      </vt:variant>
      <vt:variant>
        <vt:i4>0</vt:i4>
      </vt:variant>
      <vt:variant>
        <vt:i4>5</vt:i4>
      </vt:variant>
      <vt:variant>
        <vt:lpwstr>https://www.nationalskillscommission.gov.au/topics/skills-priority-list</vt:lpwstr>
      </vt:variant>
      <vt:variant>
        <vt:lpwstr/>
      </vt:variant>
      <vt:variant>
        <vt:i4>6750243</vt:i4>
      </vt:variant>
      <vt:variant>
        <vt:i4>174</vt:i4>
      </vt:variant>
      <vt:variant>
        <vt:i4>0</vt:i4>
      </vt:variant>
      <vt:variant>
        <vt:i4>5</vt:i4>
      </vt:variant>
      <vt:variant>
        <vt:lpwstr>https://www.education.vic.gov.au/training/providers/funding/Pages/fundedcourses.aspx?Redirect=1</vt:lpwstr>
      </vt:variant>
      <vt:variant>
        <vt:lpwstr/>
      </vt:variant>
      <vt:variant>
        <vt:i4>6750243</vt:i4>
      </vt:variant>
      <vt:variant>
        <vt:i4>171</vt:i4>
      </vt:variant>
      <vt:variant>
        <vt:i4>0</vt:i4>
      </vt:variant>
      <vt:variant>
        <vt:i4>5</vt:i4>
      </vt:variant>
      <vt:variant>
        <vt:lpwstr>https://www.education.vic.gov.au/training/providers/funding/Pages/fundedcourses.aspx?Redirect=1</vt:lpwstr>
      </vt:variant>
      <vt:variant>
        <vt:lpwstr/>
      </vt:variant>
      <vt:variant>
        <vt:i4>8126569</vt:i4>
      </vt:variant>
      <vt:variant>
        <vt:i4>168</vt:i4>
      </vt:variant>
      <vt:variant>
        <vt:i4>0</vt:i4>
      </vt:variant>
      <vt:variant>
        <vt:i4>5</vt:i4>
      </vt:variant>
      <vt:variant>
        <vt:lpwstr>https://www.dese.gov.au/higher-education-statistics/student-data/selected-higher-education-statistics-2019-student-data</vt:lpwstr>
      </vt:variant>
      <vt:variant>
        <vt:lpwstr/>
      </vt:variant>
      <vt:variant>
        <vt:i4>7864432</vt:i4>
      </vt:variant>
      <vt:variant>
        <vt:i4>165</vt:i4>
      </vt:variant>
      <vt:variant>
        <vt:i4>0</vt:i4>
      </vt:variant>
      <vt:variant>
        <vt:i4>5</vt:i4>
      </vt:variant>
      <vt:variant>
        <vt:lpwstr>https://www.ncver.edu.au/research-and-statistics/publications/all-publications/total-vet-students-and-courses-2020</vt:lpwstr>
      </vt:variant>
      <vt:variant>
        <vt:lpwstr/>
      </vt:variant>
      <vt:variant>
        <vt:i4>1572941</vt:i4>
      </vt:variant>
      <vt:variant>
        <vt:i4>162</vt:i4>
      </vt:variant>
      <vt:variant>
        <vt:i4>0</vt:i4>
      </vt:variant>
      <vt:variant>
        <vt:i4>5</vt:i4>
      </vt:variant>
      <vt:variant>
        <vt:lpwstr>https://www.vic.gov.au/sites/default/files/2021-06/Sector-Snapshot-Real-Estate-sector-November-2020-1.pdf</vt:lpwstr>
      </vt:variant>
      <vt:variant>
        <vt:lpwstr/>
      </vt:variant>
      <vt:variant>
        <vt:i4>1572941</vt:i4>
      </vt:variant>
      <vt:variant>
        <vt:i4>159</vt:i4>
      </vt:variant>
      <vt:variant>
        <vt:i4>0</vt:i4>
      </vt:variant>
      <vt:variant>
        <vt:i4>5</vt:i4>
      </vt:variant>
      <vt:variant>
        <vt:lpwstr>https://www.vic.gov.au/sites/default/files/2021-06/Sector-Snapshot-Real-Estate-sector-November-2020-1.pdf</vt:lpwstr>
      </vt:variant>
      <vt:variant>
        <vt:lpwstr/>
      </vt:variant>
      <vt:variant>
        <vt:i4>2293796</vt:i4>
      </vt:variant>
      <vt:variant>
        <vt:i4>156</vt:i4>
      </vt:variant>
      <vt:variant>
        <vt:i4>0</vt:i4>
      </vt:variant>
      <vt:variant>
        <vt:i4>5</vt:i4>
      </vt:variant>
      <vt:variant>
        <vt:lpwstr>https://www.nationalskillscommission.gov.au/topics/skills-priority-list</vt:lpwstr>
      </vt:variant>
      <vt:variant>
        <vt:lpwstr/>
      </vt:variant>
      <vt:variant>
        <vt:i4>5832773</vt:i4>
      </vt:variant>
      <vt:variant>
        <vt:i4>153</vt:i4>
      </vt:variant>
      <vt:variant>
        <vt:i4>0</vt:i4>
      </vt:variant>
      <vt:variant>
        <vt:i4>5</vt:i4>
      </vt:variant>
      <vt:variant>
        <vt:lpwstr>https://www.nationalskillscommission.gov.au/reports/australian-jobs-2021/emerging-occupations</vt:lpwstr>
      </vt:variant>
      <vt:variant>
        <vt:lpwstr/>
      </vt:variant>
      <vt:variant>
        <vt:i4>5832773</vt:i4>
      </vt:variant>
      <vt:variant>
        <vt:i4>150</vt:i4>
      </vt:variant>
      <vt:variant>
        <vt:i4>0</vt:i4>
      </vt:variant>
      <vt:variant>
        <vt:i4>5</vt:i4>
      </vt:variant>
      <vt:variant>
        <vt:lpwstr>https://www.nationalskillscommission.gov.au/reports/australian-jobs-2021/emerging-occupations</vt:lpwstr>
      </vt:variant>
      <vt:variant>
        <vt:lpwstr/>
      </vt:variant>
      <vt:variant>
        <vt:i4>4456532</vt:i4>
      </vt:variant>
      <vt:variant>
        <vt:i4>147</vt:i4>
      </vt:variant>
      <vt:variant>
        <vt:i4>0</vt:i4>
      </vt:variant>
      <vt:variant>
        <vt:i4>5</vt:i4>
      </vt:variant>
      <vt:variant>
        <vt:lpwstr>https://www.abs.gov.au/statistics/labour/employment-and-unemployment/labour-force-australia-detailed/feb-2022</vt:lpwstr>
      </vt:variant>
      <vt:variant>
        <vt:lpwstr/>
      </vt:variant>
      <vt:variant>
        <vt:i4>4456532</vt:i4>
      </vt:variant>
      <vt:variant>
        <vt:i4>144</vt:i4>
      </vt:variant>
      <vt:variant>
        <vt:i4>0</vt:i4>
      </vt:variant>
      <vt:variant>
        <vt:i4>5</vt:i4>
      </vt:variant>
      <vt:variant>
        <vt:lpwstr>https://www.abs.gov.au/statistics/labour/employment-and-unemployment/labour-force-australia-detailed/feb-2022</vt:lpwstr>
      </vt:variant>
      <vt:variant>
        <vt:lpwstr/>
      </vt:variant>
      <vt:variant>
        <vt:i4>6225924</vt:i4>
      </vt:variant>
      <vt:variant>
        <vt:i4>141</vt:i4>
      </vt:variant>
      <vt:variant>
        <vt:i4>0</vt:i4>
      </vt:variant>
      <vt:variant>
        <vt:i4>5</vt:i4>
      </vt:variant>
      <vt:variant>
        <vt:lpwstr>https://www.abc.net.au/news/2021-11-20/november-rains-push-cattle-prices-higher/100633980</vt:lpwstr>
      </vt:variant>
      <vt:variant>
        <vt:lpwstr/>
      </vt:variant>
      <vt:variant>
        <vt:i4>3932281</vt:i4>
      </vt:variant>
      <vt:variant>
        <vt:i4>138</vt:i4>
      </vt:variant>
      <vt:variant>
        <vt:i4>0</vt:i4>
      </vt:variant>
      <vt:variant>
        <vt:i4>5</vt:i4>
      </vt:variant>
      <vt:variant>
        <vt:lpwstr>https://www.mla.com.au/globalassets/mla-corporate/prices--markets/documents/trends--analysis/cattle-projections/feb2021-mla-australian-cattle-industry-projections.pdf</vt:lpwstr>
      </vt:variant>
      <vt:variant>
        <vt:lpwstr/>
      </vt:variant>
      <vt:variant>
        <vt:i4>3932281</vt:i4>
      </vt:variant>
      <vt:variant>
        <vt:i4>135</vt:i4>
      </vt:variant>
      <vt:variant>
        <vt:i4>0</vt:i4>
      </vt:variant>
      <vt:variant>
        <vt:i4>5</vt:i4>
      </vt:variant>
      <vt:variant>
        <vt:lpwstr>https://www.mla.com.au/globalassets/mla-corporate/prices--markets/documents/trends--analysis/cattle-projections/feb2021-mla-australian-cattle-industry-projections.pdf</vt:lpwstr>
      </vt:variant>
      <vt:variant>
        <vt:lpwstr/>
      </vt:variant>
      <vt:variant>
        <vt:i4>83</vt:i4>
      </vt:variant>
      <vt:variant>
        <vt:i4>132</vt:i4>
      </vt:variant>
      <vt:variant>
        <vt:i4>0</vt:i4>
      </vt:variant>
      <vt:variant>
        <vt:i4>5</vt:i4>
      </vt:variant>
      <vt:variant>
        <vt:lpwstr>https://www.news.com.au/travel/travel-advice/money/the-great-summer-australian-roadtrip-struggling-as-car-rental-prices-soar/news-story/29eb27c9054ce6b624d4c8f17ff00ca7</vt:lpwstr>
      </vt:variant>
      <vt:variant>
        <vt:lpwstr/>
      </vt:variant>
      <vt:variant>
        <vt:i4>83</vt:i4>
      </vt:variant>
      <vt:variant>
        <vt:i4>129</vt:i4>
      </vt:variant>
      <vt:variant>
        <vt:i4>0</vt:i4>
      </vt:variant>
      <vt:variant>
        <vt:i4>5</vt:i4>
      </vt:variant>
      <vt:variant>
        <vt:lpwstr>https://www.news.com.au/travel/travel-advice/money/the-great-summer-australian-roadtrip-struggling-as-car-rental-prices-soar/news-story/29eb27c9054ce6b624d4c8f17ff00ca7</vt:lpwstr>
      </vt:variant>
      <vt:variant>
        <vt:lpwstr/>
      </vt:variant>
      <vt:variant>
        <vt:i4>8126587</vt:i4>
      </vt:variant>
      <vt:variant>
        <vt:i4>126</vt:i4>
      </vt:variant>
      <vt:variant>
        <vt:i4>0</vt:i4>
      </vt:variant>
      <vt:variant>
        <vt:i4>5</vt:i4>
      </vt:variant>
      <vt:variant>
        <vt:lpwstr>https://apo.org.au/sites/default/files/resource-files/2017-02/apo-nid74060.pdf</vt:lpwstr>
      </vt:variant>
      <vt:variant>
        <vt:lpwstr/>
      </vt:variant>
      <vt:variant>
        <vt:i4>8323196</vt:i4>
      </vt:variant>
      <vt:variant>
        <vt:i4>123</vt:i4>
      </vt:variant>
      <vt:variant>
        <vt:i4>0</vt:i4>
      </vt:variant>
      <vt:variant>
        <vt:i4>5</vt:i4>
      </vt:variant>
      <vt:variant>
        <vt:lpwstr>https://www.vba.vic.gov.au/cladding</vt:lpwstr>
      </vt:variant>
      <vt:variant>
        <vt:lpwstr/>
      </vt:variant>
      <vt:variant>
        <vt:i4>8323196</vt:i4>
      </vt:variant>
      <vt:variant>
        <vt:i4>120</vt:i4>
      </vt:variant>
      <vt:variant>
        <vt:i4>0</vt:i4>
      </vt:variant>
      <vt:variant>
        <vt:i4>5</vt:i4>
      </vt:variant>
      <vt:variant>
        <vt:lpwstr>https://www.vba.vic.gov.au/cladding</vt:lpwstr>
      </vt:variant>
      <vt:variant>
        <vt:lpwstr/>
      </vt:variant>
      <vt:variant>
        <vt:i4>1572941</vt:i4>
      </vt:variant>
      <vt:variant>
        <vt:i4>117</vt:i4>
      </vt:variant>
      <vt:variant>
        <vt:i4>0</vt:i4>
      </vt:variant>
      <vt:variant>
        <vt:i4>5</vt:i4>
      </vt:variant>
      <vt:variant>
        <vt:lpwstr>https://www.vic.gov.au/sites/default/files/2021-06/Sector-Snapshot-Real-Estate-sector-November-2020-1.pdf</vt:lpwstr>
      </vt:variant>
      <vt:variant>
        <vt:lpwstr/>
      </vt:variant>
      <vt:variant>
        <vt:i4>8126587</vt:i4>
      </vt:variant>
      <vt:variant>
        <vt:i4>114</vt:i4>
      </vt:variant>
      <vt:variant>
        <vt:i4>0</vt:i4>
      </vt:variant>
      <vt:variant>
        <vt:i4>5</vt:i4>
      </vt:variant>
      <vt:variant>
        <vt:lpwstr>https://apo.org.au/sites/default/files/resource-files/2017-02/apo-nid74060.pdf</vt:lpwstr>
      </vt:variant>
      <vt:variant>
        <vt:lpwstr/>
      </vt:variant>
      <vt:variant>
        <vt:i4>327707</vt:i4>
      </vt:variant>
      <vt:variant>
        <vt:i4>111</vt:i4>
      </vt:variant>
      <vt:variant>
        <vt:i4>0</vt:i4>
      </vt:variant>
      <vt:variant>
        <vt:i4>5</vt:i4>
      </vt:variant>
      <vt:variant>
        <vt:lpwstr>https://www.smh.com.au/business/companies/the-five-day-office-week-is-dead-long-live-the-hybrid-model-says-productivity-boss-20210706-p587d4.html</vt:lpwstr>
      </vt:variant>
      <vt:variant>
        <vt:lpwstr/>
      </vt:variant>
      <vt:variant>
        <vt:i4>3997755</vt:i4>
      </vt:variant>
      <vt:variant>
        <vt:i4>108</vt:i4>
      </vt:variant>
      <vt:variant>
        <vt:i4>0</vt:i4>
      </vt:variant>
      <vt:variant>
        <vt:i4>5</vt:i4>
      </vt:variant>
      <vt:variant>
        <vt:lpwstr>https://www.planning.vic.gov.au/__data/assets/pdf_file/0032/332996/Victoria_in_Future_2019.pdf</vt:lpwstr>
      </vt:variant>
      <vt:variant>
        <vt:lpwstr/>
      </vt:variant>
      <vt:variant>
        <vt:i4>4390984</vt:i4>
      </vt:variant>
      <vt:variant>
        <vt:i4>105</vt:i4>
      </vt:variant>
      <vt:variant>
        <vt:i4>0</vt:i4>
      </vt:variant>
      <vt:variant>
        <vt:i4>5</vt:i4>
      </vt:variant>
      <vt:variant>
        <vt:lpwstr>https://www.bendigo.vic.gov.au/sites/default/files/2018-01/Greater Bendigo Housing Strategy Adopted Jan 2018.pdf</vt:lpwstr>
      </vt:variant>
      <vt:variant>
        <vt:lpwstr/>
      </vt:variant>
      <vt:variant>
        <vt:i4>5570650</vt:i4>
      </vt:variant>
      <vt:variant>
        <vt:i4>102</vt:i4>
      </vt:variant>
      <vt:variant>
        <vt:i4>0</vt:i4>
      </vt:variant>
      <vt:variant>
        <vt:i4>5</vt:i4>
      </vt:variant>
      <vt:variant>
        <vt:lpwstr>https://www.integragroup.com.au/post/thriving-community-of-lucas-set-to-grow</vt:lpwstr>
      </vt:variant>
      <vt:variant>
        <vt:lpwstr/>
      </vt:variant>
      <vt:variant>
        <vt:i4>7471146</vt:i4>
      </vt:variant>
      <vt:variant>
        <vt:i4>99</vt:i4>
      </vt:variant>
      <vt:variant>
        <vt:i4>0</vt:i4>
      </vt:variant>
      <vt:variant>
        <vt:i4>5</vt:i4>
      </vt:variant>
      <vt:variant>
        <vt:lpwstr>https://geelongaustralia.com.au/armstrongcreek/armstrong/article/item/8cfafd49ea31e3f.aspx</vt:lpwstr>
      </vt:variant>
      <vt:variant>
        <vt:lpwstr/>
      </vt:variant>
      <vt:variant>
        <vt:i4>6094924</vt:i4>
      </vt:variant>
      <vt:variant>
        <vt:i4>96</vt:i4>
      </vt:variant>
      <vt:variant>
        <vt:i4>0</vt:i4>
      </vt:variant>
      <vt:variant>
        <vt:i4>5</vt:i4>
      </vt:variant>
      <vt:variant>
        <vt:lpwstr>https://media.ruralcouncilsvictoria.org.au/wp-content/uploads/2021/05/27134328/RCV-Demographic-Destiny-Report-26-May-2021.pdf</vt:lpwstr>
      </vt:variant>
      <vt:variant>
        <vt:lpwstr/>
      </vt:variant>
      <vt:variant>
        <vt:i4>2818104</vt:i4>
      </vt:variant>
      <vt:variant>
        <vt:i4>93</vt:i4>
      </vt:variant>
      <vt:variant>
        <vt:i4>0</vt:i4>
      </vt:variant>
      <vt:variant>
        <vt:i4>5</vt:i4>
      </vt:variant>
      <vt:variant>
        <vt:lpwstr>https://reiv.com.au/policy-resources/latest-news/victorian-real-estate-market-closes-2021-on-a-high</vt:lpwstr>
      </vt:variant>
      <vt:variant>
        <vt:lpwstr/>
      </vt:variant>
      <vt:variant>
        <vt:i4>7929889</vt:i4>
      </vt:variant>
      <vt:variant>
        <vt:i4>90</vt:i4>
      </vt:variant>
      <vt:variant>
        <vt:i4>0</vt:i4>
      </vt:variant>
      <vt:variant>
        <vt:i4>5</vt:i4>
      </vt:variant>
      <vt:variant>
        <vt:lpwstr>https://www.ausbanking.org.au/data/</vt:lpwstr>
      </vt:variant>
      <vt:variant>
        <vt:lpwstr/>
      </vt:variant>
      <vt:variant>
        <vt:i4>1900574</vt:i4>
      </vt:variant>
      <vt:variant>
        <vt:i4>87</vt:i4>
      </vt:variant>
      <vt:variant>
        <vt:i4>0</vt:i4>
      </vt:variant>
      <vt:variant>
        <vt:i4>5</vt:i4>
      </vt:variant>
      <vt:variant>
        <vt:lpwstr>https://www.9news.com.au/national/australia-what-will-happen-to-property-prices-when-interest-rates-rise/352c25ac-50a9-4c6e-b4fd-bfcde307c815</vt:lpwstr>
      </vt:variant>
      <vt:variant>
        <vt:lpwstr/>
      </vt:variant>
      <vt:variant>
        <vt:i4>3145760</vt:i4>
      </vt:variant>
      <vt:variant>
        <vt:i4>84</vt:i4>
      </vt:variant>
      <vt:variant>
        <vt:i4>0</vt:i4>
      </vt:variant>
      <vt:variant>
        <vt:i4>5</vt:i4>
      </vt:variant>
      <vt:variant>
        <vt:lpwstr>https://www.dffh.vic.gov.au/publications/rental-report</vt:lpwstr>
      </vt:variant>
      <vt:variant>
        <vt:lpwstr/>
      </vt:variant>
      <vt:variant>
        <vt:i4>2687079</vt:i4>
      </vt:variant>
      <vt:variant>
        <vt:i4>81</vt:i4>
      </vt:variant>
      <vt:variant>
        <vt:i4>0</vt:i4>
      </vt:variant>
      <vt:variant>
        <vt:i4>5</vt:i4>
      </vt:variant>
      <vt:variant>
        <vt:lpwstr>https://www.rba.gov.au/chart-pack/household-sector.html</vt:lpwstr>
      </vt:variant>
      <vt:variant>
        <vt:lpwstr/>
      </vt:variant>
      <vt:variant>
        <vt:i4>1048607</vt:i4>
      </vt:variant>
      <vt:variant>
        <vt:i4>78</vt:i4>
      </vt:variant>
      <vt:variant>
        <vt:i4>0</vt:i4>
      </vt:variant>
      <vt:variant>
        <vt:i4>5</vt:i4>
      </vt:variant>
      <vt:variant>
        <vt:lpwstr>https://www.theage.com.au/property/news/blight-on-the-industry-victorian-property-underquoting-laws-set-for-review-20220211-p59vr1.html</vt:lpwstr>
      </vt:variant>
      <vt:variant>
        <vt:lpwstr>:~:text=Members%20of%20the%20public%20sent,more%20than%20%24300%2C000%20in%20fines</vt:lpwstr>
      </vt:variant>
      <vt:variant>
        <vt:i4>6553650</vt:i4>
      </vt:variant>
      <vt:variant>
        <vt:i4>75</vt:i4>
      </vt:variant>
      <vt:variant>
        <vt:i4>0</vt:i4>
      </vt:variant>
      <vt:variant>
        <vt:i4>5</vt:i4>
      </vt:variant>
      <vt:variant>
        <vt:lpwstr>https://engage.vic.gov.au/review-real-estate-education-regulations</vt:lpwstr>
      </vt:variant>
      <vt:variant>
        <vt:lpwstr/>
      </vt:variant>
      <vt:variant>
        <vt:i4>2555967</vt:i4>
      </vt:variant>
      <vt:variant>
        <vt:i4>72</vt:i4>
      </vt:variant>
      <vt:variant>
        <vt:i4>0</vt:i4>
      </vt:variant>
      <vt:variant>
        <vt:i4>5</vt:i4>
      </vt:variant>
      <vt:variant>
        <vt:lpwstr>https://www.consumer.vic.gov.au/housing/renting/changes-to-renting-laws/guide-to-rental-law-changes</vt:lpwstr>
      </vt:variant>
      <vt:variant>
        <vt:lpwstr/>
      </vt:variant>
      <vt:variant>
        <vt:i4>1638484</vt:i4>
      </vt:variant>
      <vt:variant>
        <vt:i4>69</vt:i4>
      </vt:variant>
      <vt:variant>
        <vt:i4>0</vt:i4>
      </vt:variant>
      <vt:variant>
        <vt:i4>5</vt:i4>
      </vt:variant>
      <vt:variant>
        <vt:lpwstr>https://www.afr.com/policy/economy/rate-hike-expectations-firmly-in-2022-but-how-high-can-they-go-20220215-p59wkx</vt:lpwstr>
      </vt:variant>
      <vt:variant>
        <vt:lpwstr/>
      </vt:variant>
      <vt:variant>
        <vt:i4>1507402</vt:i4>
      </vt:variant>
      <vt:variant>
        <vt:i4>66</vt:i4>
      </vt:variant>
      <vt:variant>
        <vt:i4>0</vt:i4>
      </vt:variant>
      <vt:variant>
        <vt:i4>5</vt:i4>
      </vt:variant>
      <vt:variant>
        <vt:lpwstr>https://pestleanalysis.com/pestel-framework/</vt:lpwstr>
      </vt:variant>
      <vt:variant>
        <vt:lpwstr/>
      </vt:variant>
      <vt:variant>
        <vt:i4>4456532</vt:i4>
      </vt:variant>
      <vt:variant>
        <vt:i4>63</vt:i4>
      </vt:variant>
      <vt:variant>
        <vt:i4>0</vt:i4>
      </vt:variant>
      <vt:variant>
        <vt:i4>5</vt:i4>
      </vt:variant>
      <vt:variant>
        <vt:lpwstr>https://www.abs.gov.au/statistics/labour/employment-and-unemployment/labour-force-australia-detailed/feb-2022</vt:lpwstr>
      </vt:variant>
      <vt:variant>
        <vt:lpwstr/>
      </vt:variant>
      <vt:variant>
        <vt:i4>1572941</vt:i4>
      </vt:variant>
      <vt:variant>
        <vt:i4>60</vt:i4>
      </vt:variant>
      <vt:variant>
        <vt:i4>0</vt:i4>
      </vt:variant>
      <vt:variant>
        <vt:i4>5</vt:i4>
      </vt:variant>
      <vt:variant>
        <vt:lpwstr>https://www.vic.gov.au/sites/default/files/2021-06/Sector-Snapshot-Real-Estate-sector-November-2020-1.pdf</vt:lpwstr>
      </vt:variant>
      <vt:variant>
        <vt:lpwstr/>
      </vt:variant>
      <vt:variant>
        <vt:i4>7143457</vt:i4>
      </vt:variant>
      <vt:variant>
        <vt:i4>57</vt:i4>
      </vt:variant>
      <vt:variant>
        <vt:i4>0</vt:i4>
      </vt:variant>
      <vt:variant>
        <vt:i4>5</vt:i4>
      </vt:variant>
      <vt:variant>
        <vt:lpwstr>https://www.realestate.com.au/news/melbourne-rental-market-renters-fresh-struggle-as-conditions-shift/</vt:lpwstr>
      </vt:variant>
      <vt:variant>
        <vt:lpwstr/>
      </vt:variant>
      <vt:variant>
        <vt:i4>1572941</vt:i4>
      </vt:variant>
      <vt:variant>
        <vt:i4>54</vt:i4>
      </vt:variant>
      <vt:variant>
        <vt:i4>0</vt:i4>
      </vt:variant>
      <vt:variant>
        <vt:i4>5</vt:i4>
      </vt:variant>
      <vt:variant>
        <vt:lpwstr>https://www.vic.gov.au/sites/default/files/2021-06/Sector-Snapshot-Real-Estate-sector-November-2020-1.pdf</vt:lpwstr>
      </vt:variant>
      <vt:variant>
        <vt:lpwstr/>
      </vt:variant>
      <vt:variant>
        <vt:i4>4915205</vt:i4>
      </vt:variant>
      <vt:variant>
        <vt:i4>51</vt:i4>
      </vt:variant>
      <vt:variant>
        <vt:i4>0</vt:i4>
      </vt:variant>
      <vt:variant>
        <vt:i4>5</vt:i4>
      </vt:variant>
      <vt:variant>
        <vt:lpwstr>https://www.afr.com/property/residential/freedom-frenzy-drives-record-victorian-regional-price-rises-20220125-p59r48</vt:lpwstr>
      </vt:variant>
      <vt:variant>
        <vt:lpwstr>:~:text=Regional%20Victorian%20house%20prices%20grew,Institute%20of%20Victoria%20(REIV).</vt:lpwstr>
      </vt:variant>
      <vt:variant>
        <vt:i4>5505092</vt:i4>
      </vt:variant>
      <vt:variant>
        <vt:i4>48</vt:i4>
      </vt:variant>
      <vt:variant>
        <vt:i4>0</vt:i4>
      </vt:variant>
      <vt:variant>
        <vt:i4>5</vt:i4>
      </vt:variant>
      <vt:variant>
        <vt:lpwstr>https://www.abs.gov.au/statistics/people/population/regional-internal-migration-estimates-provisional/latest-release</vt:lpwstr>
      </vt:variant>
      <vt:variant>
        <vt:lpwstr/>
      </vt:variant>
      <vt:variant>
        <vt:i4>3997755</vt:i4>
      </vt:variant>
      <vt:variant>
        <vt:i4>45</vt:i4>
      </vt:variant>
      <vt:variant>
        <vt:i4>0</vt:i4>
      </vt:variant>
      <vt:variant>
        <vt:i4>5</vt:i4>
      </vt:variant>
      <vt:variant>
        <vt:lpwstr>https://www.planning.vic.gov.au/__data/assets/pdf_file/0032/332996/Victoria_in_Future_2019.pdf</vt:lpwstr>
      </vt:variant>
      <vt:variant>
        <vt:lpwstr/>
      </vt:variant>
      <vt:variant>
        <vt:i4>1572941</vt:i4>
      </vt:variant>
      <vt:variant>
        <vt:i4>42</vt:i4>
      </vt:variant>
      <vt:variant>
        <vt:i4>0</vt:i4>
      </vt:variant>
      <vt:variant>
        <vt:i4>5</vt:i4>
      </vt:variant>
      <vt:variant>
        <vt:lpwstr>https://www.vic.gov.au/sites/default/files/2021-06/Sector-Snapshot-Real-Estate-sector-November-2020-1.pdf</vt:lpwstr>
      </vt:variant>
      <vt:variant>
        <vt:lpwstr/>
      </vt:variant>
      <vt:variant>
        <vt:i4>7995516</vt:i4>
      </vt:variant>
      <vt:variant>
        <vt:i4>39</vt:i4>
      </vt:variant>
      <vt:variant>
        <vt:i4>0</vt:i4>
      </vt:variant>
      <vt:variant>
        <vt:i4>5</vt:i4>
      </vt:variant>
      <vt:variant>
        <vt:lpwstr>https://propertyupdate.com.au/the-latest-median-property-prices-in-australias-major-cities/</vt:lpwstr>
      </vt:variant>
      <vt:variant>
        <vt:lpwstr/>
      </vt:variant>
      <vt:variant>
        <vt:i4>1572941</vt:i4>
      </vt:variant>
      <vt:variant>
        <vt:i4>36</vt:i4>
      </vt:variant>
      <vt:variant>
        <vt:i4>0</vt:i4>
      </vt:variant>
      <vt:variant>
        <vt:i4>5</vt:i4>
      </vt:variant>
      <vt:variant>
        <vt:lpwstr>https://www.vic.gov.au/sites/default/files/2021-06/Sector-Snapshot-Real-Estate-sector-November-2020-1.pdf</vt:lpwstr>
      </vt:variant>
      <vt:variant>
        <vt:lpwstr/>
      </vt:variant>
      <vt:variant>
        <vt:i4>524299</vt:i4>
      </vt:variant>
      <vt:variant>
        <vt:i4>33</vt:i4>
      </vt:variant>
      <vt:variant>
        <vt:i4>0</vt:i4>
      </vt:variant>
      <vt:variant>
        <vt:i4>5</vt:i4>
      </vt:variant>
      <vt:variant>
        <vt:lpwstr>https://www.realestate.com.au/news/victorias-256-trillion-real-estate-market/</vt:lpwstr>
      </vt:variant>
      <vt:variant>
        <vt:lpwstr/>
      </vt:variant>
      <vt:variant>
        <vt:i4>524299</vt:i4>
      </vt:variant>
      <vt:variant>
        <vt:i4>30</vt:i4>
      </vt:variant>
      <vt:variant>
        <vt:i4>0</vt:i4>
      </vt:variant>
      <vt:variant>
        <vt:i4>5</vt:i4>
      </vt:variant>
      <vt:variant>
        <vt:lpwstr>https://www.realestate.com.au/news/victorias-256-trillion-real-estate-market/</vt:lpwstr>
      </vt:variant>
      <vt:variant>
        <vt:lpwstr/>
      </vt:variant>
      <vt:variant>
        <vt:i4>1572941</vt:i4>
      </vt:variant>
      <vt:variant>
        <vt:i4>27</vt:i4>
      </vt:variant>
      <vt:variant>
        <vt:i4>0</vt:i4>
      </vt:variant>
      <vt:variant>
        <vt:i4>5</vt:i4>
      </vt:variant>
      <vt:variant>
        <vt:lpwstr>https://www.vic.gov.au/sites/default/files/2021-06/Sector-Snapshot-Real-Estate-sector-November-2020-1.pdf</vt:lpwstr>
      </vt:variant>
      <vt:variant>
        <vt:lpwstr/>
      </vt:variant>
      <vt:variant>
        <vt:i4>1507428</vt:i4>
      </vt:variant>
      <vt:variant>
        <vt:i4>24</vt:i4>
      </vt:variant>
      <vt:variant>
        <vt:i4>0</vt:i4>
      </vt:variant>
      <vt:variant>
        <vt:i4>5</vt:i4>
      </vt:variant>
      <vt:variant>
        <vt:lpwstr>https://www.abs.gov.au/ausstats/abs@.nsf/Previousproducts/0875AD322082E937CA25711F00146E43?opendocument</vt:lpwstr>
      </vt:variant>
      <vt:variant>
        <vt:lpwstr/>
      </vt:variant>
      <vt:variant>
        <vt:i4>5308423</vt:i4>
      </vt:variant>
      <vt:variant>
        <vt:i4>21</vt:i4>
      </vt:variant>
      <vt:variant>
        <vt:i4>0</vt:i4>
      </vt:variant>
      <vt:variant>
        <vt:i4>5</vt:i4>
      </vt:variant>
      <vt:variant>
        <vt:lpwstr>https://nationalindustryinsights.aisc.net.au/industries/property-services</vt:lpwstr>
      </vt:variant>
      <vt:variant>
        <vt:lpwstr/>
      </vt:variant>
      <vt:variant>
        <vt:i4>4456532</vt:i4>
      </vt:variant>
      <vt:variant>
        <vt:i4>18</vt:i4>
      </vt:variant>
      <vt:variant>
        <vt:i4>0</vt:i4>
      </vt:variant>
      <vt:variant>
        <vt:i4>5</vt:i4>
      </vt:variant>
      <vt:variant>
        <vt:lpwstr>https://www.abs.gov.au/statistics/labour/employment-and-unemployment/labour-force-australia-detailed/feb-2022</vt:lpwstr>
      </vt:variant>
      <vt:variant>
        <vt:lpwstr/>
      </vt:variant>
      <vt:variant>
        <vt:i4>7864432</vt:i4>
      </vt:variant>
      <vt:variant>
        <vt:i4>15</vt:i4>
      </vt:variant>
      <vt:variant>
        <vt:i4>0</vt:i4>
      </vt:variant>
      <vt:variant>
        <vt:i4>5</vt:i4>
      </vt:variant>
      <vt:variant>
        <vt:lpwstr>https://www.ncver.edu.au/research-and-statistics/publications/all-publications/total-vet-students-and-courses-2020</vt:lpwstr>
      </vt:variant>
      <vt:variant>
        <vt:lpwstr/>
      </vt:variant>
      <vt:variant>
        <vt:i4>8126569</vt:i4>
      </vt:variant>
      <vt:variant>
        <vt:i4>12</vt:i4>
      </vt:variant>
      <vt:variant>
        <vt:i4>0</vt:i4>
      </vt:variant>
      <vt:variant>
        <vt:i4>5</vt:i4>
      </vt:variant>
      <vt:variant>
        <vt:lpwstr>https://www.dese.gov.au/higher-education-statistics/student-data/selected-higher-education-statistics-2019-student-data</vt:lpwstr>
      </vt:variant>
      <vt:variant>
        <vt:lpwstr/>
      </vt:variant>
      <vt:variant>
        <vt:i4>7864432</vt:i4>
      </vt:variant>
      <vt:variant>
        <vt:i4>9</vt:i4>
      </vt:variant>
      <vt:variant>
        <vt:i4>0</vt:i4>
      </vt:variant>
      <vt:variant>
        <vt:i4>5</vt:i4>
      </vt:variant>
      <vt:variant>
        <vt:lpwstr>https://www.ncver.edu.au/research-and-statistics/publications/all-publications/total-vet-students-and-courses-2020</vt:lpwstr>
      </vt:variant>
      <vt:variant>
        <vt:lpwstr/>
      </vt:variant>
      <vt:variant>
        <vt:i4>4456532</vt:i4>
      </vt:variant>
      <vt:variant>
        <vt:i4>6</vt:i4>
      </vt:variant>
      <vt:variant>
        <vt:i4>0</vt:i4>
      </vt:variant>
      <vt:variant>
        <vt:i4>5</vt:i4>
      </vt:variant>
      <vt:variant>
        <vt:lpwstr>https://www.abs.gov.au/statistics/labour/employment-and-unemployment/labour-force-australia-detailed/feb-2022</vt:lpwstr>
      </vt:variant>
      <vt:variant>
        <vt:lpwstr/>
      </vt:variant>
      <vt:variant>
        <vt:i4>4456532</vt:i4>
      </vt:variant>
      <vt:variant>
        <vt:i4>3</vt:i4>
      </vt:variant>
      <vt:variant>
        <vt:i4>0</vt:i4>
      </vt:variant>
      <vt:variant>
        <vt:i4>5</vt:i4>
      </vt:variant>
      <vt:variant>
        <vt:lpwstr>https://www.abs.gov.au/statistics/labour/employment-and-unemployment/labour-force-australia-detailed/feb-2022</vt:lpwstr>
      </vt:variant>
      <vt:variant>
        <vt:lpwstr/>
      </vt:variant>
      <vt:variant>
        <vt:i4>1507428</vt:i4>
      </vt:variant>
      <vt:variant>
        <vt:i4>0</vt:i4>
      </vt:variant>
      <vt:variant>
        <vt:i4>0</vt:i4>
      </vt:variant>
      <vt:variant>
        <vt:i4>5</vt:i4>
      </vt:variant>
      <vt:variant>
        <vt:lpwstr>https://www.abs.gov.au/ausstats/abs@.nsf/Previousproducts/0875AD322082E937CA25711F00146E43?opendocument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Williams</dc:creator>
  <cp:keywords/>
  <dc:description/>
  <cp:lastModifiedBy>Victoria Gell</cp:lastModifiedBy>
  <cp:revision>17</cp:revision>
  <cp:lastPrinted>2022-10-14T17:38:00Z</cp:lastPrinted>
  <dcterms:created xsi:type="dcterms:W3CDTF">2022-10-27T02:43:00Z</dcterms:created>
  <dcterms:modified xsi:type="dcterms:W3CDTF">2022-11-04T00:57:00Z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TF10002026</vt:lpwstr>
  </property>
  <property fmtid="{D5CDD505-2E9C-101B-9397-08002B2CF9AE}" pid="3" name="ContentTypeId">
    <vt:lpwstr>0x01010064588D2D78AA0D46AB4349BDBD51C850</vt:lpwstr>
  </property>
  <property fmtid="{D5CDD505-2E9C-101B-9397-08002B2CF9AE}" pid="4" name="MediaServiceImageTags">
    <vt:lpwstr/>
  </property>
</Properties>
</file>