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9648" w14:textId="77777777" w:rsidR="0074696E" w:rsidRPr="00492034" w:rsidRDefault="000E0970" w:rsidP="00AD784C">
      <w:pPr>
        <w:pStyle w:val="Spacerparatopoffirstpage"/>
        <w:rPr>
          <w:rFonts w:ascii="VIC" w:hAnsi="VIC"/>
          <w:sz w:val="24"/>
          <w:szCs w:val="24"/>
        </w:rPr>
      </w:pPr>
      <w:r w:rsidRPr="00492034">
        <w:rPr>
          <w:rFonts w:ascii="VIC" w:hAnsi="VIC"/>
          <w:sz w:val="24"/>
          <w:szCs w:val="24"/>
          <w:lang w:eastAsia="en-AU"/>
        </w:rPr>
        <w:drawing>
          <wp:anchor distT="0" distB="0" distL="114300" distR="114300" simplePos="0" relativeHeight="251657216" behindDoc="1" locked="1" layoutInCell="0" allowOverlap="1" wp14:anchorId="6956967C" wp14:editId="6956967D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70470" cy="2072640"/>
            <wp:effectExtent l="0" t="0" r="0" b="381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69649" w14:textId="77777777" w:rsidR="00A62D44" w:rsidRPr="00492034" w:rsidRDefault="00A62D44" w:rsidP="004C6EEE">
      <w:pPr>
        <w:pStyle w:val="Sectionbreakfirstpage"/>
        <w:rPr>
          <w:rFonts w:ascii="VIC" w:hAnsi="VIC"/>
          <w:sz w:val="24"/>
          <w:szCs w:val="24"/>
        </w:rPr>
        <w:sectPr w:rsidR="00A62D44" w:rsidRPr="00492034" w:rsidSect="00AD784C">
          <w:footerReference w:type="default" r:id="rId8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</w:tblGrid>
      <w:tr w:rsidR="00492034" w:rsidRPr="00492034" w14:paraId="6956964B" w14:textId="77777777" w:rsidTr="003C1224">
        <w:trPr>
          <w:trHeight w:val="1247"/>
        </w:trPr>
        <w:tc>
          <w:tcPr>
            <w:tcW w:w="8472" w:type="dxa"/>
            <w:shd w:val="clear" w:color="auto" w:fill="auto"/>
            <w:vAlign w:val="bottom"/>
          </w:tcPr>
          <w:p w14:paraId="6956964A" w14:textId="77777777" w:rsidR="00AD784C" w:rsidRPr="00492034" w:rsidRDefault="004C58B1" w:rsidP="00492034">
            <w:pPr>
              <w:pStyle w:val="Heading1"/>
              <w:rPr>
                <w:color w:val="FFFFFF" w:themeColor="background1"/>
              </w:rPr>
            </w:pPr>
            <w:r w:rsidRPr="00492034">
              <w:rPr>
                <w:color w:val="FFFFFF" w:themeColor="background1"/>
              </w:rPr>
              <w:t xml:space="preserve">Child </w:t>
            </w:r>
            <w:r w:rsidR="00907B2C" w:rsidRPr="00492034">
              <w:rPr>
                <w:color w:val="FFFFFF" w:themeColor="background1"/>
              </w:rPr>
              <w:t>I</w:t>
            </w:r>
            <w:r w:rsidRPr="00492034">
              <w:rPr>
                <w:color w:val="FFFFFF" w:themeColor="background1"/>
              </w:rPr>
              <w:t xml:space="preserve">nformation </w:t>
            </w:r>
            <w:r w:rsidR="00907B2C" w:rsidRPr="00492034">
              <w:rPr>
                <w:color w:val="FFFFFF" w:themeColor="background1"/>
              </w:rPr>
              <w:t>S</w:t>
            </w:r>
            <w:r w:rsidRPr="00492034">
              <w:rPr>
                <w:color w:val="FFFFFF" w:themeColor="background1"/>
              </w:rPr>
              <w:t xml:space="preserve">haring </w:t>
            </w:r>
            <w:r w:rsidR="00907B2C" w:rsidRPr="00492034">
              <w:rPr>
                <w:color w:val="FFFFFF" w:themeColor="background1"/>
              </w:rPr>
              <w:t>Scheme summary</w:t>
            </w:r>
          </w:p>
        </w:tc>
      </w:tr>
      <w:tr w:rsidR="00AD784C" w:rsidRPr="00492034" w14:paraId="6956964D" w14:textId="77777777" w:rsidTr="003C1224">
        <w:trPr>
          <w:trHeight w:hRule="exact" w:val="1162"/>
        </w:trPr>
        <w:tc>
          <w:tcPr>
            <w:tcW w:w="8472" w:type="dxa"/>
            <w:shd w:val="clear" w:color="auto" w:fill="auto"/>
            <w:tcMar>
              <w:top w:w="170" w:type="dxa"/>
              <w:bottom w:w="510" w:type="dxa"/>
            </w:tcMar>
          </w:tcPr>
          <w:p w14:paraId="6956964C" w14:textId="77777777" w:rsidR="00357B4E" w:rsidRPr="00492034" w:rsidRDefault="00357B4E" w:rsidP="00357B4E">
            <w:pPr>
              <w:pStyle w:val="WOVGmainsubheading"/>
              <w:rPr>
                <w:rFonts w:ascii="VIC" w:hAnsi="VIC"/>
                <w:sz w:val="24"/>
              </w:rPr>
            </w:pPr>
          </w:p>
        </w:tc>
      </w:tr>
    </w:tbl>
    <w:p w14:paraId="6956964E" w14:textId="10D91055" w:rsidR="00FF21B0" w:rsidRPr="00F87F82" w:rsidRDefault="00FF21B0" w:rsidP="00FF21B0">
      <w:pPr>
        <w:pStyle w:val="WOVGbody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This document is designed to assist professionals in the application of the Child Information Sharing Scheme</w:t>
      </w:r>
      <w:r w:rsidR="00A331CF">
        <w:rPr>
          <w:rFonts w:ascii="VIC" w:hAnsi="VIC"/>
          <w:sz w:val="22"/>
          <w:szCs w:val="22"/>
        </w:rPr>
        <w:t xml:space="preserve"> (CISS)</w:t>
      </w:r>
      <w:r w:rsidRPr="00F87F82">
        <w:rPr>
          <w:rFonts w:ascii="VIC" w:hAnsi="VIC"/>
          <w:sz w:val="22"/>
          <w:szCs w:val="22"/>
        </w:rPr>
        <w:t xml:space="preserve">. The Child Information Sharing Scheme Ministerial Guidelines detail the legal obligations of prescribed information sharing entities. Ministerial guidelines and additional resources are available at </w:t>
      </w:r>
      <w:hyperlink r:id="rId9" w:history="1">
        <w:r w:rsidRPr="004D5BA5">
          <w:rPr>
            <w:rStyle w:val="Hyperlink"/>
            <w:rFonts w:ascii="VIC" w:hAnsi="VIC"/>
            <w:sz w:val="22"/>
            <w:szCs w:val="22"/>
          </w:rPr>
          <w:t>www.infosharing.vic.gov.au</w:t>
        </w:r>
      </w:hyperlink>
    </w:p>
    <w:p w14:paraId="6956964F" w14:textId="77777777" w:rsidR="00907B2C" w:rsidRPr="00F87F82" w:rsidRDefault="00907B2C" w:rsidP="00907B2C">
      <w:pPr>
        <w:pStyle w:val="Heading2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 xml:space="preserve">Who </w:t>
      </w:r>
    </w:p>
    <w:p w14:paraId="69569650" w14:textId="77777777" w:rsidR="00907B2C" w:rsidRPr="00F87F82" w:rsidRDefault="00907B2C" w:rsidP="00907B2C">
      <w:pPr>
        <w:pStyle w:val="Heading3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Who can share information</w:t>
      </w:r>
    </w:p>
    <w:p w14:paraId="2D54703D" w14:textId="77777777" w:rsidR="00F955EE" w:rsidRDefault="00907B2C" w:rsidP="00907B2C">
      <w:pPr>
        <w:pStyle w:val="WOVGbody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If the scheme’s threshold is met, prescribed information sharing entities can request and disclose confidential information ab</w:t>
      </w:r>
      <w:r w:rsidR="000D2E3E" w:rsidRPr="00F87F82">
        <w:rPr>
          <w:rFonts w:ascii="VIC" w:hAnsi="VIC"/>
          <w:sz w:val="22"/>
          <w:szCs w:val="22"/>
        </w:rPr>
        <w:t xml:space="preserve">out any person with each other. </w:t>
      </w:r>
    </w:p>
    <w:p w14:paraId="69569651" w14:textId="5A313894" w:rsidR="00907B2C" w:rsidRPr="00F87F82" w:rsidRDefault="00907B2C" w:rsidP="00907B2C">
      <w:pPr>
        <w:pStyle w:val="WOVGbody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(The Child Information Sharing Scheme also permits information sharing entities to share information with a child, a person with parental responsibility for the child or a person with whom the child is living, for the more limited purpose of managing a risk to the child’s safety.)</w:t>
      </w:r>
    </w:p>
    <w:p w14:paraId="69569652" w14:textId="77777777" w:rsidR="00907B2C" w:rsidRPr="00F87F82" w:rsidRDefault="00907B2C" w:rsidP="00907B2C">
      <w:pPr>
        <w:pStyle w:val="Heading2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Why</w:t>
      </w:r>
    </w:p>
    <w:p w14:paraId="69569653" w14:textId="77777777" w:rsidR="00907B2C" w:rsidRPr="00F87F82" w:rsidRDefault="00907B2C" w:rsidP="00907B2C">
      <w:pPr>
        <w:pStyle w:val="Heading3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Threshold part 1: Promoting child wellbeing or safety</w:t>
      </w:r>
    </w:p>
    <w:p w14:paraId="69569654" w14:textId="77777777" w:rsidR="00907B2C" w:rsidRPr="00F87F82" w:rsidRDefault="00907B2C" w:rsidP="00907B2C">
      <w:pPr>
        <w:pStyle w:val="WOVGbody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 xml:space="preserve">An information sharing entity can </w:t>
      </w:r>
      <w:r w:rsidRPr="00F87F82">
        <w:rPr>
          <w:rFonts w:ascii="VIC" w:hAnsi="VIC"/>
          <w:b/>
          <w:sz w:val="22"/>
          <w:szCs w:val="22"/>
        </w:rPr>
        <w:t>request</w:t>
      </w:r>
      <w:r w:rsidRPr="00F87F82">
        <w:rPr>
          <w:rFonts w:ascii="VIC" w:hAnsi="VIC"/>
          <w:sz w:val="22"/>
          <w:szCs w:val="22"/>
        </w:rPr>
        <w:t xml:space="preserve"> or </w:t>
      </w:r>
      <w:r w:rsidRPr="00F87F82">
        <w:rPr>
          <w:rFonts w:ascii="VIC" w:hAnsi="VIC"/>
          <w:b/>
          <w:sz w:val="22"/>
          <w:szCs w:val="22"/>
        </w:rPr>
        <w:t>disclose</w:t>
      </w:r>
      <w:r w:rsidRPr="00F87F82">
        <w:rPr>
          <w:rFonts w:ascii="VIC" w:hAnsi="VIC"/>
          <w:sz w:val="22"/>
          <w:szCs w:val="22"/>
        </w:rPr>
        <w:t xml:space="preserve"> information about any person for the purpose of promoting the wellbeing or safety of a child or group of children.</w:t>
      </w:r>
    </w:p>
    <w:p w14:paraId="69569655" w14:textId="77777777" w:rsidR="00907B2C" w:rsidRPr="00F87F82" w:rsidRDefault="00907B2C" w:rsidP="00907B2C">
      <w:pPr>
        <w:pStyle w:val="Heading2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What</w:t>
      </w:r>
    </w:p>
    <w:p w14:paraId="69569656" w14:textId="77777777" w:rsidR="00907B2C" w:rsidRPr="00F87F82" w:rsidRDefault="00907B2C" w:rsidP="00907B2C">
      <w:pPr>
        <w:pStyle w:val="Heading3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Threshold part 2: Sharing to assist another information sharing entity</w:t>
      </w:r>
    </w:p>
    <w:p w14:paraId="69569657" w14:textId="33953BB4" w:rsidR="00907B2C" w:rsidRPr="00F87F82" w:rsidRDefault="00907B2C" w:rsidP="00907B2C">
      <w:pPr>
        <w:pStyle w:val="WOVGbody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 xml:space="preserve">The </w:t>
      </w:r>
      <w:r w:rsidRPr="00F87F82">
        <w:rPr>
          <w:rFonts w:ascii="VIC" w:hAnsi="VIC"/>
          <w:b/>
          <w:sz w:val="22"/>
          <w:szCs w:val="22"/>
        </w:rPr>
        <w:t>disclosing</w:t>
      </w:r>
      <w:r w:rsidRPr="00F87F82">
        <w:rPr>
          <w:rFonts w:ascii="VIC" w:hAnsi="VIC"/>
          <w:sz w:val="22"/>
          <w:szCs w:val="22"/>
        </w:rPr>
        <w:t xml:space="preserve"> information sharing entity must reasonably believe that sharing the information may assist the receiving information sharing entity to carry out one or more of the following </w:t>
      </w:r>
      <w:r w:rsidR="002F73E2">
        <w:rPr>
          <w:rFonts w:ascii="VIC" w:hAnsi="VIC"/>
          <w:sz w:val="22"/>
          <w:szCs w:val="22"/>
        </w:rPr>
        <w:t>actions</w:t>
      </w:r>
      <w:r w:rsidRPr="00F87F82">
        <w:rPr>
          <w:rFonts w:ascii="VIC" w:hAnsi="VIC"/>
          <w:sz w:val="22"/>
          <w:szCs w:val="22"/>
        </w:rPr>
        <w:t>:</w:t>
      </w:r>
    </w:p>
    <w:p w14:paraId="69569658" w14:textId="77777777" w:rsidR="00907B2C" w:rsidRPr="00F87F82" w:rsidRDefault="00907B2C" w:rsidP="00907B2C">
      <w:pPr>
        <w:pStyle w:val="WOVGnumberlowerroman"/>
        <w:numPr>
          <w:ilvl w:val="0"/>
          <w:numId w:val="14"/>
        </w:numPr>
        <w:rPr>
          <w:rFonts w:ascii="VIC" w:hAnsi="VIC"/>
          <w:sz w:val="22"/>
          <w:szCs w:val="22"/>
        </w:rPr>
      </w:pPr>
      <w:proofErr w:type="gramStart"/>
      <w:r w:rsidRPr="00F87F82">
        <w:rPr>
          <w:rFonts w:ascii="VIC" w:hAnsi="VIC"/>
          <w:sz w:val="22"/>
          <w:szCs w:val="22"/>
        </w:rPr>
        <w:t>making a decision</w:t>
      </w:r>
      <w:proofErr w:type="gramEnd"/>
      <w:r w:rsidRPr="00F87F82">
        <w:rPr>
          <w:rFonts w:ascii="VIC" w:hAnsi="VIC"/>
          <w:sz w:val="22"/>
          <w:szCs w:val="22"/>
        </w:rPr>
        <w:t>, an assessment or a plan relating to a child or group of children</w:t>
      </w:r>
    </w:p>
    <w:p w14:paraId="69569659" w14:textId="77777777" w:rsidR="00907B2C" w:rsidRPr="00F87F82" w:rsidRDefault="00907B2C" w:rsidP="00907B2C">
      <w:pPr>
        <w:pStyle w:val="WOVGnumberlowerroman"/>
        <w:numPr>
          <w:ilvl w:val="0"/>
          <w:numId w:val="14"/>
        </w:numPr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 xml:space="preserve">initiating or </w:t>
      </w:r>
      <w:proofErr w:type="gramStart"/>
      <w:r w:rsidRPr="00F87F82">
        <w:rPr>
          <w:rFonts w:ascii="VIC" w:hAnsi="VIC"/>
          <w:sz w:val="22"/>
          <w:szCs w:val="22"/>
        </w:rPr>
        <w:t>conducting an investigation</w:t>
      </w:r>
      <w:proofErr w:type="gramEnd"/>
      <w:r w:rsidRPr="00F87F82">
        <w:rPr>
          <w:rFonts w:ascii="VIC" w:hAnsi="VIC"/>
          <w:sz w:val="22"/>
          <w:szCs w:val="22"/>
        </w:rPr>
        <w:t xml:space="preserve"> relating to a child or group of children</w:t>
      </w:r>
    </w:p>
    <w:p w14:paraId="6956965A" w14:textId="77777777" w:rsidR="00907B2C" w:rsidRPr="00F87F82" w:rsidRDefault="00907B2C" w:rsidP="00907B2C">
      <w:pPr>
        <w:pStyle w:val="WOVGnumberlowerroman"/>
        <w:numPr>
          <w:ilvl w:val="0"/>
          <w:numId w:val="14"/>
        </w:numPr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providing a service relating to a child or group of children</w:t>
      </w:r>
    </w:p>
    <w:p w14:paraId="6956965B" w14:textId="77777777" w:rsidR="00907B2C" w:rsidRPr="00F87F82" w:rsidRDefault="00907B2C" w:rsidP="00907B2C">
      <w:pPr>
        <w:pStyle w:val="WOVGnumberlowerroman"/>
        <w:numPr>
          <w:ilvl w:val="0"/>
          <w:numId w:val="14"/>
        </w:numPr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managing any risk to a child or group of children.</w:t>
      </w:r>
    </w:p>
    <w:p w14:paraId="6956965C" w14:textId="77777777" w:rsidR="00907B2C" w:rsidRPr="00F87F82" w:rsidRDefault="00907B2C" w:rsidP="00907B2C">
      <w:pPr>
        <w:pStyle w:val="Heading3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Threshold part 3: Excluded information</w:t>
      </w:r>
    </w:p>
    <w:p w14:paraId="6956965D" w14:textId="77777777" w:rsidR="00907B2C" w:rsidRPr="00F87F82" w:rsidRDefault="00907B2C" w:rsidP="00907B2C">
      <w:pPr>
        <w:pStyle w:val="WOVGbody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 xml:space="preserve">The information being </w:t>
      </w:r>
      <w:r w:rsidRPr="00F87F82">
        <w:rPr>
          <w:rFonts w:ascii="VIC" w:hAnsi="VIC"/>
          <w:b/>
          <w:sz w:val="22"/>
          <w:szCs w:val="22"/>
        </w:rPr>
        <w:t>disclosed</w:t>
      </w:r>
      <w:r w:rsidRPr="00F87F82">
        <w:rPr>
          <w:rFonts w:ascii="VIC" w:hAnsi="VIC"/>
          <w:sz w:val="22"/>
          <w:szCs w:val="22"/>
        </w:rPr>
        <w:t xml:space="preserve"> or </w:t>
      </w:r>
      <w:r w:rsidRPr="00F87F82">
        <w:rPr>
          <w:rFonts w:ascii="VIC" w:hAnsi="VIC"/>
          <w:b/>
          <w:sz w:val="22"/>
          <w:szCs w:val="22"/>
        </w:rPr>
        <w:t>requested</w:t>
      </w:r>
      <w:r w:rsidRPr="00F87F82">
        <w:rPr>
          <w:rFonts w:ascii="VIC" w:hAnsi="VIC"/>
          <w:sz w:val="22"/>
          <w:szCs w:val="22"/>
        </w:rPr>
        <w:t xml:space="preserve"> is not known to be ‘excluded information’ under Part 6A of the </w:t>
      </w:r>
      <w:r w:rsidRPr="00F87F82">
        <w:rPr>
          <w:rFonts w:ascii="VIC" w:hAnsi="VIC"/>
          <w:i/>
          <w:sz w:val="22"/>
          <w:szCs w:val="22"/>
        </w:rPr>
        <w:t>Child Wellbeing and Safety Act 2005</w:t>
      </w:r>
      <w:r w:rsidRPr="00F87F82">
        <w:rPr>
          <w:rFonts w:ascii="VIC" w:hAnsi="VIC"/>
          <w:sz w:val="22"/>
          <w:szCs w:val="22"/>
        </w:rPr>
        <w:t xml:space="preserve"> (and is not restricted from sharing by another law).</w:t>
      </w:r>
    </w:p>
    <w:p w14:paraId="6956965E" w14:textId="77777777" w:rsidR="004C58B1" w:rsidRPr="00F87F82" w:rsidRDefault="00907B2C" w:rsidP="00907B2C">
      <w:pPr>
        <w:pStyle w:val="Heading2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lastRenderedPageBreak/>
        <w:t>When</w:t>
      </w:r>
    </w:p>
    <w:p w14:paraId="6956965F" w14:textId="77777777" w:rsidR="00907B2C" w:rsidRPr="00F87F82" w:rsidRDefault="00907B2C" w:rsidP="00907B2C">
      <w:pPr>
        <w:pStyle w:val="Heading3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When should information be shared</w:t>
      </w:r>
    </w:p>
    <w:p w14:paraId="69569660" w14:textId="77777777" w:rsidR="00A01D8A" w:rsidRPr="00F87F82" w:rsidRDefault="00A01D8A" w:rsidP="00A01D8A">
      <w:pPr>
        <w:pStyle w:val="WOVGbody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If the threshold of the scheme is met, an information sharing entity:</w:t>
      </w:r>
    </w:p>
    <w:p w14:paraId="69569661" w14:textId="77777777" w:rsidR="00A01D8A" w:rsidRPr="00F87F82" w:rsidRDefault="00A01D8A" w:rsidP="00A01D8A">
      <w:pPr>
        <w:pStyle w:val="WOVGbullet1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 xml:space="preserve">can </w:t>
      </w:r>
      <w:r w:rsidRPr="00F87F82">
        <w:rPr>
          <w:rFonts w:ascii="VIC" w:hAnsi="VIC"/>
          <w:b/>
          <w:sz w:val="22"/>
          <w:szCs w:val="22"/>
        </w:rPr>
        <w:t>share proactively</w:t>
      </w:r>
      <w:r w:rsidRPr="00F87F82">
        <w:rPr>
          <w:rFonts w:ascii="VIC" w:hAnsi="VIC"/>
          <w:sz w:val="22"/>
          <w:szCs w:val="22"/>
        </w:rPr>
        <w:t xml:space="preserve"> with other information sharing entities</w:t>
      </w:r>
    </w:p>
    <w:p w14:paraId="69569662" w14:textId="77777777" w:rsidR="00A01D8A" w:rsidRPr="00F87F82" w:rsidRDefault="00A01D8A" w:rsidP="00A01D8A">
      <w:pPr>
        <w:pStyle w:val="WOVGbullet1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 xml:space="preserve">can </w:t>
      </w:r>
      <w:r w:rsidRPr="00F87F82">
        <w:rPr>
          <w:rFonts w:ascii="VIC" w:hAnsi="VIC"/>
          <w:b/>
          <w:sz w:val="22"/>
          <w:szCs w:val="22"/>
        </w:rPr>
        <w:t>request information</w:t>
      </w:r>
      <w:r w:rsidRPr="00F87F82">
        <w:rPr>
          <w:rFonts w:ascii="VIC" w:hAnsi="VIC"/>
          <w:sz w:val="22"/>
          <w:szCs w:val="22"/>
        </w:rPr>
        <w:t xml:space="preserve"> from another information sharing entity</w:t>
      </w:r>
    </w:p>
    <w:p w14:paraId="69569663" w14:textId="77777777" w:rsidR="00907B2C" w:rsidRPr="00F87F82" w:rsidRDefault="00A01D8A" w:rsidP="00A01D8A">
      <w:pPr>
        <w:pStyle w:val="WOVGbullet1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 xml:space="preserve">must </w:t>
      </w:r>
      <w:r w:rsidRPr="00F87F82">
        <w:rPr>
          <w:rFonts w:ascii="VIC" w:hAnsi="VIC"/>
          <w:b/>
          <w:sz w:val="22"/>
          <w:szCs w:val="22"/>
        </w:rPr>
        <w:t>respond to requests for information</w:t>
      </w:r>
      <w:r w:rsidRPr="00F87F82">
        <w:rPr>
          <w:rFonts w:ascii="VIC" w:hAnsi="VIC"/>
          <w:sz w:val="22"/>
          <w:szCs w:val="22"/>
        </w:rPr>
        <w:t xml:space="preserve"> from another information sharing entity and provide relevant information.</w:t>
      </w:r>
    </w:p>
    <w:p w14:paraId="69569664" w14:textId="77777777" w:rsidR="00A01D8A" w:rsidRPr="00F87F82" w:rsidRDefault="00A01D8A" w:rsidP="00A01D8A">
      <w:pPr>
        <w:pStyle w:val="Heading2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Principles</w:t>
      </w:r>
    </w:p>
    <w:p w14:paraId="69569665" w14:textId="77777777" w:rsidR="00A01D8A" w:rsidRPr="00F87F82" w:rsidRDefault="00A01D8A" w:rsidP="00A01D8A">
      <w:pPr>
        <w:pStyle w:val="Heading3"/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Legislative principles to guide sharing</w:t>
      </w:r>
    </w:p>
    <w:p w14:paraId="69569666" w14:textId="77777777" w:rsidR="00A01D8A" w:rsidRPr="00F87F82" w:rsidRDefault="00A01D8A" w:rsidP="00A01D8A">
      <w:pPr>
        <w:pStyle w:val="WOVGnumberdigit"/>
        <w:numPr>
          <w:ilvl w:val="0"/>
          <w:numId w:val="2"/>
        </w:numPr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Give precedence to the wellbeing and safety of a child or group of children over the right to privacy.</w:t>
      </w:r>
    </w:p>
    <w:p w14:paraId="69569667" w14:textId="77777777" w:rsidR="00A01D8A" w:rsidRPr="00F87F82" w:rsidRDefault="00A01D8A" w:rsidP="00A01D8A">
      <w:pPr>
        <w:pStyle w:val="WOVGnumberdigit"/>
        <w:numPr>
          <w:ilvl w:val="0"/>
          <w:numId w:val="2"/>
        </w:numPr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Seek to preserve and promote positive relationships between a child and the child’s family members and people significant in the child’s life.</w:t>
      </w:r>
    </w:p>
    <w:p w14:paraId="69569668" w14:textId="77777777" w:rsidR="00A01D8A" w:rsidRPr="00F87F82" w:rsidRDefault="00A01D8A" w:rsidP="00A01D8A">
      <w:pPr>
        <w:pStyle w:val="WOVGnumberdigit"/>
        <w:numPr>
          <w:ilvl w:val="0"/>
          <w:numId w:val="2"/>
        </w:numPr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Seek to maintain constructive and respectful engagement with children and their families.</w:t>
      </w:r>
    </w:p>
    <w:p w14:paraId="69569669" w14:textId="77777777" w:rsidR="00A01D8A" w:rsidRPr="00F87F82" w:rsidRDefault="00A01D8A" w:rsidP="00A01D8A">
      <w:pPr>
        <w:pStyle w:val="WOVGnumberdigit"/>
        <w:numPr>
          <w:ilvl w:val="0"/>
          <w:numId w:val="2"/>
        </w:numPr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 xml:space="preserve">Be respectful of and have regard to a child’s social, </w:t>
      </w:r>
      <w:proofErr w:type="gramStart"/>
      <w:r w:rsidRPr="00F87F82">
        <w:rPr>
          <w:rFonts w:ascii="VIC" w:hAnsi="VIC"/>
          <w:sz w:val="22"/>
          <w:szCs w:val="22"/>
        </w:rPr>
        <w:t>individual</w:t>
      </w:r>
      <w:proofErr w:type="gramEnd"/>
      <w:r w:rsidRPr="00F87F82">
        <w:rPr>
          <w:rFonts w:ascii="VIC" w:hAnsi="VIC"/>
          <w:sz w:val="22"/>
          <w:szCs w:val="22"/>
        </w:rPr>
        <w:t xml:space="preserve"> and cultural identity, the child’s strengths and abilities and any vulnerability relevant to the child’s safety or wellbeing.</w:t>
      </w:r>
    </w:p>
    <w:p w14:paraId="6956966A" w14:textId="77777777" w:rsidR="00A01D8A" w:rsidRPr="00F87F82" w:rsidRDefault="00A01D8A" w:rsidP="00A01D8A">
      <w:pPr>
        <w:pStyle w:val="WOVGnumberdigit"/>
        <w:numPr>
          <w:ilvl w:val="0"/>
          <w:numId w:val="2"/>
        </w:numPr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Promote the cultural safety and recognise the cultural rights and familial and community connections of children who are Aboriginal, Torres Strait Islander or both.</w:t>
      </w:r>
    </w:p>
    <w:p w14:paraId="6956966B" w14:textId="77777777" w:rsidR="00A01D8A" w:rsidRPr="00F87F82" w:rsidRDefault="00A01D8A" w:rsidP="00A01D8A">
      <w:pPr>
        <w:pStyle w:val="WOVGnumberdigit"/>
        <w:numPr>
          <w:ilvl w:val="0"/>
          <w:numId w:val="2"/>
        </w:numPr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 xml:space="preserve">Seek and </w:t>
      </w:r>
      <w:proofErr w:type="gramStart"/>
      <w:r w:rsidRPr="00F87F82">
        <w:rPr>
          <w:rFonts w:ascii="VIC" w:hAnsi="VIC"/>
          <w:sz w:val="22"/>
          <w:szCs w:val="22"/>
        </w:rPr>
        <w:t>take into account</w:t>
      </w:r>
      <w:proofErr w:type="gramEnd"/>
      <w:r w:rsidRPr="00F87F82">
        <w:rPr>
          <w:rFonts w:ascii="VIC" w:hAnsi="VIC"/>
          <w:sz w:val="22"/>
          <w:szCs w:val="22"/>
        </w:rPr>
        <w:t xml:space="preserve"> the views of the child and the child’s relevant family members, if it is appropriate, safe and reasonable to do so.</w:t>
      </w:r>
    </w:p>
    <w:p w14:paraId="6956966C" w14:textId="77777777" w:rsidR="00A01D8A" w:rsidRPr="00F87F82" w:rsidRDefault="00A01D8A" w:rsidP="00A01D8A">
      <w:pPr>
        <w:pStyle w:val="WOVGnumberdigit"/>
        <w:numPr>
          <w:ilvl w:val="0"/>
          <w:numId w:val="2"/>
        </w:numPr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Take all reasonable steps to plan for the safety of all family members believed to be at risk from family violence.</w:t>
      </w:r>
    </w:p>
    <w:p w14:paraId="6956966D" w14:textId="77777777" w:rsidR="00A01D8A" w:rsidRPr="00F87F82" w:rsidRDefault="00A01D8A" w:rsidP="00A01D8A">
      <w:pPr>
        <w:pStyle w:val="WOVGnumberdigit"/>
        <w:numPr>
          <w:ilvl w:val="0"/>
          <w:numId w:val="2"/>
        </w:numPr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Only share confidential information to the extent necessary to promote the wellbeing or safety of a child or group of children, consistent with the best interests of that child or those children.</w:t>
      </w:r>
    </w:p>
    <w:p w14:paraId="6956966E" w14:textId="77777777" w:rsidR="00A01D8A" w:rsidRPr="00F87F82" w:rsidRDefault="00A01D8A" w:rsidP="00A01D8A">
      <w:pPr>
        <w:pStyle w:val="WOVGnumberdigit"/>
        <w:numPr>
          <w:ilvl w:val="0"/>
          <w:numId w:val="2"/>
        </w:numPr>
        <w:rPr>
          <w:rFonts w:ascii="VIC" w:hAnsi="VIC"/>
          <w:sz w:val="22"/>
          <w:szCs w:val="22"/>
        </w:rPr>
      </w:pPr>
      <w:r w:rsidRPr="00F87F82">
        <w:rPr>
          <w:rFonts w:ascii="VIC" w:hAnsi="VIC"/>
          <w:sz w:val="22"/>
          <w:szCs w:val="22"/>
        </w:rPr>
        <w:t>Work collaboratively in a manner that respects the functions and expertise of each information sharing entity.</w:t>
      </w:r>
    </w:p>
    <w:p w14:paraId="69569670" w14:textId="77777777" w:rsidR="009562E6" w:rsidRPr="00F87F82" w:rsidRDefault="009562E6" w:rsidP="00F87F82">
      <w:pPr>
        <w:pStyle w:val="WOVGnumberdigit"/>
        <w:numPr>
          <w:ilvl w:val="0"/>
          <w:numId w:val="0"/>
        </w:numPr>
        <w:rPr>
          <w:rFonts w:ascii="VIC" w:hAnsi="VIC"/>
          <w:sz w:val="22"/>
          <w:szCs w:val="22"/>
        </w:rPr>
      </w:pPr>
    </w:p>
    <w:p w14:paraId="69569674" w14:textId="76C7192F" w:rsidR="009562E6" w:rsidRDefault="002F73E2" w:rsidP="00F87F82">
      <w:pPr>
        <w:pStyle w:val="WOVGnumberdigit"/>
        <w:numPr>
          <w:ilvl w:val="0"/>
          <w:numId w:val="0"/>
        </w:numPr>
        <w:ind w:left="397" w:hanging="397"/>
        <w:jc w:val="right"/>
        <w:rPr>
          <w:rFonts w:ascii="VIC" w:hAnsi="VIC"/>
          <w:sz w:val="22"/>
          <w:szCs w:val="22"/>
        </w:rPr>
      </w:pPr>
      <w:r>
        <w:rPr>
          <w:rFonts w:ascii="VIC" w:hAnsi="VIC"/>
          <w:sz w:val="22"/>
          <w:szCs w:val="22"/>
        </w:rPr>
        <w:t>15 November 2022</w:t>
      </w:r>
    </w:p>
    <w:p w14:paraId="5E14533C" w14:textId="77777777" w:rsidR="009358F3" w:rsidRPr="00F87F82" w:rsidRDefault="009358F3" w:rsidP="00F87F82">
      <w:pPr>
        <w:pStyle w:val="WOVGnumberdigit"/>
        <w:numPr>
          <w:ilvl w:val="0"/>
          <w:numId w:val="0"/>
        </w:numPr>
        <w:ind w:left="397" w:hanging="397"/>
        <w:jc w:val="right"/>
        <w:rPr>
          <w:rFonts w:ascii="VIC" w:hAnsi="VIC"/>
          <w:sz w:val="22"/>
          <w:szCs w:val="22"/>
        </w:rPr>
      </w:pPr>
    </w:p>
    <w:tbl>
      <w:tblPr>
        <w:tblW w:w="4895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80"/>
      </w:tblGrid>
      <w:tr w:rsidR="006254F8" w:rsidRPr="00F87F82" w14:paraId="6956967A" w14:textId="77777777" w:rsidTr="00C1003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69676" w14:textId="77777777" w:rsidR="00F62972" w:rsidRPr="00F87F82" w:rsidRDefault="00F62972" w:rsidP="00F62972">
            <w:pPr>
              <w:pStyle w:val="WOVGbody"/>
              <w:rPr>
                <w:rFonts w:ascii="VIC" w:hAnsi="VIC"/>
                <w:sz w:val="22"/>
                <w:szCs w:val="22"/>
              </w:rPr>
            </w:pPr>
            <w:r w:rsidRPr="00F87F82">
              <w:rPr>
                <w:rFonts w:ascii="VIC" w:hAnsi="VIC"/>
                <w:sz w:val="22"/>
                <w:szCs w:val="22"/>
              </w:rPr>
              <w:t>Authorised and published by the Victorian Government, 1 Treasury Place, Melbourne.</w:t>
            </w:r>
          </w:p>
          <w:p w14:paraId="69569677" w14:textId="77777777" w:rsidR="00F62972" w:rsidRPr="00F87F82" w:rsidRDefault="00F62972" w:rsidP="00F62972">
            <w:pPr>
              <w:pStyle w:val="WOVGbody"/>
              <w:rPr>
                <w:rFonts w:ascii="VIC" w:hAnsi="VIC"/>
                <w:sz w:val="22"/>
                <w:szCs w:val="22"/>
              </w:rPr>
            </w:pPr>
            <w:r w:rsidRPr="00F87F82">
              <w:rPr>
                <w:rFonts w:ascii="VIC" w:hAnsi="VIC"/>
                <w:sz w:val="22"/>
                <w:szCs w:val="22"/>
              </w:rPr>
              <w:t>© State of Victoria, Department of</w:t>
            </w:r>
            <w:r w:rsidR="007628F3" w:rsidRPr="00F87F82">
              <w:rPr>
                <w:rFonts w:ascii="VIC" w:hAnsi="VIC"/>
                <w:sz w:val="22"/>
                <w:szCs w:val="22"/>
              </w:rPr>
              <w:t xml:space="preserve"> Health and Human Services, September</w:t>
            </w:r>
            <w:r w:rsidRPr="00F87F82">
              <w:rPr>
                <w:rFonts w:ascii="VIC" w:hAnsi="VIC"/>
                <w:sz w:val="22"/>
                <w:szCs w:val="22"/>
              </w:rPr>
              <w:t xml:space="preserve"> 2018. </w:t>
            </w:r>
          </w:p>
          <w:p w14:paraId="69569678" w14:textId="77777777" w:rsidR="00F62972" w:rsidRPr="00F87F82" w:rsidRDefault="00907B2C" w:rsidP="00F62972">
            <w:pPr>
              <w:pStyle w:val="WOVGbody"/>
              <w:rPr>
                <w:rFonts w:ascii="VIC" w:hAnsi="VIC"/>
                <w:sz w:val="22"/>
                <w:szCs w:val="22"/>
              </w:rPr>
            </w:pPr>
            <w:r w:rsidRPr="00F87F82">
              <w:rPr>
                <w:rFonts w:ascii="VIC" w:hAnsi="VIC"/>
                <w:sz w:val="22"/>
                <w:szCs w:val="22"/>
              </w:rPr>
              <w:t>ISBN 978-1-76069-554-5 (pdf/online/MS word</w:t>
            </w:r>
            <w:r w:rsidR="00F62972" w:rsidRPr="00F87F82">
              <w:rPr>
                <w:rFonts w:ascii="VIC" w:hAnsi="VIC"/>
                <w:sz w:val="22"/>
                <w:szCs w:val="22"/>
              </w:rPr>
              <w:t>).</w:t>
            </w:r>
          </w:p>
          <w:p w14:paraId="69569679" w14:textId="679A74CA" w:rsidR="006254F8" w:rsidRPr="00F87F82" w:rsidRDefault="00F62972" w:rsidP="007628F3">
            <w:pPr>
              <w:pStyle w:val="WOVGbody"/>
              <w:rPr>
                <w:rFonts w:ascii="VIC" w:hAnsi="VIC"/>
                <w:sz w:val="22"/>
                <w:szCs w:val="22"/>
              </w:rPr>
            </w:pPr>
            <w:r w:rsidRPr="00F87F82">
              <w:rPr>
                <w:rFonts w:ascii="VIC" w:hAnsi="VIC"/>
                <w:sz w:val="22"/>
                <w:szCs w:val="22"/>
              </w:rPr>
              <w:t xml:space="preserve">Available at </w:t>
            </w:r>
            <w:hyperlink r:id="rId10" w:history="1">
              <w:r w:rsidR="001F6560" w:rsidRPr="00F87F82">
                <w:rPr>
                  <w:rStyle w:val="Hyperlink"/>
                  <w:rFonts w:ascii="VIC" w:hAnsi="VIC"/>
                  <w:sz w:val="22"/>
                  <w:szCs w:val="22"/>
                </w:rPr>
                <w:t>www.infosharing.vic.gov.au</w:t>
              </w:r>
            </w:hyperlink>
          </w:p>
        </w:tc>
      </w:tr>
    </w:tbl>
    <w:p w14:paraId="6956967B" w14:textId="77777777" w:rsidR="00F62972" w:rsidRPr="00F87F82" w:rsidRDefault="00F62972" w:rsidP="00F62972">
      <w:pPr>
        <w:pStyle w:val="WOVGbody"/>
        <w:rPr>
          <w:rFonts w:ascii="VIC" w:hAnsi="VIC"/>
          <w:sz w:val="22"/>
          <w:szCs w:val="22"/>
        </w:rPr>
      </w:pPr>
    </w:p>
    <w:sectPr w:rsidR="00F62972" w:rsidRPr="00F87F82" w:rsidSect="004013C7">
      <w:headerReference w:type="default" r:id="rId11"/>
      <w:footerReference w:type="default" r:id="rId12"/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8B20" w14:textId="77777777" w:rsidR="005877F6" w:rsidRDefault="005877F6">
      <w:r>
        <w:separator/>
      </w:r>
    </w:p>
  </w:endnote>
  <w:endnote w:type="continuationSeparator" w:id="0">
    <w:p w14:paraId="2A018D53" w14:textId="77777777" w:rsidR="005877F6" w:rsidRDefault="0058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9682" w14:textId="77777777" w:rsidR="009D70A4" w:rsidRPr="00F65AA9" w:rsidRDefault="000E0970" w:rsidP="0051568D">
    <w:pPr>
      <w:pStyle w:val="WOVGfoot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69569685" wp14:editId="69569686">
          <wp:simplePos x="0" y="0"/>
          <wp:positionH relativeFrom="page">
            <wp:posOffset>6985</wp:posOffset>
          </wp:positionH>
          <wp:positionV relativeFrom="page">
            <wp:posOffset>9901555</wp:posOffset>
          </wp:positionV>
          <wp:extent cx="7546340" cy="791210"/>
          <wp:effectExtent l="0" t="0" r="0" b="8890"/>
          <wp:wrapNone/>
          <wp:docPr id="14" name="Picture 14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9684" w14:textId="77777777" w:rsidR="009D70A4" w:rsidRPr="00A11421" w:rsidRDefault="00A01D8A" w:rsidP="0051568D">
    <w:pPr>
      <w:pStyle w:val="WOVGfooter"/>
    </w:pPr>
    <w:r>
      <w:t>Child Information Sharing Scheme summary</w:t>
    </w:r>
    <w:r w:rsidR="00D00F90">
      <w:ptab w:relativeTo="margin" w:alignment="right" w:leader="none"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C50342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FDEA" w14:textId="77777777" w:rsidR="005877F6" w:rsidRDefault="005877F6" w:rsidP="002862F1">
      <w:pPr>
        <w:spacing w:before="120"/>
      </w:pPr>
      <w:r>
        <w:separator/>
      </w:r>
    </w:p>
  </w:footnote>
  <w:footnote w:type="continuationSeparator" w:id="0">
    <w:p w14:paraId="48EBD855" w14:textId="77777777" w:rsidR="005877F6" w:rsidRDefault="0058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9683" w14:textId="77777777" w:rsidR="009D70A4" w:rsidRPr="0051568D" w:rsidRDefault="009D70A4" w:rsidP="0051568D">
    <w:pPr>
      <w:pStyle w:val="WOVG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376D9DC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WOVG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WOVG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F21E86"/>
    <w:multiLevelType w:val="multilevel"/>
    <w:tmpl w:val="4DAAF9D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7B96CDA"/>
    <w:multiLevelType w:val="multilevel"/>
    <w:tmpl w:val="ACFE2276"/>
    <w:lvl w:ilvl="0">
      <w:start w:val="1"/>
      <w:numFmt w:val="decimal"/>
      <w:pStyle w:val="WOVG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6C68D4"/>
    <w:multiLevelType w:val="multilevel"/>
    <w:tmpl w:val="1376D9DC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WOVG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WOVG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WOVG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WOVG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WOVG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WOVG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WOVG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WOVG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WOVG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WOVG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WOVG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49123225">
    <w:abstractNumId w:val="0"/>
  </w:num>
  <w:num w:numId="2" w16cid:durableId="335034408">
    <w:abstractNumId w:val="6"/>
  </w:num>
  <w:num w:numId="3" w16cid:durableId="14828906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497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594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36436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3904572">
    <w:abstractNumId w:val="9"/>
  </w:num>
  <w:num w:numId="8" w16cid:durableId="186144499">
    <w:abstractNumId w:val="5"/>
  </w:num>
  <w:num w:numId="9" w16cid:durableId="800269517">
    <w:abstractNumId w:val="8"/>
  </w:num>
  <w:num w:numId="10" w16cid:durableId="876090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598878">
    <w:abstractNumId w:val="10"/>
  </w:num>
  <w:num w:numId="12" w16cid:durableId="94980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6606134">
    <w:abstractNumId w:val="7"/>
  </w:num>
  <w:num w:numId="14" w16cid:durableId="9795778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7355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9253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6563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0063871">
    <w:abstractNumId w:val="11"/>
  </w:num>
  <w:num w:numId="19" w16cid:durableId="19637265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6906142">
    <w:abstractNumId w:val="3"/>
  </w:num>
  <w:num w:numId="21" w16cid:durableId="461190179">
    <w:abstractNumId w:val="1"/>
  </w:num>
  <w:num w:numId="22" w16cid:durableId="1476144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7554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096874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21"/>
    <w:rsid w:val="000072B6"/>
    <w:rsid w:val="0001021B"/>
    <w:rsid w:val="00011D89"/>
    <w:rsid w:val="000154FD"/>
    <w:rsid w:val="00024D89"/>
    <w:rsid w:val="000250B6"/>
    <w:rsid w:val="00033D81"/>
    <w:rsid w:val="00041BF0"/>
    <w:rsid w:val="0004536B"/>
    <w:rsid w:val="00046B68"/>
    <w:rsid w:val="000500E4"/>
    <w:rsid w:val="000527DD"/>
    <w:rsid w:val="000578B2"/>
    <w:rsid w:val="00060959"/>
    <w:rsid w:val="000663CD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C0303"/>
    <w:rsid w:val="000C42EA"/>
    <w:rsid w:val="000C4546"/>
    <w:rsid w:val="000D1242"/>
    <w:rsid w:val="000D2E3E"/>
    <w:rsid w:val="000E0970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30CC4"/>
    <w:rsid w:val="001447B3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560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0D36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2F73E2"/>
    <w:rsid w:val="00302216"/>
    <w:rsid w:val="00303E53"/>
    <w:rsid w:val="00306E5F"/>
    <w:rsid w:val="00307E14"/>
    <w:rsid w:val="00314054"/>
    <w:rsid w:val="00316F27"/>
    <w:rsid w:val="00322E4B"/>
    <w:rsid w:val="00327870"/>
    <w:rsid w:val="0033259D"/>
    <w:rsid w:val="003333D2"/>
    <w:rsid w:val="00334CCC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956CC"/>
    <w:rsid w:val="00395C9A"/>
    <w:rsid w:val="003A6B67"/>
    <w:rsid w:val="003B13B6"/>
    <w:rsid w:val="003B15E6"/>
    <w:rsid w:val="003C08A2"/>
    <w:rsid w:val="003C1224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180E"/>
    <w:rsid w:val="003F3289"/>
    <w:rsid w:val="004013C7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3BA3"/>
    <w:rsid w:val="004743DD"/>
    <w:rsid w:val="00474CEA"/>
    <w:rsid w:val="00483968"/>
    <w:rsid w:val="00484F86"/>
    <w:rsid w:val="00490746"/>
    <w:rsid w:val="00490852"/>
    <w:rsid w:val="00492034"/>
    <w:rsid w:val="00492F30"/>
    <w:rsid w:val="004946F4"/>
    <w:rsid w:val="0049487E"/>
    <w:rsid w:val="004A160D"/>
    <w:rsid w:val="004A3E81"/>
    <w:rsid w:val="004A560D"/>
    <w:rsid w:val="004A5C62"/>
    <w:rsid w:val="004A637E"/>
    <w:rsid w:val="004A707D"/>
    <w:rsid w:val="004C58B1"/>
    <w:rsid w:val="004C6EEE"/>
    <w:rsid w:val="004C702B"/>
    <w:rsid w:val="004D0033"/>
    <w:rsid w:val="004D016B"/>
    <w:rsid w:val="004D1B22"/>
    <w:rsid w:val="004D36F2"/>
    <w:rsid w:val="004D5BA5"/>
    <w:rsid w:val="004E1106"/>
    <w:rsid w:val="004E138F"/>
    <w:rsid w:val="004E3BD9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2282"/>
    <w:rsid w:val="00576E84"/>
    <w:rsid w:val="00582B8C"/>
    <w:rsid w:val="0058757E"/>
    <w:rsid w:val="005877F6"/>
    <w:rsid w:val="00596A4B"/>
    <w:rsid w:val="0059750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5D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87923"/>
    <w:rsid w:val="00691B62"/>
    <w:rsid w:val="006933B5"/>
    <w:rsid w:val="00693D14"/>
    <w:rsid w:val="006A18C2"/>
    <w:rsid w:val="006B077C"/>
    <w:rsid w:val="006B6803"/>
    <w:rsid w:val="006D0F16"/>
    <w:rsid w:val="006D2A3F"/>
    <w:rsid w:val="006D2FBC"/>
    <w:rsid w:val="006E138B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28F3"/>
    <w:rsid w:val="00763139"/>
    <w:rsid w:val="00770F37"/>
    <w:rsid w:val="007711A0"/>
    <w:rsid w:val="00772D5E"/>
    <w:rsid w:val="0077692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339AC"/>
    <w:rsid w:val="00841AA9"/>
    <w:rsid w:val="00853EE4"/>
    <w:rsid w:val="00855535"/>
    <w:rsid w:val="00857C5A"/>
    <w:rsid w:val="0086255E"/>
    <w:rsid w:val="008633F0"/>
    <w:rsid w:val="00867D9D"/>
    <w:rsid w:val="00872E0A"/>
    <w:rsid w:val="00875285"/>
    <w:rsid w:val="00884B62"/>
    <w:rsid w:val="0088529C"/>
    <w:rsid w:val="00887903"/>
    <w:rsid w:val="00891770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4A1C"/>
    <w:rsid w:val="00905030"/>
    <w:rsid w:val="00906490"/>
    <w:rsid w:val="00907B2C"/>
    <w:rsid w:val="009111B2"/>
    <w:rsid w:val="00924AE1"/>
    <w:rsid w:val="009269B1"/>
    <w:rsid w:val="0092724D"/>
    <w:rsid w:val="0093338F"/>
    <w:rsid w:val="009358F3"/>
    <w:rsid w:val="00937BD9"/>
    <w:rsid w:val="00950E2C"/>
    <w:rsid w:val="00951D50"/>
    <w:rsid w:val="009525EB"/>
    <w:rsid w:val="00954874"/>
    <w:rsid w:val="009562E6"/>
    <w:rsid w:val="00961400"/>
    <w:rsid w:val="00963646"/>
    <w:rsid w:val="0096632D"/>
    <w:rsid w:val="0097559F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0E98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1D8A"/>
    <w:rsid w:val="00A02D74"/>
    <w:rsid w:val="00A0776B"/>
    <w:rsid w:val="00A11421"/>
    <w:rsid w:val="00A157B1"/>
    <w:rsid w:val="00A22229"/>
    <w:rsid w:val="00A330BB"/>
    <w:rsid w:val="00A331CF"/>
    <w:rsid w:val="00A44882"/>
    <w:rsid w:val="00A54715"/>
    <w:rsid w:val="00A6061C"/>
    <w:rsid w:val="00A60835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188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160D0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570A"/>
    <w:rsid w:val="00B57329"/>
    <w:rsid w:val="00B60E61"/>
    <w:rsid w:val="00B624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502"/>
    <w:rsid w:val="00BA29AD"/>
    <w:rsid w:val="00BA3F8D"/>
    <w:rsid w:val="00BB7A10"/>
    <w:rsid w:val="00BC7468"/>
    <w:rsid w:val="00BC7D4F"/>
    <w:rsid w:val="00BC7ED7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15A21"/>
    <w:rsid w:val="00C26588"/>
    <w:rsid w:val="00C27DE9"/>
    <w:rsid w:val="00C33388"/>
    <w:rsid w:val="00C35484"/>
    <w:rsid w:val="00C4173A"/>
    <w:rsid w:val="00C50342"/>
    <w:rsid w:val="00C56050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20EA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CF6198"/>
    <w:rsid w:val="00D00F90"/>
    <w:rsid w:val="00D02919"/>
    <w:rsid w:val="00D04C61"/>
    <w:rsid w:val="00D05B8D"/>
    <w:rsid w:val="00D065A2"/>
    <w:rsid w:val="00D07F00"/>
    <w:rsid w:val="00D17B72"/>
    <w:rsid w:val="00D3185C"/>
    <w:rsid w:val="00D3318E"/>
    <w:rsid w:val="00D33E72"/>
    <w:rsid w:val="00D35BD6"/>
    <w:rsid w:val="00D361B5"/>
    <w:rsid w:val="00D411A2"/>
    <w:rsid w:val="00D4606D"/>
    <w:rsid w:val="00D50B9C"/>
    <w:rsid w:val="00D520F6"/>
    <w:rsid w:val="00D52D73"/>
    <w:rsid w:val="00D52E58"/>
    <w:rsid w:val="00D56B20"/>
    <w:rsid w:val="00D714CC"/>
    <w:rsid w:val="00D75EA7"/>
    <w:rsid w:val="00D775CE"/>
    <w:rsid w:val="00D81F21"/>
    <w:rsid w:val="00D95470"/>
    <w:rsid w:val="00DA2619"/>
    <w:rsid w:val="00DA4239"/>
    <w:rsid w:val="00DB0B61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04626"/>
    <w:rsid w:val="00E05411"/>
    <w:rsid w:val="00E11332"/>
    <w:rsid w:val="00E11352"/>
    <w:rsid w:val="00E170DC"/>
    <w:rsid w:val="00E26818"/>
    <w:rsid w:val="00E27FFC"/>
    <w:rsid w:val="00E30B15"/>
    <w:rsid w:val="00E40181"/>
    <w:rsid w:val="00E56A01"/>
    <w:rsid w:val="00E57E26"/>
    <w:rsid w:val="00E629A1"/>
    <w:rsid w:val="00E6794C"/>
    <w:rsid w:val="00E71591"/>
    <w:rsid w:val="00E80DE3"/>
    <w:rsid w:val="00E82C55"/>
    <w:rsid w:val="00E858D6"/>
    <w:rsid w:val="00E92AC3"/>
    <w:rsid w:val="00EA6906"/>
    <w:rsid w:val="00EB00E0"/>
    <w:rsid w:val="00EC059F"/>
    <w:rsid w:val="00EC1F24"/>
    <w:rsid w:val="00EC22F6"/>
    <w:rsid w:val="00ED534F"/>
    <w:rsid w:val="00ED5B9B"/>
    <w:rsid w:val="00ED6BAD"/>
    <w:rsid w:val="00ED7447"/>
    <w:rsid w:val="00EE1488"/>
    <w:rsid w:val="00EE1712"/>
    <w:rsid w:val="00EE3E24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2972"/>
    <w:rsid w:val="00F64696"/>
    <w:rsid w:val="00F65AA9"/>
    <w:rsid w:val="00F6768F"/>
    <w:rsid w:val="00F7279C"/>
    <w:rsid w:val="00F72C2C"/>
    <w:rsid w:val="00F76CAB"/>
    <w:rsid w:val="00F772C6"/>
    <w:rsid w:val="00F815B5"/>
    <w:rsid w:val="00F85195"/>
    <w:rsid w:val="00F87F82"/>
    <w:rsid w:val="00F938BA"/>
    <w:rsid w:val="00F955EE"/>
    <w:rsid w:val="00F97B4B"/>
    <w:rsid w:val="00FA2C46"/>
    <w:rsid w:val="00FA3525"/>
    <w:rsid w:val="00FA5A53"/>
    <w:rsid w:val="00FB4769"/>
    <w:rsid w:val="00FB4CDA"/>
    <w:rsid w:val="00FC0F81"/>
    <w:rsid w:val="00FC395C"/>
    <w:rsid w:val="00FC70DD"/>
    <w:rsid w:val="00FD3766"/>
    <w:rsid w:val="00FD47C4"/>
    <w:rsid w:val="00FE2DCF"/>
    <w:rsid w:val="00FE3FA7"/>
    <w:rsid w:val="00FF21B0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569648"/>
  <w15:docId w15:val="{CDB40A52-A90C-4112-A174-F2FB88BD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2972"/>
    <w:rPr>
      <w:rFonts w:ascii="Cambria" w:hAnsi="Cambria"/>
      <w:lang w:eastAsia="en-US"/>
    </w:rPr>
  </w:style>
  <w:style w:type="paragraph" w:styleId="Heading1">
    <w:name w:val="heading 1"/>
    <w:next w:val="WOVGbody"/>
    <w:link w:val="Heading1Char"/>
    <w:uiPriority w:val="1"/>
    <w:qFormat/>
    <w:rsid w:val="00D520F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848F" w:themeColor="accent2"/>
      <w:kern w:val="32"/>
      <w:sz w:val="36"/>
      <w:szCs w:val="40"/>
      <w:lang w:eastAsia="en-US"/>
    </w:rPr>
  </w:style>
  <w:style w:type="paragraph" w:styleId="Heading2">
    <w:name w:val="heading 2"/>
    <w:next w:val="WOVGbody"/>
    <w:link w:val="Heading2Char"/>
    <w:uiPriority w:val="1"/>
    <w:qFormat/>
    <w:rsid w:val="00D520F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 w:themeColor="accent3"/>
      <w:sz w:val="28"/>
      <w:szCs w:val="28"/>
      <w:lang w:eastAsia="en-US"/>
    </w:rPr>
  </w:style>
  <w:style w:type="paragraph" w:styleId="Heading3">
    <w:name w:val="heading 3"/>
    <w:next w:val="WOVG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WOVG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VGbody">
    <w:name w:val="WOVG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D520F6"/>
    <w:rPr>
      <w:rFonts w:ascii="Arial" w:eastAsia="MS Gothic" w:hAnsi="Arial" w:cs="Arial"/>
      <w:bCs/>
      <w:color w:val="00848F" w:themeColor="accent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520F6"/>
    <w:rPr>
      <w:rFonts w:ascii="Arial" w:hAnsi="Arial"/>
      <w:b/>
      <w:color w:val="C5511A" w:themeColor="accent3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WOVGheader"/>
    <w:uiPriority w:val="10"/>
    <w:rsid w:val="00262802"/>
  </w:style>
  <w:style w:type="paragraph" w:styleId="Footer">
    <w:name w:val="footer"/>
    <w:basedOn w:val="WOVG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WOVGtabletext6pt">
    <w:name w:val="WOVG table text + 6pt"/>
    <w:basedOn w:val="WOVG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B62461"/>
    <w:rPr>
      <w:rFonts w:ascii="Arial" w:hAnsi="Arial"/>
    </w:rPr>
    <w:tblPr>
      <w:tblInd w:w="108" w:type="dxa"/>
      <w:tblBorders>
        <w:top w:val="single" w:sz="4" w:space="0" w:color="53565A" w:themeColor="accent1"/>
        <w:left w:val="single" w:sz="4" w:space="0" w:color="53565A" w:themeColor="accent1"/>
        <w:bottom w:val="single" w:sz="4" w:space="0" w:color="53565A" w:themeColor="accent1"/>
        <w:right w:val="single" w:sz="4" w:space="0" w:color="53565A" w:themeColor="accent1"/>
        <w:insideH w:val="single" w:sz="4" w:space="0" w:color="53565A" w:themeColor="accent1"/>
        <w:insideV w:val="single" w:sz="4" w:space="0" w:color="53565A" w:themeColor="accent1"/>
      </w:tblBorders>
    </w:tblPr>
    <w:tcPr>
      <w:shd w:val="clear" w:color="auto" w:fill="E1F1F2"/>
    </w:tcPr>
    <w:tblStylePr w:type="firstRow">
      <w:rPr>
        <w:color w:val="00848F" w:themeColor="accent2"/>
      </w:rPr>
      <w:tblPr/>
      <w:tcPr>
        <w:tcBorders>
          <w:insideV w:val="single" w:sz="4" w:space="0" w:color="FFFFFF" w:themeColor="background1"/>
        </w:tcBorders>
        <w:shd w:val="clear" w:color="auto" w:fill="53565A" w:themeFill="accent1"/>
      </w:tcPr>
    </w:tblStylePr>
    <w:tblStylePr w:type="firstCol">
      <w:tblPr/>
      <w:tcPr>
        <w:shd w:val="clear" w:color="auto" w:fill="C7E4E6"/>
      </w:tcPr>
    </w:tblStylePr>
  </w:style>
  <w:style w:type="paragraph" w:customStyle="1" w:styleId="WOVGbodynospace">
    <w:name w:val="WOVG body no space"/>
    <w:basedOn w:val="WOVGbody"/>
    <w:uiPriority w:val="1"/>
    <w:rsid w:val="00F772C6"/>
    <w:pPr>
      <w:spacing w:after="0"/>
    </w:pPr>
  </w:style>
  <w:style w:type="paragraph" w:customStyle="1" w:styleId="WOVGbullet1">
    <w:name w:val="WOVG bullet 1"/>
    <w:basedOn w:val="WOVG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WOVGTOCheadingfactsheet">
    <w:name w:val="WOVG TOC heading fact sheet"/>
    <w:basedOn w:val="Heading2"/>
    <w:next w:val="WOVGbody"/>
    <w:link w:val="WOVGTOCheadingfactsheetChar"/>
    <w:uiPriority w:val="4"/>
    <w:rsid w:val="008339AC"/>
    <w:pPr>
      <w:spacing w:before="0" w:after="200"/>
      <w:outlineLvl w:val="9"/>
    </w:pPr>
    <w:rPr>
      <w:color w:val="53565A" w:themeColor="accent1"/>
    </w:rPr>
  </w:style>
  <w:style w:type="character" w:customStyle="1" w:styleId="WOVGTOCheadingfactsheetChar">
    <w:name w:val="WOVG TOC heading fact sheet Char"/>
    <w:link w:val="WOVGTOCheadingfactsheet"/>
    <w:uiPriority w:val="4"/>
    <w:rsid w:val="008339AC"/>
    <w:rPr>
      <w:rFonts w:ascii="Arial" w:hAnsi="Arial"/>
      <w:b/>
      <w:color w:val="53565A" w:themeColor="accent1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WOVG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WOVGtabletext">
    <w:name w:val="WOVG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WOVGtablecaption">
    <w:name w:val="WOVG table caption"/>
    <w:next w:val="WOVG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WOVGmainheading">
    <w:name w:val="WOVG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WOVGaccessibilitypara">
    <w:name w:val="WOVG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WOVGfigurecaption">
    <w:name w:val="WOVG figure caption"/>
    <w:next w:val="WOVG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WOVGbullet2">
    <w:name w:val="WOVG bullet 2"/>
    <w:basedOn w:val="WOVG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WOVGbodyafterbullets">
    <w:name w:val="WOVG body after bullets"/>
    <w:basedOn w:val="WOVGbody"/>
    <w:uiPriority w:val="11"/>
    <w:rsid w:val="00E11352"/>
    <w:pPr>
      <w:spacing w:before="120"/>
    </w:pPr>
  </w:style>
  <w:style w:type="paragraph" w:customStyle="1" w:styleId="WOVGtablebullet2">
    <w:name w:val="WOVG table bullet 2"/>
    <w:basedOn w:val="WOVG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WOVGtablebullet1">
    <w:name w:val="WOVG table bullet 1"/>
    <w:basedOn w:val="WOVG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WOVGtablecolhead">
    <w:name w:val="WOVG table col head"/>
    <w:uiPriority w:val="3"/>
    <w:qFormat/>
    <w:rsid w:val="00B62461"/>
    <w:pPr>
      <w:spacing w:before="80" w:after="60"/>
    </w:pPr>
    <w:rPr>
      <w:rFonts w:ascii="Arial" w:hAnsi="Arial"/>
      <w:b/>
      <w:color w:val="FFFFFF"/>
      <w:lang w:eastAsia="en-US"/>
    </w:rPr>
  </w:style>
  <w:style w:type="paragraph" w:customStyle="1" w:styleId="WOVGbulletafternumbers1">
    <w:name w:val="WOVG bullet after numbers 1"/>
    <w:basedOn w:val="WOVGbody"/>
    <w:uiPriority w:val="4"/>
    <w:rsid w:val="008E7B49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WOVGmainsubheading">
    <w:name w:val="WOVG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WOVG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8E7B4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WOVGnumberdigit">
    <w:name w:val="WOVG number digit"/>
    <w:basedOn w:val="WOVGbody"/>
    <w:uiPriority w:val="2"/>
    <w:rsid w:val="00857C5A"/>
    <w:pPr>
      <w:numPr>
        <w:numId w:val="8"/>
      </w:numPr>
    </w:pPr>
  </w:style>
  <w:style w:type="paragraph" w:customStyle="1" w:styleId="WOVGnumberloweralphaindent">
    <w:name w:val="WOVG number lower alpha indent"/>
    <w:basedOn w:val="WOVGbody"/>
    <w:uiPriority w:val="3"/>
    <w:rsid w:val="00721CFB"/>
    <w:pPr>
      <w:numPr>
        <w:ilvl w:val="1"/>
        <w:numId w:val="20"/>
      </w:numPr>
    </w:pPr>
  </w:style>
  <w:style w:type="paragraph" w:customStyle="1" w:styleId="WOVGnumberdigitindent">
    <w:name w:val="WOVG number digit indent"/>
    <w:basedOn w:val="WOVGnumberloweralphaindent"/>
    <w:uiPriority w:val="3"/>
    <w:rsid w:val="008E7B49"/>
    <w:pPr>
      <w:numPr>
        <w:numId w:val="2"/>
      </w:numPr>
    </w:pPr>
  </w:style>
  <w:style w:type="paragraph" w:customStyle="1" w:styleId="WOVGnumberloweralpha">
    <w:name w:val="WOVG number lower alpha"/>
    <w:basedOn w:val="WOVGbody"/>
    <w:uiPriority w:val="3"/>
    <w:rsid w:val="00721CFB"/>
    <w:pPr>
      <w:numPr>
        <w:numId w:val="20"/>
      </w:numPr>
    </w:pPr>
  </w:style>
  <w:style w:type="paragraph" w:customStyle="1" w:styleId="WOVGnumberlowerroman">
    <w:name w:val="WOVG number lower roman"/>
    <w:basedOn w:val="WOVGbody"/>
    <w:uiPriority w:val="3"/>
    <w:rsid w:val="00721CFB"/>
    <w:pPr>
      <w:numPr>
        <w:numId w:val="13"/>
      </w:numPr>
    </w:pPr>
  </w:style>
  <w:style w:type="paragraph" w:customStyle="1" w:styleId="WOVGnumberlowerromanindent">
    <w:name w:val="WOVG number lower roman indent"/>
    <w:basedOn w:val="WOVGbody"/>
    <w:uiPriority w:val="3"/>
    <w:rsid w:val="00721CFB"/>
    <w:pPr>
      <w:numPr>
        <w:ilvl w:val="1"/>
        <w:numId w:val="13"/>
      </w:numPr>
    </w:pPr>
  </w:style>
  <w:style w:type="paragraph" w:customStyle="1" w:styleId="WOVGquote">
    <w:name w:val="WOVG quote"/>
    <w:basedOn w:val="WOVGbody"/>
    <w:uiPriority w:val="4"/>
    <w:rsid w:val="00152073"/>
    <w:pPr>
      <w:ind w:left="397"/>
    </w:pPr>
    <w:rPr>
      <w:szCs w:val="18"/>
    </w:rPr>
  </w:style>
  <w:style w:type="paragraph" w:customStyle="1" w:styleId="WOVGtablefigurenote">
    <w:name w:val="WOVG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WOVGbodyaftertablefigure">
    <w:name w:val="WOVG body after table/figure"/>
    <w:basedOn w:val="WOVGbody"/>
    <w:next w:val="WOVGbody"/>
    <w:uiPriority w:val="1"/>
    <w:rsid w:val="00951D50"/>
    <w:pPr>
      <w:spacing w:before="240"/>
    </w:pPr>
  </w:style>
  <w:style w:type="paragraph" w:customStyle="1" w:styleId="WOVGfooter">
    <w:name w:val="WOVG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WOVGheader">
    <w:name w:val="WOVG header"/>
    <w:basedOn w:val="WOVGfooter"/>
    <w:uiPriority w:val="11"/>
    <w:rsid w:val="0051568D"/>
  </w:style>
  <w:style w:type="paragraph" w:customStyle="1" w:styleId="WOVGbulletafternumbers2">
    <w:name w:val="WOVG bullet after numbers 2"/>
    <w:basedOn w:val="WOVGbody"/>
    <w:rsid w:val="008E7B4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WOVGquotebullet1">
    <w:name w:val="WOVG quote bullet 1"/>
    <w:basedOn w:val="WOVGquote"/>
    <w:rsid w:val="008E7B49"/>
    <w:pPr>
      <w:numPr>
        <w:numId w:val="11"/>
      </w:numPr>
    </w:pPr>
  </w:style>
  <w:style w:type="paragraph" w:customStyle="1" w:styleId="WOVGquotebullet2">
    <w:name w:val="WOVG quote bullet 2"/>
    <w:basedOn w:val="WOVGquote"/>
    <w:rsid w:val="008E7B49"/>
    <w:pPr>
      <w:numPr>
        <w:ilvl w:val="1"/>
        <w:numId w:val="11"/>
      </w:numPr>
    </w:pPr>
  </w:style>
  <w:style w:type="paragraph" w:customStyle="1" w:styleId="WOVGtablecolsubhead">
    <w:name w:val="WOVG table col subhead"/>
    <w:basedOn w:val="WOVGtablecolhead"/>
    <w:rsid w:val="00E05411"/>
    <w:rPr>
      <w:b w:val="0"/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8B1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656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687923"/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nfosharing.vic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infosharing.vic.gov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OVG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3565A"/>
      </a:accent1>
      <a:accent2>
        <a:srgbClr val="00848F"/>
      </a:accent2>
      <a:accent3>
        <a:srgbClr val="C5511A"/>
      </a:accent3>
      <a:accent4>
        <a:srgbClr val="CBCCCB"/>
      </a:accent4>
      <a:accent5>
        <a:srgbClr val="ADD7DB"/>
      </a:accent5>
      <a:accent6>
        <a:srgbClr val="E9BCA7"/>
      </a:accent6>
      <a:hlink>
        <a:srgbClr val="0072CE"/>
      </a:hlink>
      <a:folHlink>
        <a:srgbClr val="87189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587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Information Sharing Scheme summary-accessible</vt:lpstr>
    </vt:vector>
  </TitlesOfParts>
  <Company>Department of Health and Human Services</Company>
  <LinksUpToDate>false</LinksUpToDate>
  <CharactersWithSpaces>3891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Information Sharing Scheme summary-accessible</dc:title>
  <dc:creator>Children and Families Policy Branch</dc:creator>
  <cp:keywords>information sharing</cp:keywords>
  <cp:lastModifiedBy>Christine Baker 2</cp:lastModifiedBy>
  <cp:revision>14</cp:revision>
  <cp:lastPrinted>2017-07-07T00:32:00Z</cp:lastPrinted>
  <dcterms:created xsi:type="dcterms:W3CDTF">2022-11-15T05:06:00Z</dcterms:created>
  <dcterms:modified xsi:type="dcterms:W3CDTF">2022-11-21T03:55:00Z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