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63C24" w14:textId="3C23089D" w:rsidR="00BE7BBE" w:rsidRPr="002E7AF0" w:rsidRDefault="003719E0" w:rsidP="002E7AF0">
      <w:pPr>
        <w:pStyle w:val="Title"/>
      </w:pPr>
      <w:r w:rsidRPr="002E7AF0">
        <w:t>Sustainable Investment Guidelines</w:t>
      </w:r>
    </w:p>
    <w:p w14:paraId="151C8E45" w14:textId="77777777" w:rsidR="002120D0" w:rsidRPr="00FE183A" w:rsidRDefault="002120D0" w:rsidP="00FE183A">
      <w:pPr>
        <w:pStyle w:val="Tabletext"/>
        <w:rPr>
          <w:spacing w:val="2"/>
          <w:szCs w:val="21"/>
          <w:lang w:eastAsia="en-US"/>
        </w:rPr>
      </w:pPr>
    </w:p>
    <w:p w14:paraId="038A9D79" w14:textId="77777777" w:rsidR="00FE18A0" w:rsidRDefault="00FE18A0" w:rsidP="00AF6567">
      <w:pPr>
        <w:rPr>
          <w:noProof/>
        </w:rPr>
      </w:pPr>
      <w:r>
        <w:rPr>
          <w:noProof/>
        </w:rPr>
        <w:br w:type="page"/>
      </w:r>
    </w:p>
    <w:p w14:paraId="77C7EB78" w14:textId="77777777" w:rsidR="00FE18A0" w:rsidRDefault="00FE18A0" w:rsidP="00FE18A0">
      <w:pPr>
        <w:pStyle w:val="NormalTight"/>
      </w:pPr>
    </w:p>
    <w:p w14:paraId="4BA1437E" w14:textId="77777777" w:rsidR="00FE18A0" w:rsidRPr="00C92338" w:rsidRDefault="00FE18A0" w:rsidP="007F197D">
      <w:pPr>
        <w:pStyle w:val="Insidecoverspacer"/>
      </w:pPr>
    </w:p>
    <w:p w14:paraId="04A71E01" w14:textId="77777777" w:rsidR="00FE18A0" w:rsidRPr="00C92338" w:rsidRDefault="00FE18A0" w:rsidP="00FE18A0">
      <w:pPr>
        <w:pStyle w:val="NormalTight"/>
      </w:pPr>
      <w:r w:rsidRPr="00C92338">
        <w:t>The Secretary</w:t>
      </w:r>
    </w:p>
    <w:p w14:paraId="1A36CF0D" w14:textId="77777777" w:rsidR="00FE18A0" w:rsidRPr="00C92338" w:rsidRDefault="00FE18A0" w:rsidP="00FE18A0">
      <w:pPr>
        <w:pStyle w:val="NormalTight"/>
      </w:pPr>
      <w:r w:rsidRPr="00C92338">
        <w:t>Department of Treasury and Finance</w:t>
      </w:r>
    </w:p>
    <w:p w14:paraId="43B1F286" w14:textId="77777777" w:rsidR="00FE18A0" w:rsidRPr="00C92338" w:rsidRDefault="00FE18A0" w:rsidP="00FE18A0">
      <w:pPr>
        <w:pStyle w:val="NormalTight"/>
      </w:pPr>
      <w:r w:rsidRPr="00C92338">
        <w:t>1 Treasury Place</w:t>
      </w:r>
    </w:p>
    <w:p w14:paraId="1CB1DF7D" w14:textId="77777777" w:rsidR="00FE18A0" w:rsidRPr="00C92338" w:rsidRDefault="00FE18A0" w:rsidP="00FE18A0">
      <w:pPr>
        <w:pStyle w:val="NormalTight"/>
      </w:pPr>
      <w:r w:rsidRPr="00C92338">
        <w:t>Melbourne Victoria 3002</w:t>
      </w:r>
    </w:p>
    <w:p w14:paraId="6ED78BF5" w14:textId="77777777" w:rsidR="00FE18A0" w:rsidRPr="00C92338" w:rsidRDefault="00FE18A0" w:rsidP="00FE18A0">
      <w:pPr>
        <w:pStyle w:val="NormalTight"/>
      </w:pPr>
      <w:r w:rsidRPr="00C92338">
        <w:t>Australia</w:t>
      </w:r>
    </w:p>
    <w:p w14:paraId="5E213621" w14:textId="77777777" w:rsidR="00FE18A0" w:rsidRPr="00C92338" w:rsidRDefault="00FE18A0" w:rsidP="00FE18A0">
      <w:pPr>
        <w:pStyle w:val="NormalTight"/>
      </w:pPr>
      <w:r w:rsidRPr="00C92338">
        <w:t>Telephone: +61 3 9651 5111</w:t>
      </w:r>
    </w:p>
    <w:p w14:paraId="3B268135" w14:textId="77777777" w:rsidR="00FE18A0" w:rsidRPr="00C92338" w:rsidRDefault="00FE18A0" w:rsidP="00FE18A0">
      <w:pPr>
        <w:pStyle w:val="NormalTight"/>
      </w:pPr>
      <w:r w:rsidRPr="00C92338">
        <w:t>Facsimile: +61 3 9651 2062</w:t>
      </w:r>
    </w:p>
    <w:p w14:paraId="4F379356" w14:textId="77777777" w:rsidR="00FE18A0" w:rsidRPr="00C92338" w:rsidRDefault="00FE18A0" w:rsidP="00FE18A0">
      <w:pPr>
        <w:pStyle w:val="NormalTight"/>
      </w:pPr>
      <w:r w:rsidRPr="00C92338">
        <w:t>dtf.vic.gov.au</w:t>
      </w:r>
    </w:p>
    <w:p w14:paraId="221C3637" w14:textId="77777777" w:rsidR="00FE18A0" w:rsidRPr="00C92338" w:rsidRDefault="00FE18A0" w:rsidP="00FE18A0">
      <w:pPr>
        <w:pStyle w:val="NormalTight"/>
      </w:pPr>
    </w:p>
    <w:p w14:paraId="2F58AC01" w14:textId="77777777" w:rsidR="00FE18A0" w:rsidRPr="00C92338" w:rsidRDefault="00FE18A0" w:rsidP="00FE18A0">
      <w:pPr>
        <w:pStyle w:val="NormalTight"/>
      </w:pPr>
      <w:r w:rsidRPr="00C92338">
        <w:t>Authorised by the Victorian Government</w:t>
      </w:r>
    </w:p>
    <w:p w14:paraId="77CB7BE6" w14:textId="77777777" w:rsidR="00FE18A0" w:rsidRPr="00C92338" w:rsidRDefault="00FE18A0" w:rsidP="00FE18A0">
      <w:pPr>
        <w:pStyle w:val="NormalTight"/>
      </w:pPr>
      <w:r w:rsidRPr="00C92338">
        <w:t>1 Treasury Place, Melbourne, 3002</w:t>
      </w:r>
    </w:p>
    <w:p w14:paraId="0EF71776" w14:textId="77777777" w:rsidR="00FE18A0" w:rsidRPr="00C92338" w:rsidRDefault="00FE18A0" w:rsidP="00FE18A0">
      <w:pPr>
        <w:pStyle w:val="NormalTight"/>
      </w:pPr>
    </w:p>
    <w:p w14:paraId="384BB5ED" w14:textId="77777777" w:rsidR="00FE18A0" w:rsidRPr="00C92338" w:rsidRDefault="00FE18A0" w:rsidP="00AF6567">
      <w:r>
        <w:t>© State of Victoria 20</w:t>
      </w:r>
      <w:r w:rsidR="00744441">
        <w:t>21</w:t>
      </w:r>
    </w:p>
    <w:p w14:paraId="4B8F1772" w14:textId="77777777" w:rsidR="00FE18A0" w:rsidRPr="00C92338" w:rsidRDefault="00FE18A0" w:rsidP="00AF6567">
      <w:r>
        <w:rPr>
          <w:noProof/>
        </w:rPr>
        <w:drawing>
          <wp:inline distT="0" distB="0" distL="0" distR="0" wp14:anchorId="5196BBC2" wp14:editId="3641FDD7">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t xml:space="preserve"> </w:t>
      </w:r>
    </w:p>
    <w:p w14:paraId="4B833BCB" w14:textId="2AF4B555" w:rsidR="00FE18A0" w:rsidRPr="00C92338" w:rsidRDefault="00FE18A0" w:rsidP="00FE18A0">
      <w:pPr>
        <w:pStyle w:val="NormalTight"/>
      </w:pPr>
      <w:r w:rsidRPr="00C92338">
        <w:t>You are free to re</w:t>
      </w:r>
      <w:r w:rsidR="00601819">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0499AA40" w14:textId="77777777" w:rsidR="00FE18A0" w:rsidRPr="00C92338" w:rsidRDefault="00FE18A0" w:rsidP="00FE18A0">
      <w:pPr>
        <w:pStyle w:val="NormalTight"/>
      </w:pPr>
    </w:p>
    <w:p w14:paraId="16250204" w14:textId="365CC150"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24CAFFBD" w14:textId="77777777" w:rsidR="00FE18A0" w:rsidRPr="00C92338" w:rsidRDefault="00FE18A0" w:rsidP="00FE18A0">
      <w:pPr>
        <w:pStyle w:val="NormalTight"/>
      </w:pPr>
    </w:p>
    <w:p w14:paraId="1484FE3E" w14:textId="435AFA97" w:rsidR="00FE18A0" w:rsidRPr="00C92338" w:rsidRDefault="00FE18A0" w:rsidP="00FE18A0">
      <w:pPr>
        <w:pStyle w:val="NormalTight"/>
      </w:pPr>
      <w:r w:rsidRPr="003F2E2A">
        <w:t xml:space="preserve">Published </w:t>
      </w:r>
      <w:r w:rsidR="0052048D" w:rsidRPr="003F2E2A">
        <w:t>July</w:t>
      </w:r>
      <w:r w:rsidRPr="003F2E2A">
        <w:t xml:space="preserve"> 20</w:t>
      </w:r>
      <w:r w:rsidR="00744441" w:rsidRPr="003F2E2A">
        <w:t>21</w:t>
      </w:r>
      <w:r w:rsidR="00FE3757">
        <w:t>.</w:t>
      </w:r>
    </w:p>
    <w:p w14:paraId="4D1A3AC8" w14:textId="77777777" w:rsidR="00FE18A0" w:rsidRPr="00C92338" w:rsidRDefault="00FE18A0" w:rsidP="00FE18A0">
      <w:pPr>
        <w:pStyle w:val="NormalTight"/>
      </w:pPr>
    </w:p>
    <w:p w14:paraId="024DF595" w14:textId="37A1DCAF" w:rsidR="00FE18A0" w:rsidRPr="00C92338" w:rsidRDefault="00FE18A0" w:rsidP="00FE18A0">
      <w:pPr>
        <w:pStyle w:val="NormalTight"/>
      </w:pPr>
      <w:r w:rsidRPr="00C92338">
        <w:t>If you would like to receive this publication in an accessible format</w:t>
      </w:r>
      <w:r w:rsidR="00FE3757">
        <w:t>,</w:t>
      </w:r>
      <w:r w:rsidRPr="00C92338">
        <w:t xml:space="preserve"> please email </w:t>
      </w:r>
      <w:hyperlink r:id="rId16" w:history="1">
        <w:r w:rsidRPr="00C92338">
          <w:t>information@dtf.vic.gov.au</w:t>
        </w:r>
      </w:hyperlink>
      <w:r w:rsidR="00FE3757">
        <w:t>.</w:t>
      </w:r>
      <w:r w:rsidRPr="00C92338">
        <w:t xml:space="preserve"> </w:t>
      </w:r>
    </w:p>
    <w:p w14:paraId="03D31054" w14:textId="77777777" w:rsidR="00FE18A0" w:rsidRPr="00C92338" w:rsidRDefault="00FE18A0" w:rsidP="00FE18A0">
      <w:pPr>
        <w:pStyle w:val="NormalTight"/>
      </w:pPr>
    </w:p>
    <w:p w14:paraId="532606A9" w14:textId="503F78B0"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r w:rsidR="003F2E2A">
        <w:rPr>
          <w:rStyle w:val="Hyperlink"/>
        </w:rPr>
        <w:t>.</w:t>
      </w:r>
    </w:p>
    <w:p w14:paraId="74DA6F4D" w14:textId="77777777" w:rsidR="002120D0" w:rsidRDefault="002120D0" w:rsidP="00AF6567"/>
    <w:p w14:paraId="7AECDFCB" w14:textId="77777777" w:rsidR="002120D0" w:rsidRDefault="002120D0" w:rsidP="00AF6567">
      <w:pPr>
        <w:sectPr w:rsidR="002120D0" w:rsidSect="00744441">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152" w:bottom="1987" w:left="1152" w:header="461" w:footer="446" w:gutter="0"/>
          <w:pgNumType w:start="1"/>
          <w:cols w:space="708"/>
          <w:docGrid w:linePitch="360"/>
        </w:sectPr>
      </w:pPr>
    </w:p>
    <w:p w14:paraId="6C5274A4" w14:textId="77777777" w:rsidR="00FE18A0" w:rsidRDefault="00FE18A0" w:rsidP="00AF6567">
      <w:pPr>
        <w:pStyle w:val="TOCHeading"/>
      </w:pPr>
      <w:r>
        <w:lastRenderedPageBreak/>
        <w:t>Contents</w:t>
      </w:r>
    </w:p>
    <w:p w14:paraId="6E7CB7FD" w14:textId="3B942276" w:rsidR="00C30E56" w:rsidRDefault="00FE18A0">
      <w:pPr>
        <w:pStyle w:val="TOC1"/>
        <w:rPr>
          <w:sz w:val="22"/>
          <w:szCs w:val="22"/>
        </w:rPr>
      </w:pPr>
      <w:r>
        <w:rPr>
          <w:lang w:eastAsia="en-US"/>
        </w:rPr>
        <w:fldChar w:fldCharType="begin"/>
      </w:r>
      <w:r>
        <w:rPr>
          <w:lang w:eastAsia="en-US"/>
        </w:rPr>
        <w:instrText xml:space="preserve"> TOC \h \z \t "Heading 1,1,Heading 2,2,Heading 1 numbered,4,Heading 2 numbered,5" </w:instrText>
      </w:r>
      <w:r>
        <w:rPr>
          <w:lang w:eastAsia="en-US"/>
        </w:rPr>
        <w:fldChar w:fldCharType="separate"/>
      </w:r>
      <w:hyperlink w:anchor="_Toc117258690" w:history="1">
        <w:r w:rsidR="00C30E56" w:rsidRPr="002372C4">
          <w:rPr>
            <w:rStyle w:val="Hyperlink"/>
          </w:rPr>
          <w:t>Executive summary</w:t>
        </w:r>
        <w:r w:rsidR="00C30E56">
          <w:rPr>
            <w:webHidden/>
          </w:rPr>
          <w:tab/>
        </w:r>
        <w:r w:rsidR="00C30E56">
          <w:rPr>
            <w:webHidden/>
          </w:rPr>
          <w:fldChar w:fldCharType="begin"/>
        </w:r>
        <w:r w:rsidR="00C30E56">
          <w:rPr>
            <w:webHidden/>
          </w:rPr>
          <w:instrText xml:space="preserve"> PAGEREF _Toc117258690 \h </w:instrText>
        </w:r>
        <w:r w:rsidR="00C30E56">
          <w:rPr>
            <w:webHidden/>
          </w:rPr>
        </w:r>
        <w:r w:rsidR="00C30E56">
          <w:rPr>
            <w:webHidden/>
          </w:rPr>
          <w:fldChar w:fldCharType="separate"/>
        </w:r>
        <w:r w:rsidR="00FC7DAA">
          <w:rPr>
            <w:webHidden/>
          </w:rPr>
          <w:t>1</w:t>
        </w:r>
        <w:r w:rsidR="00C30E56">
          <w:rPr>
            <w:webHidden/>
          </w:rPr>
          <w:fldChar w:fldCharType="end"/>
        </w:r>
      </w:hyperlink>
    </w:p>
    <w:p w14:paraId="41AB54EE" w14:textId="04919719" w:rsidR="00C30E56" w:rsidRDefault="00FC7DAA">
      <w:pPr>
        <w:pStyle w:val="TOC4"/>
        <w:rPr>
          <w:sz w:val="22"/>
          <w:szCs w:val="22"/>
          <w:lang w:eastAsia="en-AU"/>
        </w:rPr>
      </w:pPr>
      <w:hyperlink w:anchor="_Toc117258691" w:history="1">
        <w:r w:rsidR="00C30E56" w:rsidRPr="002372C4">
          <w:rPr>
            <w:rStyle w:val="Hyperlink"/>
          </w:rPr>
          <w:t>1.</w:t>
        </w:r>
        <w:r w:rsidR="00C30E56">
          <w:rPr>
            <w:sz w:val="22"/>
            <w:szCs w:val="22"/>
            <w:lang w:eastAsia="en-AU"/>
          </w:rPr>
          <w:tab/>
        </w:r>
        <w:r w:rsidR="00C30E56" w:rsidRPr="002372C4">
          <w:rPr>
            <w:rStyle w:val="Hyperlink"/>
          </w:rPr>
          <w:t>Introduction</w:t>
        </w:r>
        <w:r w:rsidR="00C30E56">
          <w:rPr>
            <w:webHidden/>
          </w:rPr>
          <w:tab/>
        </w:r>
        <w:r w:rsidR="00C30E56">
          <w:rPr>
            <w:webHidden/>
          </w:rPr>
          <w:fldChar w:fldCharType="begin"/>
        </w:r>
        <w:r w:rsidR="00C30E56">
          <w:rPr>
            <w:webHidden/>
          </w:rPr>
          <w:instrText xml:space="preserve"> PAGEREF _Toc117258691 \h </w:instrText>
        </w:r>
        <w:r w:rsidR="00C30E56">
          <w:rPr>
            <w:webHidden/>
          </w:rPr>
        </w:r>
        <w:r w:rsidR="00C30E56">
          <w:rPr>
            <w:webHidden/>
          </w:rPr>
          <w:fldChar w:fldCharType="separate"/>
        </w:r>
        <w:r>
          <w:rPr>
            <w:webHidden/>
          </w:rPr>
          <w:t>2</w:t>
        </w:r>
        <w:r w:rsidR="00C30E56">
          <w:rPr>
            <w:webHidden/>
          </w:rPr>
          <w:fldChar w:fldCharType="end"/>
        </w:r>
      </w:hyperlink>
    </w:p>
    <w:p w14:paraId="64E5F737" w14:textId="1F339D35" w:rsidR="00C30E56" w:rsidRDefault="00FC7DAA">
      <w:pPr>
        <w:pStyle w:val="TOC5"/>
        <w:rPr>
          <w:spacing w:val="0"/>
          <w:sz w:val="22"/>
          <w:szCs w:val="22"/>
          <w:lang w:eastAsia="en-AU"/>
        </w:rPr>
      </w:pPr>
      <w:hyperlink w:anchor="_Toc117258692" w:history="1">
        <w:r w:rsidR="00C30E56" w:rsidRPr="002372C4">
          <w:rPr>
            <w:rStyle w:val="Hyperlink"/>
          </w:rPr>
          <w:t>1.1</w:t>
        </w:r>
        <w:r w:rsidR="00C30E56">
          <w:rPr>
            <w:spacing w:val="0"/>
            <w:sz w:val="22"/>
            <w:szCs w:val="22"/>
            <w:lang w:eastAsia="en-AU"/>
          </w:rPr>
          <w:tab/>
        </w:r>
        <w:r w:rsidR="00C30E56" w:rsidRPr="002372C4">
          <w:rPr>
            <w:rStyle w:val="Hyperlink"/>
          </w:rPr>
          <w:t>Sustainable Investment Guidelines purpose</w:t>
        </w:r>
        <w:r w:rsidR="00C30E56">
          <w:rPr>
            <w:webHidden/>
          </w:rPr>
          <w:tab/>
        </w:r>
        <w:r w:rsidR="00C30E56">
          <w:rPr>
            <w:webHidden/>
          </w:rPr>
          <w:fldChar w:fldCharType="begin"/>
        </w:r>
        <w:r w:rsidR="00C30E56">
          <w:rPr>
            <w:webHidden/>
          </w:rPr>
          <w:instrText xml:space="preserve"> PAGEREF _Toc117258692 \h </w:instrText>
        </w:r>
        <w:r w:rsidR="00C30E56">
          <w:rPr>
            <w:webHidden/>
          </w:rPr>
        </w:r>
        <w:r w:rsidR="00C30E56">
          <w:rPr>
            <w:webHidden/>
          </w:rPr>
          <w:fldChar w:fldCharType="separate"/>
        </w:r>
        <w:r>
          <w:rPr>
            <w:webHidden/>
          </w:rPr>
          <w:t>2</w:t>
        </w:r>
        <w:r w:rsidR="00C30E56">
          <w:rPr>
            <w:webHidden/>
          </w:rPr>
          <w:fldChar w:fldCharType="end"/>
        </w:r>
      </w:hyperlink>
    </w:p>
    <w:p w14:paraId="6549E121" w14:textId="40ABE261" w:rsidR="00C30E56" w:rsidRDefault="00FC7DAA">
      <w:pPr>
        <w:pStyle w:val="TOC5"/>
        <w:rPr>
          <w:spacing w:val="0"/>
          <w:sz w:val="22"/>
          <w:szCs w:val="22"/>
          <w:lang w:eastAsia="en-AU"/>
        </w:rPr>
      </w:pPr>
      <w:hyperlink w:anchor="_Toc117258693" w:history="1">
        <w:r w:rsidR="00C30E56" w:rsidRPr="002372C4">
          <w:rPr>
            <w:rStyle w:val="Hyperlink"/>
          </w:rPr>
          <w:t>1.2</w:t>
        </w:r>
        <w:r w:rsidR="00C30E56">
          <w:rPr>
            <w:spacing w:val="0"/>
            <w:sz w:val="22"/>
            <w:szCs w:val="22"/>
            <w:lang w:eastAsia="en-AU"/>
          </w:rPr>
          <w:tab/>
        </w:r>
        <w:r w:rsidR="00C30E56" w:rsidRPr="002372C4">
          <w:rPr>
            <w:rStyle w:val="Hyperlink"/>
          </w:rPr>
          <w:t>Who should use these guidelines?</w:t>
        </w:r>
        <w:r w:rsidR="00C30E56">
          <w:rPr>
            <w:webHidden/>
          </w:rPr>
          <w:tab/>
        </w:r>
        <w:r w:rsidR="00C30E56">
          <w:rPr>
            <w:webHidden/>
          </w:rPr>
          <w:fldChar w:fldCharType="begin"/>
        </w:r>
        <w:r w:rsidR="00C30E56">
          <w:rPr>
            <w:webHidden/>
          </w:rPr>
          <w:instrText xml:space="preserve"> PAGEREF _Toc117258693 \h </w:instrText>
        </w:r>
        <w:r w:rsidR="00C30E56">
          <w:rPr>
            <w:webHidden/>
          </w:rPr>
        </w:r>
        <w:r w:rsidR="00C30E56">
          <w:rPr>
            <w:webHidden/>
          </w:rPr>
          <w:fldChar w:fldCharType="separate"/>
        </w:r>
        <w:r>
          <w:rPr>
            <w:webHidden/>
          </w:rPr>
          <w:t>3</w:t>
        </w:r>
        <w:r w:rsidR="00C30E56">
          <w:rPr>
            <w:webHidden/>
          </w:rPr>
          <w:fldChar w:fldCharType="end"/>
        </w:r>
      </w:hyperlink>
    </w:p>
    <w:p w14:paraId="5E4E9B42" w14:textId="50802E8E" w:rsidR="00C30E56" w:rsidRDefault="00FC7DAA">
      <w:pPr>
        <w:pStyle w:val="TOC5"/>
        <w:rPr>
          <w:spacing w:val="0"/>
          <w:sz w:val="22"/>
          <w:szCs w:val="22"/>
          <w:lang w:eastAsia="en-AU"/>
        </w:rPr>
      </w:pPr>
      <w:hyperlink w:anchor="_Toc117258694" w:history="1">
        <w:r w:rsidR="00C30E56" w:rsidRPr="002372C4">
          <w:rPr>
            <w:rStyle w:val="Hyperlink"/>
          </w:rPr>
          <w:t>1.3</w:t>
        </w:r>
        <w:r w:rsidR="00C30E56">
          <w:rPr>
            <w:spacing w:val="0"/>
            <w:sz w:val="22"/>
            <w:szCs w:val="22"/>
            <w:lang w:eastAsia="en-AU"/>
          </w:rPr>
          <w:tab/>
        </w:r>
        <w:r w:rsidR="00C30E56" w:rsidRPr="002372C4">
          <w:rPr>
            <w:rStyle w:val="Hyperlink"/>
          </w:rPr>
          <w:t>How the SIG fits in with legislation and government policies</w:t>
        </w:r>
        <w:r w:rsidR="00C30E56">
          <w:rPr>
            <w:webHidden/>
          </w:rPr>
          <w:tab/>
        </w:r>
        <w:r w:rsidR="00C30E56">
          <w:rPr>
            <w:webHidden/>
          </w:rPr>
          <w:fldChar w:fldCharType="begin"/>
        </w:r>
        <w:r w:rsidR="00C30E56">
          <w:rPr>
            <w:webHidden/>
          </w:rPr>
          <w:instrText xml:space="preserve"> PAGEREF _Toc117258694 \h </w:instrText>
        </w:r>
        <w:r w:rsidR="00C30E56">
          <w:rPr>
            <w:webHidden/>
          </w:rPr>
        </w:r>
        <w:r w:rsidR="00C30E56">
          <w:rPr>
            <w:webHidden/>
          </w:rPr>
          <w:fldChar w:fldCharType="separate"/>
        </w:r>
        <w:r>
          <w:rPr>
            <w:webHidden/>
          </w:rPr>
          <w:t>4</w:t>
        </w:r>
        <w:r w:rsidR="00C30E56">
          <w:rPr>
            <w:webHidden/>
          </w:rPr>
          <w:fldChar w:fldCharType="end"/>
        </w:r>
      </w:hyperlink>
    </w:p>
    <w:p w14:paraId="08A71EE1" w14:textId="3316DED6" w:rsidR="00C30E56" w:rsidRDefault="00FC7DAA">
      <w:pPr>
        <w:pStyle w:val="TOC5"/>
        <w:rPr>
          <w:spacing w:val="0"/>
          <w:sz w:val="22"/>
          <w:szCs w:val="22"/>
          <w:lang w:eastAsia="en-AU"/>
        </w:rPr>
      </w:pPr>
      <w:hyperlink w:anchor="_Toc117258695" w:history="1">
        <w:r w:rsidR="00C30E56" w:rsidRPr="002372C4">
          <w:rPr>
            <w:rStyle w:val="Hyperlink"/>
          </w:rPr>
          <w:t>1.4</w:t>
        </w:r>
        <w:r w:rsidR="00C30E56">
          <w:rPr>
            <w:spacing w:val="0"/>
            <w:sz w:val="22"/>
            <w:szCs w:val="22"/>
            <w:lang w:eastAsia="en-AU"/>
          </w:rPr>
          <w:tab/>
        </w:r>
        <w:r w:rsidR="00C30E56" w:rsidRPr="002372C4">
          <w:rPr>
            <w:rStyle w:val="Hyperlink"/>
          </w:rPr>
          <w:t>Further information</w:t>
        </w:r>
        <w:r w:rsidR="00C30E56">
          <w:rPr>
            <w:webHidden/>
          </w:rPr>
          <w:tab/>
        </w:r>
        <w:r w:rsidR="00C30E56">
          <w:rPr>
            <w:webHidden/>
          </w:rPr>
          <w:fldChar w:fldCharType="begin"/>
        </w:r>
        <w:r w:rsidR="00C30E56">
          <w:rPr>
            <w:webHidden/>
          </w:rPr>
          <w:instrText xml:space="preserve"> PAGEREF _Toc117258695 \h </w:instrText>
        </w:r>
        <w:r w:rsidR="00C30E56">
          <w:rPr>
            <w:webHidden/>
          </w:rPr>
        </w:r>
        <w:r w:rsidR="00C30E56">
          <w:rPr>
            <w:webHidden/>
          </w:rPr>
          <w:fldChar w:fldCharType="separate"/>
        </w:r>
        <w:r>
          <w:rPr>
            <w:webHidden/>
          </w:rPr>
          <w:t>6</w:t>
        </w:r>
        <w:r w:rsidR="00C30E56">
          <w:rPr>
            <w:webHidden/>
          </w:rPr>
          <w:fldChar w:fldCharType="end"/>
        </w:r>
      </w:hyperlink>
    </w:p>
    <w:p w14:paraId="0E58406F" w14:textId="43A1704A" w:rsidR="00C30E56" w:rsidRDefault="00FC7DAA">
      <w:pPr>
        <w:pStyle w:val="TOC4"/>
        <w:rPr>
          <w:sz w:val="22"/>
          <w:szCs w:val="22"/>
          <w:lang w:eastAsia="en-AU"/>
        </w:rPr>
      </w:pPr>
      <w:hyperlink w:anchor="_Toc117258696" w:history="1">
        <w:r w:rsidR="00C30E56" w:rsidRPr="002372C4">
          <w:rPr>
            <w:rStyle w:val="Hyperlink"/>
          </w:rPr>
          <w:t>2.</w:t>
        </w:r>
        <w:r w:rsidR="00C30E56">
          <w:rPr>
            <w:sz w:val="22"/>
            <w:szCs w:val="22"/>
            <w:lang w:eastAsia="en-AU"/>
          </w:rPr>
          <w:tab/>
        </w:r>
        <w:r w:rsidR="00C30E56" w:rsidRPr="002372C4">
          <w:rPr>
            <w:rStyle w:val="Hyperlink"/>
          </w:rPr>
          <w:t>Key concepts</w:t>
        </w:r>
        <w:r w:rsidR="00C30E56">
          <w:rPr>
            <w:webHidden/>
          </w:rPr>
          <w:tab/>
        </w:r>
        <w:r w:rsidR="00C30E56">
          <w:rPr>
            <w:webHidden/>
          </w:rPr>
          <w:fldChar w:fldCharType="begin"/>
        </w:r>
        <w:r w:rsidR="00C30E56">
          <w:rPr>
            <w:webHidden/>
          </w:rPr>
          <w:instrText xml:space="preserve"> PAGEREF _Toc117258696 \h </w:instrText>
        </w:r>
        <w:r w:rsidR="00C30E56">
          <w:rPr>
            <w:webHidden/>
          </w:rPr>
        </w:r>
        <w:r w:rsidR="00C30E56">
          <w:rPr>
            <w:webHidden/>
          </w:rPr>
          <w:fldChar w:fldCharType="separate"/>
        </w:r>
        <w:r>
          <w:rPr>
            <w:webHidden/>
          </w:rPr>
          <w:t>6</w:t>
        </w:r>
        <w:r w:rsidR="00C30E56">
          <w:rPr>
            <w:webHidden/>
          </w:rPr>
          <w:fldChar w:fldCharType="end"/>
        </w:r>
      </w:hyperlink>
    </w:p>
    <w:p w14:paraId="6AAC999E" w14:textId="56EF0D47" w:rsidR="00C30E56" w:rsidRDefault="00FC7DAA">
      <w:pPr>
        <w:pStyle w:val="TOC5"/>
        <w:rPr>
          <w:spacing w:val="0"/>
          <w:sz w:val="22"/>
          <w:szCs w:val="22"/>
          <w:lang w:eastAsia="en-AU"/>
        </w:rPr>
      </w:pPr>
      <w:hyperlink w:anchor="_Toc117258697" w:history="1">
        <w:r w:rsidR="00C30E56" w:rsidRPr="002372C4">
          <w:rPr>
            <w:rStyle w:val="Hyperlink"/>
          </w:rPr>
          <w:t>2.1</w:t>
        </w:r>
        <w:r w:rsidR="00C30E56">
          <w:rPr>
            <w:spacing w:val="0"/>
            <w:sz w:val="22"/>
            <w:szCs w:val="22"/>
            <w:lang w:eastAsia="en-AU"/>
          </w:rPr>
          <w:tab/>
        </w:r>
        <w:r w:rsidR="00C30E56" w:rsidRPr="002372C4">
          <w:rPr>
            <w:rStyle w:val="Hyperlink"/>
          </w:rPr>
          <w:t>What is sustainable investment?</w:t>
        </w:r>
        <w:r w:rsidR="00C30E56">
          <w:rPr>
            <w:webHidden/>
          </w:rPr>
          <w:tab/>
        </w:r>
        <w:r w:rsidR="00C30E56">
          <w:rPr>
            <w:webHidden/>
          </w:rPr>
          <w:fldChar w:fldCharType="begin"/>
        </w:r>
        <w:r w:rsidR="00C30E56">
          <w:rPr>
            <w:webHidden/>
          </w:rPr>
          <w:instrText xml:space="preserve"> PAGEREF _Toc117258697 \h </w:instrText>
        </w:r>
        <w:r w:rsidR="00C30E56">
          <w:rPr>
            <w:webHidden/>
          </w:rPr>
        </w:r>
        <w:r w:rsidR="00C30E56">
          <w:rPr>
            <w:webHidden/>
          </w:rPr>
          <w:fldChar w:fldCharType="separate"/>
        </w:r>
        <w:r>
          <w:rPr>
            <w:webHidden/>
          </w:rPr>
          <w:t>6</w:t>
        </w:r>
        <w:r w:rsidR="00C30E56">
          <w:rPr>
            <w:webHidden/>
          </w:rPr>
          <w:fldChar w:fldCharType="end"/>
        </w:r>
      </w:hyperlink>
    </w:p>
    <w:p w14:paraId="7A8E448C" w14:textId="63C19147" w:rsidR="00C30E56" w:rsidRDefault="00FC7DAA">
      <w:pPr>
        <w:pStyle w:val="TOC5"/>
        <w:rPr>
          <w:spacing w:val="0"/>
          <w:sz w:val="22"/>
          <w:szCs w:val="22"/>
          <w:lang w:eastAsia="en-AU"/>
        </w:rPr>
      </w:pPr>
      <w:hyperlink w:anchor="_Toc117258698" w:history="1">
        <w:r w:rsidR="00C30E56" w:rsidRPr="002372C4">
          <w:rPr>
            <w:rStyle w:val="Hyperlink"/>
          </w:rPr>
          <w:t>2.2</w:t>
        </w:r>
        <w:r w:rsidR="00C30E56">
          <w:rPr>
            <w:spacing w:val="0"/>
            <w:sz w:val="22"/>
            <w:szCs w:val="22"/>
            <w:lang w:eastAsia="en-AU"/>
          </w:rPr>
          <w:tab/>
        </w:r>
        <w:r w:rsidR="00C30E56" w:rsidRPr="002372C4">
          <w:rPr>
            <w:rStyle w:val="Hyperlink"/>
          </w:rPr>
          <w:t>United Nations Sustainable Development Goals and Victorian Sustainable Investment themes</w:t>
        </w:r>
        <w:r w:rsidR="00C30E56">
          <w:rPr>
            <w:webHidden/>
          </w:rPr>
          <w:tab/>
        </w:r>
        <w:r w:rsidR="00C30E56">
          <w:rPr>
            <w:webHidden/>
          </w:rPr>
          <w:fldChar w:fldCharType="begin"/>
        </w:r>
        <w:r w:rsidR="00C30E56">
          <w:rPr>
            <w:webHidden/>
          </w:rPr>
          <w:instrText xml:space="preserve"> PAGEREF _Toc117258698 \h </w:instrText>
        </w:r>
        <w:r w:rsidR="00C30E56">
          <w:rPr>
            <w:webHidden/>
          </w:rPr>
        </w:r>
        <w:r w:rsidR="00C30E56">
          <w:rPr>
            <w:webHidden/>
          </w:rPr>
          <w:fldChar w:fldCharType="separate"/>
        </w:r>
        <w:r>
          <w:rPr>
            <w:webHidden/>
          </w:rPr>
          <w:t>8</w:t>
        </w:r>
        <w:r w:rsidR="00C30E56">
          <w:rPr>
            <w:webHidden/>
          </w:rPr>
          <w:fldChar w:fldCharType="end"/>
        </w:r>
      </w:hyperlink>
    </w:p>
    <w:p w14:paraId="3EE89C41" w14:textId="598E1729" w:rsidR="00C30E56" w:rsidRDefault="00FC7DAA">
      <w:pPr>
        <w:pStyle w:val="TOC5"/>
        <w:rPr>
          <w:spacing w:val="0"/>
          <w:sz w:val="22"/>
          <w:szCs w:val="22"/>
          <w:lang w:eastAsia="en-AU"/>
        </w:rPr>
      </w:pPr>
      <w:hyperlink w:anchor="_Toc117258699" w:history="1">
        <w:r w:rsidR="00C30E56" w:rsidRPr="002372C4">
          <w:rPr>
            <w:rStyle w:val="Hyperlink"/>
          </w:rPr>
          <w:t>2.3</w:t>
        </w:r>
        <w:r w:rsidR="00C30E56">
          <w:rPr>
            <w:spacing w:val="0"/>
            <w:sz w:val="22"/>
            <w:szCs w:val="22"/>
            <w:lang w:eastAsia="en-AU"/>
          </w:rPr>
          <w:tab/>
        </w:r>
        <w:r w:rsidR="00C30E56" w:rsidRPr="002372C4">
          <w:rPr>
            <w:rStyle w:val="Hyperlink"/>
          </w:rPr>
          <w:t>Sustainability rating tools and certifications</w:t>
        </w:r>
        <w:r w:rsidR="00C30E56">
          <w:rPr>
            <w:webHidden/>
          </w:rPr>
          <w:tab/>
        </w:r>
        <w:r w:rsidR="00C30E56">
          <w:rPr>
            <w:webHidden/>
          </w:rPr>
          <w:fldChar w:fldCharType="begin"/>
        </w:r>
        <w:r w:rsidR="00C30E56">
          <w:rPr>
            <w:webHidden/>
          </w:rPr>
          <w:instrText xml:space="preserve"> PAGEREF _Toc117258699 \h </w:instrText>
        </w:r>
        <w:r w:rsidR="00C30E56">
          <w:rPr>
            <w:webHidden/>
          </w:rPr>
        </w:r>
        <w:r w:rsidR="00C30E56">
          <w:rPr>
            <w:webHidden/>
          </w:rPr>
          <w:fldChar w:fldCharType="separate"/>
        </w:r>
        <w:r>
          <w:rPr>
            <w:webHidden/>
          </w:rPr>
          <w:t>10</w:t>
        </w:r>
        <w:r w:rsidR="00C30E56">
          <w:rPr>
            <w:webHidden/>
          </w:rPr>
          <w:fldChar w:fldCharType="end"/>
        </w:r>
      </w:hyperlink>
    </w:p>
    <w:p w14:paraId="7CBF4AF1" w14:textId="246DC60A" w:rsidR="00C30E56" w:rsidRDefault="00FC7DAA">
      <w:pPr>
        <w:pStyle w:val="TOC5"/>
        <w:rPr>
          <w:spacing w:val="0"/>
          <w:sz w:val="22"/>
          <w:szCs w:val="22"/>
          <w:lang w:eastAsia="en-AU"/>
        </w:rPr>
      </w:pPr>
      <w:hyperlink w:anchor="_Toc117258700" w:history="1">
        <w:r w:rsidR="00C30E56" w:rsidRPr="002372C4">
          <w:rPr>
            <w:rStyle w:val="Hyperlink"/>
          </w:rPr>
          <w:t>2.4</w:t>
        </w:r>
        <w:r w:rsidR="00C30E56">
          <w:rPr>
            <w:spacing w:val="0"/>
            <w:sz w:val="22"/>
            <w:szCs w:val="22"/>
            <w:lang w:eastAsia="en-AU"/>
          </w:rPr>
          <w:tab/>
        </w:r>
        <w:r w:rsidR="00C30E56" w:rsidRPr="002372C4">
          <w:rPr>
            <w:rStyle w:val="Hyperlink"/>
          </w:rPr>
          <w:t>Green Bonds</w:t>
        </w:r>
        <w:r w:rsidR="00C30E56">
          <w:rPr>
            <w:webHidden/>
          </w:rPr>
          <w:tab/>
        </w:r>
        <w:r w:rsidR="00C30E56">
          <w:rPr>
            <w:webHidden/>
          </w:rPr>
          <w:fldChar w:fldCharType="begin"/>
        </w:r>
        <w:r w:rsidR="00C30E56">
          <w:rPr>
            <w:webHidden/>
          </w:rPr>
          <w:instrText xml:space="preserve"> PAGEREF _Toc117258700 \h </w:instrText>
        </w:r>
        <w:r w:rsidR="00C30E56">
          <w:rPr>
            <w:webHidden/>
          </w:rPr>
        </w:r>
        <w:r w:rsidR="00C30E56">
          <w:rPr>
            <w:webHidden/>
          </w:rPr>
          <w:fldChar w:fldCharType="separate"/>
        </w:r>
        <w:r>
          <w:rPr>
            <w:webHidden/>
          </w:rPr>
          <w:t>12</w:t>
        </w:r>
        <w:r w:rsidR="00C30E56">
          <w:rPr>
            <w:webHidden/>
          </w:rPr>
          <w:fldChar w:fldCharType="end"/>
        </w:r>
      </w:hyperlink>
    </w:p>
    <w:p w14:paraId="51AAFDE1" w14:textId="6B94308C" w:rsidR="00C30E56" w:rsidRDefault="00FC7DAA">
      <w:pPr>
        <w:pStyle w:val="TOC5"/>
        <w:rPr>
          <w:spacing w:val="0"/>
          <w:sz w:val="22"/>
          <w:szCs w:val="22"/>
          <w:lang w:eastAsia="en-AU"/>
        </w:rPr>
      </w:pPr>
      <w:hyperlink w:anchor="_Toc117258701" w:history="1">
        <w:r w:rsidR="00C30E56" w:rsidRPr="002372C4">
          <w:rPr>
            <w:rStyle w:val="Hyperlink"/>
          </w:rPr>
          <w:t>2.5</w:t>
        </w:r>
        <w:r w:rsidR="00C30E56">
          <w:rPr>
            <w:spacing w:val="0"/>
            <w:sz w:val="22"/>
            <w:szCs w:val="22"/>
            <w:lang w:eastAsia="en-AU"/>
          </w:rPr>
          <w:tab/>
        </w:r>
        <w:r w:rsidR="00C30E56" w:rsidRPr="002372C4">
          <w:rPr>
            <w:rStyle w:val="Hyperlink"/>
          </w:rPr>
          <w:t>Sustainable investment maturity self</w:t>
        </w:r>
        <w:r w:rsidR="00C30E56" w:rsidRPr="002372C4">
          <w:rPr>
            <w:rStyle w:val="Hyperlink"/>
          </w:rPr>
          <w:noBreakHyphen/>
          <w:t>assessment</w:t>
        </w:r>
        <w:r w:rsidR="00C30E56">
          <w:rPr>
            <w:webHidden/>
          </w:rPr>
          <w:tab/>
        </w:r>
        <w:r w:rsidR="00C30E56">
          <w:rPr>
            <w:webHidden/>
          </w:rPr>
          <w:fldChar w:fldCharType="begin"/>
        </w:r>
        <w:r w:rsidR="00C30E56">
          <w:rPr>
            <w:webHidden/>
          </w:rPr>
          <w:instrText xml:space="preserve"> PAGEREF _Toc117258701 \h </w:instrText>
        </w:r>
        <w:r w:rsidR="00C30E56">
          <w:rPr>
            <w:webHidden/>
          </w:rPr>
        </w:r>
        <w:r w:rsidR="00C30E56">
          <w:rPr>
            <w:webHidden/>
          </w:rPr>
          <w:fldChar w:fldCharType="separate"/>
        </w:r>
        <w:r>
          <w:rPr>
            <w:webHidden/>
          </w:rPr>
          <w:t>14</w:t>
        </w:r>
        <w:r w:rsidR="00C30E56">
          <w:rPr>
            <w:webHidden/>
          </w:rPr>
          <w:fldChar w:fldCharType="end"/>
        </w:r>
      </w:hyperlink>
    </w:p>
    <w:p w14:paraId="27DA842C" w14:textId="2D4E3AC6" w:rsidR="00C30E56" w:rsidRDefault="00FC7DAA">
      <w:pPr>
        <w:pStyle w:val="TOC5"/>
        <w:rPr>
          <w:spacing w:val="0"/>
          <w:sz w:val="22"/>
          <w:szCs w:val="22"/>
          <w:lang w:eastAsia="en-AU"/>
        </w:rPr>
      </w:pPr>
      <w:hyperlink w:anchor="_Toc117258702" w:history="1">
        <w:r w:rsidR="00C30E56" w:rsidRPr="002372C4">
          <w:rPr>
            <w:rStyle w:val="Hyperlink"/>
          </w:rPr>
          <w:t>2.6</w:t>
        </w:r>
        <w:r w:rsidR="00C30E56">
          <w:rPr>
            <w:spacing w:val="0"/>
            <w:sz w:val="22"/>
            <w:szCs w:val="22"/>
            <w:lang w:eastAsia="en-AU"/>
          </w:rPr>
          <w:tab/>
        </w:r>
        <w:r w:rsidR="00C30E56" w:rsidRPr="002372C4">
          <w:rPr>
            <w:rStyle w:val="Hyperlink"/>
          </w:rPr>
          <w:t>Sustainable investment target maturity levels</w:t>
        </w:r>
        <w:r w:rsidR="00C30E56">
          <w:rPr>
            <w:webHidden/>
          </w:rPr>
          <w:tab/>
        </w:r>
        <w:r w:rsidR="00C30E56">
          <w:rPr>
            <w:webHidden/>
          </w:rPr>
          <w:fldChar w:fldCharType="begin"/>
        </w:r>
        <w:r w:rsidR="00C30E56">
          <w:rPr>
            <w:webHidden/>
          </w:rPr>
          <w:instrText xml:space="preserve"> PAGEREF _Toc117258702 \h </w:instrText>
        </w:r>
        <w:r w:rsidR="00C30E56">
          <w:rPr>
            <w:webHidden/>
          </w:rPr>
        </w:r>
        <w:r w:rsidR="00C30E56">
          <w:rPr>
            <w:webHidden/>
          </w:rPr>
          <w:fldChar w:fldCharType="separate"/>
        </w:r>
        <w:r>
          <w:rPr>
            <w:webHidden/>
          </w:rPr>
          <w:t>15</w:t>
        </w:r>
        <w:r w:rsidR="00C30E56">
          <w:rPr>
            <w:webHidden/>
          </w:rPr>
          <w:fldChar w:fldCharType="end"/>
        </w:r>
      </w:hyperlink>
    </w:p>
    <w:p w14:paraId="050D40E3" w14:textId="5E458407" w:rsidR="00C30E56" w:rsidRDefault="00FC7DAA">
      <w:pPr>
        <w:pStyle w:val="TOC4"/>
        <w:rPr>
          <w:sz w:val="22"/>
          <w:szCs w:val="22"/>
          <w:lang w:eastAsia="en-AU"/>
        </w:rPr>
      </w:pPr>
      <w:hyperlink w:anchor="_Toc117258703" w:history="1">
        <w:r w:rsidR="00C30E56" w:rsidRPr="002372C4">
          <w:rPr>
            <w:rStyle w:val="Hyperlink"/>
          </w:rPr>
          <w:t>3.</w:t>
        </w:r>
        <w:r w:rsidR="00C30E56">
          <w:rPr>
            <w:sz w:val="22"/>
            <w:szCs w:val="22"/>
            <w:lang w:eastAsia="en-AU"/>
          </w:rPr>
          <w:tab/>
        </w:r>
        <w:r w:rsidR="00C30E56" w:rsidRPr="002372C4">
          <w:rPr>
            <w:rStyle w:val="Hyperlink"/>
          </w:rPr>
          <w:t>Implementing sustainable investment</w:t>
        </w:r>
        <w:r w:rsidR="00C30E56">
          <w:rPr>
            <w:webHidden/>
          </w:rPr>
          <w:tab/>
        </w:r>
        <w:r w:rsidR="00C30E56">
          <w:rPr>
            <w:webHidden/>
          </w:rPr>
          <w:fldChar w:fldCharType="begin"/>
        </w:r>
        <w:r w:rsidR="00C30E56">
          <w:rPr>
            <w:webHidden/>
          </w:rPr>
          <w:instrText xml:space="preserve"> PAGEREF _Toc117258703 \h </w:instrText>
        </w:r>
        <w:r w:rsidR="00C30E56">
          <w:rPr>
            <w:webHidden/>
          </w:rPr>
        </w:r>
        <w:r w:rsidR="00C30E56">
          <w:rPr>
            <w:webHidden/>
          </w:rPr>
          <w:fldChar w:fldCharType="separate"/>
        </w:r>
        <w:r>
          <w:rPr>
            <w:webHidden/>
          </w:rPr>
          <w:t>18</w:t>
        </w:r>
        <w:r w:rsidR="00C30E56">
          <w:rPr>
            <w:webHidden/>
          </w:rPr>
          <w:fldChar w:fldCharType="end"/>
        </w:r>
      </w:hyperlink>
    </w:p>
    <w:p w14:paraId="687F0114" w14:textId="54517C62" w:rsidR="00C30E56" w:rsidRDefault="00FC7DAA">
      <w:pPr>
        <w:pStyle w:val="TOC5"/>
        <w:rPr>
          <w:spacing w:val="0"/>
          <w:sz w:val="22"/>
          <w:szCs w:val="22"/>
          <w:lang w:eastAsia="en-AU"/>
        </w:rPr>
      </w:pPr>
      <w:hyperlink w:anchor="_Toc117258704" w:history="1">
        <w:r w:rsidR="00C30E56" w:rsidRPr="002372C4">
          <w:rPr>
            <w:rStyle w:val="Hyperlink"/>
          </w:rPr>
          <w:t>3.1</w:t>
        </w:r>
        <w:r w:rsidR="00C30E56">
          <w:rPr>
            <w:spacing w:val="0"/>
            <w:sz w:val="22"/>
            <w:szCs w:val="22"/>
            <w:lang w:eastAsia="en-AU"/>
          </w:rPr>
          <w:tab/>
        </w:r>
        <w:r w:rsidR="00C30E56" w:rsidRPr="002372C4">
          <w:rPr>
            <w:rStyle w:val="Hyperlink"/>
          </w:rPr>
          <w:t>Business case</w:t>
        </w:r>
        <w:r w:rsidR="00C30E56">
          <w:rPr>
            <w:webHidden/>
          </w:rPr>
          <w:tab/>
        </w:r>
        <w:r w:rsidR="00C30E56">
          <w:rPr>
            <w:webHidden/>
          </w:rPr>
          <w:fldChar w:fldCharType="begin"/>
        </w:r>
        <w:r w:rsidR="00C30E56">
          <w:rPr>
            <w:webHidden/>
          </w:rPr>
          <w:instrText xml:space="preserve"> PAGEREF _Toc117258704 \h </w:instrText>
        </w:r>
        <w:r w:rsidR="00C30E56">
          <w:rPr>
            <w:webHidden/>
          </w:rPr>
        </w:r>
        <w:r w:rsidR="00C30E56">
          <w:rPr>
            <w:webHidden/>
          </w:rPr>
          <w:fldChar w:fldCharType="separate"/>
        </w:r>
        <w:r>
          <w:rPr>
            <w:webHidden/>
          </w:rPr>
          <w:t>20</w:t>
        </w:r>
        <w:r w:rsidR="00C30E56">
          <w:rPr>
            <w:webHidden/>
          </w:rPr>
          <w:fldChar w:fldCharType="end"/>
        </w:r>
      </w:hyperlink>
    </w:p>
    <w:p w14:paraId="6B595A71" w14:textId="6AD58367" w:rsidR="00C30E56" w:rsidRDefault="00FC7DAA">
      <w:pPr>
        <w:pStyle w:val="TOC5"/>
        <w:rPr>
          <w:spacing w:val="0"/>
          <w:sz w:val="22"/>
          <w:szCs w:val="22"/>
          <w:lang w:eastAsia="en-AU"/>
        </w:rPr>
      </w:pPr>
      <w:hyperlink w:anchor="_Toc117258705" w:history="1">
        <w:r w:rsidR="00C30E56" w:rsidRPr="002372C4">
          <w:rPr>
            <w:rStyle w:val="Hyperlink"/>
          </w:rPr>
          <w:t>3.2</w:t>
        </w:r>
        <w:r w:rsidR="00C30E56">
          <w:rPr>
            <w:spacing w:val="0"/>
            <w:sz w:val="22"/>
            <w:szCs w:val="22"/>
            <w:lang w:eastAsia="en-AU"/>
          </w:rPr>
          <w:tab/>
        </w:r>
        <w:r w:rsidR="00C30E56" w:rsidRPr="002372C4">
          <w:rPr>
            <w:rStyle w:val="Hyperlink"/>
          </w:rPr>
          <w:t>Procurement</w:t>
        </w:r>
        <w:r w:rsidR="00C30E56">
          <w:rPr>
            <w:webHidden/>
          </w:rPr>
          <w:tab/>
        </w:r>
        <w:r w:rsidR="00C30E56">
          <w:rPr>
            <w:webHidden/>
          </w:rPr>
          <w:fldChar w:fldCharType="begin"/>
        </w:r>
        <w:r w:rsidR="00C30E56">
          <w:rPr>
            <w:webHidden/>
          </w:rPr>
          <w:instrText xml:space="preserve"> PAGEREF _Toc117258705 \h </w:instrText>
        </w:r>
        <w:r w:rsidR="00C30E56">
          <w:rPr>
            <w:webHidden/>
          </w:rPr>
        </w:r>
        <w:r w:rsidR="00C30E56">
          <w:rPr>
            <w:webHidden/>
          </w:rPr>
          <w:fldChar w:fldCharType="separate"/>
        </w:r>
        <w:r>
          <w:rPr>
            <w:webHidden/>
          </w:rPr>
          <w:t>36</w:t>
        </w:r>
        <w:r w:rsidR="00C30E56">
          <w:rPr>
            <w:webHidden/>
          </w:rPr>
          <w:fldChar w:fldCharType="end"/>
        </w:r>
      </w:hyperlink>
    </w:p>
    <w:p w14:paraId="5DEF9CC2" w14:textId="69C45C2B" w:rsidR="00C30E56" w:rsidRDefault="00FC7DAA">
      <w:pPr>
        <w:pStyle w:val="TOC5"/>
        <w:rPr>
          <w:spacing w:val="0"/>
          <w:sz w:val="22"/>
          <w:szCs w:val="22"/>
          <w:lang w:eastAsia="en-AU"/>
        </w:rPr>
      </w:pPr>
      <w:hyperlink w:anchor="_Toc117258706" w:history="1">
        <w:r w:rsidR="00C30E56" w:rsidRPr="002372C4">
          <w:rPr>
            <w:rStyle w:val="Hyperlink"/>
          </w:rPr>
          <w:t>3.3</w:t>
        </w:r>
        <w:r w:rsidR="00C30E56">
          <w:rPr>
            <w:spacing w:val="0"/>
            <w:sz w:val="22"/>
            <w:szCs w:val="22"/>
            <w:lang w:eastAsia="en-AU"/>
          </w:rPr>
          <w:tab/>
        </w:r>
        <w:r w:rsidR="00C30E56" w:rsidRPr="002372C4">
          <w:rPr>
            <w:rStyle w:val="Hyperlink"/>
          </w:rPr>
          <w:t>Delivery</w:t>
        </w:r>
        <w:r w:rsidR="00C30E56">
          <w:rPr>
            <w:webHidden/>
          </w:rPr>
          <w:tab/>
        </w:r>
        <w:r w:rsidR="00C30E56">
          <w:rPr>
            <w:webHidden/>
          </w:rPr>
          <w:fldChar w:fldCharType="begin"/>
        </w:r>
        <w:r w:rsidR="00C30E56">
          <w:rPr>
            <w:webHidden/>
          </w:rPr>
          <w:instrText xml:space="preserve"> PAGEREF _Toc117258706 \h </w:instrText>
        </w:r>
        <w:r w:rsidR="00C30E56">
          <w:rPr>
            <w:webHidden/>
          </w:rPr>
        </w:r>
        <w:r w:rsidR="00C30E56">
          <w:rPr>
            <w:webHidden/>
          </w:rPr>
          <w:fldChar w:fldCharType="separate"/>
        </w:r>
        <w:r>
          <w:rPr>
            <w:webHidden/>
          </w:rPr>
          <w:t>42</w:t>
        </w:r>
        <w:r w:rsidR="00C30E56">
          <w:rPr>
            <w:webHidden/>
          </w:rPr>
          <w:fldChar w:fldCharType="end"/>
        </w:r>
      </w:hyperlink>
    </w:p>
    <w:p w14:paraId="4C5D941F" w14:textId="7A1AE4D5" w:rsidR="00C30E56" w:rsidRDefault="00FC7DAA">
      <w:pPr>
        <w:pStyle w:val="TOC1"/>
        <w:rPr>
          <w:sz w:val="22"/>
          <w:szCs w:val="22"/>
        </w:rPr>
      </w:pPr>
      <w:hyperlink w:anchor="_Toc117258707" w:history="1">
        <w:r w:rsidR="00C30E56" w:rsidRPr="002372C4">
          <w:rPr>
            <w:rStyle w:val="Hyperlink"/>
          </w:rPr>
          <w:t>References</w:t>
        </w:r>
        <w:r w:rsidR="00C30E56">
          <w:rPr>
            <w:webHidden/>
          </w:rPr>
          <w:tab/>
        </w:r>
        <w:r w:rsidR="00C30E56">
          <w:rPr>
            <w:webHidden/>
          </w:rPr>
          <w:fldChar w:fldCharType="begin"/>
        </w:r>
        <w:r w:rsidR="00C30E56">
          <w:rPr>
            <w:webHidden/>
          </w:rPr>
          <w:instrText xml:space="preserve"> PAGEREF _Toc117258707 \h </w:instrText>
        </w:r>
        <w:r w:rsidR="00C30E56">
          <w:rPr>
            <w:webHidden/>
          </w:rPr>
        </w:r>
        <w:r w:rsidR="00C30E56">
          <w:rPr>
            <w:webHidden/>
          </w:rPr>
          <w:fldChar w:fldCharType="separate"/>
        </w:r>
        <w:r>
          <w:rPr>
            <w:webHidden/>
          </w:rPr>
          <w:t>48</w:t>
        </w:r>
        <w:r w:rsidR="00C30E56">
          <w:rPr>
            <w:webHidden/>
          </w:rPr>
          <w:fldChar w:fldCharType="end"/>
        </w:r>
      </w:hyperlink>
    </w:p>
    <w:p w14:paraId="3D083457" w14:textId="782F86AC" w:rsidR="00C30E56" w:rsidRDefault="00FC7DAA">
      <w:pPr>
        <w:pStyle w:val="TOC1"/>
        <w:rPr>
          <w:sz w:val="22"/>
          <w:szCs w:val="22"/>
        </w:rPr>
      </w:pPr>
      <w:hyperlink w:anchor="_Toc117258708" w:history="1">
        <w:r w:rsidR="00C30E56" w:rsidRPr="002372C4">
          <w:rPr>
            <w:rStyle w:val="Hyperlink"/>
          </w:rPr>
          <w:t>Glossary</w:t>
        </w:r>
        <w:r w:rsidR="00C30E56">
          <w:rPr>
            <w:webHidden/>
          </w:rPr>
          <w:tab/>
        </w:r>
        <w:r w:rsidR="00C30E56">
          <w:rPr>
            <w:webHidden/>
          </w:rPr>
          <w:fldChar w:fldCharType="begin"/>
        </w:r>
        <w:r w:rsidR="00C30E56">
          <w:rPr>
            <w:webHidden/>
          </w:rPr>
          <w:instrText xml:space="preserve"> PAGEREF _Toc117258708 \h </w:instrText>
        </w:r>
        <w:r w:rsidR="00C30E56">
          <w:rPr>
            <w:webHidden/>
          </w:rPr>
        </w:r>
        <w:r w:rsidR="00C30E56">
          <w:rPr>
            <w:webHidden/>
          </w:rPr>
          <w:fldChar w:fldCharType="separate"/>
        </w:r>
        <w:r>
          <w:rPr>
            <w:webHidden/>
          </w:rPr>
          <w:t>50</w:t>
        </w:r>
        <w:r w:rsidR="00C30E56">
          <w:rPr>
            <w:webHidden/>
          </w:rPr>
          <w:fldChar w:fldCharType="end"/>
        </w:r>
      </w:hyperlink>
    </w:p>
    <w:p w14:paraId="7ECCC797" w14:textId="25BFE29E" w:rsidR="00C30E56" w:rsidRDefault="00FC7DAA">
      <w:pPr>
        <w:pStyle w:val="TOC1"/>
        <w:rPr>
          <w:sz w:val="22"/>
          <w:szCs w:val="22"/>
        </w:rPr>
      </w:pPr>
      <w:hyperlink w:anchor="_Toc117258709" w:history="1">
        <w:r w:rsidR="00C30E56" w:rsidRPr="002372C4">
          <w:rPr>
            <w:rStyle w:val="Hyperlink"/>
          </w:rPr>
          <w:t>Appendices</w:t>
        </w:r>
        <w:r w:rsidR="00C30E56">
          <w:rPr>
            <w:webHidden/>
          </w:rPr>
          <w:tab/>
        </w:r>
        <w:r w:rsidR="00C30E56">
          <w:rPr>
            <w:webHidden/>
          </w:rPr>
          <w:fldChar w:fldCharType="begin"/>
        </w:r>
        <w:r w:rsidR="00C30E56">
          <w:rPr>
            <w:webHidden/>
          </w:rPr>
          <w:instrText xml:space="preserve"> PAGEREF _Toc117258709 \h </w:instrText>
        </w:r>
        <w:r w:rsidR="00C30E56">
          <w:rPr>
            <w:webHidden/>
          </w:rPr>
        </w:r>
        <w:r w:rsidR="00C30E56">
          <w:rPr>
            <w:webHidden/>
          </w:rPr>
          <w:fldChar w:fldCharType="separate"/>
        </w:r>
        <w:r>
          <w:rPr>
            <w:webHidden/>
          </w:rPr>
          <w:t>55</w:t>
        </w:r>
        <w:r w:rsidR="00C30E56">
          <w:rPr>
            <w:webHidden/>
          </w:rPr>
          <w:fldChar w:fldCharType="end"/>
        </w:r>
      </w:hyperlink>
    </w:p>
    <w:p w14:paraId="1111F1D5" w14:textId="4E6618A7" w:rsidR="00C30E56" w:rsidRDefault="00FC7DAA">
      <w:pPr>
        <w:pStyle w:val="TOC2"/>
        <w:rPr>
          <w:spacing w:val="0"/>
          <w:sz w:val="22"/>
          <w:szCs w:val="22"/>
        </w:rPr>
      </w:pPr>
      <w:hyperlink w:anchor="_Toc117258710" w:history="1">
        <w:r w:rsidR="00C30E56" w:rsidRPr="002372C4">
          <w:rPr>
            <w:rStyle w:val="Hyperlink"/>
          </w:rPr>
          <w:t>Appendix 1 – Legislation and policies supporting Sustainable Investment themes</w:t>
        </w:r>
        <w:r w:rsidR="00C30E56">
          <w:rPr>
            <w:webHidden/>
          </w:rPr>
          <w:tab/>
        </w:r>
        <w:r w:rsidR="00C30E56">
          <w:rPr>
            <w:webHidden/>
          </w:rPr>
          <w:fldChar w:fldCharType="begin"/>
        </w:r>
        <w:r w:rsidR="00C30E56">
          <w:rPr>
            <w:webHidden/>
          </w:rPr>
          <w:instrText xml:space="preserve"> PAGEREF _Toc117258710 \h </w:instrText>
        </w:r>
        <w:r w:rsidR="00C30E56">
          <w:rPr>
            <w:webHidden/>
          </w:rPr>
        </w:r>
        <w:r w:rsidR="00C30E56">
          <w:rPr>
            <w:webHidden/>
          </w:rPr>
          <w:fldChar w:fldCharType="separate"/>
        </w:r>
        <w:r>
          <w:rPr>
            <w:webHidden/>
          </w:rPr>
          <w:t>55</w:t>
        </w:r>
        <w:r w:rsidR="00C30E56">
          <w:rPr>
            <w:webHidden/>
          </w:rPr>
          <w:fldChar w:fldCharType="end"/>
        </w:r>
      </w:hyperlink>
    </w:p>
    <w:p w14:paraId="78772329" w14:textId="6BFDF0AA" w:rsidR="00C30E56" w:rsidRDefault="00FC7DAA">
      <w:pPr>
        <w:pStyle w:val="TOC2"/>
        <w:rPr>
          <w:spacing w:val="0"/>
          <w:sz w:val="22"/>
          <w:szCs w:val="22"/>
        </w:rPr>
      </w:pPr>
      <w:hyperlink w:anchor="_Toc117258711" w:history="1">
        <w:r w:rsidR="00C30E56" w:rsidRPr="002372C4">
          <w:rPr>
            <w:rStyle w:val="Hyperlink"/>
          </w:rPr>
          <w:t>Appendix 2 – Sustainability rating tools</w:t>
        </w:r>
        <w:r w:rsidR="00C30E56">
          <w:rPr>
            <w:webHidden/>
          </w:rPr>
          <w:tab/>
        </w:r>
        <w:r w:rsidR="00C30E56">
          <w:rPr>
            <w:webHidden/>
          </w:rPr>
          <w:fldChar w:fldCharType="begin"/>
        </w:r>
        <w:r w:rsidR="00C30E56">
          <w:rPr>
            <w:webHidden/>
          </w:rPr>
          <w:instrText xml:space="preserve"> PAGEREF _Toc117258711 \h </w:instrText>
        </w:r>
        <w:r w:rsidR="00C30E56">
          <w:rPr>
            <w:webHidden/>
          </w:rPr>
        </w:r>
        <w:r w:rsidR="00C30E56">
          <w:rPr>
            <w:webHidden/>
          </w:rPr>
          <w:fldChar w:fldCharType="separate"/>
        </w:r>
        <w:r>
          <w:rPr>
            <w:webHidden/>
          </w:rPr>
          <w:t>61</w:t>
        </w:r>
        <w:r w:rsidR="00C30E56">
          <w:rPr>
            <w:webHidden/>
          </w:rPr>
          <w:fldChar w:fldCharType="end"/>
        </w:r>
      </w:hyperlink>
    </w:p>
    <w:p w14:paraId="539A3B6F" w14:textId="0D8CD13C" w:rsidR="00FE18A0" w:rsidRDefault="00FE18A0" w:rsidP="00AF6567">
      <w:pPr>
        <w:rPr>
          <w:noProof/>
          <w:lang w:eastAsia="en-US"/>
        </w:rPr>
      </w:pPr>
      <w:r>
        <w:rPr>
          <w:noProof/>
          <w:lang w:eastAsia="en-US"/>
        </w:rPr>
        <w:fldChar w:fldCharType="end"/>
      </w:r>
    </w:p>
    <w:p w14:paraId="5EE6EC49" w14:textId="161DE645" w:rsidR="00FE18A0" w:rsidRDefault="00FE18A0" w:rsidP="00AF6567"/>
    <w:p w14:paraId="14179626" w14:textId="2842749A" w:rsidR="009D3A3F" w:rsidRDefault="009D3A3F">
      <w:pPr>
        <w:keepLines w:val="0"/>
        <w:spacing w:before="0" w:after="0" w:line="240" w:lineRule="auto"/>
      </w:pPr>
      <w:r>
        <w:br w:type="page"/>
      </w:r>
    </w:p>
    <w:p w14:paraId="7F0CD92E" w14:textId="11DB799C" w:rsidR="009D3A3F" w:rsidRDefault="009D3A3F" w:rsidP="00434FBE">
      <w:pPr>
        <w:pStyle w:val="TOCHeading"/>
        <w:spacing w:after="200"/>
      </w:pPr>
      <w:r w:rsidRPr="009B2B67">
        <w:lastRenderedPageBreak/>
        <w:t xml:space="preserve">List of </w:t>
      </w:r>
      <w:r w:rsidRPr="009D3A3F">
        <w:t>case</w:t>
      </w:r>
      <w:r w:rsidRPr="009973A4">
        <w:t xml:space="preserve"> studies</w:t>
      </w:r>
    </w:p>
    <w:p w14:paraId="5502EDBE" w14:textId="023140F5" w:rsidR="000C20DE" w:rsidRDefault="009D3A3F" w:rsidP="000C20DE">
      <w:pPr>
        <w:pStyle w:val="TableofFigures"/>
        <w:ind w:left="1350" w:hanging="1350"/>
        <w:rPr>
          <w:spacing w:val="0"/>
          <w:sz w:val="22"/>
          <w:szCs w:val="22"/>
        </w:rPr>
      </w:pPr>
      <w:r w:rsidRPr="009D3A3F">
        <w:rPr>
          <w:rFonts w:cstheme="minorHAnsi"/>
          <w:highlight w:val="lightGray"/>
        </w:rPr>
        <w:fldChar w:fldCharType="begin"/>
      </w:r>
      <w:r w:rsidRPr="009D3A3F">
        <w:rPr>
          <w:highlight w:val="lightGray"/>
        </w:rPr>
        <w:instrText xml:space="preserve"> TOC \h \z \t "Breakout heading,7" \c "Case study" </w:instrText>
      </w:r>
      <w:r w:rsidRPr="009D3A3F">
        <w:rPr>
          <w:rFonts w:cstheme="minorHAnsi"/>
          <w:highlight w:val="lightGray"/>
        </w:rPr>
        <w:fldChar w:fldCharType="separate"/>
      </w:r>
      <w:hyperlink w:anchor="_Toc75427321" w:history="1">
        <w:r w:rsidR="000C20DE" w:rsidRPr="00A40B2D">
          <w:rPr>
            <w:rStyle w:val="Hyperlink"/>
          </w:rPr>
          <w:t>Case study 1 – Victorian Health and Human Services Building Authority, Guidance for Sustainability in Capital Works</w:t>
        </w:r>
        <w:r w:rsidR="000C20DE">
          <w:rPr>
            <w:webHidden/>
          </w:rPr>
          <w:tab/>
        </w:r>
        <w:r w:rsidR="000C20DE">
          <w:rPr>
            <w:webHidden/>
          </w:rPr>
          <w:fldChar w:fldCharType="begin"/>
        </w:r>
        <w:r w:rsidR="000C20DE">
          <w:rPr>
            <w:webHidden/>
          </w:rPr>
          <w:instrText xml:space="preserve"> PAGEREF _Toc75427321 \h </w:instrText>
        </w:r>
        <w:r w:rsidR="000C20DE">
          <w:rPr>
            <w:webHidden/>
          </w:rPr>
        </w:r>
        <w:r w:rsidR="000C20DE">
          <w:rPr>
            <w:webHidden/>
          </w:rPr>
          <w:fldChar w:fldCharType="separate"/>
        </w:r>
        <w:r w:rsidR="00FC7DAA">
          <w:rPr>
            <w:webHidden/>
          </w:rPr>
          <w:t>7</w:t>
        </w:r>
        <w:r w:rsidR="000C20DE">
          <w:rPr>
            <w:webHidden/>
          </w:rPr>
          <w:fldChar w:fldCharType="end"/>
        </w:r>
      </w:hyperlink>
    </w:p>
    <w:p w14:paraId="6C678290" w14:textId="27F1E454" w:rsidR="000C20DE" w:rsidRDefault="00FC7DAA">
      <w:pPr>
        <w:pStyle w:val="TableofFigures"/>
        <w:rPr>
          <w:spacing w:val="0"/>
          <w:sz w:val="22"/>
          <w:szCs w:val="22"/>
        </w:rPr>
      </w:pPr>
      <w:hyperlink w:anchor="_Toc75427322" w:history="1">
        <w:r w:rsidR="000C20DE" w:rsidRPr="00A40B2D">
          <w:rPr>
            <w:rStyle w:val="Hyperlink"/>
          </w:rPr>
          <w:t>Case study 2 – Energy efficiency in the built environment</w:t>
        </w:r>
        <w:r w:rsidR="000C20DE">
          <w:rPr>
            <w:webHidden/>
          </w:rPr>
          <w:tab/>
        </w:r>
        <w:r w:rsidR="000C20DE">
          <w:rPr>
            <w:webHidden/>
          </w:rPr>
          <w:fldChar w:fldCharType="begin"/>
        </w:r>
        <w:r w:rsidR="000C20DE">
          <w:rPr>
            <w:webHidden/>
          </w:rPr>
          <w:instrText xml:space="preserve"> PAGEREF _Toc75427322 \h </w:instrText>
        </w:r>
        <w:r w:rsidR="000C20DE">
          <w:rPr>
            <w:webHidden/>
          </w:rPr>
        </w:r>
        <w:r w:rsidR="000C20DE">
          <w:rPr>
            <w:webHidden/>
          </w:rPr>
          <w:fldChar w:fldCharType="separate"/>
        </w:r>
        <w:r>
          <w:rPr>
            <w:webHidden/>
          </w:rPr>
          <w:t>24</w:t>
        </w:r>
        <w:r w:rsidR="000C20DE">
          <w:rPr>
            <w:webHidden/>
          </w:rPr>
          <w:fldChar w:fldCharType="end"/>
        </w:r>
      </w:hyperlink>
    </w:p>
    <w:p w14:paraId="5A08C7C5" w14:textId="44F3AE5D" w:rsidR="000C20DE" w:rsidRDefault="00FC7DAA">
      <w:pPr>
        <w:pStyle w:val="TableofFigures"/>
        <w:rPr>
          <w:spacing w:val="0"/>
          <w:sz w:val="22"/>
          <w:szCs w:val="22"/>
        </w:rPr>
      </w:pPr>
      <w:hyperlink w:anchor="_Toc75427323" w:history="1">
        <w:r w:rsidR="000C20DE" w:rsidRPr="00A40B2D">
          <w:rPr>
            <w:rStyle w:val="Hyperlink"/>
          </w:rPr>
          <w:t>Case study 3 – Minimum sustainability targets, Development Victoria</w:t>
        </w:r>
        <w:r w:rsidR="000C20DE">
          <w:rPr>
            <w:webHidden/>
          </w:rPr>
          <w:tab/>
        </w:r>
        <w:r w:rsidR="000C20DE">
          <w:rPr>
            <w:webHidden/>
          </w:rPr>
          <w:fldChar w:fldCharType="begin"/>
        </w:r>
        <w:r w:rsidR="000C20DE">
          <w:rPr>
            <w:webHidden/>
          </w:rPr>
          <w:instrText xml:space="preserve"> PAGEREF _Toc75427323 \h </w:instrText>
        </w:r>
        <w:r w:rsidR="000C20DE">
          <w:rPr>
            <w:webHidden/>
          </w:rPr>
        </w:r>
        <w:r w:rsidR="000C20DE">
          <w:rPr>
            <w:webHidden/>
          </w:rPr>
          <w:fldChar w:fldCharType="separate"/>
        </w:r>
        <w:r>
          <w:rPr>
            <w:webHidden/>
          </w:rPr>
          <w:t>30</w:t>
        </w:r>
        <w:r w:rsidR="000C20DE">
          <w:rPr>
            <w:webHidden/>
          </w:rPr>
          <w:fldChar w:fldCharType="end"/>
        </w:r>
      </w:hyperlink>
    </w:p>
    <w:p w14:paraId="1DE4BB57" w14:textId="4BEC7E5F" w:rsidR="000C20DE" w:rsidRDefault="00FC7DAA">
      <w:pPr>
        <w:pStyle w:val="TableofFigures"/>
        <w:rPr>
          <w:spacing w:val="0"/>
          <w:sz w:val="22"/>
          <w:szCs w:val="22"/>
        </w:rPr>
      </w:pPr>
      <w:hyperlink w:anchor="_Toc75427324" w:history="1">
        <w:r w:rsidR="000C20DE" w:rsidRPr="00A40B2D">
          <w:rPr>
            <w:rStyle w:val="Hyperlink"/>
          </w:rPr>
          <w:t>Case study 4 – Greener Government Buildings</w:t>
        </w:r>
        <w:r w:rsidR="000C20DE">
          <w:rPr>
            <w:webHidden/>
          </w:rPr>
          <w:tab/>
        </w:r>
        <w:r w:rsidR="000C20DE">
          <w:rPr>
            <w:webHidden/>
          </w:rPr>
          <w:fldChar w:fldCharType="begin"/>
        </w:r>
        <w:r w:rsidR="000C20DE">
          <w:rPr>
            <w:webHidden/>
          </w:rPr>
          <w:instrText xml:space="preserve"> PAGEREF _Toc75427324 \h </w:instrText>
        </w:r>
        <w:r w:rsidR="000C20DE">
          <w:rPr>
            <w:webHidden/>
          </w:rPr>
        </w:r>
        <w:r w:rsidR="000C20DE">
          <w:rPr>
            <w:webHidden/>
          </w:rPr>
          <w:fldChar w:fldCharType="separate"/>
        </w:r>
        <w:r>
          <w:rPr>
            <w:webHidden/>
          </w:rPr>
          <w:t>36</w:t>
        </w:r>
        <w:r w:rsidR="000C20DE">
          <w:rPr>
            <w:webHidden/>
          </w:rPr>
          <w:fldChar w:fldCharType="end"/>
        </w:r>
      </w:hyperlink>
    </w:p>
    <w:p w14:paraId="6AF3CC39" w14:textId="32E7037A" w:rsidR="000C20DE" w:rsidRDefault="00FC7DAA">
      <w:pPr>
        <w:pStyle w:val="TableofFigures"/>
        <w:rPr>
          <w:spacing w:val="0"/>
          <w:sz w:val="22"/>
          <w:szCs w:val="22"/>
        </w:rPr>
      </w:pPr>
      <w:hyperlink w:anchor="_Toc75427325" w:history="1">
        <w:r w:rsidR="000C20DE" w:rsidRPr="00A40B2D">
          <w:rPr>
            <w:rStyle w:val="Hyperlink"/>
          </w:rPr>
          <w:t>Case study 5 – CO2 Performance Ladder, Netherlands</w:t>
        </w:r>
        <w:r w:rsidR="000C20DE">
          <w:rPr>
            <w:webHidden/>
          </w:rPr>
          <w:tab/>
        </w:r>
        <w:r w:rsidR="000C20DE">
          <w:rPr>
            <w:webHidden/>
          </w:rPr>
          <w:fldChar w:fldCharType="begin"/>
        </w:r>
        <w:r w:rsidR="000C20DE">
          <w:rPr>
            <w:webHidden/>
          </w:rPr>
          <w:instrText xml:space="preserve"> PAGEREF _Toc75427325 \h </w:instrText>
        </w:r>
        <w:r w:rsidR="000C20DE">
          <w:rPr>
            <w:webHidden/>
          </w:rPr>
        </w:r>
        <w:r w:rsidR="000C20DE">
          <w:rPr>
            <w:webHidden/>
          </w:rPr>
          <w:fldChar w:fldCharType="separate"/>
        </w:r>
        <w:r>
          <w:rPr>
            <w:webHidden/>
          </w:rPr>
          <w:t>41</w:t>
        </w:r>
        <w:r w:rsidR="000C20DE">
          <w:rPr>
            <w:webHidden/>
          </w:rPr>
          <w:fldChar w:fldCharType="end"/>
        </w:r>
      </w:hyperlink>
    </w:p>
    <w:p w14:paraId="7F0DEADA" w14:textId="25EE9BD2" w:rsidR="009D3A3F" w:rsidRDefault="009D3A3F" w:rsidP="00434FBE">
      <w:pPr>
        <w:pStyle w:val="Spacer"/>
      </w:pPr>
      <w:r w:rsidRPr="009D3A3F">
        <w:rPr>
          <w:highlight w:val="lightGray"/>
        </w:rPr>
        <w:fldChar w:fldCharType="end"/>
      </w:r>
    </w:p>
    <w:p w14:paraId="1DE4C8A3" w14:textId="6998E5C8" w:rsidR="009D3A3F" w:rsidRDefault="009D3A3F" w:rsidP="00434FBE">
      <w:pPr>
        <w:pStyle w:val="TOCHeading"/>
        <w:spacing w:after="200"/>
      </w:pPr>
      <w:r>
        <w:t xml:space="preserve">List of </w:t>
      </w:r>
      <w:r w:rsidR="00D7239D" w:rsidRPr="009D3A3F">
        <w:t>figures</w:t>
      </w:r>
    </w:p>
    <w:p w14:paraId="38F94D77" w14:textId="55E14D3F" w:rsidR="00C30E56" w:rsidRDefault="009D3A3F">
      <w:pPr>
        <w:pStyle w:val="TableofFigures"/>
        <w:rPr>
          <w:spacing w:val="0"/>
          <w:sz w:val="22"/>
          <w:szCs w:val="22"/>
        </w:rPr>
      </w:pPr>
      <w:r w:rsidRPr="00D7239D">
        <w:fldChar w:fldCharType="begin"/>
      </w:r>
      <w:r w:rsidRPr="00D7239D">
        <w:instrText xml:space="preserve"> TOC \h \z \c "Figure" </w:instrText>
      </w:r>
      <w:r w:rsidRPr="00D7239D">
        <w:fldChar w:fldCharType="separate"/>
      </w:r>
      <w:hyperlink w:anchor="_Toc117258717" w:history="1">
        <w:r w:rsidR="00C30E56" w:rsidRPr="006A5080">
          <w:rPr>
            <w:rStyle w:val="Hyperlink"/>
          </w:rPr>
          <w:t>Figure 1 – Sustainable investment outcomes</w:t>
        </w:r>
        <w:r w:rsidR="00C30E56">
          <w:rPr>
            <w:webHidden/>
          </w:rPr>
          <w:tab/>
        </w:r>
        <w:r w:rsidR="00C30E56">
          <w:rPr>
            <w:webHidden/>
          </w:rPr>
          <w:fldChar w:fldCharType="begin"/>
        </w:r>
        <w:r w:rsidR="00C30E56">
          <w:rPr>
            <w:webHidden/>
          </w:rPr>
          <w:instrText xml:space="preserve"> PAGEREF _Toc117258717 \h </w:instrText>
        </w:r>
        <w:r w:rsidR="00C30E56">
          <w:rPr>
            <w:webHidden/>
          </w:rPr>
        </w:r>
        <w:r w:rsidR="00C30E56">
          <w:rPr>
            <w:webHidden/>
          </w:rPr>
          <w:fldChar w:fldCharType="separate"/>
        </w:r>
        <w:r w:rsidR="00FC7DAA">
          <w:rPr>
            <w:webHidden/>
          </w:rPr>
          <w:t>6</w:t>
        </w:r>
        <w:r w:rsidR="00C30E56">
          <w:rPr>
            <w:webHidden/>
          </w:rPr>
          <w:fldChar w:fldCharType="end"/>
        </w:r>
      </w:hyperlink>
    </w:p>
    <w:p w14:paraId="4F1D9F87" w14:textId="7A324EC3" w:rsidR="00C30E56" w:rsidRDefault="00FC7DAA">
      <w:pPr>
        <w:pStyle w:val="TableofFigures"/>
        <w:rPr>
          <w:spacing w:val="0"/>
          <w:sz w:val="22"/>
          <w:szCs w:val="22"/>
        </w:rPr>
      </w:pPr>
      <w:hyperlink w:anchor="_Toc117258718" w:history="1">
        <w:r w:rsidR="00C30E56" w:rsidRPr="006A5080">
          <w:rPr>
            <w:rStyle w:val="Hyperlink"/>
          </w:rPr>
          <w:t>Figure 2 – The United Nations sustainable development goals</w:t>
        </w:r>
        <w:r w:rsidR="00C30E56">
          <w:rPr>
            <w:webHidden/>
          </w:rPr>
          <w:tab/>
        </w:r>
        <w:r w:rsidR="00C30E56">
          <w:rPr>
            <w:webHidden/>
          </w:rPr>
          <w:fldChar w:fldCharType="begin"/>
        </w:r>
        <w:r w:rsidR="00C30E56">
          <w:rPr>
            <w:webHidden/>
          </w:rPr>
          <w:instrText xml:space="preserve"> PAGEREF _Toc117258718 \h </w:instrText>
        </w:r>
        <w:r w:rsidR="00C30E56">
          <w:rPr>
            <w:webHidden/>
          </w:rPr>
        </w:r>
        <w:r w:rsidR="00C30E56">
          <w:rPr>
            <w:webHidden/>
          </w:rPr>
          <w:fldChar w:fldCharType="separate"/>
        </w:r>
        <w:r>
          <w:rPr>
            <w:webHidden/>
          </w:rPr>
          <w:t>8</w:t>
        </w:r>
        <w:r w:rsidR="00C30E56">
          <w:rPr>
            <w:webHidden/>
          </w:rPr>
          <w:fldChar w:fldCharType="end"/>
        </w:r>
      </w:hyperlink>
    </w:p>
    <w:p w14:paraId="3E7DDAF4" w14:textId="03F09655" w:rsidR="00C30E56" w:rsidRDefault="00FC7DAA">
      <w:pPr>
        <w:pStyle w:val="TableofFigures"/>
        <w:rPr>
          <w:spacing w:val="0"/>
          <w:sz w:val="22"/>
          <w:szCs w:val="22"/>
        </w:rPr>
      </w:pPr>
      <w:hyperlink w:anchor="_Toc117258719" w:history="1">
        <w:r w:rsidR="00C30E56" w:rsidRPr="006A5080">
          <w:rPr>
            <w:rStyle w:val="Hyperlink"/>
          </w:rPr>
          <w:t>Figure 3 – Rating tool decision approach</w:t>
        </w:r>
        <w:r w:rsidR="00C30E56">
          <w:rPr>
            <w:webHidden/>
          </w:rPr>
          <w:tab/>
        </w:r>
        <w:r w:rsidR="00C30E56">
          <w:rPr>
            <w:webHidden/>
          </w:rPr>
          <w:fldChar w:fldCharType="begin"/>
        </w:r>
        <w:r w:rsidR="00C30E56">
          <w:rPr>
            <w:webHidden/>
          </w:rPr>
          <w:instrText xml:space="preserve"> PAGEREF _Toc117258719 \h </w:instrText>
        </w:r>
        <w:r w:rsidR="00C30E56">
          <w:rPr>
            <w:webHidden/>
          </w:rPr>
        </w:r>
        <w:r w:rsidR="00C30E56">
          <w:rPr>
            <w:webHidden/>
          </w:rPr>
          <w:fldChar w:fldCharType="separate"/>
        </w:r>
        <w:r>
          <w:rPr>
            <w:webHidden/>
          </w:rPr>
          <w:t>11</w:t>
        </w:r>
        <w:r w:rsidR="00C30E56">
          <w:rPr>
            <w:webHidden/>
          </w:rPr>
          <w:fldChar w:fldCharType="end"/>
        </w:r>
      </w:hyperlink>
    </w:p>
    <w:p w14:paraId="7D45A578" w14:textId="5A1D706B" w:rsidR="00C30E56" w:rsidRDefault="00FC7DAA">
      <w:pPr>
        <w:pStyle w:val="TableofFigures"/>
        <w:rPr>
          <w:spacing w:val="0"/>
          <w:sz w:val="22"/>
          <w:szCs w:val="22"/>
        </w:rPr>
      </w:pPr>
      <w:hyperlink w:anchor="_Toc117258720" w:history="1">
        <w:r w:rsidR="00C30E56" w:rsidRPr="006A5080">
          <w:rPr>
            <w:rStyle w:val="Hyperlink"/>
          </w:rPr>
          <w:t>Figure 4 – Sustainable investment outcome influence over the project lifecycle</w:t>
        </w:r>
        <w:r w:rsidR="00C30E56">
          <w:rPr>
            <w:webHidden/>
          </w:rPr>
          <w:tab/>
        </w:r>
        <w:r w:rsidR="00C30E56">
          <w:rPr>
            <w:webHidden/>
          </w:rPr>
          <w:fldChar w:fldCharType="begin"/>
        </w:r>
        <w:r w:rsidR="00C30E56">
          <w:rPr>
            <w:webHidden/>
          </w:rPr>
          <w:instrText xml:space="preserve"> PAGEREF _Toc117258720 \h </w:instrText>
        </w:r>
        <w:r w:rsidR="00C30E56">
          <w:rPr>
            <w:webHidden/>
          </w:rPr>
        </w:r>
        <w:r w:rsidR="00C30E56">
          <w:rPr>
            <w:webHidden/>
          </w:rPr>
          <w:fldChar w:fldCharType="separate"/>
        </w:r>
        <w:r>
          <w:rPr>
            <w:webHidden/>
          </w:rPr>
          <w:t>25</w:t>
        </w:r>
        <w:r w:rsidR="00C30E56">
          <w:rPr>
            <w:webHidden/>
          </w:rPr>
          <w:fldChar w:fldCharType="end"/>
        </w:r>
      </w:hyperlink>
    </w:p>
    <w:p w14:paraId="09BE1BBB" w14:textId="73E9DCD5" w:rsidR="00D7239D" w:rsidRPr="00D7239D" w:rsidRDefault="009D3A3F" w:rsidP="00434FBE">
      <w:pPr>
        <w:pStyle w:val="Spacer"/>
      </w:pPr>
      <w:r w:rsidRPr="00D7239D">
        <w:fldChar w:fldCharType="end"/>
      </w:r>
    </w:p>
    <w:p w14:paraId="16BAB14A" w14:textId="5D3A881C" w:rsidR="009D3A3F" w:rsidRDefault="009D3A3F" w:rsidP="00434FBE">
      <w:pPr>
        <w:pStyle w:val="TOCHeading"/>
        <w:spacing w:after="200"/>
      </w:pPr>
      <w:r>
        <w:t xml:space="preserve">List of </w:t>
      </w:r>
      <w:r w:rsidR="00D7239D">
        <w:t>tables</w:t>
      </w:r>
    </w:p>
    <w:p w14:paraId="61214048" w14:textId="4F1B3275" w:rsidR="003018D1" w:rsidRDefault="009D3A3F">
      <w:pPr>
        <w:pStyle w:val="TableofFigures"/>
        <w:rPr>
          <w:spacing w:val="0"/>
          <w:sz w:val="22"/>
          <w:szCs w:val="22"/>
        </w:rPr>
      </w:pPr>
      <w:r w:rsidRPr="00D7239D">
        <w:rPr>
          <w:rFonts w:cstheme="minorHAnsi"/>
        </w:rPr>
        <w:fldChar w:fldCharType="begin"/>
      </w:r>
      <w:r w:rsidRPr="00D7239D">
        <w:instrText xml:space="preserve"> TOC \h \z \c "Table" </w:instrText>
      </w:r>
      <w:r w:rsidRPr="00D7239D">
        <w:rPr>
          <w:rFonts w:cstheme="minorHAnsi"/>
        </w:rPr>
        <w:fldChar w:fldCharType="separate"/>
      </w:r>
      <w:hyperlink w:anchor="_Toc117258722" w:history="1">
        <w:r w:rsidR="003018D1" w:rsidRPr="008837E3">
          <w:rPr>
            <w:rStyle w:val="Hyperlink"/>
          </w:rPr>
          <w:t>Table 1 – SIG responsibilities</w:t>
        </w:r>
        <w:r w:rsidR="003018D1">
          <w:rPr>
            <w:webHidden/>
          </w:rPr>
          <w:tab/>
        </w:r>
        <w:r w:rsidR="003018D1">
          <w:rPr>
            <w:webHidden/>
          </w:rPr>
          <w:fldChar w:fldCharType="begin"/>
        </w:r>
        <w:r w:rsidR="003018D1">
          <w:rPr>
            <w:webHidden/>
          </w:rPr>
          <w:instrText xml:space="preserve"> PAGEREF _Toc117258722 \h </w:instrText>
        </w:r>
        <w:r w:rsidR="003018D1">
          <w:rPr>
            <w:webHidden/>
          </w:rPr>
        </w:r>
        <w:r w:rsidR="003018D1">
          <w:rPr>
            <w:webHidden/>
          </w:rPr>
          <w:fldChar w:fldCharType="separate"/>
        </w:r>
        <w:r w:rsidR="00FC7DAA">
          <w:rPr>
            <w:webHidden/>
          </w:rPr>
          <w:t>3</w:t>
        </w:r>
        <w:r w:rsidR="003018D1">
          <w:rPr>
            <w:webHidden/>
          </w:rPr>
          <w:fldChar w:fldCharType="end"/>
        </w:r>
      </w:hyperlink>
    </w:p>
    <w:p w14:paraId="53AC01F7" w14:textId="7410F35D" w:rsidR="003018D1" w:rsidRDefault="00FC7DAA">
      <w:pPr>
        <w:pStyle w:val="TableofFigures"/>
        <w:rPr>
          <w:spacing w:val="0"/>
          <w:sz w:val="22"/>
          <w:szCs w:val="22"/>
        </w:rPr>
      </w:pPr>
      <w:hyperlink w:anchor="_Toc117258723" w:history="1">
        <w:r w:rsidR="003018D1" w:rsidRPr="008837E3">
          <w:rPr>
            <w:rStyle w:val="Hyperlink"/>
          </w:rPr>
          <w:t>Table 2 – Sustainable Investment Guidelines in context</w:t>
        </w:r>
        <w:r w:rsidR="003018D1">
          <w:rPr>
            <w:webHidden/>
          </w:rPr>
          <w:tab/>
        </w:r>
        <w:r w:rsidR="003018D1">
          <w:rPr>
            <w:webHidden/>
          </w:rPr>
          <w:fldChar w:fldCharType="begin"/>
        </w:r>
        <w:r w:rsidR="003018D1">
          <w:rPr>
            <w:webHidden/>
          </w:rPr>
          <w:instrText xml:space="preserve"> PAGEREF _Toc117258723 \h </w:instrText>
        </w:r>
        <w:r w:rsidR="003018D1">
          <w:rPr>
            <w:webHidden/>
          </w:rPr>
        </w:r>
        <w:r w:rsidR="003018D1">
          <w:rPr>
            <w:webHidden/>
          </w:rPr>
          <w:fldChar w:fldCharType="separate"/>
        </w:r>
        <w:r>
          <w:rPr>
            <w:webHidden/>
          </w:rPr>
          <w:t>5</w:t>
        </w:r>
        <w:r w:rsidR="003018D1">
          <w:rPr>
            <w:webHidden/>
          </w:rPr>
          <w:fldChar w:fldCharType="end"/>
        </w:r>
      </w:hyperlink>
    </w:p>
    <w:p w14:paraId="08D44B95" w14:textId="655F1754" w:rsidR="003018D1" w:rsidRDefault="00FC7DAA">
      <w:pPr>
        <w:pStyle w:val="TableofFigures"/>
        <w:rPr>
          <w:spacing w:val="0"/>
          <w:sz w:val="22"/>
          <w:szCs w:val="22"/>
        </w:rPr>
      </w:pPr>
      <w:hyperlink w:anchor="_Toc117258724" w:history="1">
        <w:r w:rsidR="003018D1" w:rsidRPr="008837E3">
          <w:rPr>
            <w:rStyle w:val="Hyperlink"/>
          </w:rPr>
          <w:t>Table 3 – Victorian Sustainable Investment themes</w:t>
        </w:r>
        <w:r w:rsidR="003018D1">
          <w:rPr>
            <w:webHidden/>
          </w:rPr>
          <w:tab/>
        </w:r>
        <w:r w:rsidR="003018D1">
          <w:rPr>
            <w:webHidden/>
          </w:rPr>
          <w:fldChar w:fldCharType="begin"/>
        </w:r>
        <w:r w:rsidR="003018D1">
          <w:rPr>
            <w:webHidden/>
          </w:rPr>
          <w:instrText xml:space="preserve"> PAGEREF _Toc117258724 \h </w:instrText>
        </w:r>
        <w:r w:rsidR="003018D1">
          <w:rPr>
            <w:webHidden/>
          </w:rPr>
        </w:r>
        <w:r w:rsidR="003018D1">
          <w:rPr>
            <w:webHidden/>
          </w:rPr>
          <w:fldChar w:fldCharType="separate"/>
        </w:r>
        <w:r>
          <w:rPr>
            <w:webHidden/>
          </w:rPr>
          <w:t>9</w:t>
        </w:r>
        <w:r w:rsidR="003018D1">
          <w:rPr>
            <w:webHidden/>
          </w:rPr>
          <w:fldChar w:fldCharType="end"/>
        </w:r>
      </w:hyperlink>
    </w:p>
    <w:p w14:paraId="5364475A" w14:textId="2FF80415" w:rsidR="003018D1" w:rsidRDefault="00FC7DAA">
      <w:pPr>
        <w:pStyle w:val="TableofFigures"/>
        <w:rPr>
          <w:spacing w:val="0"/>
          <w:sz w:val="22"/>
          <w:szCs w:val="22"/>
        </w:rPr>
      </w:pPr>
      <w:hyperlink w:anchor="_Toc117258725" w:history="1">
        <w:r w:rsidR="003018D1" w:rsidRPr="008837E3">
          <w:rPr>
            <w:rStyle w:val="Hyperlink"/>
          </w:rPr>
          <w:t>Table 4 – Mapping of rating tools to Victorian Sustainable Investment themes</w:t>
        </w:r>
        <w:r w:rsidR="003018D1">
          <w:rPr>
            <w:webHidden/>
          </w:rPr>
          <w:tab/>
        </w:r>
        <w:r w:rsidR="003018D1">
          <w:rPr>
            <w:webHidden/>
          </w:rPr>
          <w:fldChar w:fldCharType="begin"/>
        </w:r>
        <w:r w:rsidR="003018D1">
          <w:rPr>
            <w:webHidden/>
          </w:rPr>
          <w:instrText xml:space="preserve"> PAGEREF _Toc117258725 \h </w:instrText>
        </w:r>
        <w:r w:rsidR="003018D1">
          <w:rPr>
            <w:webHidden/>
          </w:rPr>
        </w:r>
        <w:r w:rsidR="003018D1">
          <w:rPr>
            <w:webHidden/>
          </w:rPr>
          <w:fldChar w:fldCharType="separate"/>
        </w:r>
        <w:r>
          <w:rPr>
            <w:webHidden/>
          </w:rPr>
          <w:t>12</w:t>
        </w:r>
        <w:r w:rsidR="003018D1">
          <w:rPr>
            <w:webHidden/>
          </w:rPr>
          <w:fldChar w:fldCharType="end"/>
        </w:r>
      </w:hyperlink>
    </w:p>
    <w:p w14:paraId="491238B0" w14:textId="106934EA" w:rsidR="003018D1" w:rsidRDefault="00FC7DAA">
      <w:pPr>
        <w:pStyle w:val="TableofFigures"/>
        <w:rPr>
          <w:spacing w:val="0"/>
          <w:sz w:val="22"/>
          <w:szCs w:val="22"/>
        </w:rPr>
      </w:pPr>
      <w:hyperlink w:anchor="_Toc117258726" w:history="1">
        <w:r w:rsidR="003018D1" w:rsidRPr="008837E3">
          <w:rPr>
            <w:rStyle w:val="Hyperlink"/>
          </w:rPr>
          <w:t>Table 5 – Sustainable investment target maturity levels</w:t>
        </w:r>
        <w:r w:rsidR="003018D1">
          <w:rPr>
            <w:webHidden/>
          </w:rPr>
          <w:tab/>
        </w:r>
        <w:r w:rsidR="003018D1">
          <w:rPr>
            <w:webHidden/>
          </w:rPr>
          <w:fldChar w:fldCharType="begin"/>
        </w:r>
        <w:r w:rsidR="003018D1">
          <w:rPr>
            <w:webHidden/>
          </w:rPr>
          <w:instrText xml:space="preserve"> PAGEREF _Toc117258726 \h </w:instrText>
        </w:r>
        <w:r w:rsidR="003018D1">
          <w:rPr>
            <w:webHidden/>
          </w:rPr>
        </w:r>
        <w:r w:rsidR="003018D1">
          <w:rPr>
            <w:webHidden/>
          </w:rPr>
          <w:fldChar w:fldCharType="separate"/>
        </w:r>
        <w:r>
          <w:rPr>
            <w:webHidden/>
          </w:rPr>
          <w:t>15</w:t>
        </w:r>
        <w:r w:rsidR="003018D1">
          <w:rPr>
            <w:webHidden/>
          </w:rPr>
          <w:fldChar w:fldCharType="end"/>
        </w:r>
      </w:hyperlink>
    </w:p>
    <w:p w14:paraId="5B158E7A" w14:textId="6F94ABED" w:rsidR="003018D1" w:rsidRDefault="00FC7DAA">
      <w:pPr>
        <w:pStyle w:val="TableofFigures"/>
        <w:rPr>
          <w:spacing w:val="0"/>
          <w:sz w:val="22"/>
          <w:szCs w:val="22"/>
        </w:rPr>
      </w:pPr>
      <w:hyperlink w:anchor="_Toc117258727" w:history="1">
        <w:r w:rsidR="003018D1" w:rsidRPr="008837E3">
          <w:rPr>
            <w:rStyle w:val="Hyperlink"/>
          </w:rPr>
          <w:t>Table 6 – Sustainability in Investment Lifecycle stages</w:t>
        </w:r>
        <w:r w:rsidR="003018D1">
          <w:rPr>
            <w:webHidden/>
          </w:rPr>
          <w:tab/>
        </w:r>
        <w:r w:rsidR="003018D1">
          <w:rPr>
            <w:webHidden/>
          </w:rPr>
          <w:fldChar w:fldCharType="begin"/>
        </w:r>
        <w:r w:rsidR="003018D1">
          <w:rPr>
            <w:webHidden/>
          </w:rPr>
          <w:instrText xml:space="preserve"> PAGEREF _Toc117258727 \h </w:instrText>
        </w:r>
        <w:r w:rsidR="003018D1">
          <w:rPr>
            <w:webHidden/>
          </w:rPr>
        </w:r>
        <w:r w:rsidR="003018D1">
          <w:rPr>
            <w:webHidden/>
          </w:rPr>
          <w:fldChar w:fldCharType="separate"/>
        </w:r>
        <w:r>
          <w:rPr>
            <w:webHidden/>
          </w:rPr>
          <w:t>16</w:t>
        </w:r>
        <w:r w:rsidR="003018D1">
          <w:rPr>
            <w:webHidden/>
          </w:rPr>
          <w:fldChar w:fldCharType="end"/>
        </w:r>
      </w:hyperlink>
    </w:p>
    <w:p w14:paraId="6507D6A7" w14:textId="22D0ACB8" w:rsidR="003018D1" w:rsidRDefault="00FC7DAA">
      <w:pPr>
        <w:pStyle w:val="TableofFigures"/>
        <w:rPr>
          <w:spacing w:val="0"/>
          <w:sz w:val="22"/>
          <w:szCs w:val="22"/>
        </w:rPr>
      </w:pPr>
      <w:hyperlink w:anchor="_Toc117258728" w:history="1">
        <w:r w:rsidR="003018D1" w:rsidRPr="008837E3">
          <w:rPr>
            <w:rStyle w:val="Hyperlink"/>
          </w:rPr>
          <w:t>Table 7 – Sustainable investment target maturity levels</w:t>
        </w:r>
        <w:r w:rsidR="003018D1">
          <w:rPr>
            <w:webHidden/>
          </w:rPr>
          <w:tab/>
        </w:r>
        <w:r w:rsidR="003018D1">
          <w:rPr>
            <w:webHidden/>
          </w:rPr>
          <w:fldChar w:fldCharType="begin"/>
        </w:r>
        <w:r w:rsidR="003018D1">
          <w:rPr>
            <w:webHidden/>
          </w:rPr>
          <w:instrText xml:space="preserve"> PAGEREF _Toc117258728 \h </w:instrText>
        </w:r>
        <w:r w:rsidR="003018D1">
          <w:rPr>
            <w:webHidden/>
          </w:rPr>
        </w:r>
        <w:r w:rsidR="003018D1">
          <w:rPr>
            <w:webHidden/>
          </w:rPr>
          <w:fldChar w:fldCharType="separate"/>
        </w:r>
        <w:r>
          <w:rPr>
            <w:webHidden/>
          </w:rPr>
          <w:t>17</w:t>
        </w:r>
        <w:r w:rsidR="003018D1">
          <w:rPr>
            <w:webHidden/>
          </w:rPr>
          <w:fldChar w:fldCharType="end"/>
        </w:r>
      </w:hyperlink>
    </w:p>
    <w:p w14:paraId="78C2B9ED" w14:textId="2DAF216B" w:rsidR="003018D1" w:rsidRDefault="00FC7DAA">
      <w:pPr>
        <w:pStyle w:val="TableofFigures"/>
        <w:rPr>
          <w:spacing w:val="0"/>
          <w:sz w:val="22"/>
          <w:szCs w:val="22"/>
        </w:rPr>
      </w:pPr>
      <w:hyperlink w:anchor="_Toc117258729" w:history="1">
        <w:r w:rsidR="003018D1" w:rsidRPr="008837E3">
          <w:rPr>
            <w:rStyle w:val="Hyperlink"/>
          </w:rPr>
          <w:t>Table 8 – Maturity in development of the project business case</w:t>
        </w:r>
        <w:r w:rsidR="003018D1">
          <w:rPr>
            <w:webHidden/>
          </w:rPr>
          <w:tab/>
        </w:r>
        <w:r w:rsidR="003018D1">
          <w:rPr>
            <w:webHidden/>
          </w:rPr>
          <w:fldChar w:fldCharType="begin"/>
        </w:r>
        <w:r w:rsidR="003018D1">
          <w:rPr>
            <w:webHidden/>
          </w:rPr>
          <w:instrText xml:space="preserve"> PAGEREF _Toc117258729 \h </w:instrText>
        </w:r>
        <w:r w:rsidR="003018D1">
          <w:rPr>
            <w:webHidden/>
          </w:rPr>
        </w:r>
        <w:r w:rsidR="003018D1">
          <w:rPr>
            <w:webHidden/>
          </w:rPr>
          <w:fldChar w:fldCharType="separate"/>
        </w:r>
        <w:r>
          <w:rPr>
            <w:webHidden/>
          </w:rPr>
          <w:t>20</w:t>
        </w:r>
        <w:r w:rsidR="003018D1">
          <w:rPr>
            <w:webHidden/>
          </w:rPr>
          <w:fldChar w:fldCharType="end"/>
        </w:r>
      </w:hyperlink>
    </w:p>
    <w:p w14:paraId="6163C390" w14:textId="0341A6A2" w:rsidR="003018D1" w:rsidRDefault="00FC7DAA">
      <w:pPr>
        <w:pStyle w:val="TableofFigures"/>
        <w:rPr>
          <w:spacing w:val="0"/>
          <w:sz w:val="22"/>
          <w:szCs w:val="22"/>
        </w:rPr>
      </w:pPr>
      <w:hyperlink w:anchor="_Toc117258730" w:history="1">
        <w:r w:rsidR="003018D1" w:rsidRPr="008837E3">
          <w:rPr>
            <w:rStyle w:val="Hyperlink"/>
          </w:rPr>
          <w:t>Table 9 – Considering sustainability in the problem definition</w:t>
        </w:r>
        <w:r w:rsidR="003018D1">
          <w:rPr>
            <w:webHidden/>
          </w:rPr>
          <w:tab/>
        </w:r>
        <w:r w:rsidR="003018D1">
          <w:rPr>
            <w:webHidden/>
          </w:rPr>
          <w:fldChar w:fldCharType="begin"/>
        </w:r>
        <w:r w:rsidR="003018D1">
          <w:rPr>
            <w:webHidden/>
          </w:rPr>
          <w:instrText xml:space="preserve"> PAGEREF _Toc117258730 \h </w:instrText>
        </w:r>
        <w:r w:rsidR="003018D1">
          <w:rPr>
            <w:webHidden/>
          </w:rPr>
        </w:r>
        <w:r w:rsidR="003018D1">
          <w:rPr>
            <w:webHidden/>
          </w:rPr>
          <w:fldChar w:fldCharType="separate"/>
        </w:r>
        <w:r>
          <w:rPr>
            <w:webHidden/>
          </w:rPr>
          <w:t>22</w:t>
        </w:r>
        <w:r w:rsidR="003018D1">
          <w:rPr>
            <w:webHidden/>
          </w:rPr>
          <w:fldChar w:fldCharType="end"/>
        </w:r>
      </w:hyperlink>
    </w:p>
    <w:p w14:paraId="4B525EED" w14:textId="5710956B" w:rsidR="003018D1" w:rsidRDefault="00FC7DAA">
      <w:pPr>
        <w:pStyle w:val="TableofFigures"/>
        <w:rPr>
          <w:spacing w:val="0"/>
          <w:sz w:val="22"/>
          <w:szCs w:val="22"/>
        </w:rPr>
      </w:pPr>
      <w:hyperlink w:anchor="_Toc117258731" w:history="1">
        <w:r w:rsidR="003018D1" w:rsidRPr="008837E3">
          <w:rPr>
            <w:rStyle w:val="Hyperlink"/>
          </w:rPr>
          <w:t>Table 10 – Benefit considerations</w:t>
        </w:r>
        <w:r w:rsidR="003018D1">
          <w:rPr>
            <w:webHidden/>
          </w:rPr>
          <w:tab/>
        </w:r>
        <w:r w:rsidR="003018D1">
          <w:rPr>
            <w:webHidden/>
          </w:rPr>
          <w:fldChar w:fldCharType="begin"/>
        </w:r>
        <w:r w:rsidR="003018D1">
          <w:rPr>
            <w:webHidden/>
          </w:rPr>
          <w:instrText xml:space="preserve"> PAGEREF _Toc117258731 \h </w:instrText>
        </w:r>
        <w:r w:rsidR="003018D1">
          <w:rPr>
            <w:webHidden/>
          </w:rPr>
        </w:r>
        <w:r w:rsidR="003018D1">
          <w:rPr>
            <w:webHidden/>
          </w:rPr>
          <w:fldChar w:fldCharType="separate"/>
        </w:r>
        <w:r>
          <w:rPr>
            <w:webHidden/>
          </w:rPr>
          <w:t>22</w:t>
        </w:r>
        <w:r w:rsidR="003018D1">
          <w:rPr>
            <w:webHidden/>
          </w:rPr>
          <w:fldChar w:fldCharType="end"/>
        </w:r>
      </w:hyperlink>
    </w:p>
    <w:p w14:paraId="32108E5A" w14:textId="053D3B81" w:rsidR="003018D1" w:rsidRDefault="00FC7DAA">
      <w:pPr>
        <w:pStyle w:val="TableofFigures"/>
        <w:rPr>
          <w:spacing w:val="0"/>
          <w:sz w:val="22"/>
          <w:szCs w:val="22"/>
        </w:rPr>
      </w:pPr>
      <w:hyperlink w:anchor="_Toc117258732" w:history="1">
        <w:r w:rsidR="003018D1" w:rsidRPr="008837E3">
          <w:rPr>
            <w:rStyle w:val="Hyperlink"/>
          </w:rPr>
          <w:t>Table 11 – Aligning benefits with priorities</w:t>
        </w:r>
        <w:r w:rsidR="003018D1">
          <w:rPr>
            <w:webHidden/>
          </w:rPr>
          <w:tab/>
        </w:r>
        <w:r w:rsidR="003018D1">
          <w:rPr>
            <w:webHidden/>
          </w:rPr>
          <w:fldChar w:fldCharType="begin"/>
        </w:r>
        <w:r w:rsidR="003018D1">
          <w:rPr>
            <w:webHidden/>
          </w:rPr>
          <w:instrText xml:space="preserve"> PAGEREF _Toc117258732 \h </w:instrText>
        </w:r>
        <w:r w:rsidR="003018D1">
          <w:rPr>
            <w:webHidden/>
          </w:rPr>
        </w:r>
        <w:r w:rsidR="003018D1">
          <w:rPr>
            <w:webHidden/>
          </w:rPr>
          <w:fldChar w:fldCharType="separate"/>
        </w:r>
        <w:r>
          <w:rPr>
            <w:webHidden/>
          </w:rPr>
          <w:t>23</w:t>
        </w:r>
        <w:r w:rsidR="003018D1">
          <w:rPr>
            <w:webHidden/>
          </w:rPr>
          <w:fldChar w:fldCharType="end"/>
        </w:r>
      </w:hyperlink>
    </w:p>
    <w:p w14:paraId="4031EDE2" w14:textId="0B3EF0EC" w:rsidR="003018D1" w:rsidRDefault="00FC7DAA">
      <w:pPr>
        <w:pStyle w:val="TableofFigures"/>
        <w:rPr>
          <w:spacing w:val="0"/>
          <w:sz w:val="22"/>
          <w:szCs w:val="22"/>
        </w:rPr>
      </w:pPr>
      <w:hyperlink w:anchor="_Toc117258733" w:history="1">
        <w:r w:rsidR="003018D1" w:rsidRPr="008837E3">
          <w:rPr>
            <w:rStyle w:val="Hyperlink"/>
          </w:rPr>
          <w:t>Table 12 – Sustainable Investment themes and the project solution</w:t>
        </w:r>
        <w:r w:rsidR="003018D1">
          <w:rPr>
            <w:webHidden/>
          </w:rPr>
          <w:tab/>
        </w:r>
        <w:r w:rsidR="003018D1">
          <w:rPr>
            <w:webHidden/>
          </w:rPr>
          <w:fldChar w:fldCharType="begin"/>
        </w:r>
        <w:r w:rsidR="003018D1">
          <w:rPr>
            <w:webHidden/>
          </w:rPr>
          <w:instrText xml:space="preserve"> PAGEREF _Toc117258733 \h </w:instrText>
        </w:r>
        <w:r w:rsidR="003018D1">
          <w:rPr>
            <w:webHidden/>
          </w:rPr>
        </w:r>
        <w:r w:rsidR="003018D1">
          <w:rPr>
            <w:webHidden/>
          </w:rPr>
          <w:fldChar w:fldCharType="separate"/>
        </w:r>
        <w:r>
          <w:rPr>
            <w:webHidden/>
          </w:rPr>
          <w:t>26</w:t>
        </w:r>
        <w:r w:rsidR="003018D1">
          <w:rPr>
            <w:webHidden/>
          </w:rPr>
          <w:fldChar w:fldCharType="end"/>
        </w:r>
      </w:hyperlink>
    </w:p>
    <w:p w14:paraId="567FD31D" w14:textId="7A57FE87" w:rsidR="003018D1" w:rsidRDefault="00FC7DAA">
      <w:pPr>
        <w:pStyle w:val="TableofFigures"/>
        <w:rPr>
          <w:spacing w:val="0"/>
          <w:sz w:val="22"/>
          <w:szCs w:val="22"/>
        </w:rPr>
      </w:pPr>
      <w:hyperlink w:anchor="_Toc117258734" w:history="1">
        <w:r w:rsidR="003018D1" w:rsidRPr="008837E3">
          <w:rPr>
            <w:rStyle w:val="Hyperlink"/>
          </w:rPr>
          <w:t>Table 13 – Example project option</w:t>
        </w:r>
        <w:r w:rsidR="003018D1">
          <w:rPr>
            <w:webHidden/>
          </w:rPr>
          <w:tab/>
        </w:r>
        <w:r w:rsidR="003018D1">
          <w:rPr>
            <w:webHidden/>
          </w:rPr>
          <w:fldChar w:fldCharType="begin"/>
        </w:r>
        <w:r w:rsidR="003018D1">
          <w:rPr>
            <w:webHidden/>
          </w:rPr>
          <w:instrText xml:space="preserve"> PAGEREF _Toc117258734 \h </w:instrText>
        </w:r>
        <w:r w:rsidR="003018D1">
          <w:rPr>
            <w:webHidden/>
          </w:rPr>
        </w:r>
        <w:r w:rsidR="003018D1">
          <w:rPr>
            <w:webHidden/>
          </w:rPr>
          <w:fldChar w:fldCharType="separate"/>
        </w:r>
        <w:r>
          <w:rPr>
            <w:webHidden/>
          </w:rPr>
          <w:t>27</w:t>
        </w:r>
        <w:r w:rsidR="003018D1">
          <w:rPr>
            <w:webHidden/>
          </w:rPr>
          <w:fldChar w:fldCharType="end"/>
        </w:r>
      </w:hyperlink>
    </w:p>
    <w:p w14:paraId="00D2DB7A" w14:textId="69E67DE5" w:rsidR="003018D1" w:rsidRDefault="00FC7DAA">
      <w:pPr>
        <w:pStyle w:val="TableofFigures"/>
        <w:rPr>
          <w:spacing w:val="0"/>
          <w:sz w:val="22"/>
          <w:szCs w:val="22"/>
        </w:rPr>
      </w:pPr>
      <w:hyperlink w:anchor="_Toc117258735" w:history="1">
        <w:r w:rsidR="003018D1" w:rsidRPr="008837E3">
          <w:rPr>
            <w:rStyle w:val="Hyperlink"/>
          </w:rPr>
          <w:t>Table 14 – Sustainability considerations for the public interest test</w:t>
        </w:r>
        <w:r w:rsidR="003018D1">
          <w:rPr>
            <w:webHidden/>
          </w:rPr>
          <w:tab/>
        </w:r>
        <w:r w:rsidR="003018D1">
          <w:rPr>
            <w:webHidden/>
          </w:rPr>
          <w:fldChar w:fldCharType="begin"/>
        </w:r>
        <w:r w:rsidR="003018D1">
          <w:rPr>
            <w:webHidden/>
          </w:rPr>
          <w:instrText xml:space="preserve"> PAGEREF _Toc117258735 \h </w:instrText>
        </w:r>
        <w:r w:rsidR="003018D1">
          <w:rPr>
            <w:webHidden/>
          </w:rPr>
        </w:r>
        <w:r w:rsidR="003018D1">
          <w:rPr>
            <w:webHidden/>
          </w:rPr>
          <w:fldChar w:fldCharType="separate"/>
        </w:r>
        <w:r>
          <w:rPr>
            <w:webHidden/>
          </w:rPr>
          <w:t>33</w:t>
        </w:r>
        <w:r w:rsidR="003018D1">
          <w:rPr>
            <w:webHidden/>
          </w:rPr>
          <w:fldChar w:fldCharType="end"/>
        </w:r>
      </w:hyperlink>
    </w:p>
    <w:p w14:paraId="343A85ED" w14:textId="10971447" w:rsidR="003018D1" w:rsidRDefault="00FC7DAA">
      <w:pPr>
        <w:pStyle w:val="TableofFigures"/>
        <w:rPr>
          <w:spacing w:val="0"/>
          <w:sz w:val="22"/>
          <w:szCs w:val="22"/>
        </w:rPr>
      </w:pPr>
      <w:hyperlink w:anchor="_Toc117258736" w:history="1">
        <w:r w:rsidR="003018D1" w:rsidRPr="008837E3">
          <w:rPr>
            <w:rStyle w:val="Hyperlink"/>
          </w:rPr>
          <w:t>Table 15 – Maturity during refinement and implementation of procurement strategy</w:t>
        </w:r>
        <w:r w:rsidR="003018D1">
          <w:rPr>
            <w:webHidden/>
          </w:rPr>
          <w:tab/>
        </w:r>
        <w:r w:rsidR="003018D1">
          <w:rPr>
            <w:webHidden/>
          </w:rPr>
          <w:fldChar w:fldCharType="begin"/>
        </w:r>
        <w:r w:rsidR="003018D1">
          <w:rPr>
            <w:webHidden/>
          </w:rPr>
          <w:instrText xml:space="preserve"> PAGEREF _Toc117258736 \h </w:instrText>
        </w:r>
        <w:r w:rsidR="003018D1">
          <w:rPr>
            <w:webHidden/>
          </w:rPr>
        </w:r>
        <w:r w:rsidR="003018D1">
          <w:rPr>
            <w:webHidden/>
          </w:rPr>
          <w:fldChar w:fldCharType="separate"/>
        </w:r>
        <w:r>
          <w:rPr>
            <w:webHidden/>
          </w:rPr>
          <w:t>37</w:t>
        </w:r>
        <w:r w:rsidR="003018D1">
          <w:rPr>
            <w:webHidden/>
          </w:rPr>
          <w:fldChar w:fldCharType="end"/>
        </w:r>
      </w:hyperlink>
    </w:p>
    <w:p w14:paraId="4430AE30" w14:textId="66938F97" w:rsidR="003018D1" w:rsidRDefault="00FC7DAA">
      <w:pPr>
        <w:pStyle w:val="TableofFigures"/>
        <w:rPr>
          <w:spacing w:val="0"/>
          <w:sz w:val="22"/>
          <w:szCs w:val="22"/>
        </w:rPr>
      </w:pPr>
      <w:hyperlink w:anchor="_Toc117258737" w:history="1">
        <w:r w:rsidR="003018D1" w:rsidRPr="008837E3">
          <w:rPr>
            <w:rStyle w:val="Hyperlink"/>
          </w:rPr>
          <w:t>Table 16 – Example use of SMART sustainability targets</w:t>
        </w:r>
        <w:r w:rsidR="003018D1">
          <w:rPr>
            <w:webHidden/>
          </w:rPr>
          <w:tab/>
        </w:r>
        <w:r w:rsidR="003018D1">
          <w:rPr>
            <w:webHidden/>
          </w:rPr>
          <w:fldChar w:fldCharType="begin"/>
        </w:r>
        <w:r w:rsidR="003018D1">
          <w:rPr>
            <w:webHidden/>
          </w:rPr>
          <w:instrText xml:space="preserve"> PAGEREF _Toc117258737 \h </w:instrText>
        </w:r>
        <w:r w:rsidR="003018D1">
          <w:rPr>
            <w:webHidden/>
          </w:rPr>
        </w:r>
        <w:r w:rsidR="003018D1">
          <w:rPr>
            <w:webHidden/>
          </w:rPr>
          <w:fldChar w:fldCharType="separate"/>
        </w:r>
        <w:r>
          <w:rPr>
            <w:webHidden/>
          </w:rPr>
          <w:t>38</w:t>
        </w:r>
        <w:r w:rsidR="003018D1">
          <w:rPr>
            <w:webHidden/>
          </w:rPr>
          <w:fldChar w:fldCharType="end"/>
        </w:r>
      </w:hyperlink>
    </w:p>
    <w:p w14:paraId="1A974BA8" w14:textId="67D9E8B8" w:rsidR="003018D1" w:rsidRDefault="00FC7DAA">
      <w:pPr>
        <w:pStyle w:val="TableofFigures"/>
        <w:rPr>
          <w:spacing w:val="0"/>
          <w:sz w:val="22"/>
          <w:szCs w:val="22"/>
        </w:rPr>
      </w:pPr>
      <w:hyperlink w:anchor="_Toc117258738" w:history="1">
        <w:r w:rsidR="003018D1" w:rsidRPr="008837E3">
          <w:rPr>
            <w:rStyle w:val="Hyperlink"/>
          </w:rPr>
          <w:t>Table 17 – Maturity during project delivery</w:t>
        </w:r>
        <w:r w:rsidR="003018D1">
          <w:rPr>
            <w:webHidden/>
          </w:rPr>
          <w:tab/>
        </w:r>
        <w:r w:rsidR="003018D1">
          <w:rPr>
            <w:webHidden/>
          </w:rPr>
          <w:fldChar w:fldCharType="begin"/>
        </w:r>
        <w:r w:rsidR="003018D1">
          <w:rPr>
            <w:webHidden/>
          </w:rPr>
          <w:instrText xml:space="preserve"> PAGEREF _Toc117258738 \h </w:instrText>
        </w:r>
        <w:r w:rsidR="003018D1">
          <w:rPr>
            <w:webHidden/>
          </w:rPr>
        </w:r>
        <w:r w:rsidR="003018D1">
          <w:rPr>
            <w:webHidden/>
          </w:rPr>
          <w:fldChar w:fldCharType="separate"/>
        </w:r>
        <w:r>
          <w:rPr>
            <w:webHidden/>
          </w:rPr>
          <w:t>42</w:t>
        </w:r>
        <w:r w:rsidR="003018D1">
          <w:rPr>
            <w:webHidden/>
          </w:rPr>
          <w:fldChar w:fldCharType="end"/>
        </w:r>
      </w:hyperlink>
    </w:p>
    <w:p w14:paraId="393E3084" w14:textId="001FD6FE" w:rsidR="003018D1" w:rsidRDefault="00FC7DAA">
      <w:pPr>
        <w:pStyle w:val="TableofFigures"/>
        <w:rPr>
          <w:spacing w:val="0"/>
          <w:sz w:val="22"/>
          <w:szCs w:val="22"/>
        </w:rPr>
      </w:pPr>
      <w:hyperlink w:anchor="_Toc117258739" w:history="1">
        <w:r w:rsidR="003018D1" w:rsidRPr="008837E3">
          <w:rPr>
            <w:rStyle w:val="Hyperlink"/>
          </w:rPr>
          <w:t>Table 18 – Sustainable design and engineering examples</w:t>
        </w:r>
        <w:r w:rsidR="003018D1">
          <w:rPr>
            <w:webHidden/>
          </w:rPr>
          <w:tab/>
        </w:r>
        <w:r w:rsidR="003018D1">
          <w:rPr>
            <w:webHidden/>
          </w:rPr>
          <w:fldChar w:fldCharType="begin"/>
        </w:r>
        <w:r w:rsidR="003018D1">
          <w:rPr>
            <w:webHidden/>
          </w:rPr>
          <w:instrText xml:space="preserve"> PAGEREF _Toc117258739 \h </w:instrText>
        </w:r>
        <w:r w:rsidR="003018D1">
          <w:rPr>
            <w:webHidden/>
          </w:rPr>
        </w:r>
        <w:r w:rsidR="003018D1">
          <w:rPr>
            <w:webHidden/>
          </w:rPr>
          <w:fldChar w:fldCharType="separate"/>
        </w:r>
        <w:r>
          <w:rPr>
            <w:webHidden/>
          </w:rPr>
          <w:t>45</w:t>
        </w:r>
        <w:r w:rsidR="003018D1">
          <w:rPr>
            <w:webHidden/>
          </w:rPr>
          <w:fldChar w:fldCharType="end"/>
        </w:r>
      </w:hyperlink>
    </w:p>
    <w:p w14:paraId="21D8128B" w14:textId="4B07C339" w:rsidR="003018D1" w:rsidRDefault="00FC7DAA">
      <w:pPr>
        <w:pStyle w:val="TableofFigures"/>
        <w:rPr>
          <w:spacing w:val="0"/>
          <w:sz w:val="22"/>
          <w:szCs w:val="22"/>
        </w:rPr>
      </w:pPr>
      <w:hyperlink w:anchor="_Toc117258740" w:history="1">
        <w:r w:rsidR="003018D1" w:rsidRPr="008837E3">
          <w:rPr>
            <w:rStyle w:val="Hyperlink"/>
          </w:rPr>
          <w:t>Table 19 – Sustainable construction examples</w:t>
        </w:r>
        <w:r w:rsidR="003018D1">
          <w:rPr>
            <w:webHidden/>
          </w:rPr>
          <w:tab/>
        </w:r>
        <w:r w:rsidR="003018D1">
          <w:rPr>
            <w:webHidden/>
          </w:rPr>
          <w:fldChar w:fldCharType="begin"/>
        </w:r>
        <w:r w:rsidR="003018D1">
          <w:rPr>
            <w:webHidden/>
          </w:rPr>
          <w:instrText xml:space="preserve"> PAGEREF _Toc117258740 \h </w:instrText>
        </w:r>
        <w:r w:rsidR="003018D1">
          <w:rPr>
            <w:webHidden/>
          </w:rPr>
        </w:r>
        <w:r w:rsidR="003018D1">
          <w:rPr>
            <w:webHidden/>
          </w:rPr>
          <w:fldChar w:fldCharType="separate"/>
        </w:r>
        <w:r>
          <w:rPr>
            <w:webHidden/>
          </w:rPr>
          <w:t>47</w:t>
        </w:r>
        <w:r w:rsidR="003018D1">
          <w:rPr>
            <w:webHidden/>
          </w:rPr>
          <w:fldChar w:fldCharType="end"/>
        </w:r>
      </w:hyperlink>
    </w:p>
    <w:p w14:paraId="187FEF52" w14:textId="794C291F" w:rsidR="00F00708" w:rsidRDefault="009D3A3F" w:rsidP="00434FBE">
      <w:pPr>
        <w:pStyle w:val="Spacer"/>
      </w:pPr>
      <w:r w:rsidRPr="00D7239D">
        <w:fldChar w:fldCharType="end"/>
      </w:r>
    </w:p>
    <w:p w14:paraId="5C0399FD" w14:textId="77777777" w:rsidR="00FE18A0" w:rsidRPr="00FE18A0" w:rsidRDefault="00FE18A0" w:rsidP="00AF6567"/>
    <w:p w14:paraId="11376737" w14:textId="77777777" w:rsidR="00FE18A0" w:rsidRPr="00FE18A0" w:rsidRDefault="00FE18A0" w:rsidP="00AF6567">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65856289" w14:textId="77777777" w:rsidR="003719E0" w:rsidRPr="009B2B67" w:rsidRDefault="003719E0" w:rsidP="003719E0">
      <w:pPr>
        <w:pStyle w:val="Heading1"/>
      </w:pPr>
      <w:bookmarkStart w:id="0" w:name="_Toc68769262"/>
      <w:bookmarkStart w:id="1" w:name="_Toc117258690"/>
      <w:r w:rsidRPr="009B2B67">
        <w:lastRenderedPageBreak/>
        <w:t>Executive summary</w:t>
      </w:r>
      <w:bookmarkEnd w:id="0"/>
      <w:bookmarkEnd w:id="1"/>
    </w:p>
    <w:p w14:paraId="49220D97" w14:textId="77777777" w:rsidR="003719E0" w:rsidRPr="00353406" w:rsidRDefault="003719E0" w:rsidP="003719E0">
      <w:r>
        <w:t xml:space="preserve">These Sustainable Investment Guidelines (SIG) have been developed by the Office of Projects Victoria to </w:t>
      </w:r>
      <w:bookmarkStart w:id="2" w:name="_Hlk66452890"/>
      <w:r>
        <w:t xml:space="preserve">assist project teams to incorporate sustainable investment considerations and requirements as they plan, propose, and deliver projects </w:t>
      </w:r>
      <w:r w:rsidRPr="002857D6">
        <w:t>funded</w:t>
      </w:r>
      <w:r w:rsidRPr="006C3D58">
        <w:t xml:space="preserve"> </w:t>
      </w:r>
      <w:r w:rsidRPr="003A0779">
        <w:t>through</w:t>
      </w:r>
      <w:r w:rsidRPr="00353406">
        <w:t xml:space="preserve"> the Department of Treasury and Finance’s (DTF) Investment Lifecycle</w:t>
      </w:r>
      <w:bookmarkEnd w:id="2"/>
      <w:r w:rsidRPr="00353406">
        <w:t>.</w:t>
      </w:r>
    </w:p>
    <w:p w14:paraId="3A70424E" w14:textId="43E57391" w:rsidR="003719E0" w:rsidRPr="00F97E76" w:rsidRDefault="003719E0" w:rsidP="003719E0">
      <w:r w:rsidRPr="00353406">
        <w:t>Sustainable investment is a long</w:t>
      </w:r>
      <w:r w:rsidR="00601819">
        <w:noBreakHyphen/>
      </w:r>
      <w:r w:rsidRPr="00353406">
        <w:t xml:space="preserve">term investment approach which is based on optimising environmental, social, and economic outcomes over the asset lifecycle. Considering sustainability from a </w:t>
      </w:r>
      <w:r>
        <w:t>w</w:t>
      </w:r>
      <w:r w:rsidRPr="00353406">
        <w:t>hole</w:t>
      </w:r>
      <w:r>
        <w:t xml:space="preserve"> </w:t>
      </w:r>
      <w:r w:rsidRPr="00353406">
        <w:t>of</w:t>
      </w:r>
      <w:r>
        <w:t xml:space="preserve"> l</w:t>
      </w:r>
      <w:r w:rsidRPr="00353406">
        <w:t>ife persp</w:t>
      </w:r>
      <w:r w:rsidRPr="004A651E">
        <w:t>ective</w:t>
      </w:r>
      <w:r w:rsidRPr="00296370">
        <w:t xml:space="preserve"> </w:t>
      </w:r>
      <w:r w:rsidRPr="003359E4">
        <w:t>results in maximising sustainable investment benefits delivered across the life of the asset, including the construction, operation, and demolition and/or reuse.</w:t>
      </w:r>
      <w:r w:rsidRPr="00F97E76">
        <w:t xml:space="preserve"> Incorporating sustainability into investment considerations ensures government expenditure contributes towards positive environmental, social (including health), and economic outcomes as well as cost savings and resource efficiencies today and into the future. By embedding sustainability into investment considerations, we can deliver greater benefits for the Victorian community and help </w:t>
      </w:r>
      <w:r>
        <w:t xml:space="preserve">for instance </w:t>
      </w:r>
      <w:r w:rsidRPr="00F97E76">
        <w:t xml:space="preserve">meet Victoria’s </w:t>
      </w:r>
      <w:r w:rsidR="00F624D7">
        <w:t>five</w:t>
      </w:r>
      <w:r w:rsidR="00601819">
        <w:noBreakHyphen/>
      </w:r>
      <w:r w:rsidRPr="00F97E76">
        <w:t>yearly interim greenhouse gas emissions reduction targets and the long</w:t>
      </w:r>
      <w:r w:rsidR="00601819">
        <w:noBreakHyphen/>
      </w:r>
      <w:r w:rsidRPr="00F97E76">
        <w:t>term emissions reduction target of net zero greenhouse gas emissions by 2050 (</w:t>
      </w:r>
      <w:r w:rsidRPr="00F97E76">
        <w:rPr>
          <w:i/>
          <w:iCs/>
        </w:rPr>
        <w:t>Climate Change Act 2017</w:t>
      </w:r>
      <w:r w:rsidRPr="00F97E76">
        <w:t>).</w:t>
      </w:r>
    </w:p>
    <w:p w14:paraId="7FAC8C1D" w14:textId="2670D097" w:rsidR="003719E0" w:rsidRDefault="003719E0" w:rsidP="003719E0">
      <w:r w:rsidRPr="003719E0">
        <w:t>These guidelines provide implementation guidance for good practice sustainable investment, including embedding</w:t>
      </w:r>
      <w:r w:rsidRPr="00F14995">
        <w:t xml:space="preserve"> sustainability into investment decisions</w:t>
      </w:r>
      <w:r>
        <w:t xml:space="preserve"> by</w:t>
      </w:r>
      <w:r w:rsidRPr="004A651E">
        <w:t xml:space="preserve"> </w:t>
      </w:r>
      <w:proofErr w:type="gramStart"/>
      <w:r>
        <w:t xml:space="preserve">giving </w:t>
      </w:r>
      <w:r w:rsidRPr="00F14995">
        <w:t xml:space="preserve">consideration </w:t>
      </w:r>
      <w:r w:rsidRPr="009B2B67">
        <w:t>to</w:t>
      </w:r>
      <w:proofErr w:type="gramEnd"/>
      <w:r w:rsidRPr="00F14995">
        <w:t xml:space="preserve"> how sustainable investment benefits and trade</w:t>
      </w:r>
      <w:r w:rsidR="00601819">
        <w:noBreakHyphen/>
      </w:r>
      <w:r w:rsidRPr="00F14995">
        <w:t>offs can be appropriately identified and articulated in line with government policy</w:t>
      </w:r>
      <w:r>
        <w:t>,</w:t>
      </w:r>
      <w:r w:rsidRPr="004A651E">
        <w:t xml:space="preserve"> in o</w:t>
      </w:r>
      <w:r w:rsidRPr="00296370">
        <w:t>rder to deliver infrastructure that</w:t>
      </w:r>
      <w:r w:rsidRPr="00461DBF">
        <w:t xml:space="preserve"> maximise</w:t>
      </w:r>
      <w:r w:rsidRPr="0030152B">
        <w:t>s</w:t>
      </w:r>
      <w:r w:rsidRPr="00F14995">
        <w:t xml:space="preserve"> </w:t>
      </w:r>
      <w:r>
        <w:t xml:space="preserve">whole of life </w:t>
      </w:r>
      <w:r w:rsidRPr="004A651E">
        <w:t>ben</w:t>
      </w:r>
      <w:r w:rsidRPr="00296370">
        <w:t>efits for the Victorian community</w:t>
      </w:r>
      <w:r w:rsidRPr="00461DBF">
        <w:t>.</w:t>
      </w:r>
    </w:p>
    <w:p w14:paraId="19883650" w14:textId="4E899367" w:rsidR="003719E0" w:rsidRPr="00461DBF" w:rsidRDefault="003719E0" w:rsidP="003719E0">
      <w:r>
        <w:t xml:space="preserve">Eight </w:t>
      </w:r>
      <w:r w:rsidR="00624172">
        <w:t>Sustainable Investment themes</w:t>
      </w:r>
      <w:r>
        <w:t xml:space="preserve"> (SITs) have been established that are applicable to the DTF Investment Lifecycle based on the United Nations Sustainable Development Goals, to reflect government priorities and the constraints of infrastructure delivery. Specific guidance and considerations are provided for each stage of </w:t>
      </w:r>
      <w:r w:rsidRPr="004A651E">
        <w:t xml:space="preserve">the DTF Investment </w:t>
      </w:r>
      <w:r w:rsidRPr="00296370">
        <w:t>Lifecycle.</w:t>
      </w:r>
    </w:p>
    <w:p w14:paraId="1998659E" w14:textId="08B4BDBE" w:rsidR="003719E0" w:rsidRDefault="003719E0" w:rsidP="003719E0">
      <w:r w:rsidRPr="0030152B">
        <w:t xml:space="preserve">A </w:t>
      </w:r>
      <w:r w:rsidRPr="009B2B67">
        <w:t xml:space="preserve">sustainable investment </w:t>
      </w:r>
      <w:r w:rsidRPr="004A651E">
        <w:t xml:space="preserve">maturity </w:t>
      </w:r>
      <w:r w:rsidRPr="00296370">
        <w:t>model is provided to support a fit</w:t>
      </w:r>
      <w:r w:rsidR="00601819">
        <w:noBreakHyphen/>
      </w:r>
      <w:r w:rsidRPr="00296370">
        <w:t>for</w:t>
      </w:r>
      <w:r w:rsidR="00601819">
        <w:noBreakHyphen/>
      </w:r>
      <w:r w:rsidRPr="00296370">
        <w:t xml:space="preserve">purpose approach, which defines minimum expectations for </w:t>
      </w:r>
      <w:r w:rsidRPr="009B2B67">
        <w:t>Victorian Government investment</w:t>
      </w:r>
      <w:r w:rsidRPr="004A651E">
        <w:t xml:space="preserve"> projects.</w:t>
      </w:r>
      <w:r w:rsidRPr="00296370">
        <w:t xml:space="preserve"> </w:t>
      </w:r>
      <w:r w:rsidRPr="00461DBF">
        <w:t xml:space="preserve">The maturity </w:t>
      </w:r>
      <w:r w:rsidRPr="009B2B67">
        <w:t>model has</w:t>
      </w:r>
      <w:r w:rsidRPr="00884A8F">
        <w:t xml:space="preserve"> been developed to assist </w:t>
      </w:r>
      <w:r>
        <w:t xml:space="preserve">decision </w:t>
      </w:r>
      <w:r w:rsidRPr="004A651E">
        <w:t xml:space="preserve">makers and </w:t>
      </w:r>
      <w:r w:rsidRPr="00296370">
        <w:t>pro</w:t>
      </w:r>
      <w:r w:rsidRPr="00461DBF">
        <w:t xml:space="preserve">ject </w:t>
      </w:r>
      <w:r w:rsidRPr="0030152B">
        <w:t>team</w:t>
      </w:r>
      <w:r w:rsidRPr="00E15DE1">
        <w:t xml:space="preserve">s to identify and implement </w:t>
      </w:r>
      <w:r w:rsidRPr="009B2B67">
        <w:t xml:space="preserve">appropriate </w:t>
      </w:r>
      <w:r w:rsidRPr="004A651E">
        <w:t xml:space="preserve">levels of </w:t>
      </w:r>
      <w:r w:rsidRPr="00296370">
        <w:t>sustainab</w:t>
      </w:r>
      <w:r w:rsidRPr="00461DBF">
        <w:t>le investme</w:t>
      </w:r>
      <w:r w:rsidRPr="0030152B">
        <w:t>nt</w:t>
      </w:r>
      <w:r w:rsidRPr="00E15DE1">
        <w:t xml:space="preserve"> sophistication throughout the investment lifecycle</w:t>
      </w:r>
      <w:r w:rsidRPr="004A651E">
        <w:t>.</w:t>
      </w:r>
    </w:p>
    <w:p w14:paraId="067F2DFA" w14:textId="77777777" w:rsidR="003719E0" w:rsidRDefault="003719E0" w:rsidP="003719E0">
      <w:r>
        <w:t xml:space="preserve">These guidelines should be read alongside legislation and other existing government standards, guidelines, </w:t>
      </w:r>
      <w:proofErr w:type="gramStart"/>
      <w:r>
        <w:t>frameworks</w:t>
      </w:r>
      <w:proofErr w:type="gramEnd"/>
      <w:r>
        <w:t xml:space="preserve"> and strategies, and it is expected that organisations may use these guidelines in the development of their own specific sustainability guidelines and requirements that reflect the needs of their portfolios and project types.</w:t>
      </w:r>
    </w:p>
    <w:p w14:paraId="37952A15" w14:textId="77777777" w:rsidR="003719E0" w:rsidRPr="00EC5B5F" w:rsidRDefault="003719E0" w:rsidP="003719E0">
      <w:pPr>
        <w:pStyle w:val="Heading1numbered"/>
      </w:pPr>
      <w:bookmarkStart w:id="3" w:name="_Toc68769263"/>
      <w:bookmarkStart w:id="4" w:name="_Toc117258691"/>
      <w:r w:rsidRPr="003719E0">
        <w:lastRenderedPageBreak/>
        <w:t>Introduction</w:t>
      </w:r>
      <w:bookmarkEnd w:id="3"/>
      <w:bookmarkEnd w:id="4"/>
    </w:p>
    <w:p w14:paraId="707C48A9" w14:textId="18B9BC31" w:rsidR="003719E0" w:rsidRPr="006E4EF8" w:rsidRDefault="003719E0" w:rsidP="003719E0">
      <w:pPr>
        <w:pStyle w:val="Heading2numbered"/>
      </w:pPr>
      <w:bookmarkStart w:id="5" w:name="_Toc68769264"/>
      <w:bookmarkStart w:id="6" w:name="_Toc117258692"/>
      <w:r>
        <w:t xml:space="preserve">Sustainable Investment </w:t>
      </w:r>
      <w:r w:rsidRPr="003719E0">
        <w:t>Guidelines</w:t>
      </w:r>
      <w:r>
        <w:t xml:space="preserve"> purpose</w:t>
      </w:r>
      <w:bookmarkEnd w:id="5"/>
      <w:bookmarkEnd w:id="6"/>
    </w:p>
    <w:p w14:paraId="6AFC5DD9" w14:textId="0113237C" w:rsidR="003719E0" w:rsidRPr="009B2B67" w:rsidRDefault="003719E0" w:rsidP="003719E0">
      <w:pPr>
        <w:rPr>
          <w:rFonts w:ascii="Arial" w:hAnsi="Arial" w:cs="Arial"/>
        </w:rPr>
      </w:pPr>
      <w:r w:rsidRPr="001F3D3A">
        <w:t>Victoria is experiencing unprecedented growth in population</w:t>
      </w:r>
      <w:r w:rsidRPr="008358EF">
        <w:t>.</w:t>
      </w:r>
      <w:r w:rsidRPr="003F1AB3">
        <w:t xml:space="preserve"> To accommodate this growth, the Victorian Government is currently investing in one of the largest infrastructure development pipelines ever seen. This pipeline of works presents a significant strain on the finite supply</w:t>
      </w:r>
      <w:r>
        <w:t xml:space="preserve"> of natural resources and labour needed to construct major projects; as well as creating a legacy of an increasing number of assets that will need to be maintained and operated to meet this growing demand for services. Population growth and infrastructure development presents sustainability risks and opportunities including resource use, waste management, value for money, cultural </w:t>
      </w:r>
      <w:proofErr w:type="gramStart"/>
      <w:r>
        <w:t>heritage</w:t>
      </w:r>
      <w:proofErr w:type="gramEnd"/>
      <w:r>
        <w:t xml:space="preserve"> and liveability.</w:t>
      </w:r>
    </w:p>
    <w:p w14:paraId="6EA941BE" w14:textId="7D75F282" w:rsidR="003719E0" w:rsidRDefault="003719E0" w:rsidP="003719E0">
      <w:r w:rsidRPr="001F3D3A">
        <w:t>T</w:t>
      </w:r>
      <w:r w:rsidRPr="003C738E">
        <w:t xml:space="preserve">hese guidelines provide implementation guidance for good practice sustainable investment. Incorporating sustainability into investment considerations ensures government expenditure contributes towards positive environmental, social (including health), and economic outcomes as well as cost savings and resource efficiencies today and into the future. By embedding sustainability into investment considerations, we can deliver greater benefits for the Victorian community and </w:t>
      </w:r>
      <w:r>
        <w:t xml:space="preserve">for instance </w:t>
      </w:r>
      <w:r w:rsidRPr="003C738E">
        <w:t xml:space="preserve">help meet Victoria’s </w:t>
      </w:r>
      <w:r w:rsidR="00F624D7">
        <w:t>five</w:t>
      </w:r>
      <w:r w:rsidR="00601819">
        <w:noBreakHyphen/>
      </w:r>
      <w:r w:rsidRPr="003C738E">
        <w:t>yearly interim greenhouse gas emissions reduction targets and the long</w:t>
      </w:r>
      <w:r w:rsidR="00601819">
        <w:noBreakHyphen/>
      </w:r>
      <w:r w:rsidRPr="003C738E">
        <w:t xml:space="preserve">term emissions reduction target of net zero greenhouse gas </w:t>
      </w:r>
      <w:r w:rsidRPr="001F3D3A">
        <w:t xml:space="preserve">emissions by </w:t>
      </w:r>
      <w:r w:rsidRPr="003C738E">
        <w:t>2050 (</w:t>
      </w:r>
      <w:r w:rsidRPr="009B2B67">
        <w:rPr>
          <w:i/>
          <w:iCs/>
        </w:rPr>
        <w:t>Climate Change Act 2017</w:t>
      </w:r>
      <w:r w:rsidRPr="001F3D3A">
        <w:t>).</w:t>
      </w:r>
    </w:p>
    <w:p w14:paraId="6E4C1639" w14:textId="3288CB88" w:rsidR="003719E0" w:rsidRDefault="003719E0" w:rsidP="003719E0">
      <w:r>
        <w:t xml:space="preserve">The Victorian Government has well established </w:t>
      </w:r>
      <w:r w:rsidRPr="001F3D3A">
        <w:t xml:space="preserve">policies and processes </w:t>
      </w:r>
      <w:r>
        <w:t xml:space="preserve">to support compliance with its obligations under the </w:t>
      </w:r>
      <w:r w:rsidRPr="00FE0687">
        <w:rPr>
          <w:i/>
          <w:iCs/>
        </w:rPr>
        <w:t>Financial Management Act 1994</w:t>
      </w:r>
      <w:r w:rsidRPr="00056E9F">
        <w:t>. These include</w:t>
      </w:r>
      <w:r w:rsidRPr="00E64E86">
        <w:t xml:space="preserve"> </w:t>
      </w:r>
      <w:r>
        <w:t>the</w:t>
      </w:r>
      <w:r w:rsidRPr="003F1AB3">
        <w:t xml:space="preserve"> </w:t>
      </w:r>
      <w:r w:rsidRPr="007B0E20">
        <w:t>Investment Management Standard</w:t>
      </w:r>
      <w:r>
        <w:t>,</w:t>
      </w:r>
      <w:r w:rsidRPr="00056E9F">
        <w:t xml:space="preserve"> </w:t>
      </w:r>
      <w:r w:rsidRPr="004A651E">
        <w:t xml:space="preserve">Investment Lifecycle and High Value High Risk </w:t>
      </w:r>
      <w:r w:rsidRPr="00296370">
        <w:t>Guidelines</w:t>
      </w:r>
      <w:r w:rsidRPr="00461DBF">
        <w:t xml:space="preserve">, Asset Management </w:t>
      </w:r>
      <w:r w:rsidRPr="0029020B">
        <w:t>Accountability Framework</w:t>
      </w:r>
      <w:r w:rsidRPr="0030152B">
        <w:t xml:space="preserve"> and </w:t>
      </w:r>
      <w:r w:rsidRPr="00DB6D24">
        <w:t xml:space="preserve">Social </w:t>
      </w:r>
      <w:r w:rsidRPr="001F3D3A">
        <w:t xml:space="preserve">Procurement Framework. </w:t>
      </w:r>
      <w:r>
        <w:t xml:space="preserve">A glossary providing definitions of terms is available at </w:t>
      </w:r>
      <w:r w:rsidRPr="009508BF">
        <w:t xml:space="preserve">page </w:t>
      </w:r>
      <w:r w:rsidRPr="009508BF">
        <w:fldChar w:fldCharType="begin"/>
      </w:r>
      <w:r w:rsidRPr="009508BF">
        <w:instrText xml:space="preserve"> PAGEREF _Ref68765036 \h </w:instrText>
      </w:r>
      <w:r w:rsidRPr="009508BF">
        <w:fldChar w:fldCharType="separate"/>
      </w:r>
      <w:r w:rsidR="00FC7DAA">
        <w:rPr>
          <w:noProof/>
        </w:rPr>
        <w:t>50</w:t>
      </w:r>
      <w:r w:rsidRPr="009508BF">
        <w:fldChar w:fldCharType="end"/>
      </w:r>
      <w:r w:rsidRPr="009508BF">
        <w:t>. This</w:t>
      </w:r>
      <w:r w:rsidRPr="001F3D3A">
        <w:t xml:space="preserve"> Sustainable Investment Guideline (SIG) </w:t>
      </w:r>
      <w:r w:rsidRPr="009B2B67">
        <w:t xml:space="preserve">provides guidance on how to embed sustainability into </w:t>
      </w:r>
      <w:r>
        <w:t>infrastructure</w:t>
      </w:r>
      <w:r w:rsidRPr="009B2B67">
        <w:t xml:space="preserve"> projects across all stages of the </w:t>
      </w:r>
      <w:r>
        <w:t>DTF I</w:t>
      </w:r>
      <w:r w:rsidRPr="009B2B67">
        <w:t xml:space="preserve">nvestment </w:t>
      </w:r>
      <w:r>
        <w:t>L</w:t>
      </w:r>
      <w:r w:rsidRPr="009B2B67">
        <w:t>ifecy</w:t>
      </w:r>
      <w:r>
        <w:t>c</w:t>
      </w:r>
      <w:r w:rsidRPr="009B2B67">
        <w:t>le</w:t>
      </w:r>
      <w:r w:rsidRPr="008358EF">
        <w:t>.</w:t>
      </w:r>
    </w:p>
    <w:p w14:paraId="77FD80D0" w14:textId="59BA82A9" w:rsidR="003719E0" w:rsidRDefault="003719E0" w:rsidP="003719E0">
      <w:r w:rsidRPr="009B2B67">
        <w:t xml:space="preserve">The purpose of </w:t>
      </w:r>
      <w:r>
        <w:t>these Guidelines</w:t>
      </w:r>
      <w:r w:rsidRPr="00EA3DB2">
        <w:t xml:space="preserve"> </w:t>
      </w:r>
      <w:r w:rsidRPr="009B2B67">
        <w:t xml:space="preserve">is to: </w:t>
      </w:r>
    </w:p>
    <w:p w14:paraId="1C5E7A4C" w14:textId="25DE5807" w:rsidR="003719E0" w:rsidRPr="009B2B67" w:rsidRDefault="003719E0" w:rsidP="003719E0">
      <w:pPr>
        <w:pStyle w:val="Numpara"/>
      </w:pPr>
      <w:r w:rsidRPr="009B2B67">
        <w:t xml:space="preserve">Increase understanding of the values and benefits of sustainable practice throughout the </w:t>
      </w:r>
      <w:r>
        <w:t>DTF I</w:t>
      </w:r>
      <w:r w:rsidRPr="009B2B67">
        <w:t xml:space="preserve">nvestment </w:t>
      </w:r>
      <w:r>
        <w:t>L</w:t>
      </w:r>
      <w:r w:rsidRPr="009B2B67">
        <w:t xml:space="preserve">ifecycle </w:t>
      </w:r>
    </w:p>
    <w:p w14:paraId="6F867166" w14:textId="2BB20E77" w:rsidR="003719E0" w:rsidRPr="009B2B67" w:rsidRDefault="003719E0" w:rsidP="003719E0">
      <w:pPr>
        <w:pStyle w:val="Numpara"/>
      </w:pPr>
      <w:r w:rsidRPr="009B2B67">
        <w:t>Support practitioners in understanding their obligations under current sustainability policy</w:t>
      </w:r>
    </w:p>
    <w:p w14:paraId="13B95450" w14:textId="036E3218" w:rsidR="003719E0" w:rsidRPr="003719E0" w:rsidRDefault="003719E0" w:rsidP="003719E0">
      <w:pPr>
        <w:pStyle w:val="Numpara"/>
      </w:pPr>
      <w:r w:rsidRPr="009B2B67">
        <w:t xml:space="preserve">Support improved sustainable investment practices through all stages of the </w:t>
      </w:r>
      <w:r w:rsidRPr="003719E0">
        <w:t>investment lifecycle</w:t>
      </w:r>
    </w:p>
    <w:p w14:paraId="47E43716" w14:textId="1263AA57" w:rsidR="003719E0" w:rsidRPr="003719E0" w:rsidRDefault="003719E0" w:rsidP="003719E0">
      <w:pPr>
        <w:pStyle w:val="Numpara"/>
      </w:pPr>
      <w:r w:rsidRPr="003719E0">
        <w:t xml:space="preserve">Provide methods and examples to integrate sustainability throughout the investment lifecycle </w:t>
      </w:r>
    </w:p>
    <w:p w14:paraId="19221F69" w14:textId="77777777" w:rsidR="003719E0" w:rsidRPr="009B2B67" w:rsidRDefault="003719E0" w:rsidP="003719E0">
      <w:pPr>
        <w:pStyle w:val="Numpara"/>
      </w:pPr>
      <w:r w:rsidRPr="003719E0">
        <w:t>Assist</w:t>
      </w:r>
      <w:r w:rsidRPr="009B2B67">
        <w:t xml:space="preserve"> the embedment of sustainable practice in government projects involving the built environment, as part of asset development.</w:t>
      </w:r>
    </w:p>
    <w:p w14:paraId="3E39034A" w14:textId="77777777" w:rsidR="003719E0" w:rsidRPr="00633C11" w:rsidRDefault="003719E0" w:rsidP="003719E0">
      <w:r w:rsidRPr="00633C11">
        <w:lastRenderedPageBreak/>
        <w:t>The guidelines are presented in t</w:t>
      </w:r>
      <w:r>
        <w:t>wo</w:t>
      </w:r>
      <w:r w:rsidRPr="00633C11">
        <w:t xml:space="preserve"> key sections: </w:t>
      </w:r>
    </w:p>
    <w:p w14:paraId="16EBB1C7" w14:textId="2332EA55" w:rsidR="003719E0" w:rsidRPr="009B2B67" w:rsidRDefault="003719E0" w:rsidP="003719E0">
      <w:pPr>
        <w:pStyle w:val="Numpara"/>
        <w:numPr>
          <w:ilvl w:val="0"/>
          <w:numId w:val="20"/>
        </w:numPr>
      </w:pPr>
      <w:r w:rsidRPr="009B2B67">
        <w:t xml:space="preserve">Key </w:t>
      </w:r>
      <w:r w:rsidRPr="003719E0">
        <w:t>concepts</w:t>
      </w:r>
      <w:r w:rsidRPr="009B2B67">
        <w:t xml:space="preserve"> – </w:t>
      </w:r>
      <w:r>
        <w:t xml:space="preserve">provides </w:t>
      </w:r>
      <w:r w:rsidR="0031271D">
        <w:t>s</w:t>
      </w:r>
      <w:r w:rsidR="0031271D" w:rsidRPr="009B2B67">
        <w:t xml:space="preserve">ustainable </w:t>
      </w:r>
      <w:r w:rsidRPr="009B2B67">
        <w:t xml:space="preserve">investment considerations, including sustainable </w:t>
      </w:r>
      <w:r w:rsidRPr="003719E0">
        <w:t>investment</w:t>
      </w:r>
      <w:r w:rsidRPr="009B2B67">
        <w:t xml:space="preserve"> target maturity levels.</w:t>
      </w:r>
    </w:p>
    <w:p w14:paraId="6B0FD444" w14:textId="3444F632" w:rsidR="003719E0" w:rsidRPr="00633C11" w:rsidRDefault="003719E0" w:rsidP="003719E0">
      <w:pPr>
        <w:pStyle w:val="Numpara"/>
      </w:pPr>
      <w:r w:rsidRPr="009B2B67">
        <w:t xml:space="preserve">Implementing sustainable investment – details how sustainability can be implemented across the DTF </w:t>
      </w:r>
      <w:r>
        <w:t>I</w:t>
      </w:r>
      <w:r w:rsidRPr="009B2B67">
        <w:t xml:space="preserve">nvestment </w:t>
      </w:r>
      <w:r>
        <w:t>L</w:t>
      </w:r>
      <w:r w:rsidRPr="009B2B67">
        <w:t>ifecycle, with self</w:t>
      </w:r>
      <w:r w:rsidR="00601819">
        <w:noBreakHyphen/>
      </w:r>
      <w:r w:rsidRPr="009B2B67">
        <w:t>assessments to assist project sponsors and managers to establish appropriate project teams, solutions and options based on the target sustainable investment maturity level of the project.</w:t>
      </w:r>
    </w:p>
    <w:p w14:paraId="756DD00F" w14:textId="77777777" w:rsidR="003719E0" w:rsidRDefault="003719E0" w:rsidP="003719E0">
      <w:pPr>
        <w:pStyle w:val="Heading2numbered"/>
      </w:pPr>
      <w:bookmarkStart w:id="7" w:name="_Toc46848500"/>
      <w:bookmarkStart w:id="8" w:name="_Toc68769265"/>
      <w:bookmarkStart w:id="9" w:name="_Toc117258693"/>
      <w:r>
        <w:t>Who should use these guidelines?</w:t>
      </w:r>
      <w:bookmarkEnd w:id="7"/>
      <w:bookmarkEnd w:id="8"/>
      <w:bookmarkEnd w:id="9"/>
    </w:p>
    <w:p w14:paraId="10D3B834" w14:textId="758327AD" w:rsidR="003719E0" w:rsidRDefault="003719E0" w:rsidP="003719E0">
      <w:r>
        <w:t xml:space="preserve">The success of achieving good practice sustainable investment outcomes depends </w:t>
      </w:r>
      <w:r w:rsidRPr="00095E12">
        <w:t>on</w:t>
      </w:r>
      <w:r>
        <w:t xml:space="preserve"> being able to appropriately articulate the benefits and the use of experienced resources to identify and detail sustainable investment opportunities, </w:t>
      </w:r>
      <w:proofErr w:type="gramStart"/>
      <w:r>
        <w:t>costs</w:t>
      </w:r>
      <w:proofErr w:type="gramEnd"/>
      <w:r>
        <w:t xml:space="preserve"> and potential trade</w:t>
      </w:r>
      <w:r w:rsidR="00601819">
        <w:noBreakHyphen/>
      </w:r>
      <w:r>
        <w:t>offs. It also requires</w:t>
      </w:r>
      <w:r w:rsidRPr="00095E12">
        <w:t xml:space="preserve"> a culture of </w:t>
      </w:r>
      <w:r>
        <w:t xml:space="preserve">strong leadership, outcomes focus, value for money, </w:t>
      </w:r>
      <w:r w:rsidRPr="00095E12">
        <w:t xml:space="preserve">cost awareness, appropriate </w:t>
      </w:r>
      <w:proofErr w:type="gramStart"/>
      <w:r w:rsidRPr="00095E12">
        <w:t>governance</w:t>
      </w:r>
      <w:proofErr w:type="gramEnd"/>
      <w:r w:rsidRPr="00095E12">
        <w:t xml:space="preserve"> and accountability. </w:t>
      </w:r>
    </w:p>
    <w:p w14:paraId="06193F9F" w14:textId="7E28DCA1" w:rsidR="003719E0" w:rsidRDefault="003719E0" w:rsidP="003719E0">
      <w:r>
        <w:fldChar w:fldCharType="begin"/>
      </w:r>
      <w:r>
        <w:instrText xml:space="preserve"> REF _Ref68007480 \h </w:instrText>
      </w:r>
      <w:r>
        <w:fldChar w:fldCharType="separate"/>
      </w:r>
      <w:r w:rsidR="00FC7DAA">
        <w:t>Table</w:t>
      </w:r>
      <w:r w:rsidR="00FC7DAA" w:rsidRPr="00F161BE">
        <w:t xml:space="preserve"> </w:t>
      </w:r>
      <w:r w:rsidR="00FC7DAA">
        <w:rPr>
          <w:noProof/>
        </w:rPr>
        <w:t>1</w:t>
      </w:r>
      <w:r>
        <w:fldChar w:fldCharType="end"/>
      </w:r>
      <w:r>
        <w:t xml:space="preserve"> details the different sustainable investment responsibilities of project stakeholders across all stages of </w:t>
      </w:r>
      <w:r w:rsidRPr="00BE05D0">
        <w:t xml:space="preserve">the </w:t>
      </w:r>
      <w:r>
        <w:t>DTF Investment</w:t>
      </w:r>
      <w:r w:rsidRPr="00BE05D0">
        <w:t xml:space="preserve"> </w:t>
      </w:r>
      <w:r>
        <w:t>L</w:t>
      </w:r>
      <w:r w:rsidRPr="00BE05D0">
        <w:t>ifecycle</w:t>
      </w:r>
      <w:r>
        <w:t>.</w:t>
      </w:r>
    </w:p>
    <w:p w14:paraId="3EFB2D9E" w14:textId="4C50DEF1" w:rsidR="003719E0" w:rsidRDefault="003719E0" w:rsidP="003719E0">
      <w:pPr>
        <w:pStyle w:val="Caption"/>
      </w:pPr>
      <w:bookmarkStart w:id="10" w:name="_Ref68007480"/>
      <w:bookmarkStart w:id="11" w:name="_Toc30172163"/>
      <w:bookmarkStart w:id="12" w:name="_Toc30174869"/>
      <w:bookmarkStart w:id="13" w:name="_Toc34133086"/>
      <w:bookmarkStart w:id="14" w:name="_Toc34136682"/>
      <w:bookmarkStart w:id="15" w:name="_Toc34145471"/>
      <w:bookmarkStart w:id="16" w:name="_Toc34380286"/>
      <w:bookmarkStart w:id="17" w:name="_Toc34386902"/>
      <w:bookmarkStart w:id="18" w:name="_Toc34391637"/>
      <w:bookmarkStart w:id="19" w:name="_Toc40778962"/>
      <w:bookmarkStart w:id="20" w:name="_Toc40955317"/>
      <w:bookmarkStart w:id="21" w:name="_Toc53148738"/>
      <w:bookmarkStart w:id="22" w:name="_Toc117258722"/>
      <w:r>
        <w:t>Table</w:t>
      </w:r>
      <w:r w:rsidRPr="00F161BE">
        <w:t xml:space="preserve"> </w:t>
      </w:r>
      <w:r>
        <w:fldChar w:fldCharType="begin"/>
      </w:r>
      <w:r>
        <w:instrText>SEQ Table \* ARABIC</w:instrText>
      </w:r>
      <w:r>
        <w:fldChar w:fldCharType="separate"/>
      </w:r>
      <w:r w:rsidR="00FC7DAA">
        <w:rPr>
          <w:noProof/>
        </w:rPr>
        <w:t>1</w:t>
      </w:r>
      <w:r>
        <w:fldChar w:fldCharType="end"/>
      </w:r>
      <w:bookmarkEnd w:id="10"/>
      <w:bookmarkEnd w:id="11"/>
      <w:bookmarkEnd w:id="12"/>
      <w:bookmarkEnd w:id="13"/>
      <w:bookmarkEnd w:id="14"/>
      <w:bookmarkEnd w:id="15"/>
      <w:bookmarkEnd w:id="16"/>
      <w:bookmarkEnd w:id="17"/>
      <w:bookmarkEnd w:id="18"/>
      <w:r w:rsidR="00F00708">
        <w:t xml:space="preserve"> – </w:t>
      </w:r>
      <w:r w:rsidRPr="00220645">
        <w:t>SIG responsibilities</w:t>
      </w:r>
      <w:bookmarkEnd w:id="19"/>
      <w:bookmarkEnd w:id="20"/>
      <w:bookmarkEnd w:id="21"/>
      <w:bookmarkEnd w:id="22"/>
    </w:p>
    <w:tbl>
      <w:tblPr>
        <w:tblStyle w:val="Texttable"/>
        <w:tblW w:w="9090" w:type="dxa"/>
        <w:tblLook w:val="06A0" w:firstRow="1" w:lastRow="0" w:firstColumn="1" w:lastColumn="0" w:noHBand="1" w:noVBand="1"/>
      </w:tblPr>
      <w:tblGrid>
        <w:gridCol w:w="1800"/>
        <w:gridCol w:w="3645"/>
        <w:gridCol w:w="3645"/>
      </w:tblGrid>
      <w:tr w:rsidR="00E14717" w:rsidRPr="00BE05D0" w14:paraId="6C6F99E4" w14:textId="77777777" w:rsidTr="00434F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6DD382C1" w14:textId="77777777" w:rsidR="003719E0" w:rsidRPr="00350DBC" w:rsidRDefault="003719E0" w:rsidP="003719E0">
            <w:pPr>
              <w:pStyle w:val="Tableheader"/>
            </w:pPr>
            <w:r w:rsidRPr="00350DBC">
              <w:t>User</w:t>
            </w:r>
          </w:p>
        </w:tc>
        <w:tc>
          <w:tcPr>
            <w:tcW w:w="3645" w:type="dxa"/>
          </w:tcPr>
          <w:p w14:paraId="664C0EA3" w14:textId="3154A774" w:rsidR="003719E0" w:rsidRPr="00350DBC" w:rsidRDefault="003719E0" w:rsidP="003719E0">
            <w:pPr>
              <w:pStyle w:val="Tableheader"/>
              <w:cnfStyle w:val="100000000000" w:firstRow="1" w:lastRow="0" w:firstColumn="0" w:lastColumn="0" w:oddVBand="0" w:evenVBand="0" w:oddHBand="0" w:evenHBand="0" w:firstRowFirstColumn="0" w:firstRowLastColumn="0" w:lastRowFirstColumn="0" w:lastRowLastColumn="0"/>
            </w:pPr>
            <w:r w:rsidRPr="00350DBC">
              <w:t>Responsibility</w:t>
            </w:r>
          </w:p>
        </w:tc>
        <w:tc>
          <w:tcPr>
            <w:tcW w:w="3645" w:type="dxa"/>
          </w:tcPr>
          <w:p w14:paraId="0EDA6C0B" w14:textId="77777777" w:rsidR="003719E0" w:rsidRPr="00350DBC" w:rsidRDefault="003719E0" w:rsidP="003719E0">
            <w:pPr>
              <w:pStyle w:val="Tableheader"/>
              <w:cnfStyle w:val="100000000000" w:firstRow="1" w:lastRow="0" w:firstColumn="0" w:lastColumn="0" w:oddVBand="0" w:evenVBand="0" w:oddHBand="0" w:evenHBand="0" w:firstRowFirstColumn="0" w:firstRowLastColumn="0" w:lastRowFirstColumn="0" w:lastRowLastColumn="0"/>
            </w:pPr>
            <w:r w:rsidRPr="00350DBC">
              <w:t>Actions</w:t>
            </w:r>
          </w:p>
        </w:tc>
      </w:tr>
      <w:tr w:rsidR="003719E0" w:rsidRPr="00BE05D0" w14:paraId="45891225" w14:textId="77777777" w:rsidTr="00434FBE">
        <w:trPr>
          <w:trHeight w:val="267"/>
        </w:trPr>
        <w:tc>
          <w:tcPr>
            <w:cnfStyle w:val="001000000000" w:firstRow="0" w:lastRow="0" w:firstColumn="1" w:lastColumn="0" w:oddVBand="0" w:evenVBand="0" w:oddHBand="0" w:evenHBand="0" w:firstRowFirstColumn="0" w:firstRowLastColumn="0" w:lastRowFirstColumn="0" w:lastRowLastColumn="0"/>
            <w:tcW w:w="1800" w:type="dxa"/>
          </w:tcPr>
          <w:p w14:paraId="106FAD00" w14:textId="77777777" w:rsidR="003719E0" w:rsidRPr="00FC454C" w:rsidRDefault="003719E0" w:rsidP="003719E0">
            <w:pPr>
              <w:pStyle w:val="Tabletext"/>
            </w:pPr>
            <w:r w:rsidRPr="00FC454C">
              <w:t>Central Agency (DPC/DTF)</w:t>
            </w:r>
          </w:p>
        </w:tc>
        <w:tc>
          <w:tcPr>
            <w:tcW w:w="3645" w:type="dxa"/>
          </w:tcPr>
          <w:p w14:paraId="274CA581" w14:textId="77777777" w:rsidR="003719E0" w:rsidRPr="003C05CA"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C05CA">
              <w:t>Ongoing oversight and advi</w:t>
            </w:r>
            <w:r>
              <w:t>ce to</w:t>
            </w:r>
            <w:r w:rsidRPr="003C05CA">
              <w:t xml:space="preserve"> </w:t>
            </w:r>
            <w:r>
              <w:t>the Premier, Treasurer and other Ministers</w:t>
            </w:r>
            <w:r w:rsidRPr="003C05CA">
              <w:t xml:space="preserve"> on budget bids or </w:t>
            </w:r>
            <w:r w:rsidRPr="0030598E">
              <w:t xml:space="preserve">investment </w:t>
            </w:r>
            <w:r w:rsidRPr="003C05CA">
              <w:t>decisions</w:t>
            </w:r>
            <w:r w:rsidRPr="0030598E">
              <w:t xml:space="preserve"> </w:t>
            </w:r>
          </w:p>
        </w:tc>
        <w:tc>
          <w:tcPr>
            <w:tcW w:w="3645" w:type="dxa"/>
          </w:tcPr>
          <w:p w14:paraId="42760ACC" w14:textId="77777777" w:rsidR="003719E0" w:rsidRPr="00AA0AA9"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AA0AA9">
              <w:t>Understand and assess sustainable investment considerations</w:t>
            </w:r>
          </w:p>
        </w:tc>
      </w:tr>
      <w:tr w:rsidR="003719E0" w:rsidRPr="00BE05D0" w14:paraId="445BAAB5" w14:textId="77777777" w:rsidTr="00434FBE">
        <w:trPr>
          <w:trHeight w:val="1254"/>
        </w:trPr>
        <w:tc>
          <w:tcPr>
            <w:cnfStyle w:val="001000000000" w:firstRow="0" w:lastRow="0" w:firstColumn="1" w:lastColumn="0" w:oddVBand="0" w:evenVBand="0" w:oddHBand="0" w:evenHBand="0" w:firstRowFirstColumn="0" w:firstRowLastColumn="0" w:lastRowFirstColumn="0" w:lastRowLastColumn="0"/>
            <w:tcW w:w="1800" w:type="dxa"/>
          </w:tcPr>
          <w:p w14:paraId="3689EDB5" w14:textId="222CC94F" w:rsidR="003719E0" w:rsidRPr="00FC454C" w:rsidRDefault="003719E0" w:rsidP="003719E0">
            <w:pPr>
              <w:pStyle w:val="Tabletext"/>
            </w:pPr>
            <w:r w:rsidRPr="00FC454C">
              <w:t xml:space="preserve">Accountable Officer, Asset </w:t>
            </w:r>
            <w:proofErr w:type="gramStart"/>
            <w:r w:rsidRPr="00FC454C">
              <w:t>Owner</w:t>
            </w:r>
            <w:proofErr w:type="gramEnd"/>
            <w:r w:rsidRPr="00FC454C">
              <w:t xml:space="preserve"> and Senior Responsible Officer (SRO)</w:t>
            </w:r>
          </w:p>
        </w:tc>
        <w:tc>
          <w:tcPr>
            <w:tcW w:w="3645" w:type="dxa"/>
          </w:tcPr>
          <w:p w14:paraId="6471118B" w14:textId="77777777" w:rsidR="003719E0" w:rsidRPr="004A651E"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7B0E20">
              <w:t xml:space="preserve">Ongoing accountability for the ownership and operation of the </w:t>
            </w:r>
            <w:r w:rsidRPr="00056E9F">
              <w:t>asset</w:t>
            </w:r>
          </w:p>
          <w:p w14:paraId="60BAE4B3"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0152B">
              <w:t>R</w:t>
            </w:r>
            <w:r w:rsidRPr="00EB5AE6">
              <w:t>esponsibility for monitoring and managing sustainability through project development and delivery</w:t>
            </w:r>
          </w:p>
          <w:p w14:paraId="7CE493BF"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Establishing the data and information which the scope is based on</w:t>
            </w:r>
          </w:p>
        </w:tc>
        <w:tc>
          <w:tcPr>
            <w:tcW w:w="3645" w:type="dxa"/>
          </w:tcPr>
          <w:p w14:paraId="6804F5BA" w14:textId="77777777" w:rsidR="003719E0"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Understand the requirements and evaluate the maturity of sustainable investment practices against the project’s </w:t>
            </w:r>
            <w:r>
              <w:t>s</w:t>
            </w:r>
            <w:r w:rsidRPr="003C0815">
              <w:t>ustainable investment target maturity level</w:t>
            </w:r>
          </w:p>
          <w:p w14:paraId="2153DDC7" w14:textId="77777777" w:rsidR="003719E0" w:rsidRPr="007B0E20" w:rsidRDefault="003719E0" w:rsidP="003719E0">
            <w:pPr>
              <w:pStyle w:val="Tabletext"/>
              <w:cnfStyle w:val="000000000000" w:firstRow="0" w:lastRow="0" w:firstColumn="0" w:lastColumn="0" w:oddVBand="0" w:evenVBand="0" w:oddHBand="0" w:evenHBand="0" w:firstRowFirstColumn="0" w:firstRowLastColumn="0" w:lastRowFirstColumn="0" w:lastRowLastColumn="0"/>
            </w:pPr>
            <w:r>
              <w:t>Ensure that adequate budget and capability is embedded within the project to enable to development and delivery of appropriate sustainable solutions</w:t>
            </w:r>
          </w:p>
          <w:p w14:paraId="296FE2C7"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056E9F">
              <w:t xml:space="preserve">Provide information to improve the quality of the </w:t>
            </w:r>
            <w:r>
              <w:t>s</w:t>
            </w:r>
            <w:r w:rsidRPr="00EB5AE6">
              <w:t xml:space="preserve">cope, </w:t>
            </w:r>
            <w:r>
              <w:t>b</w:t>
            </w:r>
            <w:r w:rsidRPr="00EB5AE6">
              <w:t xml:space="preserve">ases of </w:t>
            </w:r>
            <w:r>
              <w:t>d</w:t>
            </w:r>
            <w:r w:rsidRPr="00EB5AE6">
              <w:t xml:space="preserve">esign, </w:t>
            </w:r>
            <w:r>
              <w:t>e</w:t>
            </w:r>
            <w:r w:rsidRPr="00EB5AE6">
              <w:t xml:space="preserve">stimate and </w:t>
            </w:r>
            <w:r>
              <w:t>s</w:t>
            </w:r>
            <w:r w:rsidRPr="00EB5AE6">
              <w:t>chedule</w:t>
            </w:r>
          </w:p>
        </w:tc>
      </w:tr>
      <w:tr w:rsidR="003719E0" w:rsidRPr="00BE05D0" w14:paraId="774FAD17" w14:textId="77777777" w:rsidTr="00434FBE">
        <w:trPr>
          <w:trHeight w:val="1184"/>
        </w:trPr>
        <w:tc>
          <w:tcPr>
            <w:cnfStyle w:val="001000000000" w:firstRow="0" w:lastRow="0" w:firstColumn="1" w:lastColumn="0" w:oddVBand="0" w:evenVBand="0" w:oddHBand="0" w:evenHBand="0" w:firstRowFirstColumn="0" w:firstRowLastColumn="0" w:lastRowFirstColumn="0" w:lastRowLastColumn="0"/>
            <w:tcW w:w="1800" w:type="dxa"/>
          </w:tcPr>
          <w:p w14:paraId="0BB0C75C" w14:textId="18EA294A" w:rsidR="003719E0" w:rsidRPr="00FC454C" w:rsidRDefault="003719E0" w:rsidP="003719E0">
            <w:pPr>
              <w:pStyle w:val="Tabletext"/>
            </w:pPr>
            <w:r w:rsidRPr="00FC454C">
              <w:lastRenderedPageBreak/>
              <w:t xml:space="preserve">Project team </w:t>
            </w:r>
          </w:p>
        </w:tc>
        <w:tc>
          <w:tcPr>
            <w:tcW w:w="3645" w:type="dxa"/>
          </w:tcPr>
          <w:p w14:paraId="17DCD397" w14:textId="77777777" w:rsidR="003719E0" w:rsidRPr="00056E9F"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7B0E20">
              <w:t>Managing a project through its development and delivery</w:t>
            </w:r>
          </w:p>
          <w:p w14:paraId="0DAE000E" w14:textId="77777777" w:rsidR="003719E0" w:rsidRPr="0030152B"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4A651E">
              <w:t>Managing</w:t>
            </w:r>
            <w:r w:rsidRPr="00296370">
              <w:t xml:space="preserve"> project gove</w:t>
            </w:r>
            <w:r w:rsidRPr="00461DBF">
              <w:t>rnance activities</w:t>
            </w:r>
          </w:p>
          <w:p w14:paraId="6744D567"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Delivering within the approved budget, </w:t>
            </w:r>
            <w:proofErr w:type="gramStart"/>
            <w:r w:rsidRPr="00EB5AE6">
              <w:t>time</w:t>
            </w:r>
            <w:proofErr w:type="gramEnd"/>
            <w:r w:rsidRPr="00EB5AE6">
              <w:t xml:space="preserve"> and scope constraints</w:t>
            </w:r>
          </w:p>
          <w:p w14:paraId="56BBB2B9"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 xml:space="preserve">Developing and implementing processes for sustainable investment management at the project’s </w:t>
            </w:r>
            <w:r>
              <w:t>s</w:t>
            </w:r>
            <w:r w:rsidRPr="003C0815">
              <w:t>ustainable investment target maturity level</w:t>
            </w:r>
            <w:r w:rsidRPr="004A651E" w:rsidDel="00D4152C">
              <w:t xml:space="preserve"> </w:t>
            </w:r>
          </w:p>
        </w:tc>
        <w:tc>
          <w:tcPr>
            <w:tcW w:w="3645" w:type="dxa"/>
          </w:tcPr>
          <w:p w14:paraId="79C44908"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Identify better practice for sustainable investment</w:t>
            </w:r>
          </w:p>
          <w:p w14:paraId="7A32B256" w14:textId="77777777" w:rsidR="003719E0" w:rsidRPr="00EB5AE6"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Manage stakeholder expectations regarding project delivery and options considerations</w:t>
            </w:r>
          </w:p>
          <w:p w14:paraId="05F085F5" w14:textId="77777777" w:rsidR="003719E0" w:rsidRPr="009B2B67"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EB5AE6">
              <w:t>Rating tool selection and use</w:t>
            </w:r>
          </w:p>
        </w:tc>
      </w:tr>
      <w:tr w:rsidR="003719E0" w:rsidRPr="00BE05D0" w14:paraId="35A62833" w14:textId="77777777" w:rsidTr="00434FBE">
        <w:tc>
          <w:tcPr>
            <w:cnfStyle w:val="001000000000" w:firstRow="0" w:lastRow="0" w:firstColumn="1" w:lastColumn="0" w:oddVBand="0" w:evenVBand="0" w:oddHBand="0" w:evenHBand="0" w:firstRowFirstColumn="0" w:firstRowLastColumn="0" w:lastRowFirstColumn="0" w:lastRowLastColumn="0"/>
            <w:tcW w:w="1800" w:type="dxa"/>
          </w:tcPr>
          <w:p w14:paraId="46B04830" w14:textId="77777777" w:rsidR="003719E0" w:rsidRPr="00FC454C" w:rsidRDefault="003719E0" w:rsidP="003719E0">
            <w:pPr>
              <w:pStyle w:val="Tabletext"/>
            </w:pPr>
            <w:r w:rsidRPr="00FC454C">
              <w:t>Business case writer or advisor</w:t>
            </w:r>
          </w:p>
        </w:tc>
        <w:tc>
          <w:tcPr>
            <w:tcW w:w="3645" w:type="dxa"/>
          </w:tcPr>
          <w:p w14:paraId="73CE2496" w14:textId="77777777" w:rsidR="003719E0" w:rsidRPr="003C05CA"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3C05CA">
              <w:t>Developing a business case for investments</w:t>
            </w:r>
          </w:p>
        </w:tc>
        <w:tc>
          <w:tcPr>
            <w:tcW w:w="3645" w:type="dxa"/>
          </w:tcPr>
          <w:p w14:paraId="465E95D0" w14:textId="70845820" w:rsidR="003719E0" w:rsidRPr="00AA0AA9" w:rsidRDefault="003719E0" w:rsidP="003719E0">
            <w:pPr>
              <w:pStyle w:val="Tabletext"/>
              <w:cnfStyle w:val="000000000000" w:firstRow="0" w:lastRow="0" w:firstColumn="0" w:lastColumn="0" w:oddVBand="0" w:evenVBand="0" w:oddHBand="0" w:evenHBand="0" w:firstRowFirstColumn="0" w:firstRowLastColumn="0" w:lastRowFirstColumn="0" w:lastRowLastColumn="0"/>
            </w:pPr>
            <w:r w:rsidRPr="00AA0AA9">
              <w:t xml:space="preserve">Ensure that </w:t>
            </w:r>
            <w:r>
              <w:t>business cases</w:t>
            </w:r>
            <w:r w:rsidRPr="00AA0AA9">
              <w:t xml:space="preserve"> are based on sound assessments of sustainab</w:t>
            </w:r>
            <w:r>
              <w:t>le</w:t>
            </w:r>
            <w:r w:rsidRPr="00AA0AA9">
              <w:t xml:space="preserve"> investment, </w:t>
            </w:r>
            <w:r>
              <w:t xml:space="preserve">and have </w:t>
            </w:r>
            <w:r w:rsidRPr="00AA0AA9">
              <w:t>develop</w:t>
            </w:r>
            <w:r>
              <w:t>ed</w:t>
            </w:r>
            <w:r w:rsidRPr="00AA0AA9">
              <w:t xml:space="preserve"> appropriate trade</w:t>
            </w:r>
            <w:r w:rsidR="00601819">
              <w:noBreakHyphen/>
            </w:r>
            <w:r w:rsidRPr="00AA0AA9">
              <w:t xml:space="preserve">offs between the </w:t>
            </w:r>
            <w:r>
              <w:t xml:space="preserve">costs and </w:t>
            </w:r>
            <w:r w:rsidRPr="00AA0AA9">
              <w:t>benefits</w:t>
            </w:r>
            <w:r>
              <w:t xml:space="preserve"> (including</w:t>
            </w:r>
            <w:r w:rsidRPr="00AA0AA9">
              <w:t xml:space="preserve"> scope and quality</w:t>
            </w:r>
            <w:r>
              <w:t>)</w:t>
            </w:r>
            <w:r w:rsidRPr="00AA0AA9">
              <w:t xml:space="preserve"> over the intended life of the asset</w:t>
            </w:r>
          </w:p>
        </w:tc>
      </w:tr>
    </w:tbl>
    <w:p w14:paraId="3DC42645" w14:textId="77777777" w:rsidR="00434FBE" w:rsidRDefault="00434FBE" w:rsidP="00434FBE">
      <w:pPr>
        <w:pStyle w:val="Spacer"/>
      </w:pPr>
      <w:bookmarkStart w:id="23" w:name="_Toc68769266"/>
    </w:p>
    <w:p w14:paraId="4F02627A" w14:textId="5B008391" w:rsidR="003719E0" w:rsidRPr="00EC5B5F" w:rsidRDefault="003719E0" w:rsidP="003719E0">
      <w:pPr>
        <w:pStyle w:val="Heading2numbered"/>
      </w:pPr>
      <w:bookmarkStart w:id="24" w:name="_Toc117258694"/>
      <w:r w:rsidRPr="00EC5B5F">
        <w:t xml:space="preserve">How the SIG fits </w:t>
      </w:r>
      <w:r w:rsidRPr="00865BA7">
        <w:t xml:space="preserve">in </w:t>
      </w:r>
      <w:r w:rsidRPr="009B2B67">
        <w:t>with legislation and government policies</w:t>
      </w:r>
      <w:bookmarkEnd w:id="23"/>
      <w:bookmarkEnd w:id="24"/>
    </w:p>
    <w:p w14:paraId="60AE984F" w14:textId="5A209C07" w:rsidR="003719E0" w:rsidRDefault="003719E0" w:rsidP="003719E0">
      <w:r>
        <w:t xml:space="preserve">The SIG forms part of the DTF Investment </w:t>
      </w:r>
      <w:r w:rsidRPr="00DB67F3">
        <w:t xml:space="preserve">Lifecycle and High Value High Risk Guidelines </w:t>
      </w:r>
      <w:r w:rsidRPr="004A651E">
        <w:t>(</w:t>
      </w:r>
      <w:r>
        <w:t>Investment L</w:t>
      </w:r>
      <w:r w:rsidRPr="00BB35A3">
        <w:t xml:space="preserve">ifecycle </w:t>
      </w:r>
      <w:r>
        <w:t>G</w:t>
      </w:r>
      <w:r w:rsidRPr="00BB35A3">
        <w:t>uidelines</w:t>
      </w:r>
      <w:r w:rsidRPr="004E181A">
        <w:t>)</w:t>
      </w:r>
      <w:r>
        <w:t>, which</w:t>
      </w:r>
      <w:r w:rsidRPr="0085531B">
        <w:t xml:space="preserve"> help</w:t>
      </w:r>
      <w:r>
        <w:t>s to</w:t>
      </w:r>
      <w:r w:rsidRPr="0085531B">
        <w:t xml:space="preserve"> ensure </w:t>
      </w:r>
      <w:r>
        <w:t xml:space="preserve">Victorian Government </w:t>
      </w:r>
      <w:r w:rsidRPr="0085531B">
        <w:t>investments provide maximum benefit to Victoria</w:t>
      </w:r>
      <w:r>
        <w:t xml:space="preserve"> in accordance with the </w:t>
      </w:r>
      <w:r w:rsidRPr="00987AFA">
        <w:rPr>
          <w:i/>
          <w:iCs/>
        </w:rPr>
        <w:t>Financial Management Act 1994</w:t>
      </w:r>
      <w:r w:rsidRPr="0085531B">
        <w:t>.</w:t>
      </w:r>
      <w:r>
        <w:t xml:space="preserve"> The SIG is part of the Victorian Government’s broader investment and sustainability policy context, including the laws, policies and guidelines listed </w:t>
      </w:r>
      <w:r w:rsidRPr="00CC630D">
        <w:t xml:space="preserve">in </w:t>
      </w:r>
      <w:r>
        <w:fldChar w:fldCharType="begin"/>
      </w:r>
      <w:r>
        <w:instrText xml:space="preserve"> REF _Ref68007490 \h </w:instrText>
      </w:r>
      <w:r>
        <w:fldChar w:fldCharType="separate"/>
      </w:r>
      <w:r w:rsidR="00FC7DAA">
        <w:t xml:space="preserve">Table </w:t>
      </w:r>
      <w:r w:rsidR="00FC7DAA">
        <w:rPr>
          <w:noProof/>
        </w:rPr>
        <w:t>2</w:t>
      </w:r>
      <w:r>
        <w:fldChar w:fldCharType="end"/>
      </w:r>
      <w:r>
        <w:t xml:space="preserve">. </w:t>
      </w:r>
      <w:r w:rsidRPr="007E6C2A">
        <w:t xml:space="preserve">SIG </w:t>
      </w:r>
      <w:r w:rsidRPr="009B2B67">
        <w:t>provides</w:t>
      </w:r>
      <w:r>
        <w:t xml:space="preserve"> practical advice to </w:t>
      </w:r>
      <w:r w:rsidRPr="00222773">
        <w:t xml:space="preserve">assist project teams to incorporate sustainable investment considerations and requirements as they plan, propose, and deliver projects funded through the </w:t>
      </w:r>
      <w:r>
        <w:t>DTF’s</w:t>
      </w:r>
      <w:r w:rsidRPr="00222773">
        <w:t xml:space="preserve"> Investment Lifecycle</w:t>
      </w:r>
      <w:r>
        <w:t>.</w:t>
      </w:r>
    </w:p>
    <w:p w14:paraId="4E1DF6B5" w14:textId="163D5A84" w:rsidR="00E14717" w:rsidRDefault="00E14717" w:rsidP="00E14717">
      <w:pPr>
        <w:pStyle w:val="Caption"/>
        <w:pageBreakBefore/>
      </w:pPr>
      <w:bookmarkStart w:id="25" w:name="_Ref68007490"/>
      <w:bookmarkStart w:id="26" w:name="_Toc117258723"/>
      <w:r>
        <w:lastRenderedPageBreak/>
        <w:t xml:space="preserve">Table </w:t>
      </w:r>
      <w:r>
        <w:fldChar w:fldCharType="begin"/>
      </w:r>
      <w:r>
        <w:instrText>SEQ Table \* ARABIC</w:instrText>
      </w:r>
      <w:r>
        <w:fldChar w:fldCharType="separate"/>
      </w:r>
      <w:r w:rsidR="00FC7DAA">
        <w:rPr>
          <w:noProof/>
        </w:rPr>
        <w:t>2</w:t>
      </w:r>
      <w:r>
        <w:fldChar w:fldCharType="end"/>
      </w:r>
      <w:bookmarkEnd w:id="25"/>
      <w:r w:rsidR="00F00708">
        <w:t xml:space="preserve"> – </w:t>
      </w:r>
      <w:r w:rsidRPr="00482832">
        <w:t>Sustainable Investment Guidelines in context</w:t>
      </w:r>
      <w:bookmarkEnd w:id="26"/>
    </w:p>
    <w:tbl>
      <w:tblPr>
        <w:tblStyle w:val="Texttable"/>
        <w:tblW w:w="9090" w:type="dxa"/>
        <w:tblLook w:val="0620" w:firstRow="1" w:lastRow="0" w:firstColumn="0" w:lastColumn="0" w:noHBand="1" w:noVBand="1"/>
      </w:tblPr>
      <w:tblGrid>
        <w:gridCol w:w="2880"/>
        <w:gridCol w:w="2610"/>
        <w:gridCol w:w="3600"/>
      </w:tblGrid>
      <w:tr w:rsidR="00E14717" w:rsidRPr="0000245F" w14:paraId="6492F739" w14:textId="77777777" w:rsidTr="00E14717">
        <w:trPr>
          <w:cnfStyle w:val="100000000000" w:firstRow="1" w:lastRow="0" w:firstColumn="0" w:lastColumn="0" w:oddVBand="0" w:evenVBand="0" w:oddHBand="0" w:evenHBand="0" w:firstRowFirstColumn="0" w:firstRowLastColumn="0" w:lastRowFirstColumn="0" w:lastRowLastColumn="0"/>
          <w:trHeight w:val="233"/>
        </w:trPr>
        <w:tc>
          <w:tcPr>
            <w:tcW w:w="2880" w:type="dxa"/>
            <w:hideMark/>
          </w:tcPr>
          <w:p w14:paraId="7AB31A4D" w14:textId="77777777" w:rsidR="00E14717" w:rsidRPr="00E140CC" w:rsidRDefault="00E14717" w:rsidP="00E14717">
            <w:pPr>
              <w:pStyle w:val="Tableheader"/>
              <w:keepNext w:val="0"/>
              <w:keepLines w:val="0"/>
              <w:spacing w:before="0" w:after="100" w:line="240" w:lineRule="auto"/>
            </w:pPr>
            <w:r w:rsidRPr="00E140CC">
              <w:t>Legislation</w:t>
            </w:r>
          </w:p>
        </w:tc>
        <w:tc>
          <w:tcPr>
            <w:tcW w:w="2610" w:type="dxa"/>
            <w:hideMark/>
          </w:tcPr>
          <w:p w14:paraId="440501A5" w14:textId="77777777" w:rsidR="00E14717" w:rsidRPr="00E140CC" w:rsidRDefault="00E14717" w:rsidP="00E14717">
            <w:pPr>
              <w:pStyle w:val="Tableheader"/>
            </w:pPr>
            <w:r w:rsidRPr="00E140CC">
              <w:t>Policies</w:t>
            </w:r>
          </w:p>
        </w:tc>
        <w:tc>
          <w:tcPr>
            <w:tcW w:w="3600" w:type="dxa"/>
            <w:hideMark/>
          </w:tcPr>
          <w:p w14:paraId="0F1CF295" w14:textId="133123A9" w:rsidR="00E14717" w:rsidRPr="00E140CC" w:rsidRDefault="00E14717" w:rsidP="00E14717">
            <w:pPr>
              <w:pStyle w:val="Tableheader"/>
              <w:rPr>
                <w:rFonts w:ascii="Calibri" w:hAnsi="Calibri"/>
              </w:rPr>
            </w:pPr>
            <w:r w:rsidRPr="00E140CC">
              <w:t xml:space="preserve">Strategies, </w:t>
            </w:r>
            <w:proofErr w:type="gramStart"/>
            <w:r w:rsidRPr="00E140CC">
              <w:t>frameworks</w:t>
            </w:r>
            <w:proofErr w:type="gramEnd"/>
            <w:r w:rsidRPr="00E140CC">
              <w:t xml:space="preserve"> </w:t>
            </w:r>
            <w:r>
              <w:t>and</w:t>
            </w:r>
            <w:r w:rsidRPr="00E140CC">
              <w:t xml:space="preserve"> guidelines</w:t>
            </w:r>
          </w:p>
        </w:tc>
      </w:tr>
      <w:tr w:rsidR="00E14717" w:rsidRPr="00E14717" w14:paraId="172B37EF" w14:textId="77777777" w:rsidTr="00E14717">
        <w:trPr>
          <w:cantSplit w:val="0"/>
        </w:trPr>
        <w:tc>
          <w:tcPr>
            <w:tcW w:w="2880" w:type="dxa"/>
            <w:hideMark/>
          </w:tcPr>
          <w:p w14:paraId="75232F47"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Aboriginal Heritage Act 2006</w:t>
            </w:r>
          </w:p>
          <w:p w14:paraId="61D9B45F" w14:textId="0924E590"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Aboriginal Heritage Regulations</w:t>
            </w:r>
            <w:r w:rsidRPr="00E14717">
              <w:rPr>
                <w:rFonts w:ascii="Calibri" w:hAnsi="Calibri" w:cs="Calibri"/>
                <w:sz w:val="16"/>
                <w:szCs w:val="16"/>
              </w:rPr>
              <w:t> </w:t>
            </w:r>
            <w:r w:rsidRPr="00E14717">
              <w:rPr>
                <w:sz w:val="16"/>
                <w:szCs w:val="16"/>
              </w:rPr>
              <w:t>2018</w:t>
            </w:r>
          </w:p>
          <w:p w14:paraId="77E98AD5" w14:textId="2A9A59FF"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Catchment and Land Protection</w:t>
            </w:r>
            <w:r w:rsidRPr="00E14717">
              <w:rPr>
                <w:rFonts w:ascii="Calibri" w:hAnsi="Calibri" w:cs="Calibri"/>
                <w:i/>
                <w:iCs/>
                <w:sz w:val="16"/>
                <w:szCs w:val="16"/>
              </w:rPr>
              <w:t> </w:t>
            </w:r>
            <w:r w:rsidRPr="00E14717">
              <w:rPr>
                <w:i/>
                <w:iCs/>
                <w:sz w:val="16"/>
                <w:szCs w:val="16"/>
              </w:rPr>
              <w:t>Act 1994</w:t>
            </w:r>
          </w:p>
          <w:p w14:paraId="558003EA"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Charter for Human Rights and Responsibilities Act 2007</w:t>
            </w:r>
          </w:p>
          <w:p w14:paraId="2B230FA3"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Circular Economy (Waste Reduction and Recycling) Bill 2021</w:t>
            </w:r>
          </w:p>
          <w:p w14:paraId="7B1B9BB4"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Climate Change Act 2017</w:t>
            </w:r>
          </w:p>
          <w:p w14:paraId="3A36840C"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 xml:space="preserve">Environment Effects Act 1978 </w:t>
            </w:r>
          </w:p>
          <w:p w14:paraId="6D315122" w14:textId="5774E308"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Environment Protection Act 1970</w:t>
            </w:r>
          </w:p>
          <w:p w14:paraId="1802723A"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Environment Protection Act 2017</w:t>
            </w:r>
          </w:p>
          <w:p w14:paraId="30E4CBB3"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 xml:space="preserve">Environment Protection and Biodiversity Conservation Act 1999 </w:t>
            </w:r>
            <w:r w:rsidRPr="00E14717">
              <w:rPr>
                <w:sz w:val="16"/>
                <w:szCs w:val="16"/>
              </w:rPr>
              <w:t>(</w:t>
            </w:r>
            <w:proofErr w:type="spellStart"/>
            <w:r w:rsidRPr="00E14717">
              <w:rPr>
                <w:sz w:val="16"/>
                <w:szCs w:val="16"/>
              </w:rPr>
              <w:t>Cth</w:t>
            </w:r>
            <w:proofErr w:type="spellEnd"/>
            <w:r w:rsidRPr="00E14717">
              <w:rPr>
                <w:sz w:val="16"/>
                <w:szCs w:val="16"/>
              </w:rPr>
              <w:t>)</w:t>
            </w:r>
          </w:p>
          <w:p w14:paraId="54676772" w14:textId="30890021"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Environment Protection and Biodiversity Conservation Act</w:t>
            </w:r>
            <w:r w:rsidRPr="00E14717">
              <w:rPr>
                <w:rFonts w:ascii="Calibri" w:hAnsi="Calibri" w:cs="Calibri"/>
                <w:i/>
                <w:iCs/>
                <w:sz w:val="16"/>
                <w:szCs w:val="16"/>
              </w:rPr>
              <w:t> </w:t>
            </w:r>
            <w:r w:rsidRPr="00E14717">
              <w:rPr>
                <w:i/>
                <w:iCs/>
                <w:sz w:val="16"/>
                <w:szCs w:val="16"/>
              </w:rPr>
              <w:t>1999</w:t>
            </w:r>
            <w:r w:rsidRPr="00E14717">
              <w:rPr>
                <w:sz w:val="16"/>
                <w:szCs w:val="16"/>
              </w:rPr>
              <w:t xml:space="preserve"> (</w:t>
            </w:r>
            <w:proofErr w:type="spellStart"/>
            <w:r w:rsidRPr="00E14717">
              <w:rPr>
                <w:sz w:val="16"/>
                <w:szCs w:val="16"/>
              </w:rPr>
              <w:t>Cth</w:t>
            </w:r>
            <w:proofErr w:type="spellEnd"/>
            <w:r w:rsidRPr="00E14717">
              <w:rPr>
                <w:sz w:val="16"/>
                <w:szCs w:val="16"/>
              </w:rPr>
              <w:t>)</w:t>
            </w:r>
          </w:p>
          <w:p w14:paraId="1DF85CF4" w14:textId="0F8CAA40"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Environment Protection and Biodiversity Conservation Act</w:t>
            </w:r>
            <w:r w:rsidRPr="00E14717">
              <w:rPr>
                <w:rFonts w:ascii="Calibri" w:hAnsi="Calibri" w:cs="Calibri"/>
                <w:i/>
                <w:iCs/>
                <w:sz w:val="16"/>
                <w:szCs w:val="16"/>
              </w:rPr>
              <w:t> </w:t>
            </w:r>
            <w:r w:rsidRPr="00E14717">
              <w:rPr>
                <w:i/>
                <w:iCs/>
                <w:sz w:val="16"/>
                <w:szCs w:val="16"/>
              </w:rPr>
              <w:t>1999</w:t>
            </w:r>
            <w:r w:rsidRPr="00E14717">
              <w:rPr>
                <w:sz w:val="16"/>
                <w:szCs w:val="16"/>
              </w:rPr>
              <w:t xml:space="preserve"> (</w:t>
            </w:r>
            <w:proofErr w:type="spellStart"/>
            <w:r w:rsidRPr="00E14717">
              <w:rPr>
                <w:sz w:val="16"/>
                <w:szCs w:val="16"/>
              </w:rPr>
              <w:t>Cth</w:t>
            </w:r>
            <w:proofErr w:type="spellEnd"/>
            <w:r w:rsidRPr="00E14717">
              <w:rPr>
                <w:sz w:val="16"/>
                <w:szCs w:val="16"/>
              </w:rPr>
              <w:t>)</w:t>
            </w:r>
          </w:p>
          <w:p w14:paraId="5C12BCA1" w14:textId="38AAA03B"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Flora and Fauna Guarantee Act</w:t>
            </w:r>
            <w:r w:rsidRPr="00E14717">
              <w:rPr>
                <w:rFonts w:ascii="Calibri" w:hAnsi="Calibri" w:cs="Calibri"/>
                <w:i/>
                <w:iCs/>
                <w:sz w:val="16"/>
                <w:szCs w:val="16"/>
              </w:rPr>
              <w:t> </w:t>
            </w:r>
            <w:r w:rsidRPr="00E14717">
              <w:rPr>
                <w:i/>
                <w:iCs/>
                <w:sz w:val="16"/>
                <w:szCs w:val="16"/>
              </w:rPr>
              <w:t>1988</w:t>
            </w:r>
          </w:p>
          <w:p w14:paraId="55DB4AF9"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Heritage Act 2017</w:t>
            </w:r>
          </w:p>
          <w:p w14:paraId="58D80E2B"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Heritage Rivers Act 1992</w:t>
            </w:r>
          </w:p>
          <w:p w14:paraId="73A46E0C"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Major Transport Project Facilitation Act 2009</w:t>
            </w:r>
          </w:p>
          <w:p w14:paraId="061EA7D1" w14:textId="0FED6B23"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National Water Reform Act 1994</w:t>
            </w:r>
          </w:p>
          <w:p w14:paraId="6118AE4D" w14:textId="08C11169"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Planning and Environment Act</w:t>
            </w:r>
            <w:r w:rsidRPr="00E14717">
              <w:rPr>
                <w:rFonts w:ascii="Calibri" w:hAnsi="Calibri" w:cs="Calibri"/>
                <w:i/>
                <w:iCs/>
                <w:sz w:val="16"/>
                <w:szCs w:val="16"/>
              </w:rPr>
              <w:t> </w:t>
            </w:r>
            <w:r w:rsidRPr="00E14717">
              <w:rPr>
                <w:i/>
                <w:iCs/>
                <w:sz w:val="16"/>
                <w:szCs w:val="16"/>
              </w:rPr>
              <w:t>1987</w:t>
            </w:r>
          </w:p>
          <w:p w14:paraId="0AE3B4B7" w14:textId="0AAC0FCC"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Project Development and Construction Management Act</w:t>
            </w:r>
            <w:r w:rsidRPr="00E14717">
              <w:rPr>
                <w:rFonts w:ascii="Calibri" w:hAnsi="Calibri" w:cs="Calibri"/>
                <w:i/>
                <w:iCs/>
                <w:sz w:val="16"/>
                <w:szCs w:val="16"/>
              </w:rPr>
              <w:t> </w:t>
            </w:r>
            <w:r w:rsidRPr="00E14717">
              <w:rPr>
                <w:i/>
                <w:iCs/>
                <w:sz w:val="16"/>
                <w:szCs w:val="16"/>
              </w:rPr>
              <w:t>1994</w:t>
            </w:r>
          </w:p>
          <w:p w14:paraId="5C9883CE"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Public Administration Act 2004</w:t>
            </w:r>
          </w:p>
          <w:p w14:paraId="62055FEF"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Renewable Energy (Jobs &amp; Investment) Act 2017</w:t>
            </w:r>
          </w:p>
          <w:p w14:paraId="033E3576"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The Renewable Energy (Jobs and Investment) Amendment Bill 2019 (Vic)</w:t>
            </w:r>
          </w:p>
          <w:p w14:paraId="049596FC"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Transport Integration Act 2010</w:t>
            </w:r>
          </w:p>
          <w:p w14:paraId="79CDEDFA" w14:textId="77777777" w:rsidR="00E14717" w:rsidRPr="00E14717" w:rsidRDefault="00E14717" w:rsidP="00E14717">
            <w:pPr>
              <w:pStyle w:val="Tablebullet"/>
              <w:spacing w:before="10" w:after="10" w:line="240" w:lineRule="auto"/>
              <w:ind w:left="288" w:hanging="288"/>
              <w:rPr>
                <w:i/>
                <w:iCs/>
                <w:sz w:val="16"/>
                <w:szCs w:val="16"/>
              </w:rPr>
            </w:pPr>
            <w:r w:rsidRPr="00E14717">
              <w:rPr>
                <w:i/>
                <w:iCs/>
                <w:sz w:val="16"/>
                <w:szCs w:val="16"/>
              </w:rPr>
              <w:t xml:space="preserve">Water Act 2007 </w:t>
            </w:r>
            <w:r w:rsidRPr="00E14717">
              <w:rPr>
                <w:sz w:val="16"/>
                <w:szCs w:val="16"/>
              </w:rPr>
              <w:t>(</w:t>
            </w:r>
            <w:proofErr w:type="spellStart"/>
            <w:r w:rsidRPr="00E14717">
              <w:rPr>
                <w:sz w:val="16"/>
                <w:szCs w:val="16"/>
              </w:rPr>
              <w:t>Cth</w:t>
            </w:r>
            <w:proofErr w:type="spellEnd"/>
            <w:r w:rsidRPr="00E14717">
              <w:rPr>
                <w:sz w:val="16"/>
                <w:szCs w:val="16"/>
              </w:rPr>
              <w:t>)</w:t>
            </w:r>
          </w:p>
          <w:p w14:paraId="6C2F9C00" w14:textId="77777777" w:rsidR="00E14717" w:rsidRPr="00E14717" w:rsidRDefault="00E14717" w:rsidP="00E14717">
            <w:pPr>
              <w:pStyle w:val="Tablebullet"/>
              <w:spacing w:before="10" w:after="10" w:line="240" w:lineRule="auto"/>
              <w:ind w:left="288" w:hanging="288"/>
              <w:rPr>
                <w:rFonts w:eastAsiaTheme="minorHAnsi"/>
                <w:i/>
                <w:iCs/>
                <w:sz w:val="16"/>
                <w:szCs w:val="16"/>
              </w:rPr>
            </w:pPr>
            <w:r w:rsidRPr="00E14717">
              <w:rPr>
                <w:i/>
                <w:iCs/>
                <w:sz w:val="16"/>
                <w:szCs w:val="16"/>
              </w:rPr>
              <w:t>Water Act 1989</w:t>
            </w:r>
          </w:p>
          <w:p w14:paraId="79809738"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i/>
                <w:iCs/>
                <w:sz w:val="16"/>
                <w:szCs w:val="16"/>
              </w:rPr>
              <w:t>Wildlife Act 1975</w:t>
            </w:r>
          </w:p>
        </w:tc>
        <w:tc>
          <w:tcPr>
            <w:tcW w:w="2610" w:type="dxa"/>
            <w:hideMark/>
          </w:tcPr>
          <w:p w14:paraId="55363CD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Local Jobs First – Major Project Skills Guarantee</w:t>
            </w:r>
          </w:p>
          <w:p w14:paraId="1CC93444" w14:textId="1B480821" w:rsidR="00E14717" w:rsidRPr="00E14717" w:rsidRDefault="00E14717" w:rsidP="00E14717">
            <w:pPr>
              <w:pStyle w:val="Tablebullet"/>
              <w:spacing w:before="10" w:after="10" w:line="240" w:lineRule="auto"/>
              <w:ind w:left="288" w:hanging="288"/>
              <w:rPr>
                <w:sz w:val="16"/>
                <w:szCs w:val="16"/>
              </w:rPr>
            </w:pPr>
            <w:r w:rsidRPr="00E14717">
              <w:rPr>
                <w:sz w:val="16"/>
                <w:szCs w:val="16"/>
              </w:rPr>
              <w:t>Local Jobs First</w:t>
            </w:r>
            <w:r w:rsidR="00F00708">
              <w:rPr>
                <w:sz w:val="16"/>
                <w:szCs w:val="16"/>
              </w:rPr>
              <w:t xml:space="preserve"> – </w:t>
            </w:r>
            <w:r w:rsidRPr="00E14717">
              <w:rPr>
                <w:sz w:val="16"/>
                <w:szCs w:val="16"/>
              </w:rPr>
              <w:t>Victorian Industry Participation Policy</w:t>
            </w:r>
          </w:p>
          <w:p w14:paraId="6DE6C99A"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National Waste Policy 2018</w:t>
            </w:r>
          </w:p>
          <w:p w14:paraId="49D0FBE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Recycled First Policy</w:t>
            </w:r>
          </w:p>
          <w:p w14:paraId="715D8AFC"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Recycling Victoria Circular Economy Policy</w:t>
            </w:r>
          </w:p>
          <w:p w14:paraId="2CA9E83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State Environmental Protection Policy (Waters)</w:t>
            </w:r>
          </w:p>
          <w:p w14:paraId="0D3EA428"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Victoria’s Climate Change Pledge</w:t>
            </w:r>
          </w:p>
        </w:tc>
        <w:tc>
          <w:tcPr>
            <w:tcW w:w="3600" w:type="dxa"/>
            <w:hideMark/>
          </w:tcPr>
          <w:p w14:paraId="372C5704"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Asset Management Accountability Framework</w:t>
            </w:r>
          </w:p>
          <w:p w14:paraId="3B130F0B" w14:textId="77777777" w:rsidR="00E14717" w:rsidRPr="00E14717" w:rsidRDefault="00E14717" w:rsidP="00E14717">
            <w:pPr>
              <w:pStyle w:val="Tablebullet"/>
              <w:spacing w:before="10" w:after="10" w:line="240" w:lineRule="auto"/>
              <w:ind w:left="288" w:hanging="288"/>
              <w:rPr>
                <w:sz w:val="16"/>
                <w:szCs w:val="16"/>
              </w:rPr>
            </w:pPr>
            <w:r w:rsidRPr="00FE0687">
              <w:rPr>
                <w:i/>
                <w:iCs/>
                <w:sz w:val="16"/>
                <w:szCs w:val="16"/>
              </w:rPr>
              <w:t>Biodiversity 2037</w:t>
            </w:r>
            <w:r w:rsidRPr="00E14717">
              <w:rPr>
                <w:sz w:val="16"/>
                <w:szCs w:val="16"/>
              </w:rPr>
              <w:t xml:space="preserve"> Implementation Framework</w:t>
            </w:r>
          </w:p>
          <w:p w14:paraId="6534E39F"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Economic Evaluation for Business Cases Technical guidelines</w:t>
            </w:r>
          </w:p>
          <w:p w14:paraId="390D47A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Energy Efficiency and Productivity Strategy</w:t>
            </w:r>
          </w:p>
          <w:p w14:paraId="4D833D18" w14:textId="6E9CC8EF" w:rsidR="00E14717" w:rsidRPr="00E14717" w:rsidRDefault="00E14717" w:rsidP="00E14717">
            <w:pPr>
              <w:pStyle w:val="Tablebullet"/>
              <w:spacing w:before="10" w:after="10" w:line="240" w:lineRule="auto"/>
              <w:ind w:left="288" w:hanging="288"/>
              <w:rPr>
                <w:sz w:val="16"/>
                <w:szCs w:val="16"/>
              </w:rPr>
            </w:pPr>
            <w:r w:rsidRPr="00E14717">
              <w:rPr>
                <w:sz w:val="16"/>
                <w:szCs w:val="16"/>
              </w:rPr>
              <w:t>Environmental impact in procurement</w:t>
            </w:r>
            <w:r w:rsidR="00FE0687">
              <w:rPr>
                <w:rFonts w:ascii="Calibri" w:hAnsi="Calibri" w:cs="Calibri"/>
                <w:sz w:val="16"/>
                <w:szCs w:val="16"/>
              </w:rPr>
              <w:t> </w:t>
            </w:r>
            <w:r w:rsidRPr="00E14717">
              <w:rPr>
                <w:sz w:val="16"/>
                <w:szCs w:val="16"/>
              </w:rPr>
              <w:t>– goods and services procurement guide</w:t>
            </w:r>
          </w:p>
          <w:p w14:paraId="3ECB909E"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Guidance for Public Construction Procurement in Victoria</w:t>
            </w:r>
          </w:p>
          <w:p w14:paraId="2277E181" w14:textId="467332B2" w:rsidR="00E14717" w:rsidRPr="00E14717" w:rsidRDefault="00E14717" w:rsidP="00E14717">
            <w:pPr>
              <w:pStyle w:val="Tablebullet"/>
              <w:spacing w:before="10" w:after="10" w:line="240" w:lineRule="auto"/>
              <w:ind w:left="288" w:hanging="288"/>
              <w:rPr>
                <w:sz w:val="16"/>
                <w:szCs w:val="16"/>
              </w:rPr>
            </w:pPr>
            <w:r w:rsidRPr="00E14717">
              <w:rPr>
                <w:sz w:val="16"/>
                <w:szCs w:val="16"/>
              </w:rPr>
              <w:t>Infrastructure Victoria 30</w:t>
            </w:r>
            <w:r w:rsidR="00601819">
              <w:rPr>
                <w:sz w:val="16"/>
                <w:szCs w:val="16"/>
              </w:rPr>
              <w:noBreakHyphen/>
            </w:r>
            <w:r w:rsidRPr="00E14717">
              <w:rPr>
                <w:sz w:val="16"/>
                <w:szCs w:val="16"/>
              </w:rPr>
              <w:t>year plan</w:t>
            </w:r>
          </w:p>
          <w:p w14:paraId="6C12DF1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Integrated Water Management Framework for Victoria</w:t>
            </w:r>
          </w:p>
          <w:p w14:paraId="2B063FCA"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 xml:space="preserve">Investment Lifecycle and High Value High Risk Guidelines </w:t>
            </w:r>
          </w:p>
          <w:p w14:paraId="29CA03B9"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Moving from Evaluation to Valuation paper</w:t>
            </w:r>
          </w:p>
          <w:p w14:paraId="45FD93C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Office Accommodation Guidelines 2007</w:t>
            </w:r>
          </w:p>
          <w:p w14:paraId="2C1BA671"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Project Development and Due Diligence Guidelines</w:t>
            </w:r>
          </w:p>
          <w:p w14:paraId="3BCD12C5"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Public interest test (Partnerships Victoria)</w:t>
            </w:r>
          </w:p>
          <w:p w14:paraId="4555E19D"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Recycling Industry Strategic Plan</w:t>
            </w:r>
          </w:p>
          <w:p w14:paraId="0ABD19E8"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Resource management framework</w:t>
            </w:r>
          </w:p>
          <w:p w14:paraId="139792E7" w14:textId="77777777" w:rsidR="00E14717" w:rsidRPr="00E14717" w:rsidRDefault="00E14717" w:rsidP="00E14717">
            <w:pPr>
              <w:pStyle w:val="Tablebullet"/>
              <w:spacing w:before="10" w:after="10" w:line="240" w:lineRule="auto"/>
              <w:ind w:left="288" w:hanging="288"/>
              <w:rPr>
                <w:sz w:val="16"/>
                <w:szCs w:val="16"/>
              </w:rPr>
            </w:pPr>
            <w:bookmarkStart w:id="27" w:name="RANGE!C15"/>
            <w:r w:rsidRPr="00E14717">
              <w:rPr>
                <w:sz w:val="16"/>
                <w:szCs w:val="16"/>
              </w:rPr>
              <w:t>Risk, Time, Cost and Contingency Guidelines</w:t>
            </w:r>
            <w:bookmarkEnd w:id="27"/>
          </w:p>
          <w:p w14:paraId="38EB758B" w14:textId="77777777" w:rsidR="00E14717" w:rsidRPr="00E14717" w:rsidRDefault="00E14717" w:rsidP="00E14717">
            <w:pPr>
              <w:pStyle w:val="Tablebullet"/>
              <w:spacing w:before="10" w:after="10" w:line="240" w:lineRule="auto"/>
              <w:ind w:left="288" w:hanging="288"/>
              <w:rPr>
                <w:sz w:val="16"/>
                <w:szCs w:val="16"/>
              </w:rPr>
            </w:pPr>
            <w:bookmarkStart w:id="28" w:name="RANGE!C16"/>
            <w:r w:rsidRPr="00E14717">
              <w:rPr>
                <w:sz w:val="16"/>
                <w:szCs w:val="16"/>
              </w:rPr>
              <w:t>Social Procurement Framework</w:t>
            </w:r>
            <w:bookmarkEnd w:id="28"/>
          </w:p>
          <w:p w14:paraId="3C09363B"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State of discovery: Mineral resources strategy 2018–2023</w:t>
            </w:r>
          </w:p>
          <w:p w14:paraId="48723C04"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Sustainable Development Goals (DELWP and United Nations)</w:t>
            </w:r>
          </w:p>
          <w:p w14:paraId="61754356" w14:textId="77777777" w:rsidR="00E14717" w:rsidRPr="00E14717" w:rsidRDefault="00E14717" w:rsidP="00E14717">
            <w:pPr>
              <w:pStyle w:val="Tablebullet"/>
              <w:spacing w:before="10" w:after="10" w:line="240" w:lineRule="auto"/>
              <w:ind w:left="288" w:hanging="288"/>
              <w:rPr>
                <w:sz w:val="16"/>
                <w:szCs w:val="16"/>
              </w:rPr>
            </w:pPr>
            <w:r w:rsidRPr="00E14717">
              <w:rPr>
                <w:sz w:val="16"/>
                <w:szCs w:val="16"/>
              </w:rPr>
              <w:t>Sustainable Investment Guidelines</w:t>
            </w:r>
          </w:p>
          <w:p w14:paraId="6AA52AEF"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Sustainable Procurement in Government framework</w:t>
            </w:r>
          </w:p>
          <w:p w14:paraId="5D6CF3DB"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Value Creation and Capture (VCC) Framework</w:t>
            </w:r>
          </w:p>
          <w:p w14:paraId="37D3FB04" w14:textId="008B38BD"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Climate Change Adaptation Plan 2017</w:t>
            </w:r>
            <w:r w:rsidR="00601819">
              <w:rPr>
                <w:sz w:val="16"/>
                <w:szCs w:val="16"/>
              </w:rPr>
              <w:noBreakHyphen/>
            </w:r>
            <w:r w:rsidRPr="00E14717">
              <w:rPr>
                <w:sz w:val="16"/>
                <w:szCs w:val="16"/>
              </w:rPr>
              <w:t>2020</w:t>
            </w:r>
          </w:p>
          <w:p w14:paraId="5A5195DA"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Climate Change Framework</w:t>
            </w:r>
          </w:p>
          <w:p w14:paraId="06EEBE64"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Victoria’s Renewable Energy Action Plan</w:t>
            </w:r>
          </w:p>
          <w:p w14:paraId="100AAEEA"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Digital Asset Strategy</w:t>
            </w:r>
          </w:p>
          <w:p w14:paraId="04E4FD69"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Government Risk Management Framework</w:t>
            </w:r>
          </w:p>
          <w:p w14:paraId="5FDA53AC" w14:textId="77777777" w:rsidR="00E14717" w:rsidRPr="00E14717" w:rsidRDefault="00E14717" w:rsidP="00E14717">
            <w:pPr>
              <w:pStyle w:val="Tablebullet"/>
              <w:spacing w:before="10" w:after="10" w:line="240" w:lineRule="auto"/>
              <w:ind w:left="288" w:hanging="288"/>
              <w:rPr>
                <w:rFonts w:eastAsiaTheme="minorHAnsi"/>
                <w:sz w:val="16"/>
                <w:szCs w:val="16"/>
              </w:rPr>
            </w:pPr>
            <w:r w:rsidRPr="00E14717">
              <w:rPr>
                <w:sz w:val="16"/>
                <w:szCs w:val="16"/>
              </w:rPr>
              <w:t>Victorian Public Health and Wellbeing Plan 2019–2023</w:t>
            </w:r>
          </w:p>
          <w:p w14:paraId="55C8E5F8" w14:textId="77777777" w:rsidR="00E14717" w:rsidRPr="00E14717" w:rsidRDefault="00E14717" w:rsidP="00E14717">
            <w:pPr>
              <w:pStyle w:val="Tablebullet"/>
              <w:spacing w:before="10" w:after="10" w:line="240" w:lineRule="auto"/>
              <w:ind w:left="288" w:hanging="288"/>
              <w:rPr>
                <w:rFonts w:cstheme="minorHAnsi"/>
                <w:sz w:val="16"/>
                <w:szCs w:val="16"/>
              </w:rPr>
            </w:pPr>
            <w:r w:rsidRPr="00E14717">
              <w:rPr>
                <w:sz w:val="16"/>
                <w:szCs w:val="16"/>
              </w:rPr>
              <w:t>Water for Victoria</w:t>
            </w:r>
          </w:p>
        </w:tc>
      </w:tr>
    </w:tbl>
    <w:p w14:paraId="28D3C472" w14:textId="77777777" w:rsidR="00FC7DAA" w:rsidRPr="00FC7DAA" w:rsidRDefault="00E14717" w:rsidP="00FC7DAA">
      <w:pPr>
        <w:pStyle w:val="Spacer"/>
        <w:rPr>
          <w:b/>
          <w:bCs/>
          <w:lang w:val="en-US"/>
        </w:rPr>
      </w:pPr>
      <w:r w:rsidRPr="00C633DB">
        <w:fldChar w:fldCharType="begin"/>
      </w:r>
      <w:r w:rsidRPr="00D1709C">
        <w:instrText xml:space="preserve"> REF _Ref53144188 \h </w:instrText>
      </w:r>
      <w:r w:rsidRPr="009B2B67">
        <w:instrText xml:space="preserve"> \* MERGEFORMAT </w:instrText>
      </w:r>
      <w:r w:rsidRPr="00C633DB">
        <w:fldChar w:fldCharType="separate"/>
      </w:r>
    </w:p>
    <w:p w14:paraId="2CEB3D95" w14:textId="043ED645" w:rsidR="003719E0" w:rsidRDefault="00FC7DAA" w:rsidP="00E14717">
      <w:r w:rsidRPr="00FC7DAA">
        <w:rPr>
          <w:lang w:val="en-US"/>
        </w:rPr>
        <w:lastRenderedPageBreak/>
        <w:t xml:space="preserve">Appendix 1 – Legislation and </w:t>
      </w:r>
      <w:r w:rsidRPr="00C447B4">
        <w:t>p</w:t>
      </w:r>
      <w:r w:rsidRPr="001E59A1">
        <w:t>olicies supporting</w:t>
      </w:r>
      <w:r>
        <w:t xml:space="preserve"> Sustainable Investment themes</w:t>
      </w:r>
      <w:r w:rsidR="00E14717" w:rsidRPr="00C633DB">
        <w:fldChar w:fldCharType="end"/>
      </w:r>
      <w:r w:rsidR="00E14717" w:rsidRPr="00D1709C">
        <w:t xml:space="preserve"> includes a</w:t>
      </w:r>
      <w:r w:rsidR="00E14717">
        <w:t xml:space="preserve">n overview </w:t>
      </w:r>
      <w:r w:rsidR="00E14717" w:rsidRPr="00D1709C">
        <w:t xml:space="preserve">of </w:t>
      </w:r>
      <w:r w:rsidR="00E14717">
        <w:t>selected l</w:t>
      </w:r>
      <w:r w:rsidR="00E14717" w:rsidRPr="00C45A00">
        <w:t xml:space="preserve">egislation and policies supporting </w:t>
      </w:r>
      <w:r w:rsidR="00E14717">
        <w:t>Victoria’s Sustainable Investment themes.</w:t>
      </w:r>
    </w:p>
    <w:p w14:paraId="784CB0C8" w14:textId="77777777" w:rsidR="00E14717" w:rsidRPr="00216BB6" w:rsidRDefault="00E14717" w:rsidP="00E14717">
      <w:pPr>
        <w:pStyle w:val="Heading2numbered"/>
      </w:pPr>
      <w:bookmarkStart w:id="29" w:name="_Toc68769267"/>
      <w:bookmarkStart w:id="30" w:name="_Toc117258695"/>
      <w:r w:rsidRPr="00216BB6">
        <w:t>Further information</w:t>
      </w:r>
      <w:bookmarkEnd w:id="29"/>
      <w:bookmarkEnd w:id="30"/>
    </w:p>
    <w:p w14:paraId="07EB65D0" w14:textId="68055797" w:rsidR="00E14717" w:rsidRDefault="00E14717" w:rsidP="00E14717">
      <w:r>
        <w:t xml:space="preserve">For further information on sustainability in the investment lifecycle, please contact Office of Projects Victoria (OPV) at </w:t>
      </w:r>
      <w:hyperlink r:id="rId28" w:history="1">
        <w:r w:rsidRPr="00601819">
          <w:rPr>
            <w:rStyle w:val="Hyperlink"/>
            <w:rFonts w:cstheme="majorHAnsi"/>
            <w:szCs w:val="18"/>
          </w:rPr>
          <w:t>enquiries@opv.vic.gov.au</w:t>
        </w:r>
      </w:hyperlink>
      <w:r w:rsidRPr="00601819">
        <w:t>.</w:t>
      </w:r>
    </w:p>
    <w:p w14:paraId="12962A36" w14:textId="77777777" w:rsidR="00E14717" w:rsidRDefault="00E14717" w:rsidP="00A80DF4">
      <w:pPr>
        <w:pStyle w:val="Heading1numbered"/>
      </w:pPr>
      <w:bookmarkStart w:id="31" w:name="_Ref45190335"/>
      <w:bookmarkStart w:id="32" w:name="_Toc68769268"/>
      <w:bookmarkStart w:id="33" w:name="_Toc117258696"/>
      <w:r>
        <w:t>Key concepts</w:t>
      </w:r>
      <w:bookmarkEnd w:id="31"/>
      <w:bookmarkEnd w:id="32"/>
      <w:bookmarkEnd w:id="33"/>
    </w:p>
    <w:p w14:paraId="25DE2526" w14:textId="77777777" w:rsidR="00E14717" w:rsidRDefault="00E14717" w:rsidP="00E14717">
      <w:pPr>
        <w:pStyle w:val="Heading2numbered"/>
      </w:pPr>
      <w:bookmarkStart w:id="34" w:name="_Toc68769269"/>
      <w:bookmarkStart w:id="35" w:name="_Toc117258697"/>
      <w:r>
        <w:t>What is sustainable investment?</w:t>
      </w:r>
      <w:bookmarkEnd w:id="34"/>
      <w:bookmarkEnd w:id="35"/>
    </w:p>
    <w:p w14:paraId="1A41CF83" w14:textId="51DE635E" w:rsidR="00E14717" w:rsidRDefault="00E14717" w:rsidP="00E14717">
      <w:r w:rsidRPr="00AB68A3">
        <w:t xml:space="preserve">Sustainable investment </w:t>
      </w:r>
      <w:r>
        <w:t xml:space="preserve">considers the optimisation of environmental, </w:t>
      </w:r>
      <w:proofErr w:type="gramStart"/>
      <w:r>
        <w:t>social</w:t>
      </w:r>
      <w:proofErr w:type="gramEnd"/>
      <w:r>
        <w:t xml:space="preserve"> and economic outcomes (as depicted in </w:t>
      </w:r>
      <w:r w:rsidRPr="001C226A">
        <w:fldChar w:fldCharType="begin"/>
      </w:r>
      <w:r w:rsidRPr="00155FAD">
        <w:instrText xml:space="preserve"> REF _Ref68008500 \h </w:instrText>
      </w:r>
      <w:r>
        <w:instrText xml:space="preserve"> \* MERGEFORMAT </w:instrText>
      </w:r>
      <w:r w:rsidRPr="001C226A">
        <w:fldChar w:fldCharType="separate"/>
      </w:r>
      <w:r w:rsidR="00FC7DAA">
        <w:t xml:space="preserve">Figure </w:t>
      </w:r>
      <w:r w:rsidR="00FC7DAA">
        <w:rPr>
          <w:noProof/>
        </w:rPr>
        <w:t>1</w:t>
      </w:r>
      <w:r w:rsidRPr="001C226A">
        <w:fldChar w:fldCharType="end"/>
      </w:r>
      <w:r w:rsidRPr="00155FAD">
        <w:t>) through</w:t>
      </w:r>
      <w:r>
        <w:t>out an asset’s lifecycle. It focuses on the quality of an asset’s design and service provision now and into the future to ensure that the use of resources is optimised,</w:t>
      </w:r>
      <w:r w:rsidRPr="00AB68A3">
        <w:t xml:space="preserve"> </w:t>
      </w:r>
      <w:r>
        <w:t xml:space="preserve">waste is minimised or avoided, </w:t>
      </w:r>
      <w:r w:rsidRPr="00AB68A3">
        <w:t xml:space="preserve">and that each dollar invested </w:t>
      </w:r>
      <w:r>
        <w:t>optimises the achievement of these outcomes over an asset’s life.</w:t>
      </w:r>
    </w:p>
    <w:p w14:paraId="64BD0A50" w14:textId="06B23DC4" w:rsidR="00E14717" w:rsidRPr="00D7239D" w:rsidRDefault="00434FBE" w:rsidP="00D7239D">
      <w:pPr>
        <w:pStyle w:val="Caption"/>
      </w:pPr>
      <w:bookmarkStart w:id="36" w:name="_Ref68008500"/>
      <w:bookmarkStart w:id="37" w:name="_Toc75422239"/>
      <w:bookmarkStart w:id="38" w:name="_Toc117258717"/>
      <w:r>
        <w:t xml:space="preserve">Figure </w:t>
      </w:r>
      <w:r>
        <w:fldChar w:fldCharType="begin"/>
      </w:r>
      <w:r>
        <w:instrText>SEQ Figure \* ARABIC</w:instrText>
      </w:r>
      <w:r>
        <w:fldChar w:fldCharType="separate"/>
      </w:r>
      <w:r w:rsidR="00FC7DAA">
        <w:rPr>
          <w:noProof/>
        </w:rPr>
        <w:t>1</w:t>
      </w:r>
      <w:r>
        <w:fldChar w:fldCharType="end"/>
      </w:r>
      <w:bookmarkEnd w:id="36"/>
      <w:r>
        <w:t xml:space="preserve"> – </w:t>
      </w:r>
      <w:r w:rsidR="00E14717" w:rsidRPr="00D7239D">
        <w:t>Sustainable investment outcomes</w:t>
      </w:r>
      <w:bookmarkEnd w:id="37"/>
      <w:bookmarkEnd w:id="38"/>
    </w:p>
    <w:p w14:paraId="7242FB2D" w14:textId="197273D9" w:rsidR="00E14717" w:rsidRDefault="00E14717" w:rsidP="00E14717">
      <w:r>
        <w:rPr>
          <w:noProof/>
        </w:rPr>
        <w:drawing>
          <wp:inline distT="0" distB="0" distL="0" distR="0" wp14:anchorId="0B8404CF" wp14:editId="28CFFC7A">
            <wp:extent cx="4097024" cy="3779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097024" cy="3779992"/>
                    </a:xfrm>
                    <a:prstGeom prst="rect">
                      <a:avLst/>
                    </a:prstGeom>
                  </pic:spPr>
                </pic:pic>
              </a:graphicData>
            </a:graphic>
          </wp:inline>
        </w:drawing>
      </w:r>
    </w:p>
    <w:p w14:paraId="00605C84" w14:textId="77777777" w:rsidR="00E14717" w:rsidRPr="00AA0AA9" w:rsidRDefault="00E14717" w:rsidP="00E14717">
      <w:r w:rsidRPr="005936EF">
        <w:rPr>
          <w:bCs/>
        </w:rPr>
        <w:lastRenderedPageBreak/>
        <w:t xml:space="preserve">By ensuring that an investment maximises </w:t>
      </w:r>
      <w:r>
        <w:rPr>
          <w:bCs/>
        </w:rPr>
        <w:t xml:space="preserve">the potential </w:t>
      </w:r>
      <w:r w:rsidRPr="005936EF">
        <w:rPr>
          <w:bCs/>
        </w:rPr>
        <w:t xml:space="preserve">sustainable outcomes, decision makers </w:t>
      </w:r>
      <w:r>
        <w:rPr>
          <w:bCs/>
        </w:rPr>
        <w:t>need to consider the optimisation of the following outcomes now and into the future</w:t>
      </w:r>
      <w:r w:rsidRPr="00AA0AA9">
        <w:t xml:space="preserve">: </w:t>
      </w:r>
    </w:p>
    <w:p w14:paraId="0BC9DA18" w14:textId="239BC8FD" w:rsidR="00E14717" w:rsidRPr="00AA0AA9" w:rsidRDefault="00E14717" w:rsidP="00E14717">
      <w:pPr>
        <w:pStyle w:val="Bullet1"/>
        <w:rPr>
          <w:b/>
        </w:rPr>
      </w:pPr>
      <w:r w:rsidRPr="00AA0AA9">
        <w:rPr>
          <w:b/>
        </w:rPr>
        <w:t>Economic</w:t>
      </w:r>
      <w:r w:rsidRPr="009F6668">
        <w:rPr>
          <w:b/>
        </w:rPr>
        <w:t xml:space="preserve"> </w:t>
      </w:r>
      <w:r>
        <w:rPr>
          <w:b/>
        </w:rPr>
        <w:t xml:space="preserve">– </w:t>
      </w:r>
      <w:r>
        <w:t xml:space="preserve">supporting equitable economic access and development opportunities, minimising use of inputs and creation of waste with </w:t>
      </w:r>
      <w:r w:rsidRPr="00E14717">
        <w:t>consideration</w:t>
      </w:r>
      <w:r>
        <w:t xml:space="preserve"> for whole of life costs as well as increased economic activity </w:t>
      </w:r>
    </w:p>
    <w:p w14:paraId="59C08FA7" w14:textId="1008B229" w:rsidR="00E14717" w:rsidRPr="00AA0AA9" w:rsidRDefault="00E14717" w:rsidP="00E14717">
      <w:pPr>
        <w:pStyle w:val="Bullet1"/>
        <w:rPr>
          <w:b/>
        </w:rPr>
      </w:pPr>
      <w:r w:rsidRPr="00AA0AA9">
        <w:rPr>
          <w:b/>
        </w:rPr>
        <w:t xml:space="preserve">Social </w:t>
      </w:r>
      <w:r>
        <w:rPr>
          <w:b/>
        </w:rPr>
        <w:t xml:space="preserve">– </w:t>
      </w:r>
      <w:r w:rsidRPr="00AA0AA9">
        <w:t>improving</w:t>
      </w:r>
      <w:r>
        <w:t xml:space="preserve"> the Victorian </w:t>
      </w:r>
      <w:r w:rsidRPr="00EE2A76">
        <w:t>community’s</w:t>
      </w:r>
      <w:r>
        <w:t xml:space="preserve"> wellbeing and longevity, through equitable </w:t>
      </w:r>
      <w:r w:rsidRPr="009F4C5C">
        <w:t>access to social services and adequate infrastructure (</w:t>
      </w:r>
      <w:proofErr w:type="gramStart"/>
      <w:r>
        <w:t>e.g.</w:t>
      </w:r>
      <w:proofErr w:type="gramEnd"/>
      <w:r w:rsidRPr="009F4C5C">
        <w:t xml:space="preserve"> public space, schools</w:t>
      </w:r>
      <w:r>
        <w:t>, hospitals</w:t>
      </w:r>
      <w:r w:rsidRPr="009F4C5C">
        <w:t>)</w:t>
      </w:r>
      <w:r>
        <w:t xml:space="preserve">, </w:t>
      </w:r>
      <w:r w:rsidRPr="009F4C5C">
        <w:t xml:space="preserve">voice and </w:t>
      </w:r>
      <w:r w:rsidRPr="00E14717">
        <w:t>influence</w:t>
      </w:r>
      <w:r w:rsidRPr="009F4C5C">
        <w:t xml:space="preserve"> (</w:t>
      </w:r>
      <w:r>
        <w:t>e.g.</w:t>
      </w:r>
      <w:r w:rsidRPr="009F4C5C">
        <w:t xml:space="preserve"> power to </w:t>
      </w:r>
      <w:r w:rsidR="00965764">
        <w:t>e</w:t>
      </w:r>
      <w:r w:rsidR="00965764" w:rsidRPr="009F4C5C">
        <w:t xml:space="preserve">ffect </w:t>
      </w:r>
      <w:r w:rsidRPr="009F4C5C">
        <w:t>change)</w:t>
      </w:r>
      <w:r>
        <w:t xml:space="preserve"> and</w:t>
      </w:r>
      <w:r w:rsidRPr="009F4C5C">
        <w:t xml:space="preserve"> social and cultural life (e.</w:t>
      </w:r>
      <w:r>
        <w:t>g.</w:t>
      </w:r>
      <w:r w:rsidRPr="009F4C5C">
        <w:t xml:space="preserve"> sense of identity and belonging)</w:t>
      </w:r>
    </w:p>
    <w:p w14:paraId="4B53E614" w14:textId="77777777" w:rsidR="00E14717" w:rsidRDefault="00E14717" w:rsidP="00E14717">
      <w:pPr>
        <w:pStyle w:val="Bullet1"/>
      </w:pPr>
      <w:r w:rsidRPr="00AA0AA9">
        <w:rPr>
          <w:b/>
        </w:rPr>
        <w:t>Environmental</w:t>
      </w:r>
      <w:r>
        <w:rPr>
          <w:b/>
        </w:rPr>
        <w:t xml:space="preserve"> </w:t>
      </w:r>
      <w:r w:rsidRPr="00AA0AA9">
        <w:t>–</w:t>
      </w:r>
      <w:r>
        <w:t xml:space="preserve"> </w:t>
      </w:r>
      <w:r w:rsidRPr="00AA0AA9">
        <w:t xml:space="preserve">conserving and </w:t>
      </w:r>
      <w:r>
        <w:t>improving</w:t>
      </w:r>
      <w:r w:rsidRPr="00AA0AA9">
        <w:t xml:space="preserve"> natural ecosystems and resources</w:t>
      </w:r>
      <w:r>
        <w:t xml:space="preserve"> </w:t>
      </w:r>
      <w:proofErr w:type="gramStart"/>
      <w:r>
        <w:t>e.g.</w:t>
      </w:r>
      <w:proofErr w:type="gramEnd"/>
      <w:r>
        <w:t xml:space="preserve"> </w:t>
      </w:r>
      <w:r w:rsidRPr="00BA708B">
        <w:t>greening of public areas</w:t>
      </w:r>
      <w:r>
        <w:t>,</w:t>
      </w:r>
      <w:r w:rsidRPr="00BA708B">
        <w:t xml:space="preserve"> flood, fire or storm mitigation</w:t>
      </w:r>
      <w:r>
        <w:t>,</w:t>
      </w:r>
      <w:r w:rsidRPr="00BA708B">
        <w:t xml:space="preserve"> water sensitive urban design</w:t>
      </w:r>
      <w:r>
        <w:t>,</w:t>
      </w:r>
      <w:r w:rsidRPr="00BA708B">
        <w:t xml:space="preserve"> increased resource efficiency and waste minimisation</w:t>
      </w:r>
      <w:r>
        <w:t>,</w:t>
      </w:r>
      <w:r w:rsidRPr="00BA708B">
        <w:t xml:space="preserve"> increased open space</w:t>
      </w:r>
      <w:r>
        <w:t>,</w:t>
      </w:r>
      <w:r w:rsidRPr="00BA708B">
        <w:t xml:space="preserve"> climate change adaptation</w:t>
      </w:r>
      <w:r>
        <w:t xml:space="preserve"> and</w:t>
      </w:r>
      <w:r w:rsidRPr="00BA708B">
        <w:t xml:space="preserve"> decreased emissions</w:t>
      </w:r>
      <w:r>
        <w:t xml:space="preserve">. </w:t>
      </w:r>
    </w:p>
    <w:p w14:paraId="584976B5" w14:textId="77777777" w:rsidR="00E14717" w:rsidRPr="00AA0AA9" w:rsidRDefault="00E14717" w:rsidP="00E14717">
      <w:pPr>
        <w:spacing w:before="240"/>
      </w:pPr>
      <w:r>
        <w:rPr>
          <w:bCs/>
        </w:rPr>
        <w:t xml:space="preserve">The </w:t>
      </w:r>
      <w:r w:rsidRPr="00AA0AA9">
        <w:t>following guiding principles</w:t>
      </w:r>
      <w:r>
        <w:rPr>
          <w:bCs/>
        </w:rPr>
        <w:t xml:space="preserve"> should be considered (</w:t>
      </w:r>
      <w:r w:rsidRPr="00AA0AA9">
        <w:t>as endorsed by the Council of Australian Government</w:t>
      </w:r>
      <w:r>
        <w:t>s)</w:t>
      </w:r>
      <w:r w:rsidRPr="00AA0AA9">
        <w:t xml:space="preserve">: </w:t>
      </w:r>
    </w:p>
    <w:p w14:paraId="155BF09F" w14:textId="0E277618" w:rsidR="00E14717" w:rsidRPr="00E14717" w:rsidRDefault="00486CDF" w:rsidP="00E14717">
      <w:pPr>
        <w:pStyle w:val="Bullet1"/>
      </w:pPr>
      <w:r>
        <w:t>d</w:t>
      </w:r>
      <w:r w:rsidRPr="00AA0AA9">
        <w:t>ecision</w:t>
      </w:r>
      <w:r>
        <w:t>-</w:t>
      </w:r>
      <w:r w:rsidR="00E14717" w:rsidRPr="00AA0AA9">
        <w:t>making processes should effectively integrate both long and short</w:t>
      </w:r>
      <w:r w:rsidR="00601819">
        <w:noBreakHyphen/>
      </w:r>
      <w:r w:rsidR="00E14717" w:rsidRPr="00AA0AA9">
        <w:t xml:space="preserve">term economic, </w:t>
      </w:r>
      <w:r w:rsidR="00E14717" w:rsidRPr="00E14717">
        <w:t>environmental, social, and equity considerations</w:t>
      </w:r>
    </w:p>
    <w:p w14:paraId="032AC8B3" w14:textId="7C016A99" w:rsidR="00E14717" w:rsidRPr="00E14717" w:rsidRDefault="00E14717" w:rsidP="00E14717">
      <w:pPr>
        <w:pStyle w:val="Bullet1"/>
      </w:pPr>
      <w:r w:rsidRPr="00E14717">
        <w:t>where there are threats of serious or irreversible environmental damage, lack of full scientific certainty should not be used as a reason for postponing measures to prevent environmental degradation</w:t>
      </w:r>
    </w:p>
    <w:p w14:paraId="1B6232B4" w14:textId="0BB646DD" w:rsidR="00E14717" w:rsidRPr="00E14717" w:rsidRDefault="00E14717" w:rsidP="00E14717">
      <w:pPr>
        <w:pStyle w:val="Bullet1"/>
      </w:pPr>
      <w:r w:rsidRPr="00E14717">
        <w:t>the global dimension of environmental impacts of actions and policies should be recognised and considered</w:t>
      </w:r>
    </w:p>
    <w:p w14:paraId="213FD54C" w14:textId="44D40EE0" w:rsidR="00E14717" w:rsidRPr="00E14717" w:rsidRDefault="00E14717" w:rsidP="00E14717">
      <w:pPr>
        <w:pStyle w:val="Bullet1"/>
      </w:pPr>
      <w:r w:rsidRPr="00E14717">
        <w:t xml:space="preserve">the need to develop a strong, </w:t>
      </w:r>
      <w:proofErr w:type="gramStart"/>
      <w:r w:rsidRPr="00E14717">
        <w:t>growing</w:t>
      </w:r>
      <w:proofErr w:type="gramEnd"/>
      <w:r w:rsidRPr="00E14717">
        <w:t xml:space="preserve"> and diversified economy which can enhance the capacity for environmental protection should be recognised</w:t>
      </w:r>
    </w:p>
    <w:p w14:paraId="28E68E0A" w14:textId="781A9FDC" w:rsidR="00E14717" w:rsidRPr="00E14717" w:rsidRDefault="00E14717" w:rsidP="00E14717">
      <w:pPr>
        <w:pStyle w:val="Bullet1"/>
      </w:pPr>
      <w:r w:rsidRPr="00E14717">
        <w:t>the need to maintain and enhance international competitiveness in an environmentally sound manner should be recognised</w:t>
      </w:r>
    </w:p>
    <w:p w14:paraId="2FE3EFC6" w14:textId="2002EE9B" w:rsidR="00E14717" w:rsidRPr="00E14717" w:rsidRDefault="00E14717" w:rsidP="00E14717">
      <w:pPr>
        <w:pStyle w:val="Bullet1"/>
      </w:pPr>
      <w:r w:rsidRPr="00E14717">
        <w:t xml:space="preserve">cost effective and flexible policy instruments should be adopted, such as improved valuation, </w:t>
      </w:r>
      <w:proofErr w:type="gramStart"/>
      <w:r w:rsidRPr="00E14717">
        <w:t>pricing</w:t>
      </w:r>
      <w:proofErr w:type="gramEnd"/>
      <w:r w:rsidRPr="00E14717">
        <w:t xml:space="preserve"> and incentive mechanisms</w:t>
      </w:r>
    </w:p>
    <w:p w14:paraId="5672461C" w14:textId="11FACFDD" w:rsidR="00E14717" w:rsidRDefault="00E14717" w:rsidP="00E14717">
      <w:pPr>
        <w:pStyle w:val="Bullet1"/>
      </w:pPr>
      <w:r w:rsidRPr="00E14717">
        <w:t>decisions and actions</w:t>
      </w:r>
      <w:r w:rsidRPr="00AA0AA9">
        <w:t xml:space="preserve"> should provide for broad community involvement on issues which affect them.</w:t>
      </w:r>
    </w:p>
    <w:p w14:paraId="498C2BAD" w14:textId="762A35BE" w:rsidR="00E14717" w:rsidRDefault="00E14717" w:rsidP="00E14717"/>
    <w:p w14:paraId="1C6714CD" w14:textId="6C50E87F" w:rsidR="00E14717" w:rsidRPr="00E14717" w:rsidRDefault="00E14717" w:rsidP="009D3A3F">
      <w:pPr>
        <w:pStyle w:val="Breakoutheading"/>
      </w:pPr>
      <w:bookmarkStart w:id="39" w:name="_Toc75427321"/>
      <w:r w:rsidRPr="00E14717">
        <w:t xml:space="preserve">Case study </w:t>
      </w:r>
      <w:r>
        <w:fldChar w:fldCharType="begin"/>
      </w:r>
      <w:r>
        <w:instrText>SEQ Case_study \* ARABIC</w:instrText>
      </w:r>
      <w:r>
        <w:fldChar w:fldCharType="separate"/>
      </w:r>
      <w:r w:rsidR="00FC7DAA">
        <w:rPr>
          <w:noProof/>
        </w:rPr>
        <w:t>1</w:t>
      </w:r>
      <w:r>
        <w:fldChar w:fldCharType="end"/>
      </w:r>
      <w:r w:rsidRPr="00E14717">
        <w:t xml:space="preserve"> </w:t>
      </w:r>
      <w:r>
        <w:t>–</w:t>
      </w:r>
      <w:r w:rsidRPr="00E14717">
        <w:t xml:space="preserve"> Victorian Health and Human </w:t>
      </w:r>
      <w:r w:rsidRPr="009D3A3F">
        <w:t>Services</w:t>
      </w:r>
      <w:r w:rsidRPr="00E14717">
        <w:t xml:space="preserve"> Building Authority, Guidance for Sustainability in Capital Works</w:t>
      </w:r>
      <w:bookmarkEnd w:id="39"/>
    </w:p>
    <w:p w14:paraId="3995C17B" w14:textId="7843DB92" w:rsidR="00E14717" w:rsidRPr="009D3A3F" w:rsidRDefault="00E14717" w:rsidP="009D3A3F">
      <w:pPr>
        <w:pStyle w:val="Breakouttext"/>
      </w:pPr>
      <w:r w:rsidRPr="009D3A3F">
        <w:t xml:space="preserve">The Victorian Health and Human Services Building Authority launched </w:t>
      </w:r>
      <w:r w:rsidR="005C6357">
        <w:t>its</w:t>
      </w:r>
      <w:r w:rsidR="005C6357" w:rsidRPr="009D3A3F">
        <w:t xml:space="preserve"> </w:t>
      </w:r>
      <w:hyperlink r:id="rId30" w:history="1">
        <w:r w:rsidRPr="009D3A3F">
          <w:rPr>
            <w:b/>
            <w:bCs/>
          </w:rPr>
          <w:t>Guidance for Sustainability in Capital Works</w:t>
        </w:r>
      </w:hyperlink>
      <w:r w:rsidRPr="009D3A3F">
        <w:t xml:space="preserve"> in May 2020. The guidelines provide advice and information on how to build sustainable and resilient buildings. They are relevant to all stakeholders involved in the design, construction and refurbishment of healthcare facilities and are applicable to all healthcare capital works delivered by the Victorian Health and Human Services Building Authority. This includes new builds, retrofits, and refurbishments.</w:t>
      </w:r>
    </w:p>
    <w:p w14:paraId="412C70B0" w14:textId="4414210A" w:rsidR="00E14717" w:rsidRPr="009D3A3F" w:rsidRDefault="00E14717" w:rsidP="009D3A3F">
      <w:pPr>
        <w:pStyle w:val="Breakouttext"/>
      </w:pPr>
      <w:r w:rsidRPr="009D3A3F">
        <w:lastRenderedPageBreak/>
        <w:t xml:space="preserve">All capital projects delivered by public hospitals and health services must meet the </w:t>
      </w:r>
      <w:proofErr w:type="gramStart"/>
      <w:r w:rsidRPr="009D3A3F">
        <w:t>business as usual</w:t>
      </w:r>
      <w:proofErr w:type="gramEnd"/>
      <w:r w:rsidRPr="009D3A3F">
        <w:t xml:space="preserve"> requirements outlined in the guidelines. Public hospitals and health services that fund and deliver projects directly are encouraged to apply a</w:t>
      </w:r>
      <w:r w:rsidRPr="009D3A3F">
        <w:rPr>
          <w:b/>
          <w:bCs/>
        </w:rPr>
        <w:t xml:space="preserve"> 2.5</w:t>
      </w:r>
      <w:r w:rsidRPr="009D3A3F">
        <w:rPr>
          <w:rFonts w:ascii="Calibri" w:hAnsi="Calibri" w:cs="Calibri"/>
          <w:b/>
          <w:bCs/>
        </w:rPr>
        <w:t> </w:t>
      </w:r>
      <w:r w:rsidRPr="009D3A3F">
        <w:rPr>
          <w:b/>
          <w:bCs/>
        </w:rPr>
        <w:t xml:space="preserve">per cent sustainability allowance </w:t>
      </w:r>
      <w:r w:rsidRPr="009D3A3F">
        <w:t xml:space="preserve">for items above the </w:t>
      </w:r>
      <w:proofErr w:type="gramStart"/>
      <w:r w:rsidRPr="009D3A3F">
        <w:t>business as usual</w:t>
      </w:r>
      <w:proofErr w:type="gramEnd"/>
      <w:r w:rsidRPr="009D3A3F">
        <w:t xml:space="preserve"> requirements.</w:t>
      </w:r>
    </w:p>
    <w:p w14:paraId="60EBE415" w14:textId="77777777" w:rsidR="00E14717" w:rsidRPr="009D3A3F" w:rsidRDefault="00E14717" w:rsidP="009D3A3F">
      <w:pPr>
        <w:pStyle w:val="Breakouttext"/>
      </w:pPr>
      <w:r w:rsidRPr="009D3A3F">
        <w:t>The guidelines have been developed specifically for Victorian public healthcare capital works but may be applicable to other public and private healthcare capital works across Australia.</w:t>
      </w:r>
    </w:p>
    <w:p w14:paraId="4C5CB189" w14:textId="29CB4D55" w:rsidR="00E14717" w:rsidRDefault="00E14717" w:rsidP="009D3A3F">
      <w:pPr>
        <w:pStyle w:val="Spacer"/>
      </w:pPr>
    </w:p>
    <w:p w14:paraId="0024095D" w14:textId="48247386" w:rsidR="00E14717" w:rsidRDefault="00E14717" w:rsidP="00E14717">
      <w:pPr>
        <w:pStyle w:val="Heading2numbered"/>
      </w:pPr>
      <w:bookmarkStart w:id="40" w:name="_Toc46848579"/>
      <w:bookmarkStart w:id="41" w:name="_Ref68676534"/>
      <w:bookmarkStart w:id="42" w:name="_Toc68769270"/>
      <w:bookmarkStart w:id="43" w:name="_Toc117258698"/>
      <w:r>
        <w:t xml:space="preserve">United Nations Sustainable Development Goals and Victorian </w:t>
      </w:r>
      <w:r w:rsidRPr="00E71E35">
        <w:t xml:space="preserve">Sustainable Investment </w:t>
      </w:r>
      <w:r w:rsidR="00F00708" w:rsidRPr="00E71E35">
        <w:t>themes</w:t>
      </w:r>
      <w:bookmarkEnd w:id="40"/>
      <w:bookmarkEnd w:id="41"/>
      <w:bookmarkEnd w:id="42"/>
      <w:bookmarkEnd w:id="43"/>
    </w:p>
    <w:p w14:paraId="0187EDF6" w14:textId="77777777" w:rsidR="00E14717" w:rsidRPr="00795E92" w:rsidRDefault="00E14717" w:rsidP="00E14717">
      <w:pPr>
        <w:rPr>
          <w:lang w:eastAsia="en-US"/>
        </w:rPr>
      </w:pPr>
      <w:r>
        <w:rPr>
          <w:lang w:eastAsia="en-US"/>
        </w:rPr>
        <w:t xml:space="preserve">The United Nations Sustainable Development Goals (UNSDGs) were adopted by all member states of the United Nations in 2015. They were developed to provide an integrated framework, that balances the needs of </w:t>
      </w:r>
      <w:r w:rsidRPr="002E7713">
        <w:rPr>
          <w:lang w:eastAsia="en-US"/>
        </w:rPr>
        <w:t xml:space="preserve">environmental, </w:t>
      </w:r>
      <w:proofErr w:type="gramStart"/>
      <w:r w:rsidRPr="002E7713">
        <w:rPr>
          <w:lang w:eastAsia="en-US"/>
        </w:rPr>
        <w:t>social</w:t>
      </w:r>
      <w:proofErr w:type="gramEnd"/>
      <w:r w:rsidRPr="002E7713">
        <w:rPr>
          <w:lang w:eastAsia="en-US"/>
        </w:rPr>
        <w:t xml:space="preserve"> and economic </w:t>
      </w:r>
      <w:r>
        <w:rPr>
          <w:lang w:eastAsia="en-US"/>
        </w:rPr>
        <w:t>priorities to achieve sustainable development.</w:t>
      </w:r>
      <w:r w:rsidRPr="00795E92">
        <w:rPr>
          <w:lang w:eastAsia="en-US"/>
        </w:rPr>
        <w:t xml:space="preserve"> </w:t>
      </w:r>
    </w:p>
    <w:p w14:paraId="601F12C7" w14:textId="3EEF2202" w:rsidR="005A3777" w:rsidRDefault="00601819" w:rsidP="00601819">
      <w:pPr>
        <w:pStyle w:val="Caption"/>
      </w:pPr>
      <w:bookmarkStart w:id="44" w:name="_Toc117258718"/>
      <w:r>
        <w:t xml:space="preserve">Figure </w:t>
      </w:r>
      <w:r>
        <w:fldChar w:fldCharType="begin"/>
      </w:r>
      <w:r>
        <w:instrText>SEQ Figure \* ARABIC</w:instrText>
      </w:r>
      <w:r>
        <w:fldChar w:fldCharType="separate"/>
      </w:r>
      <w:r w:rsidR="00FC7DAA">
        <w:rPr>
          <w:noProof/>
        </w:rPr>
        <w:t>2</w:t>
      </w:r>
      <w:r>
        <w:fldChar w:fldCharType="end"/>
      </w:r>
      <w:r w:rsidR="00F00708">
        <w:t xml:space="preserve"> – </w:t>
      </w:r>
      <w:r w:rsidR="005A3777" w:rsidRPr="00DF7D56">
        <w:t>The United Nations sustainable development goals</w:t>
      </w:r>
      <w:bookmarkEnd w:id="44"/>
    </w:p>
    <w:p w14:paraId="77626FA5" w14:textId="11666E16" w:rsidR="00E14717" w:rsidRDefault="005A3777" w:rsidP="00E14717">
      <w:r>
        <w:rPr>
          <w:noProof/>
        </w:rPr>
        <w:drawing>
          <wp:inline distT="0" distB="0" distL="0" distR="0" wp14:anchorId="76DCEFDB" wp14:editId="54594D6C">
            <wp:extent cx="4750422" cy="2998216"/>
            <wp:effectExtent l="0" t="0" r="0" b="0"/>
            <wp:docPr id="30" name="Picture 30" descr="A picture containing white, many,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4750422" cy="2998216"/>
                    </a:xfrm>
                    <a:prstGeom prst="rect">
                      <a:avLst/>
                    </a:prstGeom>
                  </pic:spPr>
                </pic:pic>
              </a:graphicData>
            </a:graphic>
          </wp:inline>
        </w:drawing>
      </w:r>
    </w:p>
    <w:p w14:paraId="2199EC7B" w14:textId="400AEC52" w:rsidR="005A3777" w:rsidRDefault="005A3777" w:rsidP="00E14717">
      <w:r w:rsidRPr="004C27D8">
        <w:rPr>
          <w:lang w:eastAsia="en-US"/>
        </w:rPr>
        <w:t xml:space="preserve">The UNSDGs </w:t>
      </w:r>
      <w:r>
        <w:rPr>
          <w:lang w:eastAsia="en-US"/>
        </w:rPr>
        <w:t>have been used to</w:t>
      </w:r>
      <w:r w:rsidDel="00FB5B53">
        <w:rPr>
          <w:lang w:eastAsia="en-US"/>
        </w:rPr>
        <w:t xml:space="preserve"> </w:t>
      </w:r>
      <w:r>
        <w:rPr>
          <w:lang w:eastAsia="en-US"/>
        </w:rPr>
        <w:t xml:space="preserve">establish the eight Victorian Sustainable Investment </w:t>
      </w:r>
      <w:r w:rsidR="00F00708">
        <w:rPr>
          <w:lang w:eastAsia="en-US"/>
        </w:rPr>
        <w:t xml:space="preserve">themes </w:t>
      </w:r>
      <w:r>
        <w:rPr>
          <w:lang w:eastAsia="en-US"/>
        </w:rPr>
        <w:t>(SITs) that are relevant to the DTF Investment Lifecycle.</w:t>
      </w:r>
      <w:r w:rsidRPr="004C27D8">
        <w:rPr>
          <w:lang w:eastAsia="en-US"/>
        </w:rPr>
        <w:t xml:space="preserve"> The UNSDGs provide a way to understand and </w:t>
      </w:r>
      <w:r>
        <w:rPr>
          <w:lang w:eastAsia="en-US"/>
        </w:rPr>
        <w:t xml:space="preserve">prioritise sustainable </w:t>
      </w:r>
      <w:r w:rsidRPr="004C27D8" w:rsidDel="00045249">
        <w:rPr>
          <w:lang w:eastAsia="en-US"/>
        </w:rPr>
        <w:t>investment</w:t>
      </w:r>
      <w:r>
        <w:rPr>
          <w:lang w:eastAsia="en-US"/>
        </w:rPr>
        <w:t xml:space="preserve"> options</w:t>
      </w:r>
      <w:r w:rsidRPr="004C27D8">
        <w:rPr>
          <w:lang w:eastAsia="en-US"/>
        </w:rPr>
        <w:t xml:space="preserve">, and a way to </w:t>
      </w:r>
      <w:r>
        <w:t>aid decision making and assessments to achieve improved sustainable investment outcomes.</w:t>
      </w:r>
    </w:p>
    <w:p w14:paraId="15C7D454" w14:textId="564171D4" w:rsidR="005A3777" w:rsidRDefault="005A3777" w:rsidP="00E14717">
      <w:r>
        <w:t>The table below outlines the eight SITs, which are intended to be a guide to support the development of sustainable investment options.</w:t>
      </w:r>
    </w:p>
    <w:p w14:paraId="27B8B7EB" w14:textId="7D95D803" w:rsidR="005A3777" w:rsidRDefault="005A3777" w:rsidP="005A3777">
      <w:pPr>
        <w:pStyle w:val="Caption"/>
      </w:pPr>
      <w:bookmarkStart w:id="45" w:name="_Toc117258724"/>
      <w:r>
        <w:lastRenderedPageBreak/>
        <w:t xml:space="preserve">Table </w:t>
      </w:r>
      <w:r>
        <w:fldChar w:fldCharType="begin"/>
      </w:r>
      <w:r>
        <w:instrText>SEQ Table \* ARABIC</w:instrText>
      </w:r>
      <w:r>
        <w:fldChar w:fldCharType="separate"/>
      </w:r>
      <w:r w:rsidR="00FC7DAA">
        <w:rPr>
          <w:noProof/>
        </w:rPr>
        <w:t>3</w:t>
      </w:r>
      <w:r>
        <w:fldChar w:fldCharType="end"/>
      </w:r>
      <w:r>
        <w:t xml:space="preserve"> – Victorian </w:t>
      </w:r>
      <w:r w:rsidRPr="00B27E04">
        <w:t>Sustainable Investment themes</w:t>
      </w:r>
      <w:bookmarkEnd w:id="45"/>
    </w:p>
    <w:tbl>
      <w:tblPr>
        <w:tblStyle w:val="Texttable"/>
        <w:tblW w:w="9180" w:type="dxa"/>
        <w:tblLook w:val="0620" w:firstRow="1" w:lastRow="0" w:firstColumn="0" w:lastColumn="0" w:noHBand="1" w:noVBand="1"/>
      </w:tblPr>
      <w:tblGrid>
        <w:gridCol w:w="835"/>
        <w:gridCol w:w="1685"/>
        <w:gridCol w:w="4320"/>
        <w:gridCol w:w="2340"/>
      </w:tblGrid>
      <w:tr w:rsidR="005A3777" w:rsidRPr="005A3777" w14:paraId="781E1452" w14:textId="77777777" w:rsidTr="080D59E9">
        <w:trPr>
          <w:cnfStyle w:val="100000000000" w:firstRow="1" w:lastRow="0" w:firstColumn="0" w:lastColumn="0" w:oddVBand="0" w:evenVBand="0" w:oddHBand="0" w:evenHBand="0" w:firstRowFirstColumn="0" w:firstRowLastColumn="0" w:lastRowFirstColumn="0" w:lastRowLastColumn="0"/>
        </w:trPr>
        <w:tc>
          <w:tcPr>
            <w:tcW w:w="835" w:type="dxa"/>
            <w:hideMark/>
          </w:tcPr>
          <w:p w14:paraId="7B8C7CA2" w14:textId="77777777" w:rsidR="005A3777" w:rsidRPr="005A3777" w:rsidRDefault="005A3777" w:rsidP="005A3777">
            <w:pPr>
              <w:pStyle w:val="Tableheader"/>
            </w:pPr>
          </w:p>
        </w:tc>
        <w:tc>
          <w:tcPr>
            <w:tcW w:w="1685" w:type="dxa"/>
            <w:hideMark/>
          </w:tcPr>
          <w:p w14:paraId="57964710" w14:textId="77777777" w:rsidR="005A3777" w:rsidRPr="005A3777" w:rsidRDefault="005A3777" w:rsidP="005A3777">
            <w:pPr>
              <w:pStyle w:val="Tableheader"/>
            </w:pPr>
            <w:r w:rsidRPr="005A3777">
              <w:t>Theme</w:t>
            </w:r>
          </w:p>
        </w:tc>
        <w:tc>
          <w:tcPr>
            <w:tcW w:w="4320" w:type="dxa"/>
            <w:hideMark/>
          </w:tcPr>
          <w:p w14:paraId="3B312687" w14:textId="77777777" w:rsidR="005A3777" w:rsidRPr="005A3777" w:rsidRDefault="005A3777" w:rsidP="005A3777">
            <w:pPr>
              <w:pStyle w:val="Tableheader"/>
            </w:pPr>
            <w:r w:rsidRPr="005A3777">
              <w:t>Objective</w:t>
            </w:r>
          </w:p>
        </w:tc>
        <w:tc>
          <w:tcPr>
            <w:tcW w:w="2340" w:type="dxa"/>
          </w:tcPr>
          <w:p w14:paraId="679FCA3A" w14:textId="77777777" w:rsidR="005A3777" w:rsidRPr="005A3777" w:rsidRDefault="005A3777" w:rsidP="005A3777">
            <w:pPr>
              <w:pStyle w:val="Tableheader"/>
            </w:pPr>
            <w:r w:rsidRPr="005A3777">
              <w:t>Relevant UNSDG</w:t>
            </w:r>
          </w:p>
        </w:tc>
      </w:tr>
      <w:tr w:rsidR="005A3777" w:rsidRPr="005B12C5" w14:paraId="5CEC4C3E" w14:textId="77777777" w:rsidTr="080D59E9">
        <w:trPr>
          <w:cantSplit w:val="0"/>
        </w:trPr>
        <w:tc>
          <w:tcPr>
            <w:tcW w:w="835" w:type="dxa"/>
            <w:hideMark/>
          </w:tcPr>
          <w:p w14:paraId="34FE744B" w14:textId="77777777" w:rsidR="005A3777" w:rsidRPr="005B12C5" w:rsidRDefault="005A3777" w:rsidP="00234360">
            <w:r>
              <w:rPr>
                <w:noProof/>
              </w:rPr>
              <w:drawing>
                <wp:inline distT="0" distB="0" distL="0" distR="0" wp14:anchorId="4595C95C" wp14:editId="66FDADDC">
                  <wp:extent cx="309489" cy="29890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2">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309489" cy="298908"/>
                          </a:xfrm>
                          <a:prstGeom prst="rect">
                            <a:avLst/>
                          </a:prstGeom>
                        </pic:spPr>
                      </pic:pic>
                    </a:graphicData>
                  </a:graphic>
                </wp:inline>
              </w:drawing>
            </w:r>
          </w:p>
        </w:tc>
        <w:tc>
          <w:tcPr>
            <w:tcW w:w="1685" w:type="dxa"/>
            <w:hideMark/>
          </w:tcPr>
          <w:p w14:paraId="20C0274E" w14:textId="77777777" w:rsidR="005A3777" w:rsidRPr="00BE0021" w:rsidRDefault="005A3777" w:rsidP="005A3777">
            <w:pPr>
              <w:pStyle w:val="Tabletext"/>
            </w:pPr>
            <w:r w:rsidRPr="00BE0021">
              <w:t>Cultural heritage</w:t>
            </w:r>
          </w:p>
        </w:tc>
        <w:tc>
          <w:tcPr>
            <w:tcW w:w="4320" w:type="dxa"/>
            <w:hideMark/>
          </w:tcPr>
          <w:p w14:paraId="06B0AECF" w14:textId="77777777" w:rsidR="005A3777" w:rsidRPr="00AA0AA9" w:rsidRDefault="005A3777" w:rsidP="005A3777">
            <w:pPr>
              <w:pStyle w:val="Tabletext"/>
            </w:pPr>
            <w:r w:rsidRPr="00AA0AA9">
              <w:t xml:space="preserve">To ensure that sites of significant heritage value are protected, </w:t>
            </w:r>
            <w:proofErr w:type="gramStart"/>
            <w:r w:rsidRPr="00AA0AA9">
              <w:t>promoted</w:t>
            </w:r>
            <w:proofErr w:type="gramEnd"/>
            <w:r w:rsidRPr="00AA0AA9">
              <w:t xml:space="preserve"> and respected during construction and operation. This includes Aboriginal heritage sites as well as other sites of cultural </w:t>
            </w:r>
            <w:r>
              <w:t xml:space="preserve">and historical </w:t>
            </w:r>
            <w:r w:rsidRPr="00AA0AA9">
              <w:t>heritage significance.</w:t>
            </w:r>
          </w:p>
        </w:tc>
        <w:tc>
          <w:tcPr>
            <w:tcW w:w="2340" w:type="dxa"/>
          </w:tcPr>
          <w:p w14:paraId="432EFC03" w14:textId="2FBFF0F7" w:rsidR="005A3777" w:rsidRDefault="005A3777" w:rsidP="005A3777">
            <w:pPr>
              <w:pStyle w:val="Tabletext"/>
            </w:pPr>
            <w:r>
              <w:t>9</w:t>
            </w:r>
            <w:r w:rsidR="00F00708">
              <w:t xml:space="preserve"> – </w:t>
            </w:r>
            <w:r>
              <w:t>Industry, innovation, and infrastructure</w:t>
            </w:r>
          </w:p>
          <w:p w14:paraId="7C86DD7F" w14:textId="23E337DF" w:rsidR="005A3777" w:rsidRPr="00AA0AA9" w:rsidRDefault="005A3777" w:rsidP="005A3777">
            <w:pPr>
              <w:pStyle w:val="Tabletext"/>
            </w:pPr>
            <w:r>
              <w:t>11</w:t>
            </w:r>
            <w:r w:rsidR="00F00708">
              <w:t xml:space="preserve"> – </w:t>
            </w:r>
            <w:r>
              <w:t>Sustainable cities and communities</w:t>
            </w:r>
          </w:p>
        </w:tc>
      </w:tr>
      <w:tr w:rsidR="005A3777" w:rsidRPr="005B12C5" w14:paraId="1D742E7B" w14:textId="77777777" w:rsidTr="080D59E9">
        <w:trPr>
          <w:cantSplit w:val="0"/>
        </w:trPr>
        <w:tc>
          <w:tcPr>
            <w:tcW w:w="835" w:type="dxa"/>
            <w:hideMark/>
          </w:tcPr>
          <w:p w14:paraId="7035D125" w14:textId="77777777" w:rsidR="005A3777" w:rsidRPr="005B12C5" w:rsidRDefault="005A3777" w:rsidP="00234360">
            <w:r>
              <w:rPr>
                <w:noProof/>
              </w:rPr>
              <w:drawing>
                <wp:inline distT="0" distB="0" distL="0" distR="0" wp14:anchorId="17B67B5A" wp14:editId="4EF67CE6">
                  <wp:extent cx="340910" cy="337624"/>
                  <wp:effectExtent l="0" t="0" r="2540" b="5715"/>
                  <wp:docPr id="96281203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340910" cy="337624"/>
                          </a:xfrm>
                          <a:prstGeom prst="rect">
                            <a:avLst/>
                          </a:prstGeom>
                        </pic:spPr>
                      </pic:pic>
                    </a:graphicData>
                  </a:graphic>
                </wp:inline>
              </w:drawing>
            </w:r>
          </w:p>
        </w:tc>
        <w:tc>
          <w:tcPr>
            <w:tcW w:w="1685" w:type="dxa"/>
            <w:hideMark/>
          </w:tcPr>
          <w:p w14:paraId="5BA5647D" w14:textId="77777777" w:rsidR="005A3777" w:rsidRPr="00BE0021" w:rsidRDefault="005A3777" w:rsidP="005A3777">
            <w:pPr>
              <w:pStyle w:val="Tabletext"/>
            </w:pPr>
            <w:r w:rsidRPr="00BE0021">
              <w:t>Liveability</w:t>
            </w:r>
          </w:p>
        </w:tc>
        <w:tc>
          <w:tcPr>
            <w:tcW w:w="4320" w:type="dxa"/>
            <w:hideMark/>
          </w:tcPr>
          <w:p w14:paraId="730CE68D" w14:textId="77777777" w:rsidR="005A3777" w:rsidRDefault="005A3777" w:rsidP="005A3777">
            <w:pPr>
              <w:pStyle w:val="Tabletext"/>
            </w:pPr>
            <w:r w:rsidRPr="00AA0AA9">
              <w:t xml:space="preserve">To deliver or contribute to community amenity such as access to green space and parks through urban design. </w:t>
            </w:r>
          </w:p>
          <w:p w14:paraId="50F59294" w14:textId="77777777" w:rsidR="005A3777" w:rsidRPr="00AA0AA9" w:rsidRDefault="005A3777" w:rsidP="005A3777">
            <w:pPr>
              <w:pStyle w:val="Tabletext"/>
            </w:pPr>
            <w:r w:rsidRPr="00AA0AA9">
              <w:t>To protect (and, where possible improve) the health and wellbeing of the local community, residents</w:t>
            </w:r>
            <w:r>
              <w:t>,</w:t>
            </w:r>
            <w:r w:rsidRPr="00AA0AA9">
              <w:t xml:space="preserve"> and users in indoor and outdoor spaces.</w:t>
            </w:r>
          </w:p>
        </w:tc>
        <w:tc>
          <w:tcPr>
            <w:tcW w:w="2340" w:type="dxa"/>
          </w:tcPr>
          <w:p w14:paraId="78050C35" w14:textId="77777777" w:rsidR="005A3777" w:rsidRDefault="005A3777" w:rsidP="005A3777">
            <w:pPr>
              <w:pStyle w:val="Tabletext"/>
            </w:pPr>
            <w:r>
              <w:t>3 – Good health and wellbeing</w:t>
            </w:r>
          </w:p>
          <w:p w14:paraId="74B2424A" w14:textId="77777777" w:rsidR="005A3777" w:rsidRDefault="005A3777" w:rsidP="005A3777">
            <w:pPr>
              <w:pStyle w:val="Tabletext"/>
            </w:pPr>
            <w:r>
              <w:t>4 – Quality education</w:t>
            </w:r>
          </w:p>
          <w:p w14:paraId="75A60698" w14:textId="77777777" w:rsidR="005A3777" w:rsidRDefault="005A3777" w:rsidP="005A3777">
            <w:pPr>
              <w:pStyle w:val="Tabletext"/>
            </w:pPr>
            <w:r>
              <w:t>5 – Gender equality</w:t>
            </w:r>
          </w:p>
          <w:p w14:paraId="7D57DCD7" w14:textId="77777777" w:rsidR="005A3777" w:rsidRDefault="005A3777" w:rsidP="005A3777">
            <w:pPr>
              <w:pStyle w:val="Tabletext"/>
            </w:pPr>
            <w:r>
              <w:t>10 – Reduced inequality</w:t>
            </w:r>
          </w:p>
          <w:p w14:paraId="2EC02C67" w14:textId="49D41C64" w:rsidR="005A3777" w:rsidRPr="00AA0AA9" w:rsidRDefault="005A3777" w:rsidP="005A3777">
            <w:pPr>
              <w:pStyle w:val="Tabletext"/>
            </w:pPr>
            <w:r>
              <w:t>11</w:t>
            </w:r>
            <w:r w:rsidR="00F00708">
              <w:t xml:space="preserve"> – </w:t>
            </w:r>
            <w:r>
              <w:t>Sustainable cities and communities</w:t>
            </w:r>
          </w:p>
        </w:tc>
      </w:tr>
      <w:tr w:rsidR="005A3777" w:rsidRPr="005B12C5" w14:paraId="6F1953BD" w14:textId="77777777" w:rsidTr="080D59E9">
        <w:trPr>
          <w:cantSplit w:val="0"/>
        </w:trPr>
        <w:tc>
          <w:tcPr>
            <w:tcW w:w="835" w:type="dxa"/>
            <w:hideMark/>
          </w:tcPr>
          <w:p w14:paraId="0D27EDF8" w14:textId="77777777" w:rsidR="005A3777" w:rsidRPr="005B12C5" w:rsidRDefault="005A3777" w:rsidP="00234360">
            <w:r>
              <w:rPr>
                <w:noProof/>
              </w:rPr>
              <w:drawing>
                <wp:inline distT="0" distB="0" distL="0" distR="0" wp14:anchorId="7198DA7E" wp14:editId="0EC9B758">
                  <wp:extent cx="354428" cy="358008"/>
                  <wp:effectExtent l="0" t="0" r="7620" b="4445"/>
                  <wp:docPr id="962812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354428" cy="358008"/>
                          </a:xfrm>
                          <a:prstGeom prst="rect">
                            <a:avLst/>
                          </a:prstGeom>
                        </pic:spPr>
                      </pic:pic>
                    </a:graphicData>
                  </a:graphic>
                </wp:inline>
              </w:drawing>
            </w:r>
          </w:p>
        </w:tc>
        <w:tc>
          <w:tcPr>
            <w:tcW w:w="1685" w:type="dxa"/>
            <w:hideMark/>
          </w:tcPr>
          <w:p w14:paraId="4FE0E8EF" w14:textId="77777777" w:rsidR="005A3777" w:rsidRPr="00BE0021" w:rsidRDefault="005A3777" w:rsidP="005A3777">
            <w:pPr>
              <w:pStyle w:val="Tabletext"/>
            </w:pPr>
            <w:r w:rsidRPr="00BE0021">
              <w:t>Transport, access, and connectivity</w:t>
            </w:r>
          </w:p>
        </w:tc>
        <w:tc>
          <w:tcPr>
            <w:tcW w:w="4320" w:type="dxa"/>
            <w:hideMark/>
          </w:tcPr>
          <w:p w14:paraId="0254E841" w14:textId="77777777" w:rsidR="005A3777" w:rsidRPr="00AA0AA9" w:rsidRDefault="005A3777" w:rsidP="005A3777">
            <w:pPr>
              <w:pStyle w:val="Tabletext"/>
            </w:pPr>
            <w:r w:rsidRPr="00AA0AA9">
              <w:t>To deliver sustainable, accessible</w:t>
            </w:r>
            <w:r>
              <w:t>,</w:t>
            </w:r>
            <w:r w:rsidRPr="00AA0AA9">
              <w:t xml:space="preserve"> and connected investments, creating benefits for the community and avoiding harm.</w:t>
            </w:r>
          </w:p>
        </w:tc>
        <w:tc>
          <w:tcPr>
            <w:tcW w:w="2340" w:type="dxa"/>
          </w:tcPr>
          <w:p w14:paraId="0E5EA769" w14:textId="0BAB2BF7" w:rsidR="005A3777" w:rsidRDefault="005A3777" w:rsidP="005A3777">
            <w:pPr>
              <w:pStyle w:val="Tabletext"/>
            </w:pPr>
            <w:r>
              <w:t>9</w:t>
            </w:r>
            <w:r w:rsidR="00F00708">
              <w:t xml:space="preserve"> – </w:t>
            </w:r>
            <w:r>
              <w:t>Industry, innovation, and Infrastructure</w:t>
            </w:r>
          </w:p>
          <w:p w14:paraId="6049178D" w14:textId="7DDBD99B" w:rsidR="005A3777" w:rsidRPr="00AA0AA9" w:rsidRDefault="005A3777" w:rsidP="005A3777">
            <w:pPr>
              <w:pStyle w:val="Tabletext"/>
            </w:pPr>
            <w:r>
              <w:t>11</w:t>
            </w:r>
            <w:r w:rsidR="00F00708">
              <w:t xml:space="preserve"> – </w:t>
            </w:r>
            <w:r>
              <w:t>Sustainable cities and communities</w:t>
            </w:r>
          </w:p>
        </w:tc>
      </w:tr>
      <w:tr w:rsidR="005A3777" w:rsidRPr="005B12C5" w14:paraId="18B1DF28" w14:textId="77777777" w:rsidTr="080D59E9">
        <w:trPr>
          <w:cantSplit w:val="0"/>
        </w:trPr>
        <w:tc>
          <w:tcPr>
            <w:tcW w:w="835" w:type="dxa"/>
            <w:hideMark/>
          </w:tcPr>
          <w:p w14:paraId="39AE597F" w14:textId="77777777" w:rsidR="005A3777" w:rsidRPr="005B12C5" w:rsidRDefault="005A3777" w:rsidP="00234360">
            <w:r>
              <w:rPr>
                <w:noProof/>
              </w:rPr>
              <w:drawing>
                <wp:inline distT="0" distB="0" distL="0" distR="0" wp14:anchorId="5E2871E9" wp14:editId="37A16F78">
                  <wp:extent cx="266700" cy="266700"/>
                  <wp:effectExtent l="0" t="0" r="0" b="0"/>
                  <wp:docPr id="962812035"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66700" cy="266700"/>
                          </a:xfrm>
                          <a:prstGeom prst="rect">
                            <a:avLst/>
                          </a:prstGeom>
                        </pic:spPr>
                      </pic:pic>
                    </a:graphicData>
                  </a:graphic>
                </wp:inline>
              </w:drawing>
            </w:r>
          </w:p>
        </w:tc>
        <w:tc>
          <w:tcPr>
            <w:tcW w:w="1685" w:type="dxa"/>
            <w:hideMark/>
          </w:tcPr>
          <w:p w14:paraId="70AC1CE6" w14:textId="77777777" w:rsidR="005A3777" w:rsidRPr="00BE0021" w:rsidRDefault="005A3777" w:rsidP="005A3777">
            <w:pPr>
              <w:pStyle w:val="Tabletext"/>
            </w:pPr>
            <w:r w:rsidRPr="00BE0021">
              <w:t>Climate resilience</w:t>
            </w:r>
          </w:p>
        </w:tc>
        <w:tc>
          <w:tcPr>
            <w:tcW w:w="4320" w:type="dxa"/>
            <w:hideMark/>
          </w:tcPr>
          <w:p w14:paraId="15DD9380" w14:textId="77777777" w:rsidR="005A3777" w:rsidRPr="00D66080" w:rsidRDefault="005A3777" w:rsidP="005A3777">
            <w:pPr>
              <w:pStyle w:val="Tabletext"/>
              <w:rPr>
                <w:rFonts w:ascii="FrutigerLTPro-Condensed" w:eastAsiaTheme="minorHAnsi" w:hAnsi="FrutigerLTPro-Condensed"/>
                <w:i/>
                <w:color w:val="000000"/>
              </w:rPr>
            </w:pPr>
            <w:r w:rsidRPr="00AA0AA9">
              <w:t>To improve resilience to climate change</w:t>
            </w:r>
            <w:r>
              <w:t xml:space="preserve"> and </w:t>
            </w:r>
            <w:r w:rsidRPr="00AA0AA9">
              <w:t xml:space="preserve">extreme weather events. </w:t>
            </w:r>
            <w:proofErr w:type="gramStart"/>
            <w:r w:rsidRPr="00AA0AA9">
              <w:t>In particular, to</w:t>
            </w:r>
            <w:proofErr w:type="gramEnd"/>
            <w:r w:rsidRPr="00AA0AA9">
              <w:t xml:space="preserve"> improve the ability of the State to anticipate, absorb, accommodate, or recover from the effects of a hazardous event in a timely and efficient manner, including through ensuring the preservation, restoration, or improvement of its essential basic structures and functions.</w:t>
            </w:r>
          </w:p>
        </w:tc>
        <w:tc>
          <w:tcPr>
            <w:tcW w:w="2340" w:type="dxa"/>
          </w:tcPr>
          <w:p w14:paraId="7070575C" w14:textId="77777777" w:rsidR="005A3777" w:rsidRDefault="005A3777" w:rsidP="005A3777">
            <w:pPr>
              <w:pStyle w:val="Tabletext"/>
            </w:pPr>
            <w:r>
              <w:t>7 – Affordable and clean energy</w:t>
            </w:r>
          </w:p>
          <w:p w14:paraId="20D457AA" w14:textId="61A09059" w:rsidR="005A3777" w:rsidRDefault="005A3777" w:rsidP="005A3777">
            <w:pPr>
              <w:pStyle w:val="Tabletext"/>
            </w:pPr>
            <w:r>
              <w:t>11</w:t>
            </w:r>
            <w:r w:rsidR="00F00708">
              <w:t xml:space="preserve"> – </w:t>
            </w:r>
            <w:r>
              <w:t xml:space="preserve">Sustainable cities and communities </w:t>
            </w:r>
          </w:p>
          <w:p w14:paraId="0D33D653" w14:textId="7D536D63" w:rsidR="005A3777" w:rsidRPr="00AA0AA9" w:rsidRDefault="005A3777" w:rsidP="005A3777">
            <w:pPr>
              <w:pStyle w:val="Tabletext"/>
            </w:pPr>
            <w:r>
              <w:t>13</w:t>
            </w:r>
            <w:r w:rsidR="00F00708">
              <w:t xml:space="preserve"> – </w:t>
            </w:r>
            <w:r w:rsidRPr="00BC3A4E">
              <w:t>Climate Action</w:t>
            </w:r>
          </w:p>
        </w:tc>
      </w:tr>
      <w:tr w:rsidR="005A3777" w:rsidRPr="005B12C5" w14:paraId="42FB7325" w14:textId="77777777" w:rsidTr="080D59E9">
        <w:trPr>
          <w:cantSplit w:val="0"/>
        </w:trPr>
        <w:tc>
          <w:tcPr>
            <w:tcW w:w="835" w:type="dxa"/>
            <w:hideMark/>
          </w:tcPr>
          <w:p w14:paraId="7ACAD36D" w14:textId="77777777" w:rsidR="005A3777" w:rsidRPr="005B12C5" w:rsidRDefault="005A3777" w:rsidP="00234360">
            <w:r>
              <w:rPr>
                <w:noProof/>
              </w:rPr>
              <w:drawing>
                <wp:inline distT="0" distB="0" distL="0" distR="0" wp14:anchorId="2F73BD88" wp14:editId="3A65DAC9">
                  <wp:extent cx="457200" cy="457200"/>
                  <wp:effectExtent l="0" t="0" r="0" b="0"/>
                  <wp:docPr id="962812036"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3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457200" cy="457200"/>
                          </a:xfrm>
                          <a:prstGeom prst="rect">
                            <a:avLst/>
                          </a:prstGeom>
                        </pic:spPr>
                      </pic:pic>
                    </a:graphicData>
                  </a:graphic>
                </wp:inline>
              </w:drawing>
            </w:r>
          </w:p>
        </w:tc>
        <w:tc>
          <w:tcPr>
            <w:tcW w:w="1685" w:type="dxa"/>
            <w:hideMark/>
          </w:tcPr>
          <w:p w14:paraId="521DEAE4" w14:textId="77777777" w:rsidR="005A3777" w:rsidRPr="00BE0021" w:rsidRDefault="005A3777" w:rsidP="005A3777">
            <w:pPr>
              <w:pStyle w:val="Tabletext"/>
            </w:pPr>
            <w:r w:rsidRPr="00BE0021">
              <w:t>Material use and circular economy</w:t>
            </w:r>
          </w:p>
        </w:tc>
        <w:tc>
          <w:tcPr>
            <w:tcW w:w="4320" w:type="dxa"/>
            <w:hideMark/>
          </w:tcPr>
          <w:p w14:paraId="60C9150D" w14:textId="77777777" w:rsidR="005A3777" w:rsidRPr="00AA0AA9" w:rsidRDefault="005A3777" w:rsidP="005A3777">
            <w:pPr>
              <w:pStyle w:val="Tabletext"/>
            </w:pPr>
            <w:r w:rsidRPr="00AA0AA9">
              <w:t>To use materials responsibly</w:t>
            </w:r>
            <w:r>
              <w:t>, including efficiently</w:t>
            </w:r>
            <w:r w:rsidRPr="00AA0AA9">
              <w:t xml:space="preserve">, avoid waste and hazardous materials and contribute to </w:t>
            </w:r>
            <w:r>
              <w:t>a more</w:t>
            </w:r>
            <w:r w:rsidRPr="00AA0AA9">
              <w:t xml:space="preserve"> circular economy.</w:t>
            </w:r>
          </w:p>
        </w:tc>
        <w:tc>
          <w:tcPr>
            <w:tcW w:w="2340" w:type="dxa"/>
          </w:tcPr>
          <w:p w14:paraId="1D3986F7" w14:textId="66861B06" w:rsidR="005A3777" w:rsidRPr="00AA0AA9" w:rsidRDefault="005A3777" w:rsidP="005A3777">
            <w:pPr>
              <w:pStyle w:val="Tabletext"/>
            </w:pPr>
            <w:r>
              <w:t>12</w:t>
            </w:r>
            <w:r w:rsidR="00F00708">
              <w:t xml:space="preserve"> – </w:t>
            </w:r>
            <w:r w:rsidRPr="00BC3A4E">
              <w:t>Responsible Production and Consumption</w:t>
            </w:r>
          </w:p>
        </w:tc>
      </w:tr>
      <w:tr w:rsidR="005A3777" w:rsidRPr="005B12C5" w14:paraId="36379727" w14:textId="77777777" w:rsidTr="080D59E9">
        <w:trPr>
          <w:cantSplit w:val="0"/>
        </w:trPr>
        <w:tc>
          <w:tcPr>
            <w:tcW w:w="835" w:type="dxa"/>
            <w:hideMark/>
          </w:tcPr>
          <w:p w14:paraId="437D1BDF" w14:textId="77777777" w:rsidR="005A3777" w:rsidRPr="005B12C5" w:rsidRDefault="005A3777" w:rsidP="00234360">
            <w:r>
              <w:rPr>
                <w:noProof/>
              </w:rPr>
              <w:drawing>
                <wp:inline distT="0" distB="0" distL="0" distR="0" wp14:anchorId="1C3377FC" wp14:editId="653F7253">
                  <wp:extent cx="330804" cy="337624"/>
                  <wp:effectExtent l="0" t="0" r="0" b="5715"/>
                  <wp:docPr id="962812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330804" cy="337624"/>
                          </a:xfrm>
                          <a:prstGeom prst="rect">
                            <a:avLst/>
                          </a:prstGeom>
                        </pic:spPr>
                      </pic:pic>
                    </a:graphicData>
                  </a:graphic>
                </wp:inline>
              </w:drawing>
            </w:r>
          </w:p>
        </w:tc>
        <w:tc>
          <w:tcPr>
            <w:tcW w:w="1685" w:type="dxa"/>
            <w:hideMark/>
          </w:tcPr>
          <w:p w14:paraId="31A31427" w14:textId="77777777" w:rsidR="005A3777" w:rsidRPr="00BE0021" w:rsidRDefault="005A3777" w:rsidP="005A3777">
            <w:pPr>
              <w:pStyle w:val="Tabletext"/>
            </w:pPr>
            <w:r w:rsidRPr="00BE0021">
              <w:t>Energy productivity and carbon emissions</w:t>
            </w:r>
          </w:p>
        </w:tc>
        <w:tc>
          <w:tcPr>
            <w:tcW w:w="4320" w:type="dxa"/>
            <w:hideMark/>
          </w:tcPr>
          <w:p w14:paraId="5848E359" w14:textId="77777777" w:rsidR="005A3777" w:rsidRPr="00AA0AA9" w:rsidRDefault="005A3777" w:rsidP="005A3777">
            <w:pPr>
              <w:pStyle w:val="Tabletext"/>
            </w:pPr>
            <w:r w:rsidRPr="00AA0AA9">
              <w:t>To reduce carbon emissions and improve energy efficiency and productivity</w:t>
            </w:r>
            <w:r>
              <w:t xml:space="preserve"> over the life of the investment, including those associated with construction, materials, and operation. </w:t>
            </w:r>
          </w:p>
        </w:tc>
        <w:tc>
          <w:tcPr>
            <w:tcW w:w="2340" w:type="dxa"/>
          </w:tcPr>
          <w:p w14:paraId="7F46BC99" w14:textId="77777777" w:rsidR="005A3777" w:rsidRDefault="005A3777" w:rsidP="005A3777">
            <w:pPr>
              <w:pStyle w:val="Tabletext"/>
            </w:pPr>
            <w:r>
              <w:t>7 – Affordable and clean energy</w:t>
            </w:r>
          </w:p>
          <w:p w14:paraId="57BE2FAB" w14:textId="1FFD2209" w:rsidR="005A3777" w:rsidRPr="00AA0AA9" w:rsidRDefault="005A3777" w:rsidP="005A3777">
            <w:pPr>
              <w:pStyle w:val="Tabletext"/>
            </w:pPr>
            <w:r w:rsidRPr="00AA0AA9">
              <w:t>13</w:t>
            </w:r>
            <w:r w:rsidR="00F00708">
              <w:t xml:space="preserve"> – </w:t>
            </w:r>
            <w:r w:rsidRPr="00AA0AA9">
              <w:t xml:space="preserve">Climate </w:t>
            </w:r>
            <w:r>
              <w:t>a</w:t>
            </w:r>
            <w:r w:rsidRPr="00AA0AA9">
              <w:t>ction</w:t>
            </w:r>
          </w:p>
        </w:tc>
      </w:tr>
      <w:tr w:rsidR="005A3777" w:rsidRPr="005B12C5" w14:paraId="409BC16D" w14:textId="77777777" w:rsidTr="080D59E9">
        <w:trPr>
          <w:cantSplit w:val="0"/>
        </w:trPr>
        <w:tc>
          <w:tcPr>
            <w:tcW w:w="835" w:type="dxa"/>
            <w:hideMark/>
          </w:tcPr>
          <w:p w14:paraId="0DAE7974" w14:textId="77777777" w:rsidR="005A3777" w:rsidRPr="005B12C5" w:rsidRDefault="005A3777" w:rsidP="00234360">
            <w:r>
              <w:rPr>
                <w:noProof/>
              </w:rPr>
              <w:drawing>
                <wp:inline distT="0" distB="0" distL="0" distR="0" wp14:anchorId="674A7699" wp14:editId="1C12C522">
                  <wp:extent cx="340620" cy="333050"/>
                  <wp:effectExtent l="0" t="0" r="2540" b="0"/>
                  <wp:docPr id="962812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340620" cy="333050"/>
                          </a:xfrm>
                          <a:prstGeom prst="rect">
                            <a:avLst/>
                          </a:prstGeom>
                        </pic:spPr>
                      </pic:pic>
                    </a:graphicData>
                  </a:graphic>
                </wp:inline>
              </w:drawing>
            </w:r>
          </w:p>
        </w:tc>
        <w:tc>
          <w:tcPr>
            <w:tcW w:w="1685" w:type="dxa"/>
            <w:hideMark/>
          </w:tcPr>
          <w:p w14:paraId="79761926" w14:textId="77777777" w:rsidR="005A3777" w:rsidRPr="00BE0021" w:rsidRDefault="005A3777" w:rsidP="005A3777">
            <w:pPr>
              <w:pStyle w:val="Tabletext"/>
            </w:pPr>
            <w:r w:rsidRPr="00BE0021">
              <w:t>Integrated water management</w:t>
            </w:r>
          </w:p>
        </w:tc>
        <w:tc>
          <w:tcPr>
            <w:tcW w:w="4320" w:type="dxa"/>
            <w:hideMark/>
          </w:tcPr>
          <w:p w14:paraId="42AFC7FB" w14:textId="77777777" w:rsidR="005A3777" w:rsidRPr="00AA0AA9" w:rsidRDefault="005A3777" w:rsidP="005A3777">
            <w:pPr>
              <w:pStyle w:val="Tabletext"/>
            </w:pPr>
            <w:r w:rsidRPr="00AA0AA9">
              <w:t xml:space="preserve">To responsibly manage water throughout construction and operation of the asset. </w:t>
            </w:r>
          </w:p>
        </w:tc>
        <w:tc>
          <w:tcPr>
            <w:tcW w:w="2340" w:type="dxa"/>
          </w:tcPr>
          <w:p w14:paraId="6C97C7B7" w14:textId="77777777" w:rsidR="005A3777" w:rsidRDefault="005A3777" w:rsidP="005A3777">
            <w:pPr>
              <w:pStyle w:val="Tabletext"/>
            </w:pPr>
            <w:r>
              <w:t>6 – Clean water and sanitation</w:t>
            </w:r>
          </w:p>
          <w:p w14:paraId="15D5A807" w14:textId="6297E28C" w:rsidR="005A3777" w:rsidRPr="00AA0AA9" w:rsidRDefault="005A3777" w:rsidP="005A3777">
            <w:pPr>
              <w:pStyle w:val="Tabletext"/>
            </w:pPr>
            <w:r>
              <w:t>11</w:t>
            </w:r>
            <w:r w:rsidR="00F00708">
              <w:t xml:space="preserve"> – </w:t>
            </w:r>
            <w:r>
              <w:t>Sustainable cities and communities</w:t>
            </w:r>
          </w:p>
        </w:tc>
      </w:tr>
      <w:tr w:rsidR="005A3777" w:rsidRPr="005B12C5" w14:paraId="3B8DAF95" w14:textId="77777777" w:rsidTr="080D59E9">
        <w:trPr>
          <w:cantSplit w:val="0"/>
        </w:trPr>
        <w:tc>
          <w:tcPr>
            <w:tcW w:w="835" w:type="dxa"/>
            <w:hideMark/>
          </w:tcPr>
          <w:p w14:paraId="325844DF" w14:textId="77777777" w:rsidR="005A3777" w:rsidRPr="005B12C5" w:rsidRDefault="005A3777" w:rsidP="00234360">
            <w:r>
              <w:rPr>
                <w:noProof/>
              </w:rPr>
              <w:drawing>
                <wp:inline distT="0" distB="0" distL="0" distR="0" wp14:anchorId="66EF873A" wp14:editId="00B42116">
                  <wp:extent cx="343338" cy="304800"/>
                  <wp:effectExtent l="0" t="0" r="0" b="0"/>
                  <wp:docPr id="962812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343338" cy="304800"/>
                          </a:xfrm>
                          <a:prstGeom prst="rect">
                            <a:avLst/>
                          </a:prstGeom>
                        </pic:spPr>
                      </pic:pic>
                    </a:graphicData>
                  </a:graphic>
                </wp:inline>
              </w:drawing>
            </w:r>
          </w:p>
        </w:tc>
        <w:tc>
          <w:tcPr>
            <w:tcW w:w="1685" w:type="dxa"/>
            <w:hideMark/>
          </w:tcPr>
          <w:p w14:paraId="7F56E36B" w14:textId="77777777" w:rsidR="005A3777" w:rsidRPr="00BE0021" w:rsidRDefault="005A3777" w:rsidP="005A3777">
            <w:pPr>
              <w:pStyle w:val="Tabletext"/>
            </w:pPr>
            <w:r w:rsidRPr="00BE0021">
              <w:t>Environmental protection and enhancement</w:t>
            </w:r>
          </w:p>
        </w:tc>
        <w:tc>
          <w:tcPr>
            <w:tcW w:w="4320" w:type="dxa"/>
            <w:hideMark/>
          </w:tcPr>
          <w:p w14:paraId="435F79DB" w14:textId="77777777" w:rsidR="005A3777" w:rsidRPr="00AA0AA9" w:rsidRDefault="005A3777" w:rsidP="005A3777">
            <w:pPr>
              <w:pStyle w:val="Tabletext"/>
            </w:pPr>
            <w:r w:rsidRPr="00AA0AA9">
              <w:t>To actively restore and enhance the local environment and avoid air, land and water pollution, and harm to ecosystems.</w:t>
            </w:r>
          </w:p>
        </w:tc>
        <w:tc>
          <w:tcPr>
            <w:tcW w:w="2340" w:type="dxa"/>
          </w:tcPr>
          <w:p w14:paraId="40D2954F" w14:textId="2A1FFFDC" w:rsidR="005A3777" w:rsidRDefault="005A3777" w:rsidP="005A3777">
            <w:pPr>
              <w:pStyle w:val="Tabletext"/>
            </w:pPr>
            <w:r w:rsidRPr="00AA0AA9">
              <w:t>13</w:t>
            </w:r>
            <w:r w:rsidR="00F00708">
              <w:t xml:space="preserve"> – </w:t>
            </w:r>
            <w:r w:rsidRPr="00AA0AA9">
              <w:t xml:space="preserve">Climate </w:t>
            </w:r>
            <w:r>
              <w:t>a</w:t>
            </w:r>
            <w:r w:rsidRPr="00AA0AA9">
              <w:t>ction</w:t>
            </w:r>
          </w:p>
          <w:p w14:paraId="69B6CDDD" w14:textId="77777777" w:rsidR="005A3777" w:rsidRDefault="005A3777" w:rsidP="005A3777">
            <w:pPr>
              <w:pStyle w:val="Tabletext"/>
            </w:pPr>
            <w:r>
              <w:t>14 – Life below water</w:t>
            </w:r>
          </w:p>
          <w:p w14:paraId="25049325" w14:textId="77777777" w:rsidR="005A3777" w:rsidRPr="00AA0AA9" w:rsidRDefault="005A3777" w:rsidP="005A3777">
            <w:pPr>
              <w:pStyle w:val="Tabletext"/>
            </w:pPr>
            <w:r>
              <w:t>15 – Life on land</w:t>
            </w:r>
          </w:p>
        </w:tc>
      </w:tr>
    </w:tbl>
    <w:p w14:paraId="4776CDAD" w14:textId="3F08465E" w:rsidR="005A3777" w:rsidRDefault="005A3777" w:rsidP="00F00708">
      <w:pPr>
        <w:pStyle w:val="Spacer"/>
      </w:pPr>
    </w:p>
    <w:p w14:paraId="64415C7F" w14:textId="77777777" w:rsidR="005A3777" w:rsidRDefault="005A3777" w:rsidP="005A3777">
      <w:pPr>
        <w:pStyle w:val="Heading2numbered"/>
      </w:pPr>
      <w:bookmarkStart w:id="46" w:name="_Toc46848644"/>
      <w:bookmarkStart w:id="47" w:name="_Toc68769271"/>
      <w:bookmarkStart w:id="48" w:name="_Toc117258699"/>
      <w:r>
        <w:lastRenderedPageBreak/>
        <w:t>Sustainability rating tools and certifications</w:t>
      </w:r>
      <w:bookmarkEnd w:id="46"/>
      <w:bookmarkEnd w:id="47"/>
      <w:bookmarkEnd w:id="48"/>
    </w:p>
    <w:p w14:paraId="3A8653AC" w14:textId="77777777" w:rsidR="005A3777" w:rsidRPr="00646C46" w:rsidRDefault="005A3777" w:rsidP="005A3777">
      <w:r>
        <w:t xml:space="preserve">The use of sustainability ratings tools and certifications can be beneficial and when appropriately applied may help </w:t>
      </w:r>
      <w:r w:rsidRPr="004A651E">
        <w:t>achiev</w:t>
      </w:r>
      <w:r w:rsidRPr="00296370">
        <w:t xml:space="preserve">e: </w:t>
      </w:r>
    </w:p>
    <w:p w14:paraId="4E44B7AA" w14:textId="61B834A7" w:rsidR="005A3777" w:rsidRPr="00601819" w:rsidRDefault="000B009D" w:rsidP="00601819">
      <w:pPr>
        <w:pStyle w:val="Bullet1"/>
      </w:pPr>
      <w:r>
        <w:t>r</w:t>
      </w:r>
      <w:r w:rsidRPr="00601819">
        <w:t xml:space="preserve">educed </w:t>
      </w:r>
      <w:r w:rsidR="005A3777" w:rsidRPr="00601819">
        <w:t xml:space="preserve">whole of life and/or operating costs </w:t>
      </w:r>
    </w:p>
    <w:p w14:paraId="3D46C7DB" w14:textId="2ECECE13" w:rsidR="005A3777" w:rsidRPr="00601819" w:rsidRDefault="000B009D" w:rsidP="00601819">
      <w:pPr>
        <w:pStyle w:val="Bullet1"/>
      </w:pPr>
      <w:r>
        <w:t>r</w:t>
      </w:r>
      <w:r w:rsidRPr="00601819">
        <w:t xml:space="preserve">educed </w:t>
      </w:r>
      <w:r w:rsidR="005A3777" w:rsidRPr="00601819">
        <w:t xml:space="preserve">material intensity, waste, </w:t>
      </w:r>
      <w:proofErr w:type="gramStart"/>
      <w:r w:rsidR="005A3777" w:rsidRPr="00601819">
        <w:t>energy</w:t>
      </w:r>
      <w:proofErr w:type="gramEnd"/>
      <w:r w:rsidR="005A3777" w:rsidRPr="00601819">
        <w:t xml:space="preserve"> and water consumption</w:t>
      </w:r>
    </w:p>
    <w:p w14:paraId="5F6DE0E4" w14:textId="343B6B8D" w:rsidR="005A3777" w:rsidRPr="00601819" w:rsidRDefault="000B009D" w:rsidP="00601819">
      <w:pPr>
        <w:pStyle w:val="Bullet1"/>
      </w:pPr>
      <w:r>
        <w:t>i</w:t>
      </w:r>
      <w:r w:rsidRPr="00601819">
        <w:t xml:space="preserve">mprovements </w:t>
      </w:r>
      <w:r w:rsidR="005A3777" w:rsidRPr="00601819">
        <w:t xml:space="preserve">in productivity, amenity, </w:t>
      </w:r>
      <w:proofErr w:type="gramStart"/>
      <w:r w:rsidR="005A3777" w:rsidRPr="00601819">
        <w:t>health</w:t>
      </w:r>
      <w:proofErr w:type="gramEnd"/>
      <w:r w:rsidR="005A3777" w:rsidRPr="00601819">
        <w:t xml:space="preserve"> and wellbeing</w:t>
      </w:r>
    </w:p>
    <w:p w14:paraId="15597DD9" w14:textId="13C1B581" w:rsidR="005A3777" w:rsidRPr="004A651E" w:rsidRDefault="000B009D" w:rsidP="00601819">
      <w:pPr>
        <w:pStyle w:val="Bullet1"/>
      </w:pPr>
      <w:r>
        <w:t>r</w:t>
      </w:r>
      <w:r w:rsidRPr="00601819">
        <w:t>educed</w:t>
      </w:r>
      <w:r w:rsidRPr="000E743C">
        <w:t xml:space="preserve"> </w:t>
      </w:r>
      <w:r w:rsidR="005A3777" w:rsidRPr="000E743C">
        <w:t>exposure to environmental risks.</w:t>
      </w:r>
    </w:p>
    <w:p w14:paraId="253D9A57" w14:textId="5FE9A403" w:rsidR="005A3777" w:rsidRDefault="005A3777" w:rsidP="005A3777">
      <w:r>
        <w:t xml:space="preserve">It is recommended that project teams consider their approach to selecting a sustainability rating tool or certification, as outlined in Section </w:t>
      </w:r>
      <w:r>
        <w:fldChar w:fldCharType="begin"/>
      </w:r>
      <w:r>
        <w:instrText xml:space="preserve"> REF _Ref53661354 \r \h </w:instrText>
      </w:r>
      <w:r>
        <w:fldChar w:fldCharType="separate"/>
      </w:r>
      <w:r w:rsidR="00FC7DAA">
        <w:t>2.3.1</w:t>
      </w:r>
      <w:r>
        <w:fldChar w:fldCharType="end"/>
      </w:r>
      <w:r>
        <w:t xml:space="preserve">. Rating tools and certifications assist in evaluating, </w:t>
      </w:r>
      <w:proofErr w:type="gramStart"/>
      <w:r>
        <w:t>verifying</w:t>
      </w:r>
      <w:proofErr w:type="gramEnd"/>
      <w:r>
        <w:t xml:space="preserve"> and communicating a project’s sustainability performance. While the focus and content of such tools can vary, they are generally administered by an independent third party in accordance with a published set of standards. As a result, such tools can:</w:t>
      </w:r>
    </w:p>
    <w:p w14:paraId="4756D166" w14:textId="13D81959" w:rsidR="005A3777" w:rsidRPr="005A3777" w:rsidRDefault="000B009D" w:rsidP="005A3777">
      <w:pPr>
        <w:pStyle w:val="Bullet1"/>
      </w:pPr>
      <w:r>
        <w:t xml:space="preserve">provide </w:t>
      </w:r>
      <w:r w:rsidR="005A3777">
        <w:t xml:space="preserve">a clear framework for the realisation of benefits aligned with the material </w:t>
      </w:r>
      <w:r w:rsidR="005A3777" w:rsidRPr="005A3777">
        <w:t xml:space="preserve">sustainable investment themes and objectives (refer to Section </w:t>
      </w:r>
      <w:r w:rsidR="005A3777" w:rsidRPr="005A3777">
        <w:fldChar w:fldCharType="begin"/>
      </w:r>
      <w:r w:rsidR="005A3777" w:rsidRPr="005A3777">
        <w:instrText xml:space="preserve"> REF _Ref68676534 \r \h </w:instrText>
      </w:r>
      <w:r w:rsidR="005A3777">
        <w:instrText xml:space="preserve"> \* MERGEFORMAT </w:instrText>
      </w:r>
      <w:r w:rsidR="005A3777" w:rsidRPr="005A3777">
        <w:fldChar w:fldCharType="separate"/>
      </w:r>
      <w:r w:rsidR="00FC7DAA">
        <w:t>2.2</w:t>
      </w:r>
      <w:r w:rsidR="005A3777" w:rsidRPr="005A3777">
        <w:fldChar w:fldCharType="end"/>
      </w:r>
      <w:r w:rsidR="005A3777" w:rsidRPr="005A3777">
        <w:t>)</w:t>
      </w:r>
    </w:p>
    <w:p w14:paraId="68AC0F11" w14:textId="6394D647" w:rsidR="005A3777" w:rsidRPr="005A3777" w:rsidRDefault="000B009D" w:rsidP="005A3777">
      <w:pPr>
        <w:pStyle w:val="Bullet1"/>
      </w:pPr>
      <w:r>
        <w:t>f</w:t>
      </w:r>
      <w:r w:rsidRPr="005A3777">
        <w:t xml:space="preserve">acilitate </w:t>
      </w:r>
      <w:r w:rsidR="005A3777" w:rsidRPr="005A3777">
        <w:t>sustainability performance comparisons across multiple different investments</w:t>
      </w:r>
    </w:p>
    <w:p w14:paraId="2BCAF74A" w14:textId="364E461A" w:rsidR="005A3777" w:rsidRPr="005A3777" w:rsidRDefault="000B009D" w:rsidP="005A3777">
      <w:pPr>
        <w:pStyle w:val="Bullet1"/>
      </w:pPr>
      <w:r>
        <w:t>a</w:t>
      </w:r>
      <w:r w:rsidRPr="005A3777">
        <w:t xml:space="preserve">llow </w:t>
      </w:r>
      <w:r w:rsidR="005A3777" w:rsidRPr="005A3777">
        <w:t xml:space="preserve">for the articulation of clear performance commitments, and the communication of progress </w:t>
      </w:r>
    </w:p>
    <w:p w14:paraId="247D8BE1" w14:textId="43F0A8EA" w:rsidR="005A3777" w:rsidRPr="005A3777" w:rsidRDefault="000B009D" w:rsidP="005A3777">
      <w:pPr>
        <w:pStyle w:val="Bullet1"/>
      </w:pPr>
      <w:r>
        <w:t>b</w:t>
      </w:r>
      <w:r w:rsidRPr="005A3777">
        <w:t xml:space="preserve">uild </w:t>
      </w:r>
      <w:r w:rsidR="005A3777" w:rsidRPr="005A3777">
        <w:t>the trust of stakeholders through alignment with a known rating scheme</w:t>
      </w:r>
    </w:p>
    <w:p w14:paraId="7F6C00D7" w14:textId="0721A5F7" w:rsidR="005A3777" w:rsidRDefault="000B009D" w:rsidP="005A3777">
      <w:pPr>
        <w:pStyle w:val="Bullet1"/>
      </w:pPr>
      <w:r>
        <w:t>h</w:t>
      </w:r>
      <w:r w:rsidRPr="005A3777">
        <w:t>elp</w:t>
      </w:r>
      <w:r>
        <w:t xml:space="preserve"> </w:t>
      </w:r>
      <w:r w:rsidR="005A3777">
        <w:t xml:space="preserve">build </w:t>
      </w:r>
      <w:r w:rsidR="005A3777" w:rsidRPr="005A3777">
        <w:t>capacity</w:t>
      </w:r>
      <w:r w:rsidR="005A3777">
        <w:t xml:space="preserve"> in industry and foster collaboration, innovation, and continuous improvement.</w:t>
      </w:r>
    </w:p>
    <w:p w14:paraId="6D692A98" w14:textId="77777777" w:rsidR="005A3777" w:rsidRPr="009B2B67" w:rsidRDefault="005A3777" w:rsidP="005A3777">
      <w:pPr>
        <w:pStyle w:val="Heading3numbered"/>
      </w:pPr>
      <w:bookmarkStart w:id="49" w:name="_Toc68769272"/>
      <w:r w:rsidRPr="00EC5B5F">
        <w:t>Sustainability r</w:t>
      </w:r>
      <w:r w:rsidRPr="00865BA7">
        <w:t>ating</w:t>
      </w:r>
      <w:bookmarkStart w:id="50" w:name="_Toc53490227"/>
      <w:bookmarkStart w:id="51" w:name="_Toc53490412"/>
      <w:bookmarkStart w:id="52" w:name="_Toc46848645"/>
      <w:bookmarkStart w:id="53" w:name="_Ref53661354"/>
      <w:bookmarkEnd w:id="50"/>
      <w:bookmarkEnd w:id="51"/>
      <w:r w:rsidRPr="00865BA7">
        <w:t xml:space="preserve"> tool or </w:t>
      </w:r>
      <w:r w:rsidRPr="009B2B67">
        <w:t>certification selection</w:t>
      </w:r>
      <w:bookmarkEnd w:id="49"/>
      <w:bookmarkEnd w:id="52"/>
      <w:bookmarkEnd w:id="53"/>
    </w:p>
    <w:p w14:paraId="7693F809" w14:textId="77777777" w:rsidR="005A3777" w:rsidRPr="00042FEE" w:rsidRDefault="005A3777" w:rsidP="00601819">
      <w:pPr>
        <w:keepNext/>
      </w:pPr>
      <w:r>
        <w:t>T</w:t>
      </w:r>
      <w:r w:rsidRPr="00042FEE">
        <w:t xml:space="preserve">he following </w:t>
      </w:r>
      <w:r>
        <w:t xml:space="preserve">guiding </w:t>
      </w:r>
      <w:r w:rsidRPr="00042FEE">
        <w:t xml:space="preserve">principles should be </w:t>
      </w:r>
      <w:r>
        <w:t>considered when selecting a rating tool or certification</w:t>
      </w:r>
      <w:r w:rsidRPr="00042FEE">
        <w:t>:</w:t>
      </w:r>
    </w:p>
    <w:p w14:paraId="259F63FD" w14:textId="77777777" w:rsidR="005A3777" w:rsidRDefault="005A3777" w:rsidP="005A3777">
      <w:pPr>
        <w:pStyle w:val="Bullet1"/>
      </w:pPr>
      <w:r w:rsidRPr="00042FEE">
        <w:rPr>
          <w:b/>
          <w:bCs/>
        </w:rPr>
        <w:t xml:space="preserve">Look to maximise the realisation of benefits that align with the </w:t>
      </w:r>
      <w:r>
        <w:rPr>
          <w:b/>
          <w:bCs/>
        </w:rPr>
        <w:t>SIT</w:t>
      </w:r>
      <w:r w:rsidRPr="00042FEE">
        <w:rPr>
          <w:b/>
          <w:bCs/>
        </w:rPr>
        <w:t>s and objectives</w:t>
      </w:r>
      <w:r>
        <w:rPr>
          <w:b/>
          <w:bCs/>
        </w:rPr>
        <w:t>.</w:t>
      </w:r>
      <w:r>
        <w:t xml:space="preserve"> Rating tools and certifications can provide useful frameworks for achieving this, however different tools and certifications align with different project types and sustainable investment themes.</w:t>
      </w:r>
    </w:p>
    <w:p w14:paraId="6ECB97FB" w14:textId="77777777" w:rsidR="005A3777" w:rsidRDefault="005A3777" w:rsidP="005A3777">
      <w:pPr>
        <w:pStyle w:val="Bullet1"/>
      </w:pPr>
      <w:r w:rsidRPr="00042FEE">
        <w:rPr>
          <w:b/>
          <w:bCs/>
        </w:rPr>
        <w:t>Engage early with rating tool and certification scheme administrators</w:t>
      </w:r>
      <w:r>
        <w:t>. Early engagement can be critical in laying the foundation for strong sustainability performance as measured by the rating tool or certification being sought. If no rating or certification is being sought, the associated schemes and standards may still provide useful frameworks and processes.</w:t>
      </w:r>
    </w:p>
    <w:p w14:paraId="1392656F" w14:textId="57B9CDAC" w:rsidR="005A3777" w:rsidRPr="00AC3BC9" w:rsidRDefault="005A3777" w:rsidP="005A3777">
      <w:pPr>
        <w:pStyle w:val="Bullet1"/>
      </w:pPr>
      <w:r w:rsidRPr="004D1086">
        <w:rPr>
          <w:b/>
          <w:bCs/>
        </w:rPr>
        <w:lastRenderedPageBreak/>
        <w:t>R</w:t>
      </w:r>
      <w:r w:rsidRPr="00AC3BC9">
        <w:rPr>
          <w:b/>
        </w:rPr>
        <w:t>ating tools and certifications are not a tick</w:t>
      </w:r>
      <w:r w:rsidR="00601819">
        <w:rPr>
          <w:b/>
        </w:rPr>
        <w:noBreakHyphen/>
      </w:r>
      <w:r w:rsidRPr="00AC3BC9">
        <w:rPr>
          <w:b/>
        </w:rPr>
        <w:t>box exercise</w:t>
      </w:r>
      <w:r w:rsidRPr="00F101A9">
        <w:rPr>
          <w:b/>
          <w:bCs/>
        </w:rPr>
        <w:t xml:space="preserve">. </w:t>
      </w:r>
      <w:r>
        <w:t>Rating</w:t>
      </w:r>
      <w:r w:rsidRPr="004D1086">
        <w:t xml:space="preserve"> schemes exist to incentivise and </w:t>
      </w:r>
      <w:r w:rsidRPr="00AC3BC9">
        <w:t>provide genuine improvements in sustainability performance.</w:t>
      </w:r>
      <w:r w:rsidR="000B009D">
        <w:t xml:space="preserve"> </w:t>
      </w:r>
      <w:r>
        <w:t>Rating tools</w:t>
      </w:r>
      <w:r w:rsidRPr="00AC3BC9">
        <w:t xml:space="preserve"> </w:t>
      </w:r>
      <w:r>
        <w:t xml:space="preserve">provide tested and accepted frameworks to support benefits realisation and guaranteeing assurance. </w:t>
      </w:r>
      <w:r w:rsidRPr="00AC3BC9">
        <w:t xml:space="preserve">The </w:t>
      </w:r>
      <w:r>
        <w:t>use</w:t>
      </w:r>
      <w:r w:rsidRPr="00AC3BC9">
        <w:t xml:space="preserve"> of rating tools and certification schemes </w:t>
      </w:r>
      <w:r>
        <w:t xml:space="preserve">as </w:t>
      </w:r>
      <w:r w:rsidRPr="00AC3BC9">
        <w:t>tick</w:t>
      </w:r>
      <w:r w:rsidR="00601819">
        <w:noBreakHyphen/>
      </w:r>
      <w:r w:rsidRPr="00AC3BC9">
        <w:t>box exercises can lead to inadequate project planning</w:t>
      </w:r>
      <w:r>
        <w:t>,</w:t>
      </w:r>
      <w:r w:rsidRPr="00AC3BC9">
        <w:t xml:space="preserve"> significant project risks</w:t>
      </w:r>
      <w:r>
        <w:t xml:space="preserve"> and inadequate built outcomes</w:t>
      </w:r>
      <w:r w:rsidRPr="00AC3BC9">
        <w:t xml:space="preserve">. </w:t>
      </w:r>
    </w:p>
    <w:p w14:paraId="724A0081" w14:textId="77777777" w:rsidR="005A3777" w:rsidRPr="0068710E" w:rsidRDefault="005A3777" w:rsidP="005A3777">
      <w:pPr>
        <w:pStyle w:val="NormalIndent"/>
        <w:ind w:left="0"/>
      </w:pPr>
      <w:r w:rsidRPr="0068710E">
        <w:t>In deciding to apply a rating system consider</w:t>
      </w:r>
      <w:r>
        <w:t xml:space="preserve"> advice from sustainability experts including</w:t>
      </w:r>
      <w:r w:rsidRPr="0068710E">
        <w:t xml:space="preserve">: </w:t>
      </w:r>
    </w:p>
    <w:p w14:paraId="1C024303" w14:textId="75EE40E4" w:rsidR="005A3777" w:rsidRDefault="000B009D" w:rsidP="005A3777">
      <w:pPr>
        <w:pStyle w:val="Bullet1"/>
      </w:pPr>
      <w:r>
        <w:t>t</w:t>
      </w:r>
      <w:r w:rsidRPr="0068710E">
        <w:t xml:space="preserve">he </w:t>
      </w:r>
      <w:r w:rsidR="005A3777">
        <w:t xml:space="preserve">potential for the </w:t>
      </w:r>
      <w:r w:rsidR="005A3777" w:rsidRPr="0068710E">
        <w:t xml:space="preserve">certification process </w:t>
      </w:r>
      <w:r w:rsidR="005A3777">
        <w:t>to</w:t>
      </w:r>
      <w:r w:rsidR="005A3777" w:rsidRPr="0068710E">
        <w:t xml:space="preserve"> add rigour to the </w:t>
      </w:r>
      <w:r w:rsidR="005A3777">
        <w:t xml:space="preserve">consideration of sustainability in the </w:t>
      </w:r>
      <w:r w:rsidR="005A3777" w:rsidRPr="0068710E">
        <w:t xml:space="preserve">design and construction process, </w:t>
      </w:r>
      <w:r w:rsidR="005A3777">
        <w:t>and</w:t>
      </w:r>
      <w:r w:rsidR="005A3777" w:rsidRPr="0068710E" w:rsidDel="001F314B">
        <w:t xml:space="preserve"> </w:t>
      </w:r>
      <w:r w:rsidR="005A3777">
        <w:t>support</w:t>
      </w:r>
      <w:r w:rsidR="005A3777" w:rsidRPr="0068710E">
        <w:t xml:space="preserve"> efficient operational outcomes</w:t>
      </w:r>
    </w:p>
    <w:p w14:paraId="1DD17E2B" w14:textId="2514B4D5" w:rsidR="005A3777" w:rsidRPr="0068710E" w:rsidRDefault="000B009D" w:rsidP="005A3777">
      <w:pPr>
        <w:pStyle w:val="Bullet1"/>
      </w:pPr>
      <w:r>
        <w:t>t</w:t>
      </w:r>
      <w:r w:rsidRPr="0068710E">
        <w:t xml:space="preserve">he </w:t>
      </w:r>
      <w:r w:rsidR="005A3777" w:rsidRPr="0068710E">
        <w:t>cost in administering the rating system and achieving certification</w:t>
      </w:r>
    </w:p>
    <w:p w14:paraId="08E1F451" w14:textId="3BF8180A" w:rsidR="005A3777" w:rsidRPr="0068710E" w:rsidRDefault="000B009D" w:rsidP="005A3777">
      <w:pPr>
        <w:pStyle w:val="Bullet1"/>
      </w:pPr>
      <w:r>
        <w:t>t</w:t>
      </w:r>
      <w:r w:rsidRPr="0068710E">
        <w:t xml:space="preserve">he </w:t>
      </w:r>
      <w:r w:rsidR="005A3777">
        <w:t xml:space="preserve">value of </w:t>
      </w:r>
      <w:r w:rsidR="005A3777" w:rsidRPr="0068710E">
        <w:t xml:space="preserve">the </w:t>
      </w:r>
      <w:r w:rsidR="005A3777" w:rsidRPr="00641140">
        <w:t xml:space="preserve">certification </w:t>
      </w:r>
      <w:r w:rsidR="005A3777" w:rsidRPr="009B2B67">
        <w:t>to the organisation</w:t>
      </w:r>
      <w:r w:rsidR="005A3777" w:rsidRPr="00641140">
        <w:t xml:space="preserve"> and </w:t>
      </w:r>
      <w:r w:rsidR="005A3777" w:rsidRPr="00220645">
        <w:t>community</w:t>
      </w:r>
      <w:r w:rsidR="005A3777" w:rsidRPr="0068710E">
        <w:t xml:space="preserve"> </w:t>
      </w:r>
    </w:p>
    <w:p w14:paraId="3B804C9B" w14:textId="38BAE5AF" w:rsidR="005A3777" w:rsidRDefault="005A3777" w:rsidP="005A3777">
      <w:r w:rsidRPr="00C226A9">
        <w:t xml:space="preserve">Where a suitable rating tool is not available, agencies </w:t>
      </w:r>
      <w:r>
        <w:t xml:space="preserve">should consult rating </w:t>
      </w:r>
      <w:r w:rsidRPr="00CA06B1">
        <w:t>tool and certification scheme administrato</w:t>
      </w:r>
      <w:r>
        <w:t xml:space="preserve">rs to assess whether the rating tool can be adapted. If this is not possible, the agency </w:t>
      </w:r>
      <w:r w:rsidRPr="00C226A9">
        <w:t>may elect to develop an in</w:t>
      </w:r>
      <w:r w:rsidR="00601819">
        <w:noBreakHyphen/>
      </w:r>
      <w:r w:rsidRPr="00C226A9">
        <w:t>house alternative.</w:t>
      </w:r>
      <w:r>
        <w:t xml:space="preserve"> Wherever possible t</w:t>
      </w:r>
      <w:r w:rsidRPr="00C226A9">
        <w:t xml:space="preserve">hese should be developed </w:t>
      </w:r>
      <w:r>
        <w:t xml:space="preserve">in collaboration with rating </w:t>
      </w:r>
      <w:r w:rsidRPr="00CA06B1">
        <w:t>tool and certification scheme administrato</w:t>
      </w:r>
      <w:r>
        <w:t xml:space="preserve">rs considering lessons from existing rating tools </w:t>
      </w:r>
      <w:r w:rsidRPr="00C226A9">
        <w:t>and maintained at a portfolio level, with assessment against the performance rating to be conducted independently of the team and contractor delivering the project.</w:t>
      </w:r>
      <w:r w:rsidRPr="006868F0">
        <w:t xml:space="preserve"> </w:t>
      </w:r>
      <w:r>
        <w:t>Similarly, the Victorian Government’s</w:t>
      </w:r>
      <w:r w:rsidRPr="009B10DD">
        <w:t xml:space="preserve"> Office Accommodation Guidelines</w:t>
      </w:r>
      <w:r>
        <w:t xml:space="preserve"> suggest that it may not be feasible to engage an ESD consultant to pursue ‘an official rating for office accommodation projects of less than 2000 square metres. In these situations, a ‘best endeavours’ approach, which requires best effort to maximise ESD outcomes, should be applied.’</w:t>
      </w:r>
    </w:p>
    <w:p w14:paraId="71DCFDF5" w14:textId="5F74472C" w:rsidR="005A3777" w:rsidRDefault="00601819" w:rsidP="00601819">
      <w:pPr>
        <w:pStyle w:val="Caption"/>
      </w:pPr>
      <w:bookmarkStart w:id="54" w:name="_Toc117258719"/>
      <w:r>
        <w:t xml:space="preserve">Figure </w:t>
      </w:r>
      <w:r>
        <w:fldChar w:fldCharType="begin"/>
      </w:r>
      <w:r>
        <w:instrText>SEQ Figure \* ARABIC</w:instrText>
      </w:r>
      <w:r>
        <w:fldChar w:fldCharType="separate"/>
      </w:r>
      <w:r w:rsidR="00FC7DAA">
        <w:rPr>
          <w:noProof/>
        </w:rPr>
        <w:t>3</w:t>
      </w:r>
      <w:r>
        <w:fldChar w:fldCharType="end"/>
      </w:r>
      <w:r w:rsidR="00434FBE">
        <w:t xml:space="preserve"> –</w:t>
      </w:r>
      <w:r w:rsidR="00C9627A" w:rsidRPr="00A00582">
        <w:t xml:space="preserve"> Rating tool decision approach</w:t>
      </w:r>
      <w:bookmarkEnd w:id="54"/>
    </w:p>
    <w:tbl>
      <w:tblPr>
        <w:tblW w:w="9239" w:type="dxa"/>
        <w:tblLook w:val="04A0" w:firstRow="1" w:lastRow="0" w:firstColumn="1" w:lastColumn="0" w:noHBand="0" w:noVBand="1"/>
      </w:tblPr>
      <w:tblGrid>
        <w:gridCol w:w="417"/>
        <w:gridCol w:w="5726"/>
        <w:gridCol w:w="666"/>
        <w:gridCol w:w="2430"/>
      </w:tblGrid>
      <w:tr w:rsidR="00C9627A" w:rsidRPr="00C9627A" w14:paraId="75313F17" w14:textId="77777777" w:rsidTr="00C9627A">
        <w:trPr>
          <w:trHeight w:val="57"/>
        </w:trPr>
        <w:tc>
          <w:tcPr>
            <w:tcW w:w="9239" w:type="dxa"/>
            <w:gridSpan w:val="4"/>
            <w:tcBorders>
              <w:top w:val="nil"/>
              <w:left w:val="nil"/>
              <w:bottom w:val="nil"/>
              <w:right w:val="nil"/>
            </w:tcBorders>
            <w:shd w:val="clear" w:color="auto" w:fill="auto"/>
            <w:noWrap/>
            <w:vAlign w:val="center"/>
            <w:hideMark/>
          </w:tcPr>
          <w:p w14:paraId="26B47D22" w14:textId="77777777" w:rsidR="00C9627A" w:rsidRPr="00C9627A" w:rsidRDefault="00C9627A" w:rsidP="00601819">
            <w:pPr>
              <w:keepNext/>
              <w:rPr>
                <w:rFonts w:eastAsia="Times New Roman" w:cs="Arial"/>
                <w:color w:val="2F75B5"/>
                <w:sz w:val="2"/>
                <w:szCs w:val="2"/>
              </w:rPr>
            </w:pPr>
          </w:p>
        </w:tc>
      </w:tr>
      <w:tr w:rsidR="00C9627A" w:rsidRPr="00C9627A" w14:paraId="6B1A158B" w14:textId="77777777" w:rsidTr="00C9627A">
        <w:trPr>
          <w:trHeight w:val="303"/>
        </w:trPr>
        <w:tc>
          <w:tcPr>
            <w:tcW w:w="0" w:type="auto"/>
            <w:tcBorders>
              <w:top w:val="nil"/>
              <w:left w:val="nil"/>
              <w:bottom w:val="nil"/>
              <w:right w:val="nil"/>
            </w:tcBorders>
            <w:shd w:val="clear" w:color="auto" w:fill="auto"/>
            <w:vAlign w:val="center"/>
            <w:hideMark/>
          </w:tcPr>
          <w:p w14:paraId="7D4E48F7" w14:textId="77777777" w:rsidR="00C9627A" w:rsidRPr="00C9627A" w:rsidRDefault="00C9627A" w:rsidP="00601819">
            <w:pPr>
              <w:keepNext/>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1</w:t>
            </w:r>
          </w:p>
        </w:tc>
        <w:tc>
          <w:tcPr>
            <w:tcW w:w="5726" w:type="dxa"/>
            <w:tcBorders>
              <w:top w:val="nil"/>
              <w:left w:val="nil"/>
              <w:bottom w:val="nil"/>
              <w:right w:val="nil"/>
            </w:tcBorders>
            <w:shd w:val="clear" w:color="auto" w:fill="00698F" w:themeFill="accent1"/>
            <w:vAlign w:val="center"/>
            <w:hideMark/>
          </w:tcPr>
          <w:p w14:paraId="3F52366C" w14:textId="71D87D4F"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 xml:space="preserve">Is there a rating tool that could be applicable to the </w:t>
            </w:r>
            <w:r>
              <w:rPr>
                <w:rFonts w:eastAsia="Times New Roman" w:cs="Arial"/>
                <w:color w:val="FFFFFF"/>
                <w:sz w:val="17"/>
                <w:szCs w:val="17"/>
              </w:rPr>
              <w:br/>
            </w:r>
            <w:r w:rsidRPr="00C9627A">
              <w:rPr>
                <w:rFonts w:eastAsia="Times New Roman" w:cs="Arial"/>
                <w:color w:val="FFFFFF"/>
                <w:sz w:val="17"/>
                <w:szCs w:val="17"/>
              </w:rPr>
              <w:t>investment type?</w:t>
            </w:r>
          </w:p>
        </w:tc>
        <w:tc>
          <w:tcPr>
            <w:tcW w:w="666" w:type="dxa"/>
            <w:tcBorders>
              <w:top w:val="nil"/>
              <w:left w:val="nil"/>
              <w:bottom w:val="nil"/>
              <w:right w:val="nil"/>
            </w:tcBorders>
            <w:shd w:val="clear" w:color="auto" w:fill="auto"/>
            <w:vAlign w:val="center"/>
            <w:hideMark/>
          </w:tcPr>
          <w:p w14:paraId="4FFEAF77" w14:textId="6F661FCE" w:rsidR="00C9627A" w:rsidRPr="00C9627A" w:rsidRDefault="00A87932" w:rsidP="00234360">
            <w:pPr>
              <w:spacing w:before="0" w:after="0" w:line="240" w:lineRule="auto"/>
              <w:jc w:val="center"/>
              <w:rPr>
                <w:rFonts w:eastAsia="Times New Roman" w:cs="Arial"/>
                <w:color w:val="000000"/>
                <w:sz w:val="18"/>
                <w:szCs w:val="18"/>
              </w:rPr>
            </w:pPr>
            <w:r w:rsidRPr="00C9627A">
              <w:rPr>
                <w:noProof/>
                <w:sz w:val="17"/>
                <w:szCs w:val="17"/>
              </w:rPr>
              <mc:AlternateContent>
                <mc:Choice Requires="wpg">
                  <w:drawing>
                    <wp:anchor distT="0" distB="0" distL="114300" distR="114300" simplePos="0" relativeHeight="251653120" behindDoc="0" locked="0" layoutInCell="1" allowOverlap="1" wp14:anchorId="4EB4D930" wp14:editId="60911AEE">
                      <wp:simplePos x="0" y="0"/>
                      <wp:positionH relativeFrom="column">
                        <wp:posOffset>-57785</wp:posOffset>
                      </wp:positionH>
                      <wp:positionV relativeFrom="paragraph">
                        <wp:posOffset>-10160</wp:posOffset>
                      </wp:positionV>
                      <wp:extent cx="303530" cy="414020"/>
                      <wp:effectExtent l="0" t="0" r="1270" b="5080"/>
                      <wp:wrapNone/>
                      <wp:docPr id="16" name="Group 16"/>
                      <wp:cNvGraphicFramePr/>
                      <a:graphic xmlns:a="http://schemas.openxmlformats.org/drawingml/2006/main">
                        <a:graphicData uri="http://schemas.microsoft.com/office/word/2010/wordprocessingGroup">
                          <wpg:wgp>
                            <wpg:cNvGrpSpPr/>
                            <wpg:grpSpPr>
                              <a:xfrm>
                                <a:off x="0" y="0"/>
                                <a:ext cx="303530" cy="414020"/>
                                <a:chOff x="-22718" y="0"/>
                                <a:chExt cx="303703" cy="519115"/>
                              </a:xfrm>
                            </wpg:grpSpPr>
                            <wps:wsp>
                              <wps:cNvPr id="19" name="Isosceles Triangle 19"/>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20" name="TextBox 2"/>
                              <wps:cNvSpPr txBox="1"/>
                              <wps:spPr>
                                <a:xfrm>
                                  <a:off x="-22718" y="96812"/>
                                  <a:ext cx="285115" cy="3399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7BD595" w14:textId="77777777" w:rsidR="00FE0687" w:rsidRDefault="00FE0687" w:rsidP="00A87932">
                                    <w:pPr>
                                      <w:spacing w:before="0"/>
                                      <w:jc w:val="both"/>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4EB4D930" id="Group 16" o:spid="_x0000_s1026" style="position:absolute;left:0;text-align:left;margin-left:-4.55pt;margin-top:-.8pt;width:23.9pt;height:32.6pt;z-index:251653120" coordorigin="-22718" coordsize="303703,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oiWAMAANoIAAAOAAAAZHJzL2Uyb0RvYy54bWy8VttO3DAQfa/Uf7DyDrmxwEYsqIWCkKoW&#10;Af0Ar+Mklhw7tc1u+PuOx3EWKL2ISuUhOM5cj88Z78nZ2Euy4cYKrVZJvp8lhCuma6HaVfLt/nLv&#10;OCHWUVVTqRVfJY/cJmen79+dbIeKF7rTsuaGQBBlq+2wSjrnhipNLet4T+2+HriCj402PXXwatq0&#10;NnQL0XuZFll2mG61qQejGbcWdi/Cx+QU4zcNZ+5r01juiFwlUJvDp8Hn2j/T0xNatYYOnWBTGfQN&#10;VfRUKEg6h7qgjpIHI34K1QtmtNWN22e6T3XTCMaxB+gmz150c2X0w4C9tNW2HWaYANoXOL05LPuy&#10;uTLD3XBjAInt0AIW+OZ7GRvT+/9QJRkRsscZMj46wmCzzMpFCcAy+HSQH2TFBCnrAHfvtVcURzmQ&#10;YOfKuk8756OsDM6LfJnnC38eacycPqtnOwBD7A4E+28g3HV04IitrQCEG0NEDQReJkTRHoh6bbVl&#10;XHJL7o2gqpWcwEcECR1myGxlAb2IFzEaOLY4yPwfMmJCb295dFguEAeA6WCJrdIq4ji1jzgW5XFe&#10;PIeCVoOx7orrnvjFKnFTUZiCbj5bF5CLZr4eq6WoL4WU+OIVxc+lIRsKWqCMceXyCe9nllJ5e6W9&#10;Zwjqd+AwYqe4co+SezupbnkD2MFRF1gMSvfnRFhDR2se8i8QnxB+9sCzx4DeuoH8c+z8d7FDmMne&#10;u3JU/uwcDmJO8xoCswdm1srNzr1Q2ryWXc7wNcE+ghSg8Sitdf0IzJLXCtjqx09cmLhYx4Vx8lyH&#10;IUUV6zTMKOZiXq54WfvKGHDT0IkD2rhOT7Pr0kANWCUQkEgaBh3MXMxr+Aa4nR0HVga4QigfVIq2&#10;c7eiJUbAZHGd4fzGJaQWUIOLDAG6YA3Ig9DX1C+I0o+O/6BOGC6TOu9BNx/1SIoXiiRuhG3oNe4/&#10;1abvNapxN5WWh6A2b74TY3G88LMIxViWy2V5OKEQJ2JU2XQQBq4ZxP4XQtxp6c8iilw17dqLNVxV&#10;cCzQerywYEC+LpK/8/2zTn6f+w1ScWOcNL+UihvXIxzCE9Vs4VZeJfb7AzU8Ia/oI2Cu9IcHpxuB&#10;A3Dn/pSceJHABYrzZRKMv6GfvqP97ifJ6Q8AAAD//wMAUEsDBBQABgAIAAAAIQCCV1G/3gAAAAcB&#10;AAAPAAAAZHJzL2Rvd25yZXYueG1sTI5BS8NAFITvgv9heYK3dhODsU2zKaWopyK0FcTbNvuahGbf&#10;huw2Sf+9z5OehmGGmS9fT7YVA/a+caQgnkcgkEpnGqoUfB7fZgsQPmgyunWECm7oYV3c3+U6M26k&#10;PQ6HUAkeIZ9pBXUIXSalL2u02s9dh8TZ2fVWB7Z9JU2vRx63rXyKolRa3RA/1LrDbY3l5XC1Ct5H&#10;PW6S+HXYXc7b2/fx+eNrF6NSjw/TZgUi4BT+yvCLz+hQMNPJXcl40SqYLWNussYpCM6TxQuIk4I0&#10;SUEWufzPX/wAAAD//wMAUEsBAi0AFAAGAAgAAAAhALaDOJL+AAAA4QEAABMAAAAAAAAAAAAAAAAA&#10;AAAAAFtDb250ZW50X1R5cGVzXS54bWxQSwECLQAUAAYACAAAACEAOP0h/9YAAACUAQAACwAAAAAA&#10;AAAAAAAAAAAvAQAAX3JlbHMvLnJlbHNQSwECLQAUAAYACAAAACEAH8xaIlgDAADaCAAADgAAAAAA&#10;AAAAAAAAAAAuAgAAZHJzL2Uyb0RvYy54bWxQSwECLQAUAAYACAAAACEAgldRv94AAAAHAQAADwAA&#10;AAAAAAAAAAAAAACyBQAAZHJzL2Rvd25yZXYueG1sUEsFBgAAAAAEAAQA8wAAAL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7"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dSvgAAANsAAAAPAAAAZHJzL2Rvd25yZXYueG1sRE9Na8JA&#10;EL0L/Q/LFHrTSYWKpq5BAkVPpcZCr9PsmASzsyG7xvTfdwXB2zze56yz0bZq4N43TjS8zhJQLKUz&#10;jVQavo8f0yUoH0gMtU5Ywx97yDZPkzWlxl3lwEMRKhVDxKekoQ6hSxF9WbMlP3MdS+ROrrcUIuwr&#10;ND1dY7htcZ4kC7TUSGyoqeO85vJcXKwGCYhSnMZBKN/9vK0+Ub5+UeuX53H7DirwGB7iu3tv4vwV&#10;3H6JB+DmHwAA//8DAFBLAQItABQABgAIAAAAIQDb4fbL7gAAAIUBAAATAAAAAAAAAAAAAAAAAAAA&#10;AABbQ29udGVudF9UeXBlc10ueG1sUEsBAi0AFAAGAAgAAAAhAFr0LFu/AAAAFQEAAAsAAAAAAAAA&#10;AAAAAAAAHwEAAF9yZWxzLy5yZWxzUEsBAi0AFAAGAAgAAAAhAH2o91K+AAAA2wAAAA8AAAAAAAAA&#10;AAAAAAAABwIAAGRycy9kb3ducmV2LnhtbFBLBQYAAAAAAwADALcAAADyAgAAAAA=&#10;" fillcolor="#00698f [3204]" stroked="f" strokeweight="2pt">
                        <v:textbox inset="0,0,0,0"/>
                      </v:shape>
                      <v:shapetype id="_x0000_t202" coordsize="21600,21600" o:spt="202" path="m,l,21600r21600,l21600,xe">
                        <v:stroke joinstyle="miter"/>
                        <v:path gradientshapeok="t" o:connecttype="rect"/>
                      </v:shapetype>
                      <v:shape id="TextBox 2" o:spid="_x0000_s1028" type="#_x0000_t202" style="position:absolute;left:-22718;top:96812;width:285115;height:33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A7BD595" w14:textId="77777777" w:rsidR="00FE0687" w:rsidRDefault="00FE0687" w:rsidP="00A87932">
                              <w:pPr>
                                <w:spacing w:before="0"/>
                                <w:jc w:val="both"/>
                                <w:rPr>
                                  <w:sz w:val="24"/>
                                  <w:szCs w:val="24"/>
                                </w:rPr>
                              </w:pPr>
                              <w:r>
                                <w:rPr>
                                  <w:rFonts w:hAnsi="Arial"/>
                                  <w:color w:val="FFFFFF" w:themeColor="background1"/>
                                  <w:sz w:val="22"/>
                                  <w:szCs w:val="22"/>
                                </w:rPr>
                                <w:t>N</w:t>
                              </w:r>
                            </w:p>
                          </w:txbxContent>
                        </v:textbox>
                      </v:shape>
                    </v:group>
                  </w:pict>
                </mc:Fallback>
              </mc:AlternateContent>
            </w:r>
          </w:p>
        </w:tc>
        <w:tc>
          <w:tcPr>
            <w:tcW w:w="2430" w:type="dxa"/>
            <w:vMerge w:val="restart"/>
            <w:tcBorders>
              <w:top w:val="nil"/>
              <w:left w:val="nil"/>
              <w:bottom w:val="nil"/>
              <w:right w:val="nil"/>
            </w:tcBorders>
            <w:shd w:val="clear" w:color="auto" w:fill="D9D9D9" w:themeFill="background1" w:themeFillShade="D9"/>
            <w:vAlign w:val="center"/>
            <w:hideMark/>
          </w:tcPr>
          <w:p w14:paraId="789E4716" w14:textId="77777777" w:rsidR="00C9627A" w:rsidRPr="00C9627A" w:rsidRDefault="00C9627A" w:rsidP="00234360">
            <w:pPr>
              <w:spacing w:before="0" w:after="0" w:line="240" w:lineRule="auto"/>
              <w:ind w:left="-250" w:firstLine="250"/>
              <w:jc w:val="center"/>
              <w:rPr>
                <w:rFonts w:eastAsia="Times New Roman" w:cs="Arial"/>
                <w:color w:val="262626"/>
                <w:sz w:val="17"/>
                <w:szCs w:val="17"/>
              </w:rPr>
            </w:pPr>
            <w:r w:rsidRPr="00C9627A">
              <w:rPr>
                <w:rFonts w:eastAsia="Times New Roman" w:cs="Arial"/>
                <w:color w:val="262626"/>
                <w:sz w:val="17"/>
                <w:szCs w:val="17"/>
              </w:rPr>
              <w:t>Proceed without a rating tool.</w:t>
            </w:r>
          </w:p>
        </w:tc>
      </w:tr>
      <w:tr w:rsidR="00C9627A" w:rsidRPr="00C9627A" w14:paraId="74AB8DFF" w14:textId="77777777" w:rsidTr="00C9627A">
        <w:trPr>
          <w:trHeight w:val="555"/>
        </w:trPr>
        <w:tc>
          <w:tcPr>
            <w:tcW w:w="0" w:type="auto"/>
            <w:tcBorders>
              <w:top w:val="nil"/>
              <w:left w:val="nil"/>
              <w:bottom w:val="nil"/>
              <w:right w:val="nil"/>
            </w:tcBorders>
            <w:shd w:val="clear" w:color="auto" w:fill="auto"/>
            <w:vAlign w:val="center"/>
            <w:hideMark/>
          </w:tcPr>
          <w:p w14:paraId="62B96DC1"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vAlign w:val="center"/>
            <w:hideMark/>
          </w:tcPr>
          <w:p w14:paraId="7EB4737B" w14:textId="3BF32EBC" w:rsidR="00C9627A" w:rsidRPr="00C9627A" w:rsidRDefault="00A87932" w:rsidP="00234360">
            <w:pPr>
              <w:spacing w:before="0" w:after="0" w:line="240" w:lineRule="auto"/>
              <w:jc w:val="center"/>
              <w:rPr>
                <w:rFonts w:eastAsia="Times New Roman" w:cs="Arial"/>
                <w:color w:val="44546A"/>
                <w:sz w:val="18"/>
                <w:szCs w:val="18"/>
              </w:rPr>
            </w:pPr>
            <w:r w:rsidRPr="00C9627A">
              <w:rPr>
                <w:rFonts w:eastAsia="Times New Roman" w:cs="Arial"/>
                <w:noProof/>
                <w:color w:val="44546A"/>
                <w:sz w:val="18"/>
                <w:szCs w:val="18"/>
              </w:rPr>
              <mc:AlternateContent>
                <mc:Choice Requires="wpg">
                  <w:drawing>
                    <wp:anchor distT="0" distB="0" distL="114300" distR="114300" simplePos="0" relativeHeight="251649024" behindDoc="0" locked="0" layoutInCell="1" allowOverlap="1" wp14:anchorId="2CD7721B" wp14:editId="0254600E">
                      <wp:simplePos x="0" y="0"/>
                      <wp:positionH relativeFrom="column">
                        <wp:posOffset>-44450</wp:posOffset>
                      </wp:positionH>
                      <wp:positionV relativeFrom="paragraph">
                        <wp:posOffset>13335</wp:posOffset>
                      </wp:positionV>
                      <wp:extent cx="518795" cy="280035"/>
                      <wp:effectExtent l="0" t="0" r="0" b="5715"/>
                      <wp:wrapNone/>
                      <wp:docPr id="12" name="Group 12"/>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13" name="Isosceles Triangle 13"/>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15" name="TextBox 25"/>
                              <wps:cNvSpPr txBox="1"/>
                              <wps:spPr>
                                <a:xfrm>
                                  <a:off x="127779" y="-28607"/>
                                  <a:ext cx="277666"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23215D" w14:textId="77777777" w:rsidR="00FE0687" w:rsidRDefault="00FE0687"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2CD7721B" id="Group 12" o:spid="_x0000_s1029" style="position:absolute;left:0;text-align:left;margin-left:-3.5pt;margin-top:1.05pt;width:40.85pt;height:22.05pt;z-index:251649024"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l3UwMAANwIAAAOAAAAZHJzL2Uyb0RvYy54bWy8Vt1u2yAYvZ+0d0C+bx0ny6+aVFu7VpOm&#10;rWq7ByAY20gYLKCJ+/b7+DBO0qTd1EnrhYsN3w+Hcw65uGxrSTbcWKHVMsnOBwnhiulcqHKZ/Hq8&#10;OZslxDqqciq14svkmdvkcvXxw8W2WfChrrTMuSGQRNnFtlkmlXPNIk0tq3hN7bluuILJQpuaOng1&#10;ZZobuoXstUyHg8Ek3WqTN0Yzbi18vQ6TyQrzFwVn7mdRWO6IXCbQm8OnwefaP9PVBV2UhjaVYF0b&#10;9B1d1FQoKNqnuqaOkicjjlLVghltdeHOma5TXRSCcdwD7CYbvNjNrdFPDe6lXGzLpocJoH2B07vT&#10;sh+bW9M8NHcGkNg2JWCBb34vbWFq/x+6JC1C9txDxltHGHwcZ7PpfJwQBlPD2WAwGgdIWQW476LO&#10;hrPJYBqnvvbB8yzrg7PhZO5XpLFyetDPtgGG2B0I9t9AeKhowxFbuwAQ7gwRORB4lBBFayDqN6st&#10;45Jb8mgEVaXkBCYRJAzoIbMLC+hFvIjRwLFsAFDAH1LiAL7s03jU4bCDcA+F0SwbIoQ9CnTRGOtu&#10;ua6JHywT1/WDyenmu3UBtLjMt2K1FPmNkBJfvJj4lTRkQ0EGlDGuXNZBfbBSKr9eaR8ZkvovcA5x&#10;kzhyz5L7dVLd8wJgAxoMsRlU7XEh7KGiOQ/1x4hMSN9H4LFjQr+6gPp97uyt3CFNt96HchR9HxyO&#10;oC9zCoE+Aitr5frgWihtTlWXPXxFWB9BCtB4lNY6fwZSyW8KiOqdJw5MHKzjwDh5pYM/UcUqDfbE&#10;XKzLFR/lvjMGtDS044A2rtKdbd0Y6AG7BO4RSYPHgd1iXcM3e3wMcIVUPqkUZeXuRUmMAFNxleH8&#10;ziUkF9CDiwwBumAPyIOwr26/oEfvGv9DmGATQZiPoJsvuiVBJr44yNerkbgWvsNmo0r3dek32wkx&#10;G06n03lCwLH2bSnKEWYnk0nnaONxlh2a0pEcDdwxiP4rUtypCcWDXoGjEzKKbDXl2ss13FNwMMCf&#10;eFuBL5yWyd/F/lkpb9d+h1hcG73mVbG4dt0G/41n18lnCzfzMlHw0yEhJ2QSgFf685PThUAf9NAe&#10;cxSvErhC0WY63fg7ev8dOb37UbL6DQAA//8DAFBLAwQUAAYACAAAACEAqUBC894AAAAGAQAADwAA&#10;AGRycy9kb3ducmV2LnhtbEyPQUvDQBSE74L/YXmCt3aTWJsS81JKUU9FsBWkt9fsaxKa3Q3ZbZL+&#10;e9eTHocZZr7J15NuxcC9a6xBiOcRCDalVY2pEL4Ob7MVCOfJKGqtYYQbO1gX93c5ZcqO5pOHva9E&#10;KDEuI4Ta+y6T0pU1a3Jz27EJ3tn2mnyQfSVVT2Mo161MomgpNTUmLNTU8bbm8rK/aoT3kcbNU/w6&#10;7C7n7e14eP743sWM+PgwbV5AeJ78Xxh+8QM6FIHpZK9GOdEizNJwxSMkMYhgp4sUxAlhsUxAFrn8&#10;j1/8AAAA//8DAFBLAQItABQABgAIAAAAIQC2gziS/gAAAOEBAAATAAAAAAAAAAAAAAAAAAAAAABb&#10;Q29udGVudF9UeXBlc10ueG1sUEsBAi0AFAAGAAgAAAAhADj9If/WAAAAlAEAAAsAAAAAAAAAAAAA&#10;AAAALwEAAF9yZWxzLy5yZWxzUEsBAi0AFAAGAAgAAAAhABkimXdTAwAA3AgAAA4AAAAAAAAAAAAA&#10;AAAALgIAAGRycy9lMm9Eb2MueG1sUEsBAi0AFAAGAAgAAAAhAKlAQvPeAAAABgEAAA8AAAAAAAAA&#10;AAAAAAAArQUAAGRycy9kb3ducmV2LnhtbFBLBQYAAAAABAAEAPMAAAC4BgAAAAA=&#10;">
                      <v:shape id="Isosceles Triangle 13" o:spid="_x0000_s1030"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y7wAAAANsAAAAPAAAAZHJzL2Rvd25yZXYueG1sRE9LawIx&#10;EL4X/A9hhN5q1hZEVqOIpaW9+Tp4HDbj7mIysySpu+2vbwoFb/PxPWe5HrxTNwqxFTYwnRSgiCux&#10;LdcGTse3pzmomJAtOmEy8E0R1qvRwxJLKz3v6XZItcohHEs00KTUlVrHqiGPcSIdceYuEjymDEOt&#10;bcA+h3unn4tipj22nBsa7GjbUHU9fHkDx/3Gfb67vuMw/Jx34vyriDfmcTxsFqASDeku/nd/2Dz/&#10;Bf5+yQfo1S8AAAD//wMAUEsBAi0AFAAGAAgAAAAhANvh9svuAAAAhQEAABMAAAAAAAAAAAAAAAAA&#10;AAAAAFtDb250ZW50X1R5cGVzXS54bWxQSwECLQAUAAYACAAAACEAWvQsW78AAAAVAQAACwAAAAAA&#10;AAAAAAAAAAAfAQAAX3JlbHMvLnJlbHNQSwECLQAUAAYACAAAACEAOaZMu8AAAADbAAAADwAAAAAA&#10;AAAAAAAAAAAHAgAAZHJzL2Rvd25yZXYueG1sUEsFBgAAAAADAAMAtwAAAPQCAAAAAA==&#10;" fillcolor="#00698f [3204]" stroked="f" strokeweight="2pt">
                        <v:textbox inset="0,0,0,0"/>
                      </v:shape>
                      <v:shape id="TextBox 25" o:spid="_x0000_s1031" type="#_x0000_t202" style="position:absolute;left:127779;top:-28607;width:277666;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YxAAAANsAAAAPAAAAZHJzL2Rvd25yZXYueG1sRE9NS8NA&#10;EL0X/A/LCF6k2SSilJhtEUURLCm2PXgcs2MSzc6G3TWN/vquIPQ2j/c55WoyvRjJ+c6ygixJQRDX&#10;VnfcKNjvHucLED4ga+wtk4If8rBans1KLLQ98CuN29CIGMK+QAVtCEMhpa9bMugTOxBH7sM6gyFC&#10;10jt8BDDTS/zNL2RBjuODS0OdN9S/bX9Ngp+N25t83z9lL2/XXVjeLj8rF4qpS7Op7tbEIGmcBL/&#10;u591nH8Nf7/EA+TyCAAA//8DAFBLAQItABQABgAIAAAAIQDb4fbL7gAAAIUBAAATAAAAAAAAAAAA&#10;AAAAAAAAAABbQ29udGVudF9UeXBlc10ueG1sUEsBAi0AFAAGAAgAAAAhAFr0LFu/AAAAFQEAAAsA&#10;AAAAAAAAAAAAAAAAHwEAAF9yZWxzLy5yZWxzUEsBAi0AFAAGAAgAAAAhAGo+L9jEAAAA2wAAAA8A&#10;AAAAAAAAAAAAAAAABwIAAGRycy9kb3ducmV2LnhtbFBLBQYAAAAAAwADALcAAAD4AgAAAAA=&#10;" filled="f" stroked="f">
                        <v:textbox>
                          <w:txbxContent>
                            <w:p w14:paraId="0523215D" w14:textId="77777777" w:rsidR="00FE0687" w:rsidRDefault="00FE0687" w:rsidP="00C9627A">
                              <w:pPr>
                                <w:spacing w:before="0"/>
                                <w:rPr>
                                  <w:sz w:val="24"/>
                                  <w:szCs w:val="24"/>
                                </w:rPr>
                              </w:pPr>
                              <w:r>
                                <w:rPr>
                                  <w:rFonts w:hAnsi="Arial"/>
                                  <w:color w:val="FFFFFF" w:themeColor="background1"/>
                                  <w:sz w:val="22"/>
                                  <w:szCs w:val="22"/>
                                </w:rPr>
                                <w:t>Y</w:t>
                              </w:r>
                            </w:p>
                          </w:txbxContent>
                        </v:textbox>
                      </v:shape>
                    </v:group>
                  </w:pict>
                </mc:Fallback>
              </mc:AlternateContent>
            </w:r>
            <w:r w:rsidRPr="00C9627A">
              <w:rPr>
                <w:noProof/>
                <w:sz w:val="17"/>
                <w:szCs w:val="17"/>
              </w:rPr>
              <mc:AlternateContent>
                <mc:Choice Requires="wpg">
                  <w:drawing>
                    <wp:anchor distT="0" distB="0" distL="114300" distR="114300" simplePos="0" relativeHeight="251665408" behindDoc="0" locked="0" layoutInCell="1" allowOverlap="1" wp14:anchorId="6AC0D077" wp14:editId="5F8C6F0A">
                      <wp:simplePos x="0" y="0"/>
                      <wp:positionH relativeFrom="column">
                        <wp:posOffset>3566160</wp:posOffset>
                      </wp:positionH>
                      <wp:positionV relativeFrom="page">
                        <wp:posOffset>317500</wp:posOffset>
                      </wp:positionV>
                      <wp:extent cx="313055" cy="411480"/>
                      <wp:effectExtent l="0" t="0" r="0" b="7620"/>
                      <wp:wrapNone/>
                      <wp:docPr id="21" name="Group 21"/>
                      <wp:cNvGraphicFramePr/>
                      <a:graphic xmlns:a="http://schemas.openxmlformats.org/drawingml/2006/main">
                        <a:graphicData uri="http://schemas.microsoft.com/office/word/2010/wordprocessingGroup">
                          <wpg:wgp>
                            <wpg:cNvGrpSpPr/>
                            <wpg:grpSpPr>
                              <a:xfrm>
                                <a:off x="0" y="0"/>
                                <a:ext cx="313055" cy="411480"/>
                                <a:chOff x="-34306" y="0"/>
                                <a:chExt cx="315291" cy="519115"/>
                              </a:xfrm>
                            </wpg:grpSpPr>
                            <wps:wsp>
                              <wps:cNvPr id="451" name="Isosceles Triangle 451"/>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2" name="TextBox 2"/>
                              <wps:cNvSpPr txBox="1"/>
                              <wps:spPr>
                                <a:xfrm>
                                  <a:off x="-34306" y="75642"/>
                                  <a:ext cx="285115" cy="33993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6E8247" w14:textId="77777777" w:rsidR="00FE0687" w:rsidRDefault="00FE0687" w:rsidP="00C9627A">
                                    <w:pPr>
                                      <w:spacing w:before="0"/>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6AC0D077" id="Group 21" o:spid="_x0000_s1032" style="position:absolute;left:0;text-align:left;margin-left:280.8pt;margin-top:25pt;width:24.65pt;height:32.4pt;z-index:251665408;mso-position-vertical-relative:page" coordorigin="-34306" coordsize="315291,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FYQMAAOQIAAAOAAAAZHJzL2Uyb0RvYy54bWy8lltP3DgUx98r7Xew8g65TWAmYkC7tKBK&#10;1S5q2Q/gcZzEkmNnbTMTvn2Pj+MMUNquqFQeQi4+t5/P/3gurqZBkj03Vmi1TfLTLCFcMd0I1W2T&#10;f+9vTtYJsY6qhkqt+DZ55Da5uvzj3cVhrHmhey0bbgg4UbY+jNukd26s09Syng/UnuqRK/jYajNQ&#10;B4+mSxtDD+B9kGmRZWfpQZtmNJpxa+Ht+/AxuUT/bcuZ+6dtLXdEbhPIzeHV4HXnr+nlBa07Q8de&#10;sDkN+oYsBioUBF1cvaeOkgcjvnE1CGa01a07ZXpIddsKxrEGqCbPXlRza/TDiLV09aEbF0yA9gWn&#10;N7tlf+9vzfhlvDNA4jB2wAKffC1Tawb/H7IkEyJ7XJDxyREGL8u8zKoqIQw+rfJ8tZ6Rsh64e6uT&#10;clVmZwk5mrL+w2JcFZs8GFf5Js8rvx9pjJw+y+cwQofYIwT7axC+9HTkyNbWAOHOENFACRWko+gA&#10;nfrRasu45JbcG0FVJznxXxETmizQbG2BXyRGjIYuq1aZ/8OemPmdbM7PSkAFJPJVttpgsbSOJGcA&#10;SLIo13nxHAatR2PdLdcD8TfbxM1ZYQi6/2RdYBeX+XyslqK5EVLig9cUv5aG7CmogTLGlcOCgPiz&#10;lVL59Up7y+DUv4HtiJXinXuU3K+T6jNvgR5sdoHJoHi/DYQ59LThIX6FfIL7xQJ3Hx361S3EX3zn&#10;P/Id3MzrvSlH7S/GYSOWMK8RWCwwslZuMR6E0ua16HLB14b1EVJA4yntdPMIvSU/KuhXP4DijYk3&#10;u3hjnLzWYUxRxXoNU4q5GJcrXjY+MwbNaejcA9q4Xs/T68ZADpglNCCRNIw6mLoY1/A9tF22Dl0Z&#10;cAVX3qkUXe8+i44YAbPF9YbzO5eQRkAObtYkiCHkgH0Q6prrBVn64fFb9FlEfd6DcP7SEyleSJK4&#10;CV5DsfH9U3H6YqMcj4PpvDpboZujGot15ccRqrEsN5vyfMYQh2KU2bwTBk4ahP8dJR7F9HMVxWY1&#10;3c6rNZxWsC/QPvHMAsW+rpL/Z/tzofw49hu04qY4ar6rFTftJpzCy5bO6jnA+bxN7H8P1PCEvKKT&#10;gF7pPx+cbgUOwqP4njYpHilwlOKcmYXjz+qnz7j++OPk8isAAAD//wMAUEsDBBQABgAIAAAAIQBp&#10;EXRz4AAAAAoBAAAPAAAAZHJzL2Rvd25yZXYueG1sTI/BSsNAEIbvgu+wjODN7q7a0MZsSinqqQi2&#10;gvS2TaZJaHY2ZLdJ+vaOJ73NMB//fH+2mlwrBuxD48mAnikQSIUvG6oMfO3fHhYgQrRU2tYTGrhi&#10;gFV+e5PZtPQjfeKwi5XgEAqpNVDH2KVShqJGZ8PMd0h8O/ne2chrX8mytyOHu1Y+KpVIZxviD7Xt&#10;cFNjcd5dnIH30Y7rJ/06bM+nzfWwn398bzUac383rV9ARJziHwy/+qwOOTsd/YXKIFoD80QnjPKg&#10;uBMDiVZLEEcm9fMCZJ7J/xXyHwAAAP//AwBQSwECLQAUAAYACAAAACEAtoM4kv4AAADhAQAAEwAA&#10;AAAAAAAAAAAAAAAAAAAAW0NvbnRlbnRfVHlwZXNdLnhtbFBLAQItABQABgAIAAAAIQA4/SH/1gAA&#10;AJQBAAALAAAAAAAAAAAAAAAAAC8BAABfcmVscy8ucmVsc1BLAQItABQABgAIAAAAIQCp+UlFYQMA&#10;AOQIAAAOAAAAAAAAAAAAAAAAAC4CAABkcnMvZTJvRG9jLnhtbFBLAQItABQABgAIAAAAIQBpEXRz&#10;4AAAAAoBAAAPAAAAAAAAAAAAAAAAALsFAABkcnMvZG93bnJldi54bWxQSwUGAAAAAAQABADzAAAA&#10;yAYAAAAA&#10;">
                      <v:shape id="Isosceles Triangle 451" o:spid="_x0000_s1033"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pwgAAANwAAAAPAAAAZHJzL2Rvd25yZXYueG1sRI9Ba8JA&#10;FITvgv9heYXe9MVSRdNsRITSnopGwetr9pmEZt+G7Dam/74rFHocZuYbJtuOtlUD975xomExT0Cx&#10;lM40Umk4n15na1A+kBhqnbCGH/awzaeTjFLjbnLkoQiVihDxKWmoQ+hSRF/WbMnPXccSvavrLYUo&#10;+wpNT7cIty0+JckKLTUSF2rqeF9z+VV8Ww0SEKW4joPQ/u2y3HygHD5R68eHcfcCKvAY/sN/7Xej&#10;4Xm5gPuZeAQw/wUAAP//AwBQSwECLQAUAAYACAAAACEA2+H2y+4AAACFAQAAEwAAAAAAAAAAAAAA&#10;AAAAAAAAW0NvbnRlbnRfVHlwZXNdLnhtbFBLAQItABQABgAIAAAAIQBa9CxbvwAAABUBAAALAAAA&#10;AAAAAAAAAAAAAB8BAABfcmVscy8ucmVsc1BLAQItABQABgAIAAAAIQBj+WEpwgAAANwAAAAPAAAA&#10;AAAAAAAAAAAAAAcCAABkcnMvZG93bnJldi54bWxQSwUGAAAAAAMAAwC3AAAA9gIAAAAA&#10;" fillcolor="#00698f [3204]" stroked="f" strokeweight="2pt">
                        <v:textbox inset="0,0,0,0"/>
                      </v:shape>
                      <v:shape id="TextBox 2" o:spid="_x0000_s1034" type="#_x0000_t202" style="position:absolute;left:-34306;top:75642;width:285115;height:33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276E8247" w14:textId="77777777" w:rsidR="00FE0687" w:rsidRDefault="00FE0687" w:rsidP="00C9627A">
                              <w:pPr>
                                <w:spacing w:before="0"/>
                                <w:rPr>
                                  <w:sz w:val="24"/>
                                  <w:szCs w:val="24"/>
                                </w:rPr>
                              </w:pPr>
                              <w:r>
                                <w:rPr>
                                  <w:rFonts w:hAnsi="Arial"/>
                                  <w:color w:val="FFFFFF" w:themeColor="background1"/>
                                  <w:sz w:val="22"/>
                                  <w:szCs w:val="22"/>
                                </w:rPr>
                                <w:t>N</w:t>
                              </w:r>
                            </w:p>
                          </w:txbxContent>
                        </v:textbox>
                      </v:shape>
                      <w10:wrap anchory="page"/>
                    </v:group>
                  </w:pict>
                </mc:Fallback>
              </mc:AlternateContent>
            </w:r>
          </w:p>
        </w:tc>
        <w:tc>
          <w:tcPr>
            <w:tcW w:w="666" w:type="dxa"/>
            <w:tcBorders>
              <w:top w:val="nil"/>
              <w:left w:val="nil"/>
              <w:bottom w:val="nil"/>
              <w:right w:val="nil"/>
            </w:tcBorders>
            <w:shd w:val="clear" w:color="auto" w:fill="auto"/>
            <w:vAlign w:val="center"/>
            <w:hideMark/>
          </w:tcPr>
          <w:p w14:paraId="6BBF24E0" w14:textId="5CBE6455" w:rsidR="00C9627A" w:rsidRPr="00C9627A" w:rsidRDefault="00C9627A" w:rsidP="00234360">
            <w:pPr>
              <w:spacing w:before="0" w:after="0" w:line="240" w:lineRule="auto"/>
              <w:jc w:val="center"/>
              <w:rPr>
                <w:rFonts w:eastAsia="Times New Roman" w:cs="Arial"/>
                <w:color w:val="44546A"/>
                <w:sz w:val="18"/>
                <w:szCs w:val="18"/>
              </w:rPr>
            </w:pPr>
          </w:p>
        </w:tc>
        <w:tc>
          <w:tcPr>
            <w:tcW w:w="2430" w:type="dxa"/>
            <w:vMerge/>
            <w:vAlign w:val="center"/>
            <w:hideMark/>
          </w:tcPr>
          <w:p w14:paraId="1EF6947F" w14:textId="77777777" w:rsidR="00C9627A" w:rsidRPr="00C9627A" w:rsidRDefault="00C9627A" w:rsidP="00234360">
            <w:pPr>
              <w:spacing w:before="0" w:after="0" w:line="240" w:lineRule="auto"/>
              <w:rPr>
                <w:rFonts w:eastAsia="Times New Roman" w:cs="Arial"/>
                <w:color w:val="262626"/>
                <w:sz w:val="18"/>
                <w:szCs w:val="18"/>
              </w:rPr>
            </w:pPr>
          </w:p>
        </w:tc>
      </w:tr>
      <w:tr w:rsidR="00C9627A" w:rsidRPr="00C9627A" w14:paraId="2D1F9DB0" w14:textId="77777777" w:rsidTr="00C9627A">
        <w:trPr>
          <w:trHeight w:val="148"/>
        </w:trPr>
        <w:tc>
          <w:tcPr>
            <w:tcW w:w="0" w:type="auto"/>
            <w:tcBorders>
              <w:top w:val="nil"/>
              <w:left w:val="nil"/>
              <w:bottom w:val="nil"/>
              <w:right w:val="nil"/>
            </w:tcBorders>
            <w:shd w:val="clear" w:color="auto" w:fill="auto"/>
            <w:vAlign w:val="center"/>
            <w:hideMark/>
          </w:tcPr>
          <w:p w14:paraId="747362E0"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2</w:t>
            </w:r>
          </w:p>
        </w:tc>
        <w:tc>
          <w:tcPr>
            <w:tcW w:w="5726" w:type="dxa"/>
            <w:tcBorders>
              <w:top w:val="nil"/>
              <w:left w:val="nil"/>
              <w:bottom w:val="nil"/>
              <w:right w:val="nil"/>
            </w:tcBorders>
            <w:shd w:val="clear" w:color="auto" w:fill="00698F" w:themeFill="accent1"/>
            <w:vAlign w:val="center"/>
            <w:hideMark/>
          </w:tcPr>
          <w:p w14:paraId="09A5134E" w14:textId="1BC9CC91"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 xml:space="preserve">Do the material SITs align with the focus areas of </w:t>
            </w:r>
            <w:r w:rsidR="00A87932">
              <w:rPr>
                <w:rFonts w:eastAsia="Times New Roman" w:cs="Arial"/>
                <w:color w:val="FFFFFF"/>
                <w:sz w:val="17"/>
                <w:szCs w:val="17"/>
              </w:rPr>
              <w:br/>
            </w:r>
            <w:r w:rsidRPr="00C9627A">
              <w:rPr>
                <w:rFonts w:eastAsia="Times New Roman" w:cs="Arial"/>
                <w:color w:val="FFFFFF"/>
                <w:sz w:val="17"/>
                <w:szCs w:val="17"/>
              </w:rPr>
              <w:t>the rating tool?</w:t>
            </w:r>
          </w:p>
        </w:tc>
        <w:tc>
          <w:tcPr>
            <w:tcW w:w="666" w:type="dxa"/>
            <w:vMerge w:val="restart"/>
            <w:tcBorders>
              <w:top w:val="nil"/>
              <w:left w:val="nil"/>
              <w:bottom w:val="nil"/>
              <w:right w:val="nil"/>
            </w:tcBorders>
            <w:shd w:val="clear" w:color="auto" w:fill="auto"/>
            <w:vAlign w:val="center"/>
            <w:hideMark/>
          </w:tcPr>
          <w:p w14:paraId="1CE2486B" w14:textId="416604A3" w:rsidR="00C9627A" w:rsidRPr="00C9627A" w:rsidRDefault="00C9627A" w:rsidP="00234360">
            <w:pPr>
              <w:spacing w:before="0" w:after="0" w:line="240" w:lineRule="auto"/>
              <w:jc w:val="center"/>
              <w:rPr>
                <w:rFonts w:eastAsia="Times New Roman" w:cs="Arial"/>
                <w:color w:val="000000"/>
                <w:sz w:val="18"/>
                <w:szCs w:val="18"/>
              </w:rPr>
            </w:pPr>
            <w:r w:rsidRPr="00C9627A">
              <w:rPr>
                <w:noProof/>
                <w:sz w:val="17"/>
                <w:szCs w:val="17"/>
              </w:rPr>
              <mc:AlternateContent>
                <mc:Choice Requires="wpg">
                  <w:drawing>
                    <wp:anchor distT="0" distB="0" distL="114300" distR="114300" simplePos="0" relativeHeight="251669504" behindDoc="0" locked="0" layoutInCell="1" allowOverlap="1" wp14:anchorId="38952BC0" wp14:editId="7C739388">
                      <wp:simplePos x="0" y="0"/>
                      <wp:positionH relativeFrom="column">
                        <wp:posOffset>-57785</wp:posOffset>
                      </wp:positionH>
                      <wp:positionV relativeFrom="page">
                        <wp:posOffset>590550</wp:posOffset>
                      </wp:positionV>
                      <wp:extent cx="292100" cy="414020"/>
                      <wp:effectExtent l="0" t="0" r="0" b="5080"/>
                      <wp:wrapNone/>
                      <wp:docPr id="453" name="Group 453"/>
                      <wp:cNvGraphicFramePr/>
                      <a:graphic xmlns:a="http://schemas.openxmlformats.org/drawingml/2006/main">
                        <a:graphicData uri="http://schemas.microsoft.com/office/word/2010/wordprocessingGroup">
                          <wpg:wgp>
                            <wpg:cNvGrpSpPr/>
                            <wpg:grpSpPr>
                              <a:xfrm>
                                <a:off x="0" y="0"/>
                                <a:ext cx="292100" cy="414020"/>
                                <a:chOff x="-11521" y="0"/>
                                <a:chExt cx="292506" cy="519115"/>
                              </a:xfrm>
                            </wpg:grpSpPr>
                            <wps:wsp>
                              <wps:cNvPr id="454" name="Isosceles Triangle 454"/>
                              <wps:cNvSpPr/>
                              <wps:spPr>
                                <a:xfrm rot="5400000">
                                  <a:off x="-97635" y="140495"/>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5" name="TextBox 2"/>
                              <wps:cNvSpPr txBox="1"/>
                              <wps:spPr>
                                <a:xfrm>
                                  <a:off x="-11521" y="82569"/>
                                  <a:ext cx="285115" cy="339936"/>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F7E846" w14:textId="77777777" w:rsidR="00FE0687" w:rsidRDefault="00FE0687" w:rsidP="00C9627A">
                                    <w:pPr>
                                      <w:spacing w:before="0"/>
                                      <w:rPr>
                                        <w:sz w:val="24"/>
                                        <w:szCs w:val="24"/>
                                      </w:rPr>
                                    </w:pPr>
                                    <w:r>
                                      <w:rPr>
                                        <w:rFonts w:hAnsi="Arial"/>
                                        <w:color w:val="FFFFFF" w:themeColor="background1"/>
                                        <w:sz w:val="22"/>
                                        <w:szCs w:val="22"/>
                                      </w:rPr>
                                      <w:t>N</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w14:anchorId="38952BC0" id="Group 453" o:spid="_x0000_s1035" style="position:absolute;left:0;text-align:left;margin-left:-4.55pt;margin-top:46.5pt;width:23pt;height:32.6pt;z-index:251669504;mso-position-vertical-relative:page" coordorigin="-11521" coordsize="292506,51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dxXAMAAOQIAAAOAAAAZHJzL2Uyb0RvYy54bWy8lslu2zAQhu8F+g6E7okWW64txCm6JShQ&#10;tEGaPgBNURIBilRJxlbevsOhKCdpuiAFmoOihbN9nH/os9djL8meGyu02ib5aZYQrpiuhWq3ybeb&#10;i5N1QqyjqqZSK75N7rhNXp+/fHF2GCpe6E7LmhsCTpStDsM26ZwbqjS1rOM9tad64Ao+Ntr01MGj&#10;adPa0AN472VaZNkqPWhTD0Yzbi28fR8+Jufov2k4c1+axnJH5DaB3BxeDV53/pqen9GqNXToBJvS&#10;oM/IoqdCQdDZ1XvqKLk14idXvWBGW924U6b7VDeNYBxrgGry7FE1l0bfDlhLWx3aYcYEaB9xerZb&#10;9nl/aYavw5UBEoehBRb45GsZG9P7/5AlGRHZ3YyMj44weFlsijwDsAw+LfNlVkxIWQfcvdVJnpdF&#10;npCjKes+HI3LbBWMy3wDK/1+pDFy+iCfwwAdYo8Q7L9B+NrRgSNbWwGEK0NEDSWUy4Qo2kOnfrTa&#10;Mi65JTdGUNVKTvxXxIQmMzRbWeAXiRGjocvKZeb/sCcmfiebV6tFiSQA1HKDxdIqkpwAIMlisc6L&#10;hzBoNRjrLrnuib/ZJm7KCkPQ/SfrAru4zOdjtRT1hZASH7ym+DtpyJ6CGihjXLl8Iv5gpVR+vdLe&#10;Mjj1b2A7YqV45+4k9+ukuuYN0PPdgMmgeH8OhDl0tOYhfol8gvvZAncfHfrVDcSffee/8x3cTOu9&#10;KUftz8ZhI+YwTxGYLTCyVm427oXS5qnocsbXhPURUkDjKe10fQe9JT8q6Fc/gOKNiTe7eGOcfKfD&#10;mKKKdRqmFHMxLld8UfvMGDSnoVMPaOM6PU2vCwM5YJbQgETSMOpg6mJcw/cwnrN16MqAK7jyTqVo&#10;O3ctWmIEzBbXGc6vXEJqATm42CHQLpgD9kGoa6oXZOmHx3/RJwgo6PMGhPNWj6R4JEniRngNxcb3&#10;98Xpi41yPA6mdVGuNn75UY3FuvTjCNW4WGw2i9WEIQ7FKLNpJwycNAj/F0o8iunPKorNatqdV2s4&#10;rWBfoH3imQUz8mmV/J3tn4Xy+9jP0Iob46j5pVbcuBtxCi/i1k3qOcD5vE3s91tqeEKe0ElAr/Sb&#10;W6cbgYPwKL77TYpHChylOGcm4fiz+v4zrj/+ODn/AQAA//8DAFBLAwQUAAYACAAAACEA8RUDL98A&#10;AAAIAQAADwAAAGRycy9kb3ducmV2LnhtbEyPQWvCQBCF74X+h2UKvekmBsWk2YhI25MUqoXS25od&#10;k2B2NmTXJP77Tk/1OLyPN9/LN5NtxYC9bxwpiOcRCKTSmYYqBV/Ht9kahA+ajG4doYIbetgUjw+5&#10;zowb6ROHQ6gEl5DPtII6hC6T0pc1Wu3nrkPi7Ox6qwOffSVNr0cut61cRNFKWt0Qf6h1h7say8vh&#10;ahW8j3rcJvHrsL+cd7ef4/Ljex+jUs9P0/YFRMAp/MPwp8/qULDTyV3JeNEqmKUxkwrShCdxnqxS&#10;ECfmlusFyCKX9wOKXwAAAP//AwBQSwECLQAUAAYACAAAACEAtoM4kv4AAADhAQAAEwAAAAAAAAAA&#10;AAAAAAAAAAAAW0NvbnRlbnRfVHlwZXNdLnhtbFBLAQItABQABgAIAAAAIQA4/SH/1gAAAJQBAAAL&#10;AAAAAAAAAAAAAAAAAC8BAABfcmVscy8ucmVsc1BLAQItABQABgAIAAAAIQDxOEdxXAMAAOQIAAAO&#10;AAAAAAAAAAAAAAAAAC4CAABkcnMvZTJvRG9jLnhtbFBLAQItABQABgAIAAAAIQDxFQMv3wAAAAgB&#10;AAAPAAAAAAAAAAAAAAAAALYFAABkcnMvZG93bnJldi54bWxQSwUGAAAAAAQABADzAAAAwgYAAAAA&#10;">
                      <v:shape id="Isosceles Triangle 454" o:spid="_x0000_s1036" type="#_x0000_t5" style="position:absolute;left:-97635;top:140495;width:519115;height:2381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KxwgAAANwAAAAPAAAAZHJzL2Rvd25yZXYueG1sRI9Ba8JA&#10;FITvQv/D8gre9KVFpU2zkSIUexKNhV5fs88kNPs2ZLcx/feuIHgcZuYbJluPtlUD975xouFpnoBi&#10;KZ1ppNLwdfyYvYDygcRQ64Q1/LOHdf4wySg17iwHHopQqQgRn5KGOoQuRfRlzZb83HUs0Tu53lKI&#10;sq/Q9HSOcNvic5Ks0FIjcaGmjjc1l7/Fn9UgAVGK0zgIbbbfy9cdyv4HtZ4+ju9voAKP4R6+tT+N&#10;hsVyAdcz8QhgfgEAAP//AwBQSwECLQAUAAYACAAAACEA2+H2y+4AAACFAQAAEwAAAAAAAAAAAAAA&#10;AAAAAAAAW0NvbnRlbnRfVHlwZXNdLnhtbFBLAQItABQABgAIAAAAIQBa9CxbvwAAABUBAAALAAAA&#10;AAAAAAAAAAAAAB8BAABfcmVscy8ucmVsc1BLAQItABQABgAIAAAAIQBzjsKxwgAAANwAAAAPAAAA&#10;AAAAAAAAAAAAAAcCAABkcnMvZG93bnJldi54bWxQSwUGAAAAAAMAAwC3AAAA9gIAAAAA&#10;" fillcolor="#00698f [3204]" stroked="f" strokeweight="2pt">
                        <v:textbox inset="0,0,0,0"/>
                      </v:shape>
                      <v:shape id="TextBox 2" o:spid="_x0000_s1037" type="#_x0000_t202" style="position:absolute;left:-11521;top:82569;width:285115;height:339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7F7E846" w14:textId="77777777" w:rsidR="00FE0687" w:rsidRDefault="00FE0687" w:rsidP="00C9627A">
                              <w:pPr>
                                <w:spacing w:before="0"/>
                                <w:rPr>
                                  <w:sz w:val="24"/>
                                  <w:szCs w:val="24"/>
                                </w:rPr>
                              </w:pPr>
                              <w:r>
                                <w:rPr>
                                  <w:rFonts w:hAnsi="Arial"/>
                                  <w:color w:val="FFFFFF" w:themeColor="background1"/>
                                  <w:sz w:val="22"/>
                                  <w:szCs w:val="22"/>
                                </w:rPr>
                                <w:t>N</w:t>
                              </w:r>
                            </w:p>
                          </w:txbxContent>
                        </v:textbox>
                      </v:shape>
                      <w10:wrap anchory="page"/>
                    </v:group>
                  </w:pict>
                </mc:Fallback>
              </mc:AlternateContent>
            </w:r>
          </w:p>
        </w:tc>
        <w:tc>
          <w:tcPr>
            <w:tcW w:w="2430" w:type="dxa"/>
            <w:vMerge/>
            <w:vAlign w:val="center"/>
            <w:hideMark/>
          </w:tcPr>
          <w:p w14:paraId="3000E360" w14:textId="77777777" w:rsidR="00C9627A" w:rsidRPr="00C9627A" w:rsidRDefault="00C9627A" w:rsidP="00234360">
            <w:pPr>
              <w:spacing w:before="0" w:after="0" w:line="240" w:lineRule="auto"/>
              <w:rPr>
                <w:rFonts w:eastAsia="Times New Roman" w:cs="Arial"/>
                <w:color w:val="262626"/>
                <w:sz w:val="18"/>
                <w:szCs w:val="18"/>
              </w:rPr>
            </w:pPr>
          </w:p>
        </w:tc>
      </w:tr>
      <w:tr w:rsidR="00C9627A" w:rsidRPr="00C9627A" w14:paraId="378C49F4" w14:textId="77777777" w:rsidTr="00C9627A">
        <w:trPr>
          <w:trHeight w:val="435"/>
        </w:trPr>
        <w:tc>
          <w:tcPr>
            <w:tcW w:w="0" w:type="auto"/>
            <w:tcBorders>
              <w:top w:val="nil"/>
              <w:left w:val="nil"/>
              <w:bottom w:val="nil"/>
              <w:right w:val="nil"/>
            </w:tcBorders>
            <w:shd w:val="clear" w:color="auto" w:fill="auto"/>
            <w:vAlign w:val="center"/>
            <w:hideMark/>
          </w:tcPr>
          <w:p w14:paraId="30F12B2D"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noWrap/>
            <w:vAlign w:val="bottom"/>
            <w:hideMark/>
          </w:tcPr>
          <w:p w14:paraId="2F1226B4" w14:textId="77777777" w:rsidR="00C9627A" w:rsidRPr="00C9627A" w:rsidRDefault="00C9627A" w:rsidP="00234360">
            <w:pPr>
              <w:spacing w:before="0" w:after="0" w:line="240" w:lineRule="auto"/>
              <w:rPr>
                <w:rFonts w:eastAsia="Times New Roman" w:cs="Calibri"/>
                <w:color w:val="000000"/>
                <w:sz w:val="22"/>
                <w:szCs w:val="22"/>
              </w:rPr>
            </w:pPr>
            <w:r w:rsidRPr="00C9627A">
              <w:rPr>
                <w:rFonts w:eastAsia="Times New Roman" w:cs="Arial"/>
                <w:noProof/>
                <w:color w:val="44546A"/>
                <w:sz w:val="18"/>
                <w:szCs w:val="18"/>
              </w:rPr>
              <mc:AlternateContent>
                <mc:Choice Requires="wpg">
                  <w:drawing>
                    <wp:anchor distT="0" distB="0" distL="114300" distR="114300" simplePos="0" relativeHeight="251657216" behindDoc="0" locked="0" layoutInCell="1" allowOverlap="1" wp14:anchorId="088F8960" wp14:editId="4612295A">
                      <wp:simplePos x="0" y="0"/>
                      <wp:positionH relativeFrom="column">
                        <wp:posOffset>-42545</wp:posOffset>
                      </wp:positionH>
                      <wp:positionV relativeFrom="paragraph">
                        <wp:posOffset>19685</wp:posOffset>
                      </wp:positionV>
                      <wp:extent cx="518795" cy="280035"/>
                      <wp:effectExtent l="0" t="0" r="0" b="5715"/>
                      <wp:wrapNone/>
                      <wp:docPr id="962812057" name="Group 962812057"/>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962812059" name="Isosceles Triangle 962812059"/>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962812060" name="TextBox 25"/>
                              <wps:cNvSpPr txBox="1"/>
                              <wps:spPr>
                                <a:xfrm>
                                  <a:off x="127779" y="-28607"/>
                                  <a:ext cx="277666"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1A27C97" w14:textId="77777777" w:rsidR="00FE0687" w:rsidRDefault="00FE0687"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088F8960" id="Group 962812057" o:spid="_x0000_s1038" style="position:absolute;margin-left:-3.35pt;margin-top:1.55pt;width:40.85pt;height:22.05pt;z-index:251657216"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CUWgMAAPEIAAAOAAAAZHJzL2Uyb0RvYy54bWy8Vu1O2zAU/T9p72DlP+QD+ikK2mAgpGlD&#10;wB7AdZzEkmNHtmnTt9/1dZK2tLCJSeNHcOL7eXzOdS+u2lqSFTdWaLWI0tMkIlwxnQtVLqJfz7cn&#10;04hYR1VOpVZ8EW24ja4uP3+6WDdznulKy5wbAkGUna+bRVQ518zj2LKK19Se6oYr2Cy0qamDV1PG&#10;uaFriF7LOEuScbzWJm+MZtxa+HoTNqNLjF8UnLmfRWG5I3IRQW0OnwafS/+MLy/ovDS0qQTryqAf&#10;qKKmQkHSIdQNdZS8GHEQqhbMaKsLd8p0HeuiEIxjD9BNmrzq5s7olwZ7KefrshlgAmhf4fThsOzH&#10;6s40T82DASTWTQlY4JvvpS1M7f9DlaRFyDYDZLx1hMHHUTqdzEYRYbCVTZPkbBQgZRXgvvU6yabj&#10;ZNJvfRucZ2k6OKfZeOYt4j5zvFfPugGG2C0I9t9AeKpowxFbOwcQHgwR+SKajbNpmiWjWUQUrYGv&#10;91ZbxiW35NkIqkrJydYGIUP3AUA7t4Bljx4xGhiXJgAM/CFB9sBMz0dnHSpbQHcwOYNiENABEzpv&#10;jHV3XNfELxaR68rC4HT13boAYW/mS7FaivxWSIkvXlr8WhqyoiAKyhhXLu2A37OUytsr7T1DUP8F&#10;TqVvElduI7m3k+qRFwAikCLDYlDDh4mwhormPOQfITIh/OCBJMCA3rqA/EPs9L3YIUxn7105joDB&#10;ORzBkOYYAoMHZtbKDc61UNocyy4H+Ipg34MUoPEoLXW+AYrJewW09XOoX5h+sewXxslrHaYVVazS&#10;MKyY6/Nyxc9yXxkDdhracUAbV+luiN0aqAGrBO4RScPEg+GLeQ1f7fAxwBVC+aBSlJV7FCUxAkaM&#10;qwznDy4iuYAaXM8QoAvWgDwIfXX9gjr9DPl/Mh0DkkGmzyCfr7olQS2+BtC0FyVxLXyHnn35yNcd&#10;efqeOz2m2WQyAdXDGNudVb0qYXc8HndjbjRK0/1JdaBKAxcPHsIbityKalsTro6oqSetKZdeteHy&#10;gvOB5vsrDMbDcbX8ne+fBfN+7g9oxrX9yHlTM65dtjiUz/uz61S0hut6ESn4PRGRI2oJwCv95cXp&#10;QuA49NAeUhXvF7hXcdp08vEX9+47Unv7S+XyNwAAAP//AwBQSwMEFAAGAAgAAAAhABJwaEbeAAAA&#10;BgEAAA8AAABkcnMvZG93bnJldi54bWxMj0FrwkAUhO+F/oflFXrTTbQaidmISNuTFKqF0tsz+0yC&#10;2d2QXZP47/t6qsdhhplvss1oGtFT52tnFcTTCATZwunalgq+jm+TFQgf0GpsnCUFN/KwyR8fMky1&#10;G+wn9YdQCi6xPkUFVQhtKqUvKjLop64ly97ZdQYDy66UusOBy00jZ1G0lAZrywsVtrSrqLgcrkbB&#10;+4DDdh6/9vvLeXf7OS4+vvcxKfX8NG7XIAKN4T8Mf/iMDjkzndzVai8aBZNlwkkF8xgE28mCn50U&#10;vCQzkHkm7/HzXwAAAP//AwBQSwECLQAUAAYACAAAACEAtoM4kv4AAADhAQAAEwAAAAAAAAAAAAAA&#10;AAAAAAAAW0NvbnRlbnRfVHlwZXNdLnhtbFBLAQItABQABgAIAAAAIQA4/SH/1gAAAJQBAAALAAAA&#10;AAAAAAAAAAAAAC8BAABfcmVscy8ucmVsc1BLAQItABQABgAIAAAAIQCU78CUWgMAAPEIAAAOAAAA&#10;AAAAAAAAAAAAAC4CAABkcnMvZTJvRG9jLnhtbFBLAQItABQABgAIAAAAIQAScGhG3gAAAAYBAAAP&#10;AAAAAAAAAAAAAAAAALQFAABkcnMvZG93bnJldi54bWxQSwUGAAAAAAQABADzAAAAvwYAAAAA&#10;">
                      <v:shape id="Isosceles Triangle 962812059" o:spid="_x0000_s1039"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04yQAAAOIAAAAPAAAAZHJzL2Rvd25yZXYueG1sRI9PSwMx&#10;FMTvQr9DeAVvNtsFS7ttWoqi6M3+OfT42Dx3F5P3liR2Vz+9EQSPw8z8htnsRu/UlULshA3MZwUo&#10;4lpsx42B8+npbgkqJmSLTpgMfFGE3XZys8HKysAHuh5TozKEY4UG2pT6SutYt+QxzqQnzt67BI8p&#10;y9BoG3DIcO90WRQL7bHjvNBiTw8t1R/HT2/gdNi712c39BzG78ubOP8o4o25nY77NahEY/oP/7Vf&#10;rIHVolzOy+J+Bb+X8h3Q2x8AAAD//wMAUEsBAi0AFAAGAAgAAAAhANvh9svuAAAAhQEAABMAAAAA&#10;AAAAAAAAAAAAAAAAAFtDb250ZW50X1R5cGVzXS54bWxQSwECLQAUAAYACAAAACEAWvQsW78AAAAV&#10;AQAACwAAAAAAAAAAAAAAAAAfAQAAX3JlbHMvLnJlbHNQSwECLQAUAAYACAAAACEAm8c9OMkAAADi&#10;AAAADwAAAAAAAAAAAAAAAAAHAgAAZHJzL2Rvd25yZXYueG1sUEsFBgAAAAADAAMAtwAAAP0CAAAA&#10;AA==&#10;" fillcolor="#00698f [3204]" stroked="f" strokeweight="2pt">
                        <v:textbox inset="0,0,0,0"/>
                      </v:shape>
                      <v:shape id="TextBox 25" o:spid="_x0000_s1040" type="#_x0000_t202" style="position:absolute;left:127779;top:-28607;width:277666;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uRywAAAOIAAAAPAAAAZHJzL2Rvd25yZXYueG1sRI9dS8Mw&#10;FIbvhf2HcARvZEsbocy6bIiiCI4NNy+8PDbHtrM5KUnsqr9+uRB2+fJ+8SxWo+3EQD60jjXkswwE&#10;ceVMy7WG9/3TdA4iRGSDnWPS8EsBVsvJxQJL4478RsMu1iKNcChRQxNjX0oZqoYshpnriZP35bzF&#10;mKSvpfF4TOO2kyrLCmmx5fTQYE8PDVXfux+r4W/r106p9XP++XHTDvHx+rB53Wh9dTne34GINMZz&#10;+L/9YjTcFmqeq6xIEAkp4YBcngAAAP//AwBQSwECLQAUAAYACAAAACEA2+H2y+4AAACFAQAAEwAA&#10;AAAAAAAAAAAAAAAAAAAAW0NvbnRlbnRfVHlwZXNdLnhtbFBLAQItABQABgAIAAAAIQBa9CxbvwAA&#10;ABUBAAALAAAAAAAAAAAAAAAAAB8BAABfcmVscy8ucmVsc1BLAQItABQABgAIAAAAIQCjqIuRywAA&#10;AOIAAAAPAAAAAAAAAAAAAAAAAAcCAABkcnMvZG93bnJldi54bWxQSwUGAAAAAAMAAwC3AAAA/wIA&#10;AAAA&#10;" filled="f" stroked="f">
                        <v:textbox>
                          <w:txbxContent>
                            <w:p w14:paraId="01A27C97" w14:textId="77777777" w:rsidR="00FE0687" w:rsidRDefault="00FE0687" w:rsidP="00C9627A">
                              <w:pPr>
                                <w:spacing w:before="0"/>
                                <w:rPr>
                                  <w:sz w:val="24"/>
                                  <w:szCs w:val="24"/>
                                </w:rPr>
                              </w:pPr>
                              <w:r>
                                <w:rPr>
                                  <w:rFonts w:hAnsi="Arial"/>
                                  <w:color w:val="FFFFFF" w:themeColor="background1"/>
                                  <w:sz w:val="22"/>
                                  <w:szCs w:val="22"/>
                                </w:rPr>
                                <w:t>Y</w:t>
                              </w:r>
                            </w:p>
                          </w:txbxContent>
                        </v:textbox>
                      </v:shape>
                    </v:group>
                  </w:pict>
                </mc:Fallback>
              </mc:AlternateContent>
            </w:r>
          </w:p>
          <w:tbl>
            <w:tblPr>
              <w:tblW w:w="0" w:type="auto"/>
              <w:tblCellSpacing w:w="0" w:type="dxa"/>
              <w:tblInd w:w="1722" w:type="dxa"/>
              <w:tblCellMar>
                <w:left w:w="0" w:type="dxa"/>
                <w:right w:w="0" w:type="dxa"/>
              </w:tblCellMar>
              <w:tblLook w:val="04A0" w:firstRow="1" w:lastRow="0" w:firstColumn="1" w:lastColumn="0" w:noHBand="0" w:noVBand="1"/>
            </w:tblPr>
            <w:tblGrid>
              <w:gridCol w:w="3788"/>
            </w:tblGrid>
            <w:tr w:rsidR="00C9627A" w:rsidRPr="00C9627A" w14:paraId="162D519E" w14:textId="77777777" w:rsidTr="00234360">
              <w:trPr>
                <w:trHeight w:val="280"/>
                <w:tblCellSpacing w:w="0" w:type="dxa"/>
              </w:trPr>
              <w:tc>
                <w:tcPr>
                  <w:tcW w:w="4125" w:type="dxa"/>
                  <w:tcBorders>
                    <w:top w:val="nil"/>
                    <w:left w:val="nil"/>
                    <w:bottom w:val="nil"/>
                    <w:right w:val="nil"/>
                  </w:tcBorders>
                  <w:shd w:val="clear" w:color="auto" w:fill="auto"/>
                  <w:hideMark/>
                </w:tcPr>
                <w:p w14:paraId="66639A8F" w14:textId="77777777" w:rsidR="00C9627A" w:rsidRPr="00C9627A" w:rsidRDefault="00C9627A" w:rsidP="00234360">
                  <w:pPr>
                    <w:spacing w:before="0" w:after="0" w:line="240" w:lineRule="auto"/>
                    <w:rPr>
                      <w:rFonts w:eastAsia="Times New Roman" w:cs="Arial"/>
                      <w:b/>
                      <w:bCs/>
                      <w:color w:val="00698F" w:themeColor="accent1"/>
                      <w:sz w:val="18"/>
                      <w:szCs w:val="18"/>
                    </w:rPr>
                  </w:pPr>
                  <w:r w:rsidRPr="00C9627A">
                    <w:rPr>
                      <w:rFonts w:eastAsia="Times New Roman" w:cs="Arial"/>
                      <w:b/>
                      <w:bCs/>
                      <w:color w:val="00698F" w:themeColor="accent1"/>
                      <w:sz w:val="18"/>
                      <w:szCs w:val="18"/>
                    </w:rPr>
                    <w:t>Engage accredited advisor(s)</w:t>
                  </w:r>
                </w:p>
              </w:tc>
            </w:tr>
          </w:tbl>
          <w:p w14:paraId="63A0E2ED" w14:textId="77777777" w:rsidR="00C9627A" w:rsidRPr="00C9627A" w:rsidRDefault="00C9627A" w:rsidP="00234360">
            <w:pPr>
              <w:spacing w:before="0" w:after="0" w:line="240" w:lineRule="auto"/>
              <w:rPr>
                <w:rFonts w:eastAsia="Times New Roman" w:cs="Calibri"/>
                <w:color w:val="000000"/>
                <w:sz w:val="22"/>
                <w:szCs w:val="22"/>
              </w:rPr>
            </w:pPr>
          </w:p>
        </w:tc>
        <w:tc>
          <w:tcPr>
            <w:tcW w:w="666" w:type="dxa"/>
            <w:vMerge/>
            <w:vAlign w:val="center"/>
            <w:hideMark/>
          </w:tcPr>
          <w:p w14:paraId="2E2E97B5" w14:textId="77777777" w:rsidR="00C9627A" w:rsidRPr="00C9627A" w:rsidRDefault="00C9627A" w:rsidP="00234360">
            <w:pPr>
              <w:spacing w:before="0" w:after="0" w:line="240" w:lineRule="auto"/>
              <w:rPr>
                <w:rFonts w:eastAsia="Times New Roman" w:cs="Arial"/>
                <w:color w:val="000000"/>
                <w:sz w:val="18"/>
                <w:szCs w:val="18"/>
              </w:rPr>
            </w:pPr>
          </w:p>
        </w:tc>
        <w:tc>
          <w:tcPr>
            <w:tcW w:w="2430" w:type="dxa"/>
            <w:tcBorders>
              <w:top w:val="nil"/>
              <w:left w:val="nil"/>
              <w:bottom w:val="nil"/>
              <w:right w:val="nil"/>
            </w:tcBorders>
            <w:shd w:val="clear" w:color="auto" w:fill="auto"/>
            <w:vAlign w:val="center"/>
            <w:hideMark/>
          </w:tcPr>
          <w:p w14:paraId="4C7ECD06" w14:textId="77777777" w:rsidR="00C9627A" w:rsidRPr="00C9627A" w:rsidRDefault="00C9627A" w:rsidP="00234360">
            <w:pPr>
              <w:spacing w:before="0" w:after="0" w:line="240" w:lineRule="auto"/>
              <w:rPr>
                <w:rFonts w:eastAsia="Times New Roman" w:cs="Times New Roman"/>
              </w:rPr>
            </w:pPr>
          </w:p>
        </w:tc>
      </w:tr>
      <w:tr w:rsidR="00C9627A" w:rsidRPr="00C9627A" w14:paraId="34BF3B3B" w14:textId="77777777" w:rsidTr="00C9627A">
        <w:trPr>
          <w:trHeight w:val="514"/>
        </w:trPr>
        <w:tc>
          <w:tcPr>
            <w:tcW w:w="0" w:type="auto"/>
            <w:tcBorders>
              <w:top w:val="nil"/>
              <w:left w:val="nil"/>
              <w:bottom w:val="nil"/>
              <w:right w:val="nil"/>
            </w:tcBorders>
            <w:shd w:val="clear" w:color="auto" w:fill="auto"/>
            <w:vAlign w:val="center"/>
            <w:hideMark/>
          </w:tcPr>
          <w:p w14:paraId="1BFDE943"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3</w:t>
            </w:r>
          </w:p>
        </w:tc>
        <w:tc>
          <w:tcPr>
            <w:tcW w:w="5726" w:type="dxa"/>
            <w:tcBorders>
              <w:top w:val="nil"/>
              <w:left w:val="nil"/>
              <w:bottom w:val="nil"/>
              <w:right w:val="nil"/>
            </w:tcBorders>
            <w:shd w:val="clear" w:color="auto" w:fill="00698F" w:themeFill="accent1"/>
            <w:vAlign w:val="center"/>
            <w:hideMark/>
          </w:tcPr>
          <w:p w14:paraId="76EA7E16" w14:textId="4801DDF0" w:rsidR="00C9627A" w:rsidRPr="00C9627A" w:rsidRDefault="00C9627A" w:rsidP="00A87932">
            <w:pPr>
              <w:spacing w:before="30" w:after="30" w:line="240" w:lineRule="auto"/>
              <w:rPr>
                <w:rFonts w:eastAsia="Times New Roman" w:cs="Arial"/>
                <w:color w:val="FFFFFF"/>
                <w:sz w:val="17"/>
                <w:szCs w:val="17"/>
              </w:rPr>
            </w:pPr>
            <w:r w:rsidRPr="00C9627A">
              <w:rPr>
                <w:rFonts w:eastAsia="Times New Roman" w:cs="Arial"/>
                <w:color w:val="FFFFFF"/>
                <w:sz w:val="17"/>
                <w:szCs w:val="17"/>
              </w:rPr>
              <w:t>Is it possible for the investment to achieve a meaningful score/rating which drives whole of life economic value?</w:t>
            </w:r>
          </w:p>
        </w:tc>
        <w:tc>
          <w:tcPr>
            <w:tcW w:w="666" w:type="dxa"/>
            <w:vMerge/>
            <w:vAlign w:val="center"/>
            <w:hideMark/>
          </w:tcPr>
          <w:p w14:paraId="1CF40E87" w14:textId="77777777" w:rsidR="00C9627A" w:rsidRPr="00C9627A" w:rsidRDefault="00C9627A" w:rsidP="00234360">
            <w:pPr>
              <w:spacing w:before="0" w:after="0" w:line="240" w:lineRule="auto"/>
              <w:rPr>
                <w:rFonts w:eastAsia="Times New Roman" w:cs="Arial"/>
                <w:color w:val="000000"/>
                <w:sz w:val="18"/>
                <w:szCs w:val="18"/>
              </w:rPr>
            </w:pPr>
          </w:p>
        </w:tc>
        <w:tc>
          <w:tcPr>
            <w:tcW w:w="2430" w:type="dxa"/>
            <w:vMerge w:val="restart"/>
            <w:tcBorders>
              <w:top w:val="nil"/>
              <w:left w:val="nil"/>
              <w:bottom w:val="nil"/>
              <w:right w:val="nil"/>
            </w:tcBorders>
            <w:shd w:val="clear" w:color="auto" w:fill="D9D9D9" w:themeFill="background1" w:themeFillShade="D9"/>
            <w:vAlign w:val="center"/>
            <w:hideMark/>
          </w:tcPr>
          <w:p w14:paraId="59DE0052" w14:textId="6DD328EE" w:rsidR="00C9627A" w:rsidRPr="00C9627A" w:rsidRDefault="00C9627A" w:rsidP="00C9627A">
            <w:pPr>
              <w:spacing w:before="0" w:after="0" w:line="216" w:lineRule="auto"/>
              <w:jc w:val="center"/>
              <w:rPr>
                <w:rFonts w:eastAsia="Times New Roman" w:cs="Arial"/>
                <w:color w:val="262626"/>
                <w:sz w:val="17"/>
                <w:szCs w:val="17"/>
              </w:rPr>
            </w:pPr>
            <w:r w:rsidRPr="00C9627A">
              <w:rPr>
                <w:rFonts w:eastAsia="Times New Roman" w:cs="Arial"/>
                <w:color w:val="262626"/>
                <w:sz w:val="17"/>
                <w:szCs w:val="17"/>
              </w:rPr>
              <w:t xml:space="preserve">Establish whether elements of the tool can inform </w:t>
            </w:r>
            <w:r>
              <w:rPr>
                <w:rFonts w:eastAsia="Times New Roman" w:cs="Arial"/>
                <w:color w:val="262626"/>
                <w:sz w:val="17"/>
                <w:szCs w:val="17"/>
              </w:rPr>
              <w:t>‘</w:t>
            </w:r>
            <w:r w:rsidRPr="00C9627A">
              <w:rPr>
                <w:rFonts w:eastAsia="Times New Roman" w:cs="Arial"/>
                <w:color w:val="262626"/>
                <w:sz w:val="17"/>
                <w:szCs w:val="17"/>
              </w:rPr>
              <w:t>back</w:t>
            </w:r>
            <w:r w:rsidR="00601819">
              <w:rPr>
                <w:rFonts w:eastAsia="Times New Roman" w:cs="Arial"/>
                <w:color w:val="262626"/>
                <w:sz w:val="17"/>
                <w:szCs w:val="17"/>
              </w:rPr>
              <w:noBreakHyphen/>
            </w:r>
            <w:r w:rsidRPr="00C9627A">
              <w:rPr>
                <w:rFonts w:eastAsia="Times New Roman" w:cs="Arial"/>
                <w:color w:val="262626"/>
                <w:sz w:val="17"/>
                <w:szCs w:val="17"/>
              </w:rPr>
              <w:t>of</w:t>
            </w:r>
            <w:r w:rsidR="00601819">
              <w:rPr>
                <w:rFonts w:eastAsia="Times New Roman" w:cs="Arial"/>
                <w:color w:val="262626"/>
                <w:sz w:val="17"/>
                <w:szCs w:val="17"/>
              </w:rPr>
              <w:noBreakHyphen/>
            </w:r>
            <w:r w:rsidRPr="00C9627A">
              <w:rPr>
                <w:rFonts w:eastAsia="Times New Roman" w:cs="Arial"/>
                <w:color w:val="262626"/>
                <w:sz w:val="17"/>
                <w:szCs w:val="17"/>
              </w:rPr>
              <w:t>house</w:t>
            </w:r>
            <w:r>
              <w:rPr>
                <w:rFonts w:eastAsia="Times New Roman" w:cs="Arial"/>
                <w:color w:val="262626"/>
                <w:sz w:val="17"/>
                <w:szCs w:val="17"/>
              </w:rPr>
              <w:t>’</w:t>
            </w:r>
            <w:r w:rsidRPr="00C9627A">
              <w:rPr>
                <w:rFonts w:eastAsia="Times New Roman" w:cs="Arial"/>
                <w:color w:val="262626"/>
                <w:sz w:val="17"/>
                <w:szCs w:val="17"/>
              </w:rPr>
              <w:t xml:space="preserve"> decisions related to benefit realisation.</w:t>
            </w:r>
          </w:p>
        </w:tc>
      </w:tr>
      <w:tr w:rsidR="00C9627A" w:rsidRPr="00C9627A" w14:paraId="3EBC8096" w14:textId="77777777" w:rsidTr="00A87932">
        <w:trPr>
          <w:trHeight w:val="562"/>
        </w:trPr>
        <w:tc>
          <w:tcPr>
            <w:tcW w:w="0" w:type="auto"/>
            <w:tcBorders>
              <w:top w:val="nil"/>
              <w:left w:val="nil"/>
              <w:bottom w:val="nil"/>
              <w:right w:val="nil"/>
            </w:tcBorders>
            <w:shd w:val="clear" w:color="auto" w:fill="auto"/>
            <w:vAlign w:val="center"/>
            <w:hideMark/>
          </w:tcPr>
          <w:p w14:paraId="2750206D" w14:textId="77777777" w:rsidR="00C9627A" w:rsidRPr="00C9627A" w:rsidRDefault="00C9627A" w:rsidP="00234360">
            <w:pPr>
              <w:spacing w:before="0" w:after="0" w:line="240" w:lineRule="auto"/>
              <w:jc w:val="center"/>
              <w:rPr>
                <w:rFonts w:eastAsia="Times New Roman" w:cs="Arial"/>
                <w:color w:val="00698F" w:themeColor="accent1"/>
                <w:sz w:val="18"/>
                <w:szCs w:val="18"/>
              </w:rPr>
            </w:pPr>
          </w:p>
        </w:tc>
        <w:tc>
          <w:tcPr>
            <w:tcW w:w="5726" w:type="dxa"/>
            <w:tcBorders>
              <w:top w:val="nil"/>
              <w:left w:val="nil"/>
              <w:bottom w:val="nil"/>
              <w:right w:val="nil"/>
            </w:tcBorders>
            <w:shd w:val="clear" w:color="auto" w:fill="auto"/>
            <w:vAlign w:val="center"/>
            <w:hideMark/>
          </w:tcPr>
          <w:p w14:paraId="47F8AED8" w14:textId="0AAC27D1" w:rsidR="00C9627A" w:rsidRPr="00C9627A" w:rsidRDefault="00A87932" w:rsidP="00234360">
            <w:pPr>
              <w:spacing w:before="0" w:after="0" w:line="240" w:lineRule="auto"/>
              <w:rPr>
                <w:rFonts w:eastAsia="Times New Roman" w:cs="Arial"/>
                <w:color w:val="000000"/>
                <w:sz w:val="18"/>
                <w:szCs w:val="18"/>
              </w:rPr>
            </w:pPr>
            <w:r w:rsidRPr="00C9627A">
              <w:rPr>
                <w:rFonts w:eastAsia="Times New Roman" w:cs="Arial"/>
                <w:noProof/>
                <w:color w:val="44546A"/>
                <w:sz w:val="17"/>
                <w:szCs w:val="17"/>
              </w:rPr>
              <mc:AlternateContent>
                <mc:Choice Requires="wpg">
                  <w:drawing>
                    <wp:anchor distT="0" distB="0" distL="114300" distR="114300" simplePos="0" relativeHeight="251661312" behindDoc="0" locked="0" layoutInCell="1" allowOverlap="1" wp14:anchorId="5F8BAEB2" wp14:editId="48A8B882">
                      <wp:simplePos x="0" y="0"/>
                      <wp:positionH relativeFrom="column">
                        <wp:posOffset>-41275</wp:posOffset>
                      </wp:positionH>
                      <wp:positionV relativeFrom="page">
                        <wp:posOffset>-43815</wp:posOffset>
                      </wp:positionV>
                      <wp:extent cx="518795" cy="280035"/>
                      <wp:effectExtent l="0" t="0" r="0" b="5715"/>
                      <wp:wrapNone/>
                      <wp:docPr id="448" name="Group 448"/>
                      <wp:cNvGraphicFramePr/>
                      <a:graphic xmlns:a="http://schemas.openxmlformats.org/drawingml/2006/main">
                        <a:graphicData uri="http://schemas.microsoft.com/office/word/2010/wordprocessingGroup">
                          <wpg:wgp>
                            <wpg:cNvGrpSpPr/>
                            <wpg:grpSpPr>
                              <a:xfrm>
                                <a:off x="0" y="0"/>
                                <a:ext cx="518795" cy="280035"/>
                                <a:chOff x="0" y="-28607"/>
                                <a:chExt cx="519115" cy="281269"/>
                              </a:xfrm>
                            </wpg:grpSpPr>
                            <wps:wsp>
                              <wps:cNvPr id="449" name="Isosceles Triangle 449"/>
                              <wps:cNvSpPr/>
                              <wps:spPr>
                                <a:xfrm rot="10800000">
                                  <a:off x="0" y="14537"/>
                                  <a:ext cx="519115" cy="238125"/>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a:scene3d>
                                  <a:camera prst="orthographicFront">
                                    <a:rot lat="0" lon="0" rev="10800000"/>
                                  </a:camera>
                                  <a:lightRig rig="threePt" dir="t"/>
                                </a:scene3d>
                              </wps:bodyPr>
                            </wps:wsp>
                            <wps:wsp>
                              <wps:cNvPr id="450" name="TextBox 25"/>
                              <wps:cNvSpPr txBox="1"/>
                              <wps:spPr>
                                <a:xfrm>
                                  <a:off x="127779" y="-28607"/>
                                  <a:ext cx="277031" cy="25511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DCD62E" w14:textId="77777777" w:rsidR="00FE0687" w:rsidRDefault="00FE0687" w:rsidP="00C9627A">
                                    <w:pPr>
                                      <w:spacing w:before="0"/>
                                      <w:rPr>
                                        <w:sz w:val="24"/>
                                        <w:szCs w:val="24"/>
                                      </w:rPr>
                                    </w:pPr>
                                    <w:r>
                                      <w:rPr>
                                        <w:rFonts w:hAnsi="Arial"/>
                                        <w:color w:val="FFFFFF" w:themeColor="background1"/>
                                        <w:sz w:val="22"/>
                                        <w:szCs w:val="22"/>
                                      </w:rPr>
                                      <w:t>Y</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5F8BAEB2" id="Group 448" o:spid="_x0000_s1041" style="position:absolute;margin-left:-3.25pt;margin-top:-3.45pt;width:40.85pt;height:22.05pt;z-index:251661312;mso-position-vertical-relative:page" coordorigin=",-28607" coordsize="519115,2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jMVgMAAN8IAAAOAAAAZHJzL2Uyb0RvYy54bWy8Vl1P2zAUfZ+0/2DlHZK0lLYRLdpgIKRp&#10;Q8B+gOs4iSXHjmzTpv9+19dJ2kJhE5PWh9SJ7+fJPce5uGxrSdbcWKHVIkpPk4hwxXQuVLmIfj3d&#10;nMwiYh1VOZVa8UW05Ta6XH7+dLFpMj7SlZY5NwSCKJttmkVUOddkcWxZxWtqT3XDFWwW2tTUwa0p&#10;49zQDUSvZTxKkvN4o03eGM24tfD0OmxGS4xfFJy5n0VhuSNyEUFtDq8Gryt/jZcXNCsNbSrBujLo&#10;B6qoqVCQdAh1TR0lz0a8ClULZrTVhTtluo51UQjGsQfoJk1edHNr9HODvZTZpmwGmADaFzh9OCz7&#10;sb41zWNzbwCJTVMCFnjne2kLU/t/qJK0CNl2gIy3jjB4OEln0/kkIgy2RrMkGU8CpKwC3HdeJ6PZ&#10;eTLtt74NzvM0HZzT0fncW8R95vignk0DE2J3INh/A+Gxog1HbG0GINwbIvJFdHY2j4iiNUzqndWW&#10;cckteTKCqlJy4ncRJnQZQLOZBfx6xIjRMGVpAmDAD4fiAMD0bDLukNiBuIfDeJaOEMQBB5o1xrpb&#10;rmviF4vIdQVhcLr+bl2ArTfzpVgtRX4jpMQbTyd+JQ1ZUyACZYwrl3ZgH1hK5e2V9p4hqH8Cb6Jv&#10;ElduK7m3k+qBFwAcDMIIi0Hevk6ENVQ05yH/BJEJ4QcPfPEY0FsXkH+Inb4XO4Tp7L0rR9oPzuEV&#10;DGmOITB4YGat3OBcC6XNsexygK8I9j1IARqP0krnWxgreadgVL329AvTL1b9wjh5pYNCUcUqDQLF&#10;XJ+XKz7OfWUM5tLQbga0cZXuhOvGQA1YJcwekTSoHAgu5jV8vTePAa4QygeVoqzcgyiJESArrjKc&#10;37uI5AJqcP2EwLhgDTgHoa+uX2Ck143/Qc0JYBio+QTE+apbEnjiswODPR2Ja+E5dNvTdJ+YvtuO&#10;ieloOp0C00G09pWp5yPsJuO0E7XJJE0PdekVHw0cMwj/G1zc0QnZg2KBqyM86sfVlCvP13BUwZuB&#10;5vsDC4ThOE/+zvfPVHk/9wfY4tpebN5ki2tXLUowap9Hp+PPBg7nRaTg6yEiR3gSgFf6y7PThUAh&#10;3DnvDymeJnCKos50xPHH9P492u++S5a/AQAA//8DAFBLAwQUAAYACAAAACEATZvzyd4AAAAHAQAA&#10;DwAAAGRycy9kb3ducmV2LnhtbEyOQUvDQBSE74L/YXmCt3aTlLQasymlqKci2Ari7TX7moRm34bs&#10;Nkn/vduTnoZhhpkvX0+mFQP1rrGsIJ5HIIhLqxuuFHwd3mZPIJxH1thaJgVXcrAu7u9yzLQd+ZOG&#10;va9EGGGXoYLa+y6T0pU1GXRz2xGH7GR7gz7YvpK6xzGMm1YmUbSUBhsODzV2tK2pPO8vRsH7iONm&#10;Eb8Ou/Npe/05pB/fu5iUenyYNi8gPE3+rww3/IAORWA62gtrJ1oFs2Uamjd9BhHyVZqAOCpYrBKQ&#10;RS7/8xe/AAAA//8DAFBLAQItABQABgAIAAAAIQC2gziS/gAAAOEBAAATAAAAAAAAAAAAAAAAAAAA&#10;AABbQ29udGVudF9UeXBlc10ueG1sUEsBAi0AFAAGAAgAAAAhADj9If/WAAAAlAEAAAsAAAAAAAAA&#10;AAAAAAAALwEAAF9yZWxzLy5yZWxzUEsBAi0AFAAGAAgAAAAhAPKtaMxWAwAA3wgAAA4AAAAAAAAA&#10;AAAAAAAALgIAAGRycy9lMm9Eb2MueG1sUEsBAi0AFAAGAAgAAAAhAE2b88neAAAABwEAAA8AAAAA&#10;AAAAAAAAAAAAsAUAAGRycy9kb3ducmV2LnhtbFBLBQYAAAAABAAEAPMAAAC7BgAAAAA=&#10;">
                      <v:shape id="Isosceles Triangle 449" o:spid="_x0000_s1042" type="#_x0000_t5" style="position:absolute;top:14537;width:519115;height:2381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y5wwAAANwAAAAPAAAAZHJzL2Rvd25yZXYueG1sRI9BawIx&#10;FITvBf9DeEJvNauI1NUo0tLS3qr20ONj89xdTN5bkuhu++sbodDjMDPfMOvt4J26UoitsIHppABF&#10;XIltuTbweXx5eAQVE7JFJ0wGvinCdjO6W2Nppec9XQ+pVhnCsUQDTUpdqXWsGvIYJ9IRZ+8kwWPK&#10;MtTaBuwz3Ds9K4qF9thyXmiwo6eGqvPh4g0c9zv3/ur6jsPw8/Uhzj+LeGPux8NuBSrRkP7Df+03&#10;a2A+X8LtTD4CevMLAAD//wMAUEsBAi0AFAAGAAgAAAAhANvh9svuAAAAhQEAABMAAAAAAAAAAAAA&#10;AAAAAAAAAFtDb250ZW50X1R5cGVzXS54bWxQSwECLQAUAAYACAAAACEAWvQsW78AAAAVAQAACwAA&#10;AAAAAAAAAAAAAAAfAQAAX3JlbHMvLnJlbHNQSwECLQAUAAYACAAAACEAuQ78ucMAAADcAAAADwAA&#10;AAAAAAAAAAAAAAAHAgAAZHJzL2Rvd25yZXYueG1sUEsFBgAAAAADAAMAtwAAAPcCAAAAAA==&#10;" fillcolor="#00698f [3204]" stroked="f" strokeweight="2pt">
                        <v:textbox inset="0,0,0,0"/>
                      </v:shape>
                      <v:shape id="TextBox 25" o:spid="_x0000_s1043" type="#_x0000_t202" style="position:absolute;left:127779;top:-28607;width:277031;height:255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erxQAAANwAAAAPAAAAZHJzL2Rvd25yZXYueG1sRE/PS8Mw&#10;FL4L/g/hCV7Epa1ORrdsiKIIlg3nDju+NW9ttHkpSeyqf705CB4/vt+L1Wg7MZAPxrGCfJKBIK6d&#10;Ntwo2L0/Xc9AhIissXNMCr4pwGp5frbAUrsTv9GwjY1IIRxKVNDG2JdShroli2HieuLEHZ23GBP0&#10;jdQeTyncdrLIsjtp0XBqaLGnh5bqz+2XVfCz8ZUriuo5P+xvzBAfrz7Wr2ulLi/G+zmISGP8F/+5&#10;X7SC22man86kIyCXvwAAAP//AwBQSwECLQAUAAYACAAAACEA2+H2y+4AAACFAQAAEwAAAAAAAAAA&#10;AAAAAAAAAAAAW0NvbnRlbnRfVHlwZXNdLnhtbFBLAQItABQABgAIAAAAIQBa9CxbvwAAABUBAAAL&#10;AAAAAAAAAAAAAAAAAB8BAABfcmVscy8ucmVsc1BLAQItABQABgAIAAAAIQCmUSerxQAAANwAAAAP&#10;AAAAAAAAAAAAAAAAAAcCAABkcnMvZG93bnJldi54bWxQSwUGAAAAAAMAAwC3AAAA+QIAAAAA&#10;" filled="f" stroked="f">
                        <v:textbox>
                          <w:txbxContent>
                            <w:p w14:paraId="76DCD62E" w14:textId="77777777" w:rsidR="00FE0687" w:rsidRDefault="00FE0687" w:rsidP="00C9627A">
                              <w:pPr>
                                <w:spacing w:before="0"/>
                                <w:rPr>
                                  <w:sz w:val="24"/>
                                  <w:szCs w:val="24"/>
                                </w:rPr>
                              </w:pPr>
                              <w:r>
                                <w:rPr>
                                  <w:rFonts w:hAnsi="Arial"/>
                                  <w:color w:val="FFFFFF" w:themeColor="background1"/>
                                  <w:sz w:val="22"/>
                                  <w:szCs w:val="22"/>
                                </w:rPr>
                                <w:t>Y</w:t>
                              </w:r>
                            </w:p>
                          </w:txbxContent>
                        </v:textbox>
                      </v:shape>
                      <w10:wrap anchory="page"/>
                    </v:group>
                  </w:pict>
                </mc:Fallback>
              </mc:AlternateContent>
            </w:r>
          </w:p>
        </w:tc>
        <w:tc>
          <w:tcPr>
            <w:tcW w:w="666" w:type="dxa"/>
            <w:tcBorders>
              <w:top w:val="nil"/>
              <w:left w:val="nil"/>
              <w:bottom w:val="nil"/>
              <w:right w:val="nil"/>
            </w:tcBorders>
            <w:shd w:val="clear" w:color="auto" w:fill="auto"/>
            <w:vAlign w:val="center"/>
            <w:hideMark/>
          </w:tcPr>
          <w:p w14:paraId="2A58659E" w14:textId="47592179" w:rsidR="00C9627A" w:rsidRPr="00C9627A" w:rsidRDefault="00C9627A" w:rsidP="00234360">
            <w:pPr>
              <w:spacing w:before="0" w:after="0" w:line="240" w:lineRule="auto"/>
              <w:jc w:val="center"/>
              <w:rPr>
                <w:rFonts w:eastAsia="Times New Roman" w:cs="Arial"/>
                <w:color w:val="000000"/>
                <w:sz w:val="18"/>
                <w:szCs w:val="18"/>
              </w:rPr>
            </w:pPr>
          </w:p>
        </w:tc>
        <w:tc>
          <w:tcPr>
            <w:tcW w:w="2430" w:type="dxa"/>
            <w:vMerge/>
            <w:vAlign w:val="center"/>
            <w:hideMark/>
          </w:tcPr>
          <w:p w14:paraId="1C3F2D60" w14:textId="77777777" w:rsidR="00C9627A" w:rsidRPr="00C9627A" w:rsidRDefault="00C9627A" w:rsidP="00234360">
            <w:pPr>
              <w:spacing w:before="0" w:after="0" w:line="240" w:lineRule="auto"/>
              <w:jc w:val="center"/>
              <w:rPr>
                <w:rFonts w:eastAsia="Times New Roman" w:cs="Arial"/>
                <w:color w:val="262626"/>
                <w:sz w:val="18"/>
                <w:szCs w:val="18"/>
              </w:rPr>
            </w:pPr>
          </w:p>
        </w:tc>
      </w:tr>
      <w:tr w:rsidR="00C9627A" w:rsidRPr="00C9627A" w14:paraId="3C97C6FF" w14:textId="77777777" w:rsidTr="00A87932">
        <w:trPr>
          <w:gridAfter w:val="2"/>
          <w:wAfter w:w="3096" w:type="dxa"/>
          <w:trHeight w:val="585"/>
        </w:trPr>
        <w:tc>
          <w:tcPr>
            <w:tcW w:w="0" w:type="auto"/>
            <w:tcBorders>
              <w:top w:val="nil"/>
              <w:left w:val="nil"/>
              <w:right w:val="nil"/>
            </w:tcBorders>
            <w:shd w:val="clear" w:color="auto" w:fill="auto"/>
            <w:vAlign w:val="center"/>
            <w:hideMark/>
          </w:tcPr>
          <w:p w14:paraId="609DC39F" w14:textId="77777777" w:rsidR="00C9627A" w:rsidRPr="00C9627A" w:rsidRDefault="00C9627A" w:rsidP="00234360">
            <w:pPr>
              <w:spacing w:before="0" w:after="0" w:line="240" w:lineRule="auto"/>
              <w:jc w:val="right"/>
              <w:rPr>
                <w:rFonts w:eastAsia="Times New Roman" w:cs="Arial"/>
                <w:b/>
                <w:bCs/>
                <w:color w:val="00698F" w:themeColor="accent1"/>
                <w:sz w:val="32"/>
                <w:szCs w:val="32"/>
              </w:rPr>
            </w:pPr>
            <w:r w:rsidRPr="00C9627A">
              <w:rPr>
                <w:rFonts w:eastAsia="Times New Roman" w:cs="Arial"/>
                <w:b/>
                <w:bCs/>
                <w:color w:val="00698F" w:themeColor="accent1"/>
                <w:sz w:val="32"/>
                <w:szCs w:val="32"/>
              </w:rPr>
              <w:t>4</w:t>
            </w:r>
          </w:p>
        </w:tc>
        <w:tc>
          <w:tcPr>
            <w:tcW w:w="5726" w:type="dxa"/>
            <w:tcBorders>
              <w:top w:val="nil"/>
              <w:left w:val="nil"/>
              <w:bottom w:val="nil"/>
              <w:right w:val="nil"/>
            </w:tcBorders>
            <w:shd w:val="clear" w:color="auto" w:fill="E6F7F8" w:themeFill="accent2" w:themeFillTint="33"/>
            <w:vAlign w:val="center"/>
            <w:hideMark/>
          </w:tcPr>
          <w:p w14:paraId="1F668F65" w14:textId="77777777" w:rsidR="00C9627A" w:rsidRPr="00C9627A" w:rsidRDefault="00C9627A" w:rsidP="00A87932">
            <w:pPr>
              <w:spacing w:before="30" w:after="30" w:line="240" w:lineRule="auto"/>
              <w:rPr>
                <w:rFonts w:eastAsia="Times New Roman" w:cs="Arial"/>
                <w:color w:val="262626"/>
                <w:sz w:val="17"/>
                <w:szCs w:val="17"/>
              </w:rPr>
            </w:pPr>
            <w:r w:rsidRPr="00C9627A">
              <w:rPr>
                <w:rFonts w:eastAsia="Times New Roman" w:cs="Arial"/>
                <w:color w:val="262626"/>
                <w:sz w:val="17"/>
                <w:szCs w:val="17"/>
              </w:rPr>
              <w:t>Commit to rating tool adoption and embed in tender documentation.</w:t>
            </w:r>
          </w:p>
        </w:tc>
      </w:tr>
    </w:tbl>
    <w:p w14:paraId="2ECB2199" w14:textId="77777777" w:rsidR="00C9627A" w:rsidRPr="00C9627A" w:rsidRDefault="00C9627A" w:rsidP="00F00708">
      <w:pPr>
        <w:pStyle w:val="Spacer"/>
      </w:pPr>
    </w:p>
    <w:p w14:paraId="345034B5" w14:textId="77777777" w:rsidR="00A87932" w:rsidRPr="009B2B67" w:rsidRDefault="00A87932" w:rsidP="00A87932">
      <w:pPr>
        <w:pStyle w:val="Heading3numbered"/>
      </w:pPr>
      <w:bookmarkStart w:id="55" w:name="_Toc68769273"/>
      <w:r w:rsidRPr="009B2B67">
        <w:lastRenderedPageBreak/>
        <w:t>Sustainability rating</w:t>
      </w:r>
      <w:bookmarkStart w:id="56" w:name="_Toc53490230"/>
      <w:bookmarkStart w:id="57" w:name="_Toc53490415"/>
      <w:bookmarkStart w:id="58" w:name="_Toc46848656"/>
      <w:bookmarkEnd w:id="56"/>
      <w:bookmarkEnd w:id="57"/>
      <w:r w:rsidRPr="009B2B67">
        <w:t xml:space="preserve"> tool summary</w:t>
      </w:r>
      <w:bookmarkEnd w:id="55"/>
      <w:bookmarkEnd w:id="58"/>
    </w:p>
    <w:p w14:paraId="0402DDD2" w14:textId="77777777" w:rsidR="00A87932" w:rsidRPr="00F4705B" w:rsidRDefault="00A87932" w:rsidP="00A87932">
      <w:r w:rsidRPr="00660556">
        <w:t xml:space="preserve">Sustainability assessment tools </w:t>
      </w:r>
      <w:r>
        <w:t xml:space="preserve">were originally developed principally </w:t>
      </w:r>
      <w:r w:rsidRPr="00660556">
        <w:t xml:space="preserve">for building assessment. Many evaluation tools have since been developed for the construction sector to collect and report information to make decisions at different stages of </w:t>
      </w:r>
      <w:r>
        <w:t>development or operations</w:t>
      </w:r>
      <w:r w:rsidRPr="00660556">
        <w:t>.</w:t>
      </w:r>
    </w:p>
    <w:p w14:paraId="616407DC" w14:textId="258D9536" w:rsidR="005A3777" w:rsidRDefault="00434FBE" w:rsidP="00A87932">
      <w:r>
        <w:fldChar w:fldCharType="begin"/>
      </w:r>
      <w:r>
        <w:instrText xml:space="preserve"> REF _Ref75423618 \h </w:instrText>
      </w:r>
      <w:r>
        <w:fldChar w:fldCharType="separate"/>
      </w:r>
      <w:r w:rsidR="00FC7DAA">
        <w:t xml:space="preserve">Table </w:t>
      </w:r>
      <w:r w:rsidR="00FC7DAA">
        <w:rPr>
          <w:noProof/>
        </w:rPr>
        <w:t>4</w:t>
      </w:r>
      <w:r>
        <w:fldChar w:fldCharType="end"/>
      </w:r>
      <w:r w:rsidR="00A87932" w:rsidRPr="000C026C">
        <w:t xml:space="preserve"> provides</w:t>
      </w:r>
      <w:r w:rsidR="00A87932">
        <w:t xml:space="preserve"> mapping of the most common industry rating tools to applicable sustainable investment themes. For further information to assist in the identification of an appropriate rating tool for a project refer to </w:t>
      </w:r>
      <w:r w:rsidR="00A87932">
        <w:fldChar w:fldCharType="begin"/>
      </w:r>
      <w:r w:rsidR="00A87932">
        <w:instrText xml:space="preserve"> REF _Ref68007482 \h </w:instrText>
      </w:r>
      <w:r w:rsidR="00A87932">
        <w:fldChar w:fldCharType="separate"/>
      </w:r>
      <w:r w:rsidR="00FC7DAA">
        <w:t>Appendix 2 – Sustainability rating tools</w:t>
      </w:r>
      <w:r w:rsidR="00A87932">
        <w:fldChar w:fldCharType="end"/>
      </w:r>
      <w:r w:rsidR="00A87932">
        <w:t>. Alternative tools and certifications may be pursued if appropriate.</w:t>
      </w:r>
    </w:p>
    <w:p w14:paraId="394763C6" w14:textId="1D58D5ED" w:rsidR="00A87932" w:rsidRDefault="00A87932" w:rsidP="00A87932">
      <w:pPr>
        <w:pStyle w:val="Caption"/>
      </w:pPr>
      <w:bookmarkStart w:id="59" w:name="_Ref75423618"/>
      <w:bookmarkStart w:id="60" w:name="_Toc117258725"/>
      <w:r>
        <w:t xml:space="preserve">Table </w:t>
      </w:r>
      <w:r>
        <w:fldChar w:fldCharType="begin"/>
      </w:r>
      <w:r>
        <w:instrText>SEQ Table \* ARABIC</w:instrText>
      </w:r>
      <w:r>
        <w:fldChar w:fldCharType="separate"/>
      </w:r>
      <w:r w:rsidR="00FC7DAA">
        <w:rPr>
          <w:noProof/>
        </w:rPr>
        <w:t>4</w:t>
      </w:r>
      <w:r>
        <w:fldChar w:fldCharType="end"/>
      </w:r>
      <w:bookmarkEnd w:id="59"/>
      <w:r>
        <w:t xml:space="preserve"> </w:t>
      </w:r>
      <w:r w:rsidRPr="00C33109">
        <w:t>– Mapping of rating tools to Victorian Sustainable Investment themes</w:t>
      </w:r>
      <w:bookmarkEnd w:id="60"/>
    </w:p>
    <w:tbl>
      <w:tblPr>
        <w:tblStyle w:val="Texttable"/>
        <w:tblW w:w="0" w:type="auto"/>
        <w:tblLook w:val="0620" w:firstRow="1" w:lastRow="0" w:firstColumn="0" w:lastColumn="0" w:noHBand="1" w:noVBand="1"/>
      </w:tblPr>
      <w:tblGrid>
        <w:gridCol w:w="4050"/>
        <w:gridCol w:w="1119"/>
        <w:gridCol w:w="1119"/>
        <w:gridCol w:w="1119"/>
        <w:gridCol w:w="1120"/>
      </w:tblGrid>
      <w:tr w:rsidR="00A87932" w:rsidRPr="00C9120D" w14:paraId="4EC80164" w14:textId="77777777" w:rsidTr="080D59E9">
        <w:trPr>
          <w:cnfStyle w:val="100000000000" w:firstRow="1" w:lastRow="0" w:firstColumn="0" w:lastColumn="0" w:oddVBand="0" w:evenVBand="0" w:oddHBand="0" w:evenHBand="0" w:firstRowFirstColumn="0" w:firstRowLastColumn="0" w:lastRowFirstColumn="0" w:lastRowLastColumn="0"/>
        </w:trPr>
        <w:tc>
          <w:tcPr>
            <w:tcW w:w="4050" w:type="dxa"/>
            <w:hideMark/>
          </w:tcPr>
          <w:p w14:paraId="451F8052" w14:textId="567097C7" w:rsidR="00A87932" w:rsidRPr="009B2B67" w:rsidRDefault="00A87932" w:rsidP="00601819">
            <w:pPr>
              <w:pStyle w:val="Tableheader"/>
              <w:spacing w:before="60" w:after="20"/>
            </w:pPr>
            <w:r>
              <w:t xml:space="preserve">Sustainable Investment </w:t>
            </w:r>
            <w:r>
              <w:br/>
              <w:t>themes</w:t>
            </w:r>
          </w:p>
        </w:tc>
        <w:tc>
          <w:tcPr>
            <w:tcW w:w="1119" w:type="dxa"/>
            <w:hideMark/>
          </w:tcPr>
          <w:p w14:paraId="648AA20D" w14:textId="77777777" w:rsidR="00A87932" w:rsidRPr="005973BE" w:rsidRDefault="00A87932" w:rsidP="00601819">
            <w:pPr>
              <w:pStyle w:val="Tableheader"/>
              <w:spacing w:before="60" w:after="20"/>
              <w:jc w:val="center"/>
            </w:pPr>
            <w:r w:rsidRPr="005973BE">
              <w:t>ISCA</w:t>
            </w:r>
          </w:p>
        </w:tc>
        <w:tc>
          <w:tcPr>
            <w:tcW w:w="1119" w:type="dxa"/>
            <w:hideMark/>
          </w:tcPr>
          <w:p w14:paraId="3577CBE0" w14:textId="77777777" w:rsidR="00A87932" w:rsidRPr="005973BE" w:rsidRDefault="00A87932" w:rsidP="00601819">
            <w:pPr>
              <w:pStyle w:val="Tableheader"/>
              <w:spacing w:before="60" w:after="20"/>
              <w:jc w:val="center"/>
            </w:pPr>
            <w:r w:rsidRPr="005973BE">
              <w:t>Green Star</w:t>
            </w:r>
          </w:p>
        </w:tc>
        <w:tc>
          <w:tcPr>
            <w:tcW w:w="1119" w:type="dxa"/>
            <w:hideMark/>
          </w:tcPr>
          <w:p w14:paraId="4FD53394" w14:textId="77777777" w:rsidR="00A87932" w:rsidRPr="005973BE" w:rsidRDefault="00A87932" w:rsidP="00601819">
            <w:pPr>
              <w:pStyle w:val="Tableheader"/>
              <w:spacing w:before="60" w:after="20"/>
              <w:jc w:val="center"/>
            </w:pPr>
            <w:r w:rsidRPr="005973BE">
              <w:t>NABERS</w:t>
            </w:r>
          </w:p>
        </w:tc>
        <w:tc>
          <w:tcPr>
            <w:tcW w:w="1120" w:type="dxa"/>
            <w:hideMark/>
          </w:tcPr>
          <w:p w14:paraId="4128A17D" w14:textId="77777777" w:rsidR="00A87932" w:rsidRPr="005973BE" w:rsidRDefault="00A87932" w:rsidP="00601819">
            <w:pPr>
              <w:pStyle w:val="Tableheader"/>
              <w:spacing w:before="60" w:after="20"/>
              <w:jc w:val="center"/>
            </w:pPr>
            <w:r w:rsidRPr="005973BE">
              <w:t>Climate Active</w:t>
            </w:r>
          </w:p>
        </w:tc>
      </w:tr>
      <w:tr w:rsidR="00A87932" w:rsidRPr="00BC3268" w14:paraId="3A33EDBE" w14:textId="77777777" w:rsidTr="080D59E9">
        <w:trPr>
          <w:cantSplit w:val="0"/>
        </w:trPr>
        <w:tc>
          <w:tcPr>
            <w:tcW w:w="4050" w:type="dxa"/>
            <w:hideMark/>
          </w:tcPr>
          <w:p w14:paraId="69EA3005" w14:textId="77777777" w:rsidR="00A87932" w:rsidRPr="00FD580E" w:rsidRDefault="00A87932" w:rsidP="00A87932">
            <w:pPr>
              <w:pStyle w:val="Tabletext"/>
            </w:pPr>
            <w:r w:rsidRPr="00FD580E">
              <w:t>Cultural heritage</w:t>
            </w:r>
          </w:p>
        </w:tc>
        <w:tc>
          <w:tcPr>
            <w:tcW w:w="1119" w:type="dxa"/>
            <w:hideMark/>
          </w:tcPr>
          <w:p w14:paraId="58410FB9" w14:textId="77777777" w:rsidR="00A87932" w:rsidRPr="009B2B67" w:rsidRDefault="00A87932" w:rsidP="00A87932">
            <w:pPr>
              <w:pStyle w:val="Tabletext"/>
              <w:jc w:val="center"/>
              <w:rPr>
                <w:rFonts w:ascii="Arial" w:hAnsi="Arial" w:cs="Arial"/>
              </w:rPr>
            </w:pPr>
            <w:r>
              <w:rPr>
                <w:noProof/>
              </w:rPr>
              <w:drawing>
                <wp:inline distT="0" distB="0" distL="0" distR="0" wp14:anchorId="658F5D09" wp14:editId="05557D56">
                  <wp:extent cx="255628" cy="246888"/>
                  <wp:effectExtent l="0" t="0" r="0" b="1270"/>
                  <wp:docPr id="2093112034" name="Picture 20931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112034"/>
                          <pic:cNvPicPr/>
                        </pic:nvPicPr>
                        <pic:blipFill>
                          <a:blip r:embed="rId40">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55628" cy="246888"/>
                          </a:xfrm>
                          <a:prstGeom prst="rect">
                            <a:avLst/>
                          </a:prstGeom>
                        </pic:spPr>
                      </pic:pic>
                    </a:graphicData>
                  </a:graphic>
                </wp:inline>
              </w:drawing>
            </w:r>
          </w:p>
        </w:tc>
        <w:tc>
          <w:tcPr>
            <w:tcW w:w="1119" w:type="dxa"/>
            <w:hideMark/>
          </w:tcPr>
          <w:p w14:paraId="5305193A"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04B97C31" wp14:editId="19EAD57F">
                  <wp:extent cx="255628" cy="246888"/>
                  <wp:effectExtent l="0" t="0" r="0" b="1270"/>
                  <wp:docPr id="2093112044" name="Picture 209311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112044"/>
                          <pic:cNvPicPr/>
                        </pic:nvPicPr>
                        <pic:blipFill>
                          <a:blip r:embed="rId40">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55628" cy="246888"/>
                          </a:xfrm>
                          <a:prstGeom prst="rect">
                            <a:avLst/>
                          </a:prstGeom>
                        </pic:spPr>
                      </pic:pic>
                    </a:graphicData>
                  </a:graphic>
                </wp:inline>
              </w:drawing>
            </w:r>
          </w:p>
        </w:tc>
        <w:tc>
          <w:tcPr>
            <w:tcW w:w="1119" w:type="dxa"/>
            <w:hideMark/>
          </w:tcPr>
          <w:p w14:paraId="05A5AAED" w14:textId="77777777" w:rsidR="00A87932" w:rsidRPr="00B6141F" w:rsidRDefault="00A87932" w:rsidP="00A87932">
            <w:pPr>
              <w:pStyle w:val="Tabletext"/>
              <w:jc w:val="center"/>
            </w:pPr>
          </w:p>
        </w:tc>
        <w:tc>
          <w:tcPr>
            <w:tcW w:w="1120" w:type="dxa"/>
            <w:hideMark/>
          </w:tcPr>
          <w:p w14:paraId="3F9B0C4E" w14:textId="77777777" w:rsidR="00A87932" w:rsidRPr="009B2B67" w:rsidRDefault="00A87932" w:rsidP="00A87932">
            <w:pPr>
              <w:pStyle w:val="Tabletext"/>
              <w:jc w:val="center"/>
            </w:pPr>
          </w:p>
        </w:tc>
      </w:tr>
      <w:tr w:rsidR="00A87932" w:rsidRPr="00BC3268" w14:paraId="7B58EC88" w14:textId="77777777" w:rsidTr="080D59E9">
        <w:trPr>
          <w:cantSplit w:val="0"/>
        </w:trPr>
        <w:tc>
          <w:tcPr>
            <w:tcW w:w="4050" w:type="dxa"/>
            <w:hideMark/>
          </w:tcPr>
          <w:p w14:paraId="753470F4" w14:textId="77777777" w:rsidR="00A87932" w:rsidRPr="00FD580E" w:rsidRDefault="00A87932" w:rsidP="00A87932">
            <w:pPr>
              <w:pStyle w:val="Tabletext"/>
            </w:pPr>
            <w:r w:rsidRPr="00FD580E">
              <w:t>Liveability</w:t>
            </w:r>
          </w:p>
        </w:tc>
        <w:tc>
          <w:tcPr>
            <w:tcW w:w="1119" w:type="dxa"/>
            <w:hideMark/>
          </w:tcPr>
          <w:p w14:paraId="77DE4629" w14:textId="77777777" w:rsidR="00A87932" w:rsidRPr="009B2B67" w:rsidRDefault="00A87932" w:rsidP="00A87932">
            <w:pPr>
              <w:pStyle w:val="Tabletext"/>
              <w:jc w:val="center"/>
              <w:rPr>
                <w:rFonts w:ascii="Arial" w:hAnsi="Arial" w:cs="Arial"/>
              </w:rPr>
            </w:pPr>
            <w:r>
              <w:rPr>
                <w:noProof/>
              </w:rPr>
              <w:drawing>
                <wp:inline distT="0" distB="0" distL="0" distR="0" wp14:anchorId="133BA6F8" wp14:editId="29AAB40C">
                  <wp:extent cx="254454" cy="252000"/>
                  <wp:effectExtent l="0" t="0" r="0" b="0"/>
                  <wp:docPr id="209311203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19" w:type="dxa"/>
            <w:hideMark/>
          </w:tcPr>
          <w:p w14:paraId="2536871C"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6459A4B4" wp14:editId="7CF2851D">
                  <wp:extent cx="254454" cy="252000"/>
                  <wp:effectExtent l="0" t="0" r="0" b="0"/>
                  <wp:docPr id="209311204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19" w:type="dxa"/>
            <w:hideMark/>
          </w:tcPr>
          <w:p w14:paraId="37EA0C86"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39D5EBC2" wp14:editId="68C7009F">
                  <wp:extent cx="254454" cy="252000"/>
                  <wp:effectExtent l="0" t="0" r="0" b="0"/>
                  <wp:docPr id="209311205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1120" w:type="dxa"/>
            <w:hideMark/>
          </w:tcPr>
          <w:p w14:paraId="28EF31DE" w14:textId="77777777" w:rsidR="00A87932" w:rsidRPr="009B2B67" w:rsidRDefault="00A87932" w:rsidP="00A87932">
            <w:pPr>
              <w:pStyle w:val="Tabletext"/>
              <w:jc w:val="center"/>
            </w:pPr>
          </w:p>
        </w:tc>
      </w:tr>
      <w:tr w:rsidR="00A87932" w:rsidRPr="00BC3268" w14:paraId="0277ED67" w14:textId="77777777" w:rsidTr="080D59E9">
        <w:trPr>
          <w:cantSplit w:val="0"/>
        </w:trPr>
        <w:tc>
          <w:tcPr>
            <w:tcW w:w="4050" w:type="dxa"/>
            <w:hideMark/>
          </w:tcPr>
          <w:p w14:paraId="1D772A46" w14:textId="77777777" w:rsidR="00A87932" w:rsidRPr="00FD580E" w:rsidRDefault="00A87932" w:rsidP="00A87932">
            <w:pPr>
              <w:pStyle w:val="Tabletext"/>
            </w:pPr>
            <w:r w:rsidRPr="00FD580E">
              <w:t xml:space="preserve">Transport, access, </w:t>
            </w:r>
            <w:r>
              <w:t>and</w:t>
            </w:r>
            <w:r w:rsidRPr="00FD580E">
              <w:t xml:space="preserve"> connectivity</w:t>
            </w:r>
          </w:p>
        </w:tc>
        <w:tc>
          <w:tcPr>
            <w:tcW w:w="1119" w:type="dxa"/>
            <w:hideMark/>
          </w:tcPr>
          <w:p w14:paraId="7F9D857C" w14:textId="77777777" w:rsidR="00A87932" w:rsidRPr="009B2B67" w:rsidRDefault="00A87932" w:rsidP="00A87932">
            <w:pPr>
              <w:pStyle w:val="Tabletext"/>
              <w:jc w:val="center"/>
              <w:rPr>
                <w:rFonts w:ascii="Arial" w:hAnsi="Arial" w:cs="Arial"/>
              </w:rPr>
            </w:pPr>
            <w:r>
              <w:rPr>
                <w:noProof/>
              </w:rPr>
              <w:drawing>
                <wp:inline distT="0" distB="0" distL="0" distR="0" wp14:anchorId="5BC81704" wp14:editId="572453F9">
                  <wp:extent cx="244420" cy="246888"/>
                  <wp:effectExtent l="0" t="0" r="3810" b="1270"/>
                  <wp:docPr id="2093112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244420" cy="246888"/>
                          </a:xfrm>
                          <a:prstGeom prst="rect">
                            <a:avLst/>
                          </a:prstGeom>
                        </pic:spPr>
                      </pic:pic>
                    </a:graphicData>
                  </a:graphic>
                </wp:inline>
              </w:drawing>
            </w:r>
          </w:p>
        </w:tc>
        <w:tc>
          <w:tcPr>
            <w:tcW w:w="1119" w:type="dxa"/>
            <w:hideMark/>
          </w:tcPr>
          <w:p w14:paraId="5916DFE1"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6016656F" wp14:editId="412286C6">
                  <wp:extent cx="244420" cy="246888"/>
                  <wp:effectExtent l="0" t="0" r="3810" b="1270"/>
                  <wp:docPr id="2093112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244420" cy="246888"/>
                          </a:xfrm>
                          <a:prstGeom prst="rect">
                            <a:avLst/>
                          </a:prstGeom>
                        </pic:spPr>
                      </pic:pic>
                    </a:graphicData>
                  </a:graphic>
                </wp:inline>
              </w:drawing>
            </w:r>
          </w:p>
        </w:tc>
        <w:tc>
          <w:tcPr>
            <w:tcW w:w="1119" w:type="dxa"/>
            <w:hideMark/>
          </w:tcPr>
          <w:p w14:paraId="5D97A210" w14:textId="77777777" w:rsidR="00A87932" w:rsidRPr="00B6141F" w:rsidRDefault="00A87932" w:rsidP="00A87932">
            <w:pPr>
              <w:pStyle w:val="Tabletext"/>
              <w:jc w:val="center"/>
            </w:pPr>
          </w:p>
        </w:tc>
        <w:tc>
          <w:tcPr>
            <w:tcW w:w="1120" w:type="dxa"/>
            <w:hideMark/>
          </w:tcPr>
          <w:p w14:paraId="1D312C29" w14:textId="77777777" w:rsidR="00A87932" w:rsidRPr="009B2B67" w:rsidRDefault="00A87932" w:rsidP="00A87932">
            <w:pPr>
              <w:pStyle w:val="Tabletext"/>
              <w:jc w:val="center"/>
            </w:pPr>
          </w:p>
        </w:tc>
      </w:tr>
      <w:tr w:rsidR="00A87932" w:rsidRPr="00BC3268" w14:paraId="474C4140" w14:textId="77777777" w:rsidTr="080D59E9">
        <w:trPr>
          <w:cantSplit w:val="0"/>
        </w:trPr>
        <w:tc>
          <w:tcPr>
            <w:tcW w:w="4050" w:type="dxa"/>
            <w:hideMark/>
          </w:tcPr>
          <w:p w14:paraId="4DDB26FD" w14:textId="77777777" w:rsidR="00A87932" w:rsidRPr="00FD580E" w:rsidRDefault="00A87932" w:rsidP="00A87932">
            <w:pPr>
              <w:pStyle w:val="Tabletext"/>
            </w:pPr>
            <w:r w:rsidRPr="00FD580E">
              <w:t>Climate resilience</w:t>
            </w:r>
          </w:p>
        </w:tc>
        <w:tc>
          <w:tcPr>
            <w:tcW w:w="1119" w:type="dxa"/>
            <w:hideMark/>
          </w:tcPr>
          <w:p w14:paraId="6B7395F2" w14:textId="77777777" w:rsidR="00A87932" w:rsidRPr="009B2B67" w:rsidRDefault="00A87932" w:rsidP="00A87932">
            <w:pPr>
              <w:pStyle w:val="Tabletext"/>
              <w:jc w:val="center"/>
              <w:rPr>
                <w:rFonts w:ascii="Arial" w:hAnsi="Arial" w:cs="Arial"/>
              </w:rPr>
            </w:pPr>
            <w:r>
              <w:rPr>
                <w:noProof/>
              </w:rPr>
              <w:drawing>
                <wp:inline distT="0" distB="0" distL="0" distR="0" wp14:anchorId="2CBE9A41" wp14:editId="40ABB88C">
                  <wp:extent cx="246888" cy="246888"/>
                  <wp:effectExtent l="0" t="0" r="1270" b="1270"/>
                  <wp:docPr id="2093112039"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46888" cy="246888"/>
                          </a:xfrm>
                          <a:prstGeom prst="rect">
                            <a:avLst/>
                          </a:prstGeom>
                        </pic:spPr>
                      </pic:pic>
                    </a:graphicData>
                  </a:graphic>
                </wp:inline>
              </w:drawing>
            </w:r>
          </w:p>
        </w:tc>
        <w:tc>
          <w:tcPr>
            <w:tcW w:w="1119" w:type="dxa"/>
            <w:hideMark/>
          </w:tcPr>
          <w:p w14:paraId="4C4C542F"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0C15F8D1" wp14:editId="65EC5FAA">
                  <wp:extent cx="252000" cy="252000"/>
                  <wp:effectExtent l="0" t="0" r="0" b="0"/>
                  <wp:docPr id="2093112048"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52000" cy="252000"/>
                          </a:xfrm>
                          <a:prstGeom prst="rect">
                            <a:avLst/>
                          </a:prstGeom>
                        </pic:spPr>
                      </pic:pic>
                    </a:graphicData>
                  </a:graphic>
                </wp:inline>
              </w:drawing>
            </w:r>
          </w:p>
        </w:tc>
        <w:tc>
          <w:tcPr>
            <w:tcW w:w="1119" w:type="dxa"/>
            <w:hideMark/>
          </w:tcPr>
          <w:p w14:paraId="27465EE0" w14:textId="77777777" w:rsidR="00A87932" w:rsidRPr="00B6141F" w:rsidRDefault="00A87932" w:rsidP="00A87932">
            <w:pPr>
              <w:pStyle w:val="Tabletext"/>
              <w:jc w:val="center"/>
            </w:pPr>
          </w:p>
        </w:tc>
        <w:tc>
          <w:tcPr>
            <w:tcW w:w="1120" w:type="dxa"/>
            <w:hideMark/>
          </w:tcPr>
          <w:p w14:paraId="51B27C02" w14:textId="77777777" w:rsidR="00A87932" w:rsidRPr="009B2B67" w:rsidRDefault="00A87932" w:rsidP="00A87932">
            <w:pPr>
              <w:pStyle w:val="Tabletext"/>
              <w:jc w:val="center"/>
            </w:pPr>
          </w:p>
        </w:tc>
      </w:tr>
      <w:tr w:rsidR="00A87932" w:rsidRPr="00BC3268" w14:paraId="1891E6AF" w14:textId="77777777" w:rsidTr="080D59E9">
        <w:trPr>
          <w:cantSplit w:val="0"/>
        </w:trPr>
        <w:tc>
          <w:tcPr>
            <w:tcW w:w="4050" w:type="dxa"/>
            <w:hideMark/>
          </w:tcPr>
          <w:p w14:paraId="53701D00" w14:textId="34B35241" w:rsidR="00A87932" w:rsidRPr="00FD580E" w:rsidRDefault="00A87932" w:rsidP="00A87932">
            <w:pPr>
              <w:pStyle w:val="Tabletext"/>
            </w:pPr>
            <w:r w:rsidRPr="00FD580E">
              <w:t xml:space="preserve">Material use </w:t>
            </w:r>
            <w:r>
              <w:t>and</w:t>
            </w:r>
            <w:r w:rsidRPr="00FD580E">
              <w:t xml:space="preserve"> circular economy</w:t>
            </w:r>
          </w:p>
        </w:tc>
        <w:tc>
          <w:tcPr>
            <w:tcW w:w="1119" w:type="dxa"/>
            <w:hideMark/>
          </w:tcPr>
          <w:p w14:paraId="0F15604B" w14:textId="77777777" w:rsidR="00A87932" w:rsidRPr="009B2B67" w:rsidRDefault="00A87932" w:rsidP="00A87932">
            <w:pPr>
              <w:pStyle w:val="Tabletext"/>
              <w:jc w:val="center"/>
              <w:rPr>
                <w:rFonts w:ascii="Arial" w:hAnsi="Arial" w:cs="Arial"/>
              </w:rPr>
            </w:pPr>
            <w:r>
              <w:rPr>
                <w:noProof/>
              </w:rPr>
              <w:drawing>
                <wp:inline distT="0" distB="0" distL="0" distR="0" wp14:anchorId="401E8ADE" wp14:editId="73A9D39D">
                  <wp:extent cx="246888" cy="246888"/>
                  <wp:effectExtent l="0" t="0" r="1270" b="1270"/>
                  <wp:docPr id="2093112040"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46888" cy="246888"/>
                          </a:xfrm>
                          <a:prstGeom prst="rect">
                            <a:avLst/>
                          </a:prstGeom>
                        </pic:spPr>
                      </pic:pic>
                    </a:graphicData>
                  </a:graphic>
                </wp:inline>
              </w:drawing>
            </w:r>
          </w:p>
        </w:tc>
        <w:tc>
          <w:tcPr>
            <w:tcW w:w="1119" w:type="dxa"/>
            <w:hideMark/>
          </w:tcPr>
          <w:p w14:paraId="421BE82D"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2B146566" wp14:editId="1C6AD9E5">
                  <wp:extent cx="246888" cy="246888"/>
                  <wp:effectExtent l="0" t="0" r="1270" b="1270"/>
                  <wp:docPr id="456"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46888" cy="246888"/>
                          </a:xfrm>
                          <a:prstGeom prst="rect">
                            <a:avLst/>
                          </a:prstGeom>
                        </pic:spPr>
                      </pic:pic>
                    </a:graphicData>
                  </a:graphic>
                </wp:inline>
              </w:drawing>
            </w:r>
          </w:p>
        </w:tc>
        <w:tc>
          <w:tcPr>
            <w:tcW w:w="1119" w:type="dxa"/>
            <w:hideMark/>
          </w:tcPr>
          <w:p w14:paraId="43A6D266"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595BFFA9" wp14:editId="68BE2C17">
                  <wp:extent cx="246888" cy="246888"/>
                  <wp:effectExtent l="0" t="0" r="1270" b="1270"/>
                  <wp:docPr id="457" name="Graphic 2093112040"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3112040"/>
                          <pic:cNvPicPr/>
                        </pic:nvPicPr>
                        <pic:blipFill>
                          <a:blip r:embed="rId3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46888" cy="246888"/>
                          </a:xfrm>
                          <a:prstGeom prst="rect">
                            <a:avLst/>
                          </a:prstGeom>
                        </pic:spPr>
                      </pic:pic>
                    </a:graphicData>
                  </a:graphic>
                </wp:inline>
              </w:drawing>
            </w:r>
          </w:p>
        </w:tc>
        <w:tc>
          <w:tcPr>
            <w:tcW w:w="1120" w:type="dxa"/>
            <w:hideMark/>
          </w:tcPr>
          <w:p w14:paraId="71E27AE7" w14:textId="77777777" w:rsidR="00A87932" w:rsidRPr="009B2B67" w:rsidRDefault="00A87932" w:rsidP="00A87932">
            <w:pPr>
              <w:pStyle w:val="Tabletext"/>
              <w:jc w:val="center"/>
            </w:pPr>
          </w:p>
        </w:tc>
      </w:tr>
      <w:tr w:rsidR="00A87932" w:rsidRPr="00BC3268" w14:paraId="4D776638" w14:textId="77777777" w:rsidTr="080D59E9">
        <w:trPr>
          <w:cantSplit w:val="0"/>
        </w:trPr>
        <w:tc>
          <w:tcPr>
            <w:tcW w:w="4050" w:type="dxa"/>
            <w:hideMark/>
          </w:tcPr>
          <w:p w14:paraId="304B774E" w14:textId="6103559F" w:rsidR="00A87932" w:rsidRPr="00FD580E" w:rsidRDefault="00A87932" w:rsidP="00601819">
            <w:pPr>
              <w:pStyle w:val="Tabletext"/>
              <w:keepNext/>
            </w:pPr>
            <w:r w:rsidRPr="00FD580E">
              <w:t xml:space="preserve">Energy productivity </w:t>
            </w:r>
            <w:r>
              <w:t>and</w:t>
            </w:r>
            <w:r w:rsidRPr="00FD580E">
              <w:t xml:space="preserve"> carbon emissions</w:t>
            </w:r>
          </w:p>
        </w:tc>
        <w:tc>
          <w:tcPr>
            <w:tcW w:w="1119" w:type="dxa"/>
            <w:hideMark/>
          </w:tcPr>
          <w:p w14:paraId="5A2CB9DC" w14:textId="77777777" w:rsidR="00A87932" w:rsidRPr="009B2B67" w:rsidRDefault="00A87932" w:rsidP="00A87932">
            <w:pPr>
              <w:pStyle w:val="Tabletext"/>
              <w:jc w:val="center"/>
              <w:rPr>
                <w:rFonts w:ascii="Arial" w:hAnsi="Arial" w:cs="Arial"/>
              </w:rPr>
            </w:pPr>
            <w:r>
              <w:rPr>
                <w:noProof/>
              </w:rPr>
              <w:drawing>
                <wp:inline distT="0" distB="0" distL="0" distR="0" wp14:anchorId="7C02F2B8" wp14:editId="11C081A8">
                  <wp:extent cx="241900" cy="246888"/>
                  <wp:effectExtent l="0" t="0" r="6350" b="1270"/>
                  <wp:docPr id="2093112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1900" cy="246888"/>
                          </a:xfrm>
                          <a:prstGeom prst="rect">
                            <a:avLst/>
                          </a:prstGeom>
                        </pic:spPr>
                      </pic:pic>
                    </a:graphicData>
                  </a:graphic>
                </wp:inline>
              </w:drawing>
            </w:r>
          </w:p>
        </w:tc>
        <w:tc>
          <w:tcPr>
            <w:tcW w:w="1119" w:type="dxa"/>
            <w:hideMark/>
          </w:tcPr>
          <w:p w14:paraId="00E3148D"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168F9302" wp14:editId="083435A4">
                  <wp:extent cx="241900" cy="246888"/>
                  <wp:effectExtent l="0" t="0" r="6350" b="1270"/>
                  <wp:docPr id="209311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1900" cy="246888"/>
                          </a:xfrm>
                          <a:prstGeom prst="rect">
                            <a:avLst/>
                          </a:prstGeom>
                        </pic:spPr>
                      </pic:pic>
                    </a:graphicData>
                  </a:graphic>
                </wp:inline>
              </w:drawing>
            </w:r>
          </w:p>
        </w:tc>
        <w:tc>
          <w:tcPr>
            <w:tcW w:w="1119" w:type="dxa"/>
            <w:hideMark/>
          </w:tcPr>
          <w:p w14:paraId="229820B8"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405CA412" wp14:editId="656D552D">
                  <wp:extent cx="241900" cy="246888"/>
                  <wp:effectExtent l="0" t="0" r="6350" b="1270"/>
                  <wp:docPr id="209311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1900" cy="246888"/>
                          </a:xfrm>
                          <a:prstGeom prst="rect">
                            <a:avLst/>
                          </a:prstGeom>
                        </pic:spPr>
                      </pic:pic>
                    </a:graphicData>
                  </a:graphic>
                </wp:inline>
              </w:drawing>
            </w:r>
          </w:p>
        </w:tc>
        <w:tc>
          <w:tcPr>
            <w:tcW w:w="1120" w:type="dxa"/>
            <w:hideMark/>
          </w:tcPr>
          <w:p w14:paraId="412BEEDD" w14:textId="77777777" w:rsidR="00A87932" w:rsidRPr="009B2B67" w:rsidRDefault="00A87932" w:rsidP="00A87932">
            <w:pPr>
              <w:pStyle w:val="Tabletext"/>
              <w:jc w:val="center"/>
              <w:rPr>
                <w:rFonts w:ascii="Arial" w:hAnsi="Arial" w:cs="Arial"/>
              </w:rPr>
            </w:pPr>
            <w:r>
              <w:rPr>
                <w:noProof/>
              </w:rPr>
              <w:drawing>
                <wp:inline distT="0" distB="0" distL="0" distR="0" wp14:anchorId="08DB5518" wp14:editId="7603848C">
                  <wp:extent cx="241900" cy="246888"/>
                  <wp:effectExtent l="0" t="0" r="6350" b="1270"/>
                  <wp:docPr id="209311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41900" cy="246888"/>
                          </a:xfrm>
                          <a:prstGeom prst="rect">
                            <a:avLst/>
                          </a:prstGeom>
                        </pic:spPr>
                      </pic:pic>
                    </a:graphicData>
                  </a:graphic>
                </wp:inline>
              </w:drawing>
            </w:r>
          </w:p>
        </w:tc>
      </w:tr>
      <w:tr w:rsidR="00A87932" w:rsidRPr="00BC3268" w14:paraId="22A2C7D4" w14:textId="77777777" w:rsidTr="080D59E9">
        <w:trPr>
          <w:cantSplit w:val="0"/>
        </w:trPr>
        <w:tc>
          <w:tcPr>
            <w:tcW w:w="4050" w:type="dxa"/>
          </w:tcPr>
          <w:p w14:paraId="789950E6" w14:textId="77777777" w:rsidR="00A87932" w:rsidRPr="00FD580E" w:rsidRDefault="00A87932" w:rsidP="00A87932">
            <w:pPr>
              <w:pStyle w:val="Tabletext"/>
            </w:pPr>
            <w:r w:rsidRPr="00FD580E">
              <w:t>Integrated water management</w:t>
            </w:r>
          </w:p>
        </w:tc>
        <w:tc>
          <w:tcPr>
            <w:tcW w:w="1119" w:type="dxa"/>
          </w:tcPr>
          <w:p w14:paraId="2CC1909A" w14:textId="77777777" w:rsidR="00A87932" w:rsidRDefault="00A87932" w:rsidP="00A87932">
            <w:pPr>
              <w:pStyle w:val="Tabletext"/>
              <w:jc w:val="center"/>
              <w:rPr>
                <w:noProof/>
              </w:rPr>
            </w:pPr>
            <w:r>
              <w:rPr>
                <w:noProof/>
              </w:rPr>
              <w:drawing>
                <wp:inline distT="0" distB="0" distL="0" distR="0" wp14:anchorId="2921BE9F" wp14:editId="760A39A3">
                  <wp:extent cx="252500" cy="246888"/>
                  <wp:effectExtent l="0" t="0" r="0" b="1270"/>
                  <wp:docPr id="2093112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2500" cy="246888"/>
                          </a:xfrm>
                          <a:prstGeom prst="rect">
                            <a:avLst/>
                          </a:prstGeom>
                        </pic:spPr>
                      </pic:pic>
                    </a:graphicData>
                  </a:graphic>
                </wp:inline>
              </w:drawing>
            </w:r>
          </w:p>
        </w:tc>
        <w:tc>
          <w:tcPr>
            <w:tcW w:w="1119" w:type="dxa"/>
          </w:tcPr>
          <w:p w14:paraId="18D51FF7"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5D0BED98" wp14:editId="30BE62D2">
                  <wp:extent cx="252500" cy="246888"/>
                  <wp:effectExtent l="0" t="0" r="0" b="1270"/>
                  <wp:docPr id="2093112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2500" cy="246888"/>
                          </a:xfrm>
                          <a:prstGeom prst="rect">
                            <a:avLst/>
                          </a:prstGeom>
                        </pic:spPr>
                      </pic:pic>
                    </a:graphicData>
                  </a:graphic>
                </wp:inline>
              </w:drawing>
            </w:r>
          </w:p>
        </w:tc>
        <w:tc>
          <w:tcPr>
            <w:tcW w:w="1119" w:type="dxa"/>
          </w:tcPr>
          <w:p w14:paraId="43380D2A" w14:textId="77777777" w:rsidR="00A87932" w:rsidRPr="00B6141F" w:rsidRDefault="00A87932" w:rsidP="00A87932">
            <w:pPr>
              <w:pStyle w:val="Tabletext"/>
              <w:jc w:val="center"/>
              <w:rPr>
                <w:rFonts w:ascii="Times New Roman" w:hAnsi="Times New Roman" w:cs="Times New Roman"/>
              </w:rPr>
            </w:pPr>
            <w:r>
              <w:rPr>
                <w:noProof/>
              </w:rPr>
              <w:drawing>
                <wp:inline distT="0" distB="0" distL="0" distR="0" wp14:anchorId="726D29E6" wp14:editId="03B063B0">
                  <wp:extent cx="252500" cy="246888"/>
                  <wp:effectExtent l="0" t="0" r="0" b="1270"/>
                  <wp:docPr id="2093112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2500" cy="246888"/>
                          </a:xfrm>
                          <a:prstGeom prst="rect">
                            <a:avLst/>
                          </a:prstGeom>
                        </pic:spPr>
                      </pic:pic>
                    </a:graphicData>
                  </a:graphic>
                </wp:inline>
              </w:drawing>
            </w:r>
          </w:p>
        </w:tc>
        <w:tc>
          <w:tcPr>
            <w:tcW w:w="1120" w:type="dxa"/>
          </w:tcPr>
          <w:p w14:paraId="585DD435" w14:textId="77777777" w:rsidR="00A87932" w:rsidRPr="00BC3268" w:rsidRDefault="00A87932" w:rsidP="00A87932">
            <w:pPr>
              <w:pStyle w:val="Tabletext"/>
              <w:jc w:val="center"/>
            </w:pPr>
          </w:p>
        </w:tc>
      </w:tr>
      <w:tr w:rsidR="00A87932" w:rsidRPr="00BC3268" w14:paraId="58DE5C7F" w14:textId="77777777" w:rsidTr="080D59E9">
        <w:trPr>
          <w:cantSplit w:val="0"/>
        </w:trPr>
        <w:tc>
          <w:tcPr>
            <w:tcW w:w="4050" w:type="dxa"/>
          </w:tcPr>
          <w:p w14:paraId="59D8C9EF" w14:textId="7F92313F" w:rsidR="00A87932" w:rsidRPr="00FD580E" w:rsidRDefault="00A87932" w:rsidP="00A87932">
            <w:pPr>
              <w:pStyle w:val="Tabletext"/>
            </w:pPr>
            <w:r w:rsidRPr="00FD580E">
              <w:t xml:space="preserve">Environmental protection </w:t>
            </w:r>
            <w:r>
              <w:t>and</w:t>
            </w:r>
            <w:r w:rsidRPr="00FD580E">
              <w:t xml:space="preserve"> enhancement</w:t>
            </w:r>
          </w:p>
        </w:tc>
        <w:tc>
          <w:tcPr>
            <w:tcW w:w="1119" w:type="dxa"/>
          </w:tcPr>
          <w:p w14:paraId="6CC7BF52" w14:textId="77777777" w:rsidR="00A87932" w:rsidRDefault="00A87932" w:rsidP="00A87932">
            <w:pPr>
              <w:pStyle w:val="Tabletext"/>
              <w:jc w:val="center"/>
              <w:rPr>
                <w:noProof/>
              </w:rPr>
            </w:pPr>
            <w:r>
              <w:rPr>
                <w:noProof/>
              </w:rPr>
              <w:drawing>
                <wp:inline distT="0" distB="0" distL="0" distR="0" wp14:anchorId="0D48AD70" wp14:editId="0025EC4D">
                  <wp:extent cx="278104" cy="246888"/>
                  <wp:effectExtent l="0" t="0" r="8255" b="1270"/>
                  <wp:docPr id="2093112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78104" cy="246888"/>
                          </a:xfrm>
                          <a:prstGeom prst="rect">
                            <a:avLst/>
                          </a:prstGeom>
                        </pic:spPr>
                      </pic:pic>
                    </a:graphicData>
                  </a:graphic>
                </wp:inline>
              </w:drawing>
            </w:r>
          </w:p>
        </w:tc>
        <w:tc>
          <w:tcPr>
            <w:tcW w:w="1119" w:type="dxa"/>
          </w:tcPr>
          <w:p w14:paraId="4603A367" w14:textId="77777777" w:rsidR="00A87932" w:rsidRPr="00BC3268" w:rsidRDefault="00A87932" w:rsidP="00A87932">
            <w:pPr>
              <w:pStyle w:val="Tabletext"/>
              <w:jc w:val="center"/>
              <w:rPr>
                <w:rFonts w:ascii="Times New Roman" w:hAnsi="Times New Roman" w:cs="Times New Roman"/>
              </w:rPr>
            </w:pPr>
            <w:r>
              <w:rPr>
                <w:noProof/>
              </w:rPr>
              <w:drawing>
                <wp:inline distT="0" distB="0" distL="0" distR="0" wp14:anchorId="7C702FA5" wp14:editId="52E4AEA0">
                  <wp:extent cx="278104" cy="246888"/>
                  <wp:effectExtent l="0" t="0" r="8255" b="1270"/>
                  <wp:docPr id="209311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78104" cy="246888"/>
                          </a:xfrm>
                          <a:prstGeom prst="rect">
                            <a:avLst/>
                          </a:prstGeom>
                        </pic:spPr>
                      </pic:pic>
                    </a:graphicData>
                  </a:graphic>
                </wp:inline>
              </w:drawing>
            </w:r>
          </w:p>
        </w:tc>
        <w:tc>
          <w:tcPr>
            <w:tcW w:w="1119" w:type="dxa"/>
          </w:tcPr>
          <w:p w14:paraId="14A06E94" w14:textId="77777777" w:rsidR="00A87932" w:rsidRPr="00B6141F" w:rsidRDefault="00A87932" w:rsidP="00A87932">
            <w:pPr>
              <w:pStyle w:val="Tabletext"/>
              <w:jc w:val="center"/>
            </w:pPr>
          </w:p>
        </w:tc>
        <w:tc>
          <w:tcPr>
            <w:tcW w:w="1120" w:type="dxa"/>
          </w:tcPr>
          <w:p w14:paraId="69BED42B" w14:textId="77777777" w:rsidR="00A87932" w:rsidRPr="00BC3268" w:rsidRDefault="00A87932" w:rsidP="00A87932">
            <w:pPr>
              <w:pStyle w:val="Tabletext"/>
              <w:jc w:val="center"/>
            </w:pPr>
          </w:p>
        </w:tc>
      </w:tr>
    </w:tbl>
    <w:p w14:paraId="3CD18859" w14:textId="11AACE81" w:rsidR="00A87932" w:rsidRDefault="00A87932" w:rsidP="00F00708">
      <w:pPr>
        <w:pStyle w:val="Spacer"/>
      </w:pPr>
    </w:p>
    <w:p w14:paraId="3B95B457" w14:textId="77777777" w:rsidR="00274ECF" w:rsidRDefault="00274ECF" w:rsidP="00274ECF">
      <w:pPr>
        <w:pStyle w:val="Heading2numbered"/>
      </w:pPr>
      <w:bookmarkStart w:id="61" w:name="_Toc68769274"/>
      <w:bookmarkStart w:id="62" w:name="_Toc117258700"/>
      <w:r>
        <w:t>Green Bonds</w:t>
      </w:r>
      <w:bookmarkEnd w:id="61"/>
      <w:bookmarkEnd w:id="62"/>
    </w:p>
    <w:p w14:paraId="79344040" w14:textId="17DCFF69" w:rsidR="00274ECF" w:rsidRPr="003A1587" w:rsidRDefault="00274ECF" w:rsidP="00274ECF">
      <w:pPr>
        <w:pStyle w:val="NormalIndent"/>
        <w:ind w:left="0"/>
      </w:pPr>
      <w:r w:rsidRPr="009B2B67">
        <w:t>Green Bonds are bonds that are used to finance projects that offer climate change and</w:t>
      </w:r>
      <w:r>
        <w:t>/or</w:t>
      </w:r>
      <w:r w:rsidRPr="009B2B67">
        <w:t xml:space="preserve"> environmental benefits. </w:t>
      </w:r>
      <w:r w:rsidRPr="003A1587">
        <w:t xml:space="preserve">Green </w:t>
      </w:r>
      <w:r w:rsidR="000B009D">
        <w:t>B</w:t>
      </w:r>
      <w:r w:rsidR="000B009D" w:rsidRPr="003A1587">
        <w:t>onds</w:t>
      </w:r>
      <w:r w:rsidRPr="003A1587">
        <w:t>:</w:t>
      </w:r>
    </w:p>
    <w:p w14:paraId="6491BE80" w14:textId="455B9A11" w:rsidR="00274ECF" w:rsidRPr="003A1587" w:rsidRDefault="00274ECF" w:rsidP="00274ECF">
      <w:pPr>
        <w:pStyle w:val="Bullet1"/>
      </w:pPr>
      <w:r w:rsidRPr="009B2B67">
        <w:t>Promote infrastructure investment necessary for a rapid transition to a low carbon and climate</w:t>
      </w:r>
      <w:r w:rsidR="000B009D">
        <w:t>-</w:t>
      </w:r>
      <w:r w:rsidRPr="009B2B67">
        <w:t>resilient economy by driving down the cost of capital for climate projects in developed and emerging markets and growing aggregation mechanisms for fragmented sectors.</w:t>
      </w:r>
    </w:p>
    <w:p w14:paraId="46461A07" w14:textId="3761A41F" w:rsidR="00274ECF" w:rsidRPr="003A1587" w:rsidRDefault="00274ECF" w:rsidP="00274ECF">
      <w:pPr>
        <w:pStyle w:val="Bullet1"/>
      </w:pPr>
      <w:r w:rsidRPr="003A1587">
        <w:t xml:space="preserve">Have higher administration costs compared </w:t>
      </w:r>
      <w:r w:rsidR="00965764">
        <w:t>with</w:t>
      </w:r>
      <w:r w:rsidR="00965764" w:rsidRPr="003A1587">
        <w:t xml:space="preserve"> </w:t>
      </w:r>
      <w:r w:rsidRPr="003A1587">
        <w:t>regular bonds due to certification and reporting requirements.</w:t>
      </w:r>
      <w:r w:rsidRPr="003A1587">
        <w:rPr>
          <w:rFonts w:ascii="Arial" w:hAnsi="Arial" w:cs="Arial"/>
          <w:color w:val="333333"/>
          <w:sz w:val="21"/>
          <w:szCs w:val="21"/>
          <w:shd w:val="clear" w:color="auto" w:fill="FFFFFF"/>
        </w:rPr>
        <w:t xml:space="preserve"> </w:t>
      </w:r>
    </w:p>
    <w:p w14:paraId="0A615D1B" w14:textId="77777777" w:rsidR="00274ECF" w:rsidRPr="003A1587" w:rsidRDefault="00274ECF" w:rsidP="00274ECF">
      <w:pPr>
        <w:pStyle w:val="Bullet1"/>
      </w:pPr>
      <w:r w:rsidRPr="003A1587">
        <w:lastRenderedPageBreak/>
        <w:t>Require annual reporting to maintain the Certification of the bond. This includes confirming the allocation of bond proceeds to eligible projects and assets, confirming the characteristics or performance of projects and assets to demonstrate their eligibility, and disclosure of metrics or indicators which reflect the expected or actual impact of eligible projects and assets</w:t>
      </w:r>
    </w:p>
    <w:p w14:paraId="543D9120" w14:textId="4655A621" w:rsidR="00274ECF" w:rsidRDefault="00274ECF" w:rsidP="00274ECF">
      <w:pPr>
        <w:pStyle w:val="Bullet1"/>
      </w:pPr>
      <w:r w:rsidRPr="00E465C4">
        <w:t xml:space="preserve">Eligibility criteria is set by the accrediting body. The </w:t>
      </w:r>
      <w:r>
        <w:t>accrediting body (certifier)</w:t>
      </w:r>
      <w:r w:rsidRPr="00E465C4">
        <w:t xml:space="preserve"> scrutinises the investments/assets for which </w:t>
      </w:r>
      <w:r w:rsidR="000B009D">
        <w:t>G</w:t>
      </w:r>
      <w:r w:rsidR="000B009D" w:rsidRPr="00E465C4">
        <w:t xml:space="preserve">reen </w:t>
      </w:r>
      <w:r w:rsidR="000B009D">
        <w:t>B</w:t>
      </w:r>
      <w:r w:rsidR="000B009D" w:rsidRPr="00E465C4">
        <w:t xml:space="preserve">onds </w:t>
      </w:r>
      <w:r w:rsidRPr="00E465C4">
        <w:t xml:space="preserve">proceeds are to be </w:t>
      </w:r>
      <w:r w:rsidRPr="00997463">
        <w:t>used and</w:t>
      </w:r>
      <w:r w:rsidRPr="00E465C4">
        <w:t xml:space="preserve"> give an independent certification that the use is consistent with their standards as being ‘green’.</w:t>
      </w:r>
      <w:r>
        <w:t xml:space="preserve"> </w:t>
      </w:r>
    </w:p>
    <w:p w14:paraId="58F55AEE" w14:textId="34C0AF28" w:rsidR="00274ECF" w:rsidRPr="00E465C4" w:rsidRDefault="00274ECF" w:rsidP="00274ECF">
      <w:pPr>
        <w:pStyle w:val="Bullet1"/>
      </w:pPr>
      <w:r w:rsidRPr="00E465C4">
        <w:t>Standards have been developed for eligible investments across categories such as renewable energy, water, low carbon buildings, transport, waste and pollution control, information technology and communications and nature</w:t>
      </w:r>
      <w:r w:rsidR="00601819">
        <w:noBreakHyphen/>
      </w:r>
      <w:r w:rsidRPr="00E465C4">
        <w:t xml:space="preserve">based </w:t>
      </w:r>
      <w:r w:rsidRPr="005D225A">
        <w:t>assets</w:t>
      </w:r>
      <w:r>
        <w:t>.</w:t>
      </w:r>
    </w:p>
    <w:p w14:paraId="57AE424A" w14:textId="77777777" w:rsidR="00274ECF" w:rsidRPr="009B2B67" w:rsidRDefault="00274ECF" w:rsidP="00A80DF4">
      <w:pPr>
        <w:pStyle w:val="Heading3numbered"/>
        <w:numPr>
          <w:ilvl w:val="4"/>
          <w:numId w:val="34"/>
        </w:numPr>
      </w:pPr>
      <w:bookmarkStart w:id="63" w:name="_Toc68769275"/>
      <w:r w:rsidRPr="009B2B67">
        <w:t xml:space="preserve">Financing </w:t>
      </w:r>
      <w:r w:rsidRPr="00EC5B5F">
        <w:t>s</w:t>
      </w:r>
      <w:r w:rsidRPr="009B2B67">
        <w:t>trategy</w:t>
      </w:r>
      <w:bookmarkEnd w:id="63"/>
    </w:p>
    <w:p w14:paraId="5331E4F4" w14:textId="002D8427" w:rsidR="00274ECF" w:rsidRPr="009B2B67" w:rsidRDefault="00274ECF" w:rsidP="00274ECF">
      <w:pPr>
        <w:pStyle w:val="NormalIndent"/>
        <w:ind w:left="0"/>
        <w:rPr>
          <w:rFonts w:cstheme="minorHAnsi"/>
          <w:color w:val="000000"/>
        </w:rPr>
      </w:pPr>
      <w:r w:rsidRPr="009B2B67">
        <w:rPr>
          <w:color w:val="000000" w:themeColor="text1"/>
        </w:rPr>
        <w:t>Treasury Corporation of Victoria (TCV</w:t>
      </w:r>
      <w:r w:rsidRPr="00126772">
        <w:rPr>
          <w:bCs/>
          <w:color w:val="000000" w:themeColor="text1"/>
        </w:rPr>
        <w:t>)</w:t>
      </w:r>
      <w:r w:rsidRPr="009B2B67">
        <w:rPr>
          <w:color w:val="000000" w:themeColor="text1"/>
        </w:rPr>
        <w:t>’s decision to issue a Green Bond (</w:t>
      </w:r>
      <w:hyperlink r:id="rId45" w:history="1">
        <w:r w:rsidRPr="002454AB">
          <w:rPr>
            <w:rStyle w:val="Hyperlink"/>
            <w:rFonts w:cstheme="minorHAnsi"/>
            <w:bdr w:val="none" w:sz="0" w:space="0" w:color="auto" w:frame="1"/>
          </w:rPr>
          <w:t>https://www.tcv.vic.gov.au/tcv</w:t>
        </w:r>
        <w:r w:rsidR="00601819">
          <w:rPr>
            <w:rStyle w:val="Hyperlink"/>
            <w:rFonts w:cstheme="minorHAnsi"/>
            <w:bdr w:val="none" w:sz="0" w:space="0" w:color="auto" w:frame="1"/>
          </w:rPr>
          <w:noBreakHyphen/>
        </w:r>
        <w:r w:rsidRPr="002454AB">
          <w:rPr>
            <w:rStyle w:val="Hyperlink"/>
            <w:rFonts w:cstheme="minorHAnsi"/>
            <w:bdr w:val="none" w:sz="0" w:space="0" w:color="auto" w:frame="1"/>
          </w:rPr>
          <w:t>bonds/tcv</w:t>
        </w:r>
        <w:r w:rsidR="00601819">
          <w:rPr>
            <w:rStyle w:val="Hyperlink"/>
            <w:rFonts w:cstheme="minorHAnsi"/>
            <w:bdr w:val="none" w:sz="0" w:space="0" w:color="auto" w:frame="1"/>
          </w:rPr>
          <w:noBreakHyphen/>
        </w:r>
        <w:r w:rsidRPr="002454AB">
          <w:rPr>
            <w:rStyle w:val="Hyperlink"/>
            <w:rFonts w:cstheme="minorHAnsi"/>
            <w:bdr w:val="none" w:sz="0" w:space="0" w:color="auto" w:frame="1"/>
          </w:rPr>
          <w:t>green</w:t>
        </w:r>
        <w:r w:rsidR="00601819">
          <w:rPr>
            <w:rStyle w:val="Hyperlink"/>
            <w:rFonts w:cstheme="minorHAnsi"/>
            <w:bdr w:val="none" w:sz="0" w:space="0" w:color="auto" w:frame="1"/>
          </w:rPr>
          <w:noBreakHyphen/>
        </w:r>
        <w:r w:rsidRPr="002454AB">
          <w:rPr>
            <w:rStyle w:val="Hyperlink"/>
            <w:rFonts w:cstheme="minorHAnsi"/>
            <w:bdr w:val="none" w:sz="0" w:space="0" w:color="auto" w:frame="1"/>
          </w:rPr>
          <w:t>bond</w:t>
        </w:r>
      </w:hyperlink>
      <w:r w:rsidRPr="002454AB">
        <w:rPr>
          <w:rFonts w:cstheme="minorHAnsi"/>
          <w:color w:val="000000"/>
        </w:rPr>
        <w:t xml:space="preserve">) </w:t>
      </w:r>
      <w:r w:rsidRPr="009B2B67">
        <w:rPr>
          <w:color w:val="000000" w:themeColor="text1"/>
        </w:rPr>
        <w:t>provides a degree of diversification for the TCV investor base and is considered in conjunction with the State’s overall funding needs and investor demand</w:t>
      </w:r>
      <w:r w:rsidR="00F00708">
        <w:rPr>
          <w:color w:val="000000" w:themeColor="text1"/>
        </w:rPr>
        <w:t xml:space="preserve">. </w:t>
      </w:r>
    </w:p>
    <w:p w14:paraId="3C2936D6" w14:textId="77777777" w:rsidR="00274ECF" w:rsidRPr="009B2B67" w:rsidRDefault="00274ECF" w:rsidP="00274ECF">
      <w:pPr>
        <w:pStyle w:val="Heading3numbered"/>
      </w:pPr>
      <w:bookmarkStart w:id="64" w:name="_Toc68769276"/>
      <w:r w:rsidRPr="009B2B67">
        <w:t xml:space="preserve">Project </w:t>
      </w:r>
      <w:r w:rsidRPr="00EC5B5F">
        <w:t xml:space="preserve">eligibility and </w:t>
      </w:r>
      <w:r w:rsidRPr="00865BA7">
        <w:t>s</w:t>
      </w:r>
      <w:r w:rsidRPr="009B2B67">
        <w:t>election</w:t>
      </w:r>
      <w:bookmarkEnd w:id="64"/>
    </w:p>
    <w:p w14:paraId="1429938D" w14:textId="1A48E162" w:rsidR="00274ECF" w:rsidRDefault="00274ECF" w:rsidP="00274ECF">
      <w:r w:rsidRPr="009B2B67">
        <w:t xml:space="preserve">TCV is responsible for selecting projects/expenditure that meet the requirements of the relevant </w:t>
      </w:r>
      <w:r w:rsidRPr="00274ECF">
        <w:t>standards</w:t>
      </w:r>
      <w:r w:rsidRPr="009B2B67">
        <w:t xml:space="preserve"> </w:t>
      </w:r>
      <w:r w:rsidR="00434FBE" w:rsidRPr="009B2B67">
        <w:t>e.g.</w:t>
      </w:r>
      <w:r w:rsidRPr="009B2B67">
        <w:t xml:space="preserve"> International Capital Markets Association </w:t>
      </w:r>
      <w:r>
        <w:t xml:space="preserve">(ICMA) </w:t>
      </w:r>
      <w:r w:rsidRPr="009B2B67">
        <w:t>(</w:t>
      </w:r>
      <w:hyperlink r:id="rId46" w:tgtFrame="_blank" w:history="1">
        <w:r w:rsidRPr="009B2B67">
          <w:rPr>
            <w:rStyle w:val="Hyperlink"/>
            <w:rFonts w:cstheme="minorHAnsi"/>
            <w:bdr w:val="none" w:sz="0" w:space="0" w:color="auto" w:frame="1"/>
          </w:rPr>
          <w:t>https://www.icmagroup.org/green</w:t>
        </w:r>
        <w:r w:rsidR="00601819">
          <w:rPr>
            <w:rStyle w:val="Hyperlink"/>
            <w:rFonts w:cstheme="minorHAnsi"/>
            <w:bdr w:val="none" w:sz="0" w:space="0" w:color="auto" w:frame="1"/>
          </w:rPr>
          <w:noBreakHyphen/>
        </w:r>
        <w:r w:rsidRPr="009B2B67">
          <w:rPr>
            <w:rStyle w:val="Hyperlink"/>
            <w:rFonts w:cstheme="minorHAnsi"/>
            <w:bdr w:val="none" w:sz="0" w:space="0" w:color="auto" w:frame="1"/>
          </w:rPr>
          <w:t>social</w:t>
        </w:r>
        <w:r w:rsidR="00601819">
          <w:rPr>
            <w:rStyle w:val="Hyperlink"/>
            <w:rFonts w:cstheme="minorHAnsi"/>
            <w:bdr w:val="none" w:sz="0" w:space="0" w:color="auto" w:frame="1"/>
          </w:rPr>
          <w:noBreakHyphen/>
        </w:r>
        <w:r w:rsidRPr="009B2B67">
          <w:rPr>
            <w:rStyle w:val="Hyperlink"/>
            <w:rFonts w:cstheme="minorHAnsi"/>
            <w:bdr w:val="none" w:sz="0" w:space="0" w:color="auto" w:frame="1"/>
          </w:rPr>
          <w:t>and</w:t>
        </w:r>
        <w:r w:rsidR="00601819">
          <w:rPr>
            <w:rStyle w:val="Hyperlink"/>
            <w:rFonts w:cstheme="minorHAnsi"/>
            <w:bdr w:val="none" w:sz="0" w:space="0" w:color="auto" w:frame="1"/>
          </w:rPr>
          <w:noBreakHyphen/>
        </w:r>
        <w:r w:rsidRPr="009B2B67">
          <w:rPr>
            <w:rStyle w:val="Hyperlink"/>
            <w:rFonts w:cstheme="minorHAnsi"/>
            <w:bdr w:val="none" w:sz="0" w:space="0" w:color="auto" w:frame="1"/>
          </w:rPr>
          <w:t>sustainability</w:t>
        </w:r>
        <w:r w:rsidR="00601819">
          <w:rPr>
            <w:rStyle w:val="Hyperlink"/>
            <w:rFonts w:cstheme="minorHAnsi"/>
            <w:bdr w:val="none" w:sz="0" w:space="0" w:color="auto" w:frame="1"/>
          </w:rPr>
          <w:noBreakHyphen/>
        </w:r>
        <w:r w:rsidRPr="009B2B67">
          <w:rPr>
            <w:rStyle w:val="Hyperlink"/>
            <w:rFonts w:cstheme="minorHAnsi"/>
            <w:bdr w:val="none" w:sz="0" w:space="0" w:color="auto" w:frame="1"/>
          </w:rPr>
          <w:t>bonds/</w:t>
        </w:r>
      </w:hyperlink>
      <w:r w:rsidRPr="009B2B67">
        <w:t>) or Climate Bonds Initiative</w:t>
      </w:r>
      <w:r>
        <w:t xml:space="preserve"> (CBI)</w:t>
      </w:r>
      <w:r w:rsidRPr="009B2B67">
        <w:t xml:space="preserve"> (</w:t>
      </w:r>
      <w:hyperlink r:id="rId47" w:tgtFrame="_blank" w:history="1">
        <w:r w:rsidRPr="009B2B67">
          <w:rPr>
            <w:rStyle w:val="Hyperlink"/>
            <w:rFonts w:cstheme="minorHAnsi"/>
            <w:bdr w:val="none" w:sz="0" w:space="0" w:color="auto" w:frame="1"/>
          </w:rPr>
          <w:t>https://www.climatebonds.net/climate</w:t>
        </w:r>
        <w:r w:rsidR="00601819">
          <w:rPr>
            <w:rStyle w:val="Hyperlink"/>
            <w:rFonts w:cstheme="minorHAnsi"/>
            <w:bdr w:val="none" w:sz="0" w:space="0" w:color="auto" w:frame="1"/>
          </w:rPr>
          <w:noBreakHyphen/>
        </w:r>
        <w:r w:rsidRPr="009B2B67">
          <w:rPr>
            <w:rStyle w:val="Hyperlink"/>
            <w:rFonts w:cstheme="minorHAnsi"/>
            <w:bdr w:val="none" w:sz="0" w:space="0" w:color="auto" w:frame="1"/>
          </w:rPr>
          <w:t>bonds</w:t>
        </w:r>
        <w:r w:rsidR="00601819">
          <w:rPr>
            <w:rStyle w:val="Hyperlink"/>
            <w:rFonts w:cstheme="minorHAnsi"/>
            <w:bdr w:val="none" w:sz="0" w:space="0" w:color="auto" w:frame="1"/>
          </w:rPr>
          <w:noBreakHyphen/>
        </w:r>
        <w:r w:rsidRPr="009B2B67">
          <w:rPr>
            <w:rStyle w:val="Hyperlink"/>
            <w:rFonts w:cstheme="minorHAnsi"/>
            <w:bdr w:val="none" w:sz="0" w:space="0" w:color="auto" w:frame="1"/>
          </w:rPr>
          <w:t>standard</w:t>
        </w:r>
        <w:r w:rsidR="00601819">
          <w:rPr>
            <w:rStyle w:val="Hyperlink"/>
            <w:rFonts w:cstheme="minorHAnsi"/>
            <w:bdr w:val="none" w:sz="0" w:space="0" w:color="auto" w:frame="1"/>
          </w:rPr>
          <w:noBreakHyphen/>
        </w:r>
        <w:r w:rsidRPr="009B2B67">
          <w:rPr>
            <w:rStyle w:val="Hyperlink"/>
            <w:rFonts w:cstheme="minorHAnsi"/>
            <w:bdr w:val="none" w:sz="0" w:space="0" w:color="auto" w:frame="1"/>
          </w:rPr>
          <w:t>v3</w:t>
        </w:r>
      </w:hyperlink>
      <w:r w:rsidRPr="009B2B67">
        <w:t>).</w:t>
      </w:r>
    </w:p>
    <w:p w14:paraId="2EC49752" w14:textId="330633EC" w:rsidR="00274ECF" w:rsidRPr="009B2B67" w:rsidRDefault="00274ECF" w:rsidP="00274ECF">
      <w:r w:rsidRPr="009B2B67">
        <w:rPr>
          <w:rFonts w:cstheme="minorHAnsi"/>
        </w:rPr>
        <w:t xml:space="preserve">In formulating </w:t>
      </w:r>
      <w:r>
        <w:rPr>
          <w:rFonts w:cstheme="minorHAnsi"/>
        </w:rPr>
        <w:t>an</w:t>
      </w:r>
      <w:r w:rsidRPr="009B2B67">
        <w:rPr>
          <w:rFonts w:cstheme="minorHAnsi"/>
        </w:rPr>
        <w:t xml:space="preserve"> </w:t>
      </w:r>
      <w:r>
        <w:rPr>
          <w:rFonts w:cstheme="minorHAnsi"/>
        </w:rPr>
        <w:t xml:space="preserve">investment </w:t>
      </w:r>
      <w:r w:rsidRPr="009B2B67">
        <w:rPr>
          <w:rFonts w:cstheme="minorHAnsi"/>
        </w:rPr>
        <w:t>pool</w:t>
      </w:r>
      <w:r>
        <w:rPr>
          <w:rFonts w:cstheme="minorHAnsi"/>
        </w:rPr>
        <w:t>,</w:t>
      </w:r>
      <w:r w:rsidRPr="009B2B67">
        <w:rPr>
          <w:rFonts w:cstheme="minorHAnsi"/>
        </w:rPr>
        <w:t xml:space="preserve"> TCV take </w:t>
      </w:r>
      <w:proofErr w:type="gramStart"/>
      <w:r w:rsidRPr="009B2B67">
        <w:rPr>
          <w:rFonts w:cstheme="minorHAnsi"/>
        </w:rPr>
        <w:t>advi</w:t>
      </w:r>
      <w:r w:rsidRPr="009B2B67">
        <w:t>ce</w:t>
      </w:r>
      <w:r>
        <w:t>s</w:t>
      </w:r>
      <w:proofErr w:type="gramEnd"/>
      <w:r w:rsidRPr="009B2B67">
        <w:t xml:space="preserve"> from </w:t>
      </w:r>
      <w:r w:rsidRPr="00641140">
        <w:t xml:space="preserve">its </w:t>
      </w:r>
      <w:r w:rsidRPr="009B2B67">
        <w:t>Sustainability Bond Coordinator and Assurance Advisor who is responsible for independently verifying the projects against the relevant ICMA or CBI criteria.</w:t>
      </w:r>
    </w:p>
    <w:p w14:paraId="46EDFE7A" w14:textId="77777777" w:rsidR="00274ECF" w:rsidRPr="009B2B67" w:rsidRDefault="00274ECF" w:rsidP="00274ECF">
      <w:pPr>
        <w:shd w:val="clear" w:color="auto" w:fill="FFFFFF"/>
        <w:spacing w:before="0" w:after="0"/>
        <w:rPr>
          <w:spacing w:val="2"/>
        </w:rPr>
      </w:pPr>
      <w:r w:rsidRPr="009B2B67">
        <w:rPr>
          <w:spacing w:val="2"/>
        </w:rPr>
        <w:t>TCVs Assurance Adviso</w:t>
      </w:r>
      <w:r w:rsidRPr="00F44977">
        <w:rPr>
          <w:spacing w:val="2"/>
        </w:rPr>
        <w:t>r requires the following</w:t>
      </w:r>
      <w:r w:rsidRPr="009B2B67">
        <w:rPr>
          <w:spacing w:val="2"/>
        </w:rPr>
        <w:t xml:space="preserve"> information</w:t>
      </w:r>
      <w:r w:rsidRPr="00F44977">
        <w:rPr>
          <w:spacing w:val="2"/>
        </w:rPr>
        <w:t xml:space="preserve"> for each project</w:t>
      </w:r>
      <w:r w:rsidRPr="009B2B67">
        <w:rPr>
          <w:spacing w:val="2"/>
        </w:rPr>
        <w:t>:</w:t>
      </w:r>
    </w:p>
    <w:p w14:paraId="3348786B" w14:textId="7A45C300" w:rsidR="00274ECF" w:rsidRPr="00274ECF" w:rsidRDefault="00274ECF" w:rsidP="00274ECF">
      <w:pPr>
        <w:pStyle w:val="Bullet1"/>
        <w:rPr>
          <w:rFonts w:eastAsiaTheme="minorEastAsia"/>
        </w:rPr>
      </w:pPr>
      <w:r w:rsidRPr="00274ECF">
        <w:rPr>
          <w:rFonts w:eastAsiaTheme="minorEastAsia"/>
        </w:rPr>
        <w:t>cashflow profile (</w:t>
      </w:r>
      <w:proofErr w:type="gramStart"/>
      <w:r w:rsidRPr="00274ECF">
        <w:rPr>
          <w:rFonts w:eastAsiaTheme="minorEastAsia"/>
        </w:rPr>
        <w:t>e</w:t>
      </w:r>
      <w:r w:rsidR="00360246">
        <w:rPr>
          <w:rFonts w:eastAsiaTheme="minorEastAsia"/>
        </w:rPr>
        <w:t>.</w:t>
      </w:r>
      <w:r w:rsidRPr="00274ECF">
        <w:rPr>
          <w:rFonts w:eastAsiaTheme="minorEastAsia"/>
        </w:rPr>
        <w:t>g.</w:t>
      </w:r>
      <w:proofErr w:type="gramEnd"/>
      <w:r w:rsidRPr="00274ECF">
        <w:rPr>
          <w:rFonts w:eastAsiaTheme="minorEastAsia"/>
        </w:rPr>
        <w:t xml:space="preserve"> past and future expenditure projections by financial year)</w:t>
      </w:r>
    </w:p>
    <w:p w14:paraId="7E408280" w14:textId="74DA89A1" w:rsidR="00274ECF" w:rsidRDefault="00274ECF" w:rsidP="00274ECF">
      <w:pPr>
        <w:pStyle w:val="Bullet1"/>
        <w:rPr>
          <w:rFonts w:eastAsiaTheme="minorEastAsia"/>
        </w:rPr>
      </w:pPr>
      <w:r w:rsidRPr="00274ECF">
        <w:rPr>
          <w:rFonts w:eastAsiaTheme="minorEastAsia"/>
        </w:rPr>
        <w:t xml:space="preserve">background information to the project/expenditure such as </w:t>
      </w:r>
      <w:r w:rsidR="008F74E4">
        <w:rPr>
          <w:rFonts w:eastAsiaTheme="minorEastAsia"/>
        </w:rPr>
        <w:t>b</w:t>
      </w:r>
      <w:r w:rsidR="008F74E4" w:rsidRPr="00274ECF">
        <w:rPr>
          <w:rFonts w:eastAsiaTheme="minorEastAsia"/>
        </w:rPr>
        <w:t xml:space="preserve">usiness </w:t>
      </w:r>
      <w:r w:rsidR="008F74E4">
        <w:rPr>
          <w:rFonts w:eastAsiaTheme="minorEastAsia"/>
        </w:rPr>
        <w:t>c</w:t>
      </w:r>
      <w:r w:rsidR="008F74E4" w:rsidRPr="00274ECF">
        <w:rPr>
          <w:rFonts w:eastAsiaTheme="minorEastAsia"/>
        </w:rPr>
        <w:t>ases</w:t>
      </w:r>
      <w:r w:rsidRPr="00274ECF">
        <w:rPr>
          <w:rFonts w:eastAsiaTheme="minorEastAsia"/>
        </w:rPr>
        <w:t>, imple</w:t>
      </w:r>
      <w:r w:rsidRPr="009B2B67">
        <w:rPr>
          <w:rFonts w:eastAsiaTheme="minorEastAsia"/>
        </w:rPr>
        <w:t>mentation plans or other information that supported the Government</w:t>
      </w:r>
      <w:r w:rsidR="00360246">
        <w:rPr>
          <w:rFonts w:eastAsiaTheme="minorEastAsia"/>
        </w:rPr>
        <w:t>’</w:t>
      </w:r>
      <w:r w:rsidRPr="009B2B67">
        <w:rPr>
          <w:rFonts w:eastAsiaTheme="minorEastAsia"/>
        </w:rPr>
        <w:t>s expenditure decisions</w:t>
      </w:r>
      <w:r>
        <w:rPr>
          <w:rFonts w:eastAsiaTheme="minorEastAsia"/>
        </w:rPr>
        <w:t>.</w:t>
      </w:r>
    </w:p>
    <w:p w14:paraId="7972488C" w14:textId="77777777" w:rsidR="00274ECF" w:rsidRPr="009B2B67" w:rsidRDefault="00274ECF" w:rsidP="00274ECF">
      <w:pPr>
        <w:shd w:val="clear" w:color="auto" w:fill="FFFFFF"/>
        <w:spacing w:before="0" w:after="0"/>
        <w:rPr>
          <w:spacing w:val="2"/>
        </w:rPr>
      </w:pPr>
      <w:r w:rsidRPr="00A55081">
        <w:rPr>
          <w:spacing w:val="2"/>
        </w:rPr>
        <w:t>The asset/expenditure pool will also be noted and/or endorsed by the Treasurer in consultation with the Department of Treasury and Finance.</w:t>
      </w:r>
    </w:p>
    <w:p w14:paraId="305625FC" w14:textId="77777777" w:rsidR="00274ECF" w:rsidRPr="009B2B67" w:rsidRDefault="00274ECF" w:rsidP="00274ECF">
      <w:pPr>
        <w:pStyle w:val="Heading3numbered"/>
      </w:pPr>
      <w:bookmarkStart w:id="65" w:name="_Toc68769277"/>
      <w:r w:rsidRPr="00EC5B5F">
        <w:t>Mand</w:t>
      </w:r>
      <w:r w:rsidRPr="00865BA7">
        <w:t>atory</w:t>
      </w:r>
      <w:r w:rsidRPr="009B2B67">
        <w:t xml:space="preserve"> </w:t>
      </w:r>
      <w:r w:rsidRPr="00EC5B5F">
        <w:t>r</w:t>
      </w:r>
      <w:r w:rsidRPr="009B2B67">
        <w:t>eporting</w:t>
      </w:r>
      <w:bookmarkEnd w:id="65"/>
    </w:p>
    <w:p w14:paraId="73FC0996" w14:textId="77777777" w:rsidR="00274ECF" w:rsidRPr="009B2B67" w:rsidRDefault="00274ECF" w:rsidP="00274ECF">
      <w:pPr>
        <w:shd w:val="clear" w:color="auto" w:fill="FFFFFF"/>
        <w:spacing w:before="0" w:after="0"/>
        <w:rPr>
          <w:spacing w:val="2"/>
        </w:rPr>
      </w:pPr>
      <w:r w:rsidRPr="009B2B67">
        <w:rPr>
          <w:spacing w:val="2"/>
        </w:rPr>
        <w:t xml:space="preserve">TCV coordinates the Victorian Government’s reporting on projects/expenditure included in the </w:t>
      </w:r>
      <w:r>
        <w:rPr>
          <w:spacing w:val="2"/>
        </w:rPr>
        <w:t xml:space="preserve">Green Bonds investment </w:t>
      </w:r>
      <w:r w:rsidRPr="009B2B67">
        <w:rPr>
          <w:spacing w:val="2"/>
        </w:rPr>
        <w:t>pool. This includes:</w:t>
      </w:r>
    </w:p>
    <w:p w14:paraId="3D177FAD" w14:textId="77777777" w:rsidR="00895ECF" w:rsidRDefault="00895ECF" w:rsidP="00895ECF">
      <w:pPr>
        <w:pStyle w:val="Numpara"/>
        <w:numPr>
          <w:ilvl w:val="0"/>
          <w:numId w:val="23"/>
        </w:numPr>
      </w:pPr>
      <w:r>
        <w:t>Quarterly record of expenditure for each project (for internal purposes only)</w:t>
      </w:r>
    </w:p>
    <w:p w14:paraId="4989D980" w14:textId="38C2A5B8" w:rsidR="00895ECF" w:rsidRDefault="00895ECF" w:rsidP="00895ECF">
      <w:pPr>
        <w:pStyle w:val="Numpara"/>
        <w:numPr>
          <w:ilvl w:val="0"/>
          <w:numId w:val="23"/>
        </w:numPr>
        <w:spacing w:after="0"/>
      </w:pPr>
      <w:r>
        <w:lastRenderedPageBreak/>
        <w:t>An Annual Report which is released publicly and includes:</w:t>
      </w:r>
    </w:p>
    <w:p w14:paraId="120DE12C" w14:textId="3C87C229" w:rsidR="00895ECF" w:rsidRDefault="00895ECF" w:rsidP="00A97913">
      <w:pPr>
        <w:pStyle w:val="Bulletindent"/>
      </w:pPr>
      <w:r>
        <w:t>annual record of expenditure to date which is subject to a financial audit, such as accounting screen shots and confirmation of accuracy</w:t>
      </w:r>
    </w:p>
    <w:p w14:paraId="3984107A" w14:textId="0C6FE57B" w:rsidR="00895ECF" w:rsidRDefault="00895ECF" w:rsidP="00A97913">
      <w:pPr>
        <w:pStyle w:val="Bulletindent"/>
      </w:pPr>
      <w:r>
        <w:t xml:space="preserve">an </w:t>
      </w:r>
      <w:r w:rsidR="007E3177">
        <w:t xml:space="preserve">assurance </w:t>
      </w:r>
      <w:r>
        <w:t>of the projects/expenditure against the relevant accrediting body criteria</w:t>
      </w:r>
    </w:p>
    <w:p w14:paraId="1A78FAB4" w14:textId="36AB86BF" w:rsidR="00895ECF" w:rsidRDefault="00895ECF" w:rsidP="00A97913">
      <w:pPr>
        <w:pStyle w:val="Bulletindent"/>
      </w:pPr>
      <w:r>
        <w:t>case studies.</w:t>
      </w:r>
    </w:p>
    <w:p w14:paraId="60C0ED06" w14:textId="5B370709" w:rsidR="00A87932" w:rsidRPr="00895ECF" w:rsidRDefault="00895ECF" w:rsidP="00895ECF">
      <w:pPr>
        <w:pStyle w:val="Numpara"/>
        <w:keepNext/>
        <w:numPr>
          <w:ilvl w:val="0"/>
          <w:numId w:val="23"/>
        </w:numPr>
      </w:pPr>
      <w:r>
        <w:rPr>
          <w:spacing w:val="2"/>
        </w:rPr>
        <w:t>E</w:t>
      </w:r>
      <w:r w:rsidRPr="009B2B67">
        <w:rPr>
          <w:spacing w:val="2"/>
        </w:rPr>
        <w:t>nvironmental or social impact metrics</w:t>
      </w:r>
      <w:r>
        <w:rPr>
          <w:spacing w:val="2"/>
        </w:rPr>
        <w:t xml:space="preserve"> (</w:t>
      </w:r>
      <w:r w:rsidRPr="00A55081">
        <w:rPr>
          <w:spacing w:val="2"/>
        </w:rPr>
        <w:t>aligned with accrediting body guidance on impact reporting</w:t>
      </w:r>
      <w:r>
        <w:rPr>
          <w:spacing w:val="2"/>
        </w:rPr>
        <w:t>)</w:t>
      </w:r>
      <w:r w:rsidRPr="009B2B67">
        <w:rPr>
          <w:spacing w:val="2"/>
        </w:rPr>
        <w:t xml:space="preserve"> where feasible</w:t>
      </w:r>
      <w:r>
        <w:rPr>
          <w:spacing w:val="2"/>
        </w:rPr>
        <w:t>, such as:</w:t>
      </w:r>
    </w:p>
    <w:p w14:paraId="75B301A0" w14:textId="240BDA44" w:rsidR="00895ECF" w:rsidRPr="009B2B67" w:rsidRDefault="00895ECF" w:rsidP="00A97913">
      <w:pPr>
        <w:pStyle w:val="Bulletindent"/>
      </w:pPr>
      <w:r w:rsidRPr="009B2B67">
        <w:rPr>
          <w:b/>
          <w:bCs/>
        </w:rPr>
        <w:t xml:space="preserve">Energy </w:t>
      </w:r>
      <w:r w:rsidR="00A97913" w:rsidRPr="009B2B67">
        <w:rPr>
          <w:b/>
          <w:bCs/>
        </w:rPr>
        <w:t xml:space="preserve">efficiency </w:t>
      </w:r>
      <w:r w:rsidRPr="009B2B67">
        <w:rPr>
          <w:b/>
          <w:bCs/>
        </w:rPr>
        <w:t xml:space="preserve">projects: </w:t>
      </w:r>
      <w:r w:rsidRPr="009B2B67">
        <w:t xml:space="preserve">Annual energy savings (MWh), </w:t>
      </w:r>
      <w:r w:rsidR="007E3177">
        <w:t>a</w:t>
      </w:r>
      <w:r w:rsidR="007E3177" w:rsidRPr="009B2B67">
        <w:t xml:space="preserve">nnual </w:t>
      </w:r>
      <w:r w:rsidRPr="009B2B67">
        <w:t xml:space="preserve">GHG </w:t>
      </w:r>
      <w:r w:rsidRPr="00A97913">
        <w:t>emissions</w:t>
      </w:r>
      <w:r w:rsidRPr="009B2B67">
        <w:t xml:space="preserve"> avoided (tonnes CO</w:t>
      </w:r>
      <w:r w:rsidRPr="001C18B5">
        <w:rPr>
          <w:rFonts w:cstheme="minorBidi"/>
          <w:sz w:val="17"/>
          <w:szCs w:val="21"/>
          <w:vertAlign w:val="subscript"/>
        </w:rPr>
        <w:t>2</w:t>
      </w:r>
      <w:r w:rsidRPr="009B2B67">
        <w:t xml:space="preserve"> eq.) </w:t>
      </w:r>
    </w:p>
    <w:p w14:paraId="6F525B39" w14:textId="762D2324" w:rsidR="00895ECF" w:rsidRPr="009B2B67" w:rsidRDefault="00895ECF" w:rsidP="00A97913">
      <w:pPr>
        <w:pStyle w:val="Bulletindent"/>
      </w:pPr>
      <w:r w:rsidRPr="009B2B67">
        <w:rPr>
          <w:b/>
          <w:bCs/>
        </w:rPr>
        <w:t xml:space="preserve">Renewable </w:t>
      </w:r>
      <w:r w:rsidR="00A97913" w:rsidRPr="009B2B67">
        <w:rPr>
          <w:b/>
          <w:bCs/>
        </w:rPr>
        <w:t xml:space="preserve">energy </w:t>
      </w:r>
      <w:r w:rsidRPr="009B2B67">
        <w:rPr>
          <w:b/>
          <w:bCs/>
        </w:rPr>
        <w:t>projects:</w:t>
      </w:r>
      <w:r w:rsidRPr="009B2B67">
        <w:t xml:space="preserve"> Annual energy produced (MWh), Renewable energy capacity added (MW), Number of households powered </w:t>
      </w:r>
    </w:p>
    <w:p w14:paraId="45827C8A" w14:textId="586BF862" w:rsidR="00895ECF" w:rsidRPr="009B2B67" w:rsidRDefault="00895ECF" w:rsidP="00A97913">
      <w:pPr>
        <w:pStyle w:val="Bulletindent"/>
      </w:pPr>
      <w:r w:rsidRPr="009B2B67">
        <w:rPr>
          <w:b/>
          <w:bCs/>
        </w:rPr>
        <w:t xml:space="preserve">Low </w:t>
      </w:r>
      <w:r w:rsidR="00A97913" w:rsidRPr="009B2B67">
        <w:rPr>
          <w:b/>
          <w:bCs/>
        </w:rPr>
        <w:t xml:space="preserve">carbon transport </w:t>
      </w:r>
      <w:r w:rsidRPr="009B2B67">
        <w:rPr>
          <w:b/>
          <w:bCs/>
        </w:rPr>
        <w:t>projects:</w:t>
      </w:r>
      <w:r w:rsidRPr="009B2B67">
        <w:t xml:space="preserve"> Annual GHG emissions avoided (tonnes CO</w:t>
      </w:r>
      <w:r w:rsidRPr="00FE0687">
        <w:rPr>
          <w:vertAlign w:val="subscript"/>
        </w:rPr>
        <w:t>2</w:t>
      </w:r>
      <w:r w:rsidRPr="009B2B67">
        <w:t xml:space="preserve"> eq.) </w:t>
      </w:r>
    </w:p>
    <w:p w14:paraId="39F08416" w14:textId="439CDD12" w:rsidR="00895ECF" w:rsidRPr="009B2B67" w:rsidRDefault="00895ECF" w:rsidP="00A97913">
      <w:pPr>
        <w:pStyle w:val="Bulletindent"/>
      </w:pPr>
      <w:r w:rsidRPr="00A97913">
        <w:rPr>
          <w:b/>
          <w:bCs/>
        </w:rPr>
        <w:t xml:space="preserve">Target </w:t>
      </w:r>
      <w:r w:rsidR="00A97913" w:rsidRPr="00A97913">
        <w:rPr>
          <w:b/>
          <w:bCs/>
        </w:rPr>
        <w:t>results</w:t>
      </w:r>
      <w:r w:rsidRPr="009B2B67">
        <w:t>: Including percentage GHG reduction, energy production, low carbon transport patronage, applicable ratings (</w:t>
      </w:r>
      <w:proofErr w:type="gramStart"/>
      <w:r w:rsidRPr="009B2B67">
        <w:t>e</w:t>
      </w:r>
      <w:r w:rsidR="007E3177">
        <w:t>.</w:t>
      </w:r>
      <w:r w:rsidRPr="009B2B67">
        <w:t>g</w:t>
      </w:r>
      <w:r w:rsidR="007E3177">
        <w:t>.</w:t>
      </w:r>
      <w:proofErr w:type="gramEnd"/>
      <w:r w:rsidRPr="009B2B67">
        <w:t xml:space="preserve"> star ratings for rail station buildings) </w:t>
      </w:r>
    </w:p>
    <w:p w14:paraId="5B08248B" w14:textId="77777777" w:rsidR="00895ECF" w:rsidRPr="009B2B67" w:rsidRDefault="00895ECF" w:rsidP="00A97913">
      <w:pPr>
        <w:pStyle w:val="Bulletindent"/>
      </w:pPr>
      <w:r w:rsidRPr="009B2B67">
        <w:rPr>
          <w:b/>
          <w:bCs/>
        </w:rPr>
        <w:t>Social projects:</w:t>
      </w:r>
      <w:r w:rsidRPr="009B2B67">
        <w:t xml:space="preserve"> Target populations</w:t>
      </w:r>
    </w:p>
    <w:p w14:paraId="626EDF8E" w14:textId="7A7B55FE" w:rsidR="00895ECF" w:rsidRPr="009B2B67" w:rsidRDefault="00895ECF" w:rsidP="00A97913">
      <w:pPr>
        <w:pStyle w:val="Bulletindent"/>
      </w:pPr>
      <w:r w:rsidRPr="009B2B67">
        <w:rPr>
          <w:b/>
          <w:bCs/>
        </w:rPr>
        <w:t xml:space="preserve">Affordable </w:t>
      </w:r>
      <w:r w:rsidR="00A97913" w:rsidRPr="009B2B67">
        <w:rPr>
          <w:b/>
          <w:bCs/>
        </w:rPr>
        <w:t xml:space="preserve">housing </w:t>
      </w:r>
      <w:r w:rsidRPr="009B2B67">
        <w:rPr>
          <w:b/>
          <w:bCs/>
        </w:rPr>
        <w:t>projects:</w:t>
      </w:r>
      <w:r w:rsidRPr="009B2B67">
        <w:t xml:space="preserve"> Number of residences </w:t>
      </w:r>
      <w:proofErr w:type="gramStart"/>
      <w:r w:rsidRPr="009B2B67">
        <w:t>constructed,</w:t>
      </w:r>
      <w:proofErr w:type="gramEnd"/>
      <w:r w:rsidRPr="009B2B67">
        <w:t xml:space="preserve"> </w:t>
      </w:r>
      <w:r w:rsidR="007E3177">
        <w:t>r</w:t>
      </w:r>
      <w:r w:rsidR="007E3177" w:rsidRPr="009B2B67">
        <w:t xml:space="preserve">esidents </w:t>
      </w:r>
      <w:r w:rsidRPr="009B2B67">
        <w:t xml:space="preserve">housed </w:t>
      </w:r>
    </w:p>
    <w:p w14:paraId="52833C7A" w14:textId="6CF6A912" w:rsidR="00895ECF" w:rsidRPr="009B2B67" w:rsidRDefault="00895ECF" w:rsidP="00A97913">
      <w:pPr>
        <w:pStyle w:val="Bulletindent"/>
      </w:pPr>
      <w:r w:rsidRPr="009B2B67">
        <w:rPr>
          <w:b/>
          <w:bCs/>
        </w:rPr>
        <w:t xml:space="preserve">Education </w:t>
      </w:r>
      <w:r w:rsidR="00A97913" w:rsidRPr="009B2B67">
        <w:rPr>
          <w:b/>
          <w:bCs/>
        </w:rPr>
        <w:t>projects</w:t>
      </w:r>
      <w:r w:rsidRPr="009B2B67">
        <w:rPr>
          <w:b/>
          <w:bCs/>
        </w:rPr>
        <w:t>:</w:t>
      </w:r>
      <w:r w:rsidRPr="009B2B67">
        <w:t xml:space="preserve"> Number of students accommodated by new or upgraded facilities, </w:t>
      </w:r>
      <w:r w:rsidR="007E3177">
        <w:t>n</w:t>
      </w:r>
      <w:r w:rsidR="007E3177" w:rsidRPr="009B2B67">
        <w:t xml:space="preserve">umber </w:t>
      </w:r>
      <w:r w:rsidRPr="009B2B67">
        <w:t xml:space="preserve">of students provided with additional support </w:t>
      </w:r>
    </w:p>
    <w:p w14:paraId="0FB3F1C2" w14:textId="3990CCE9" w:rsidR="00895ECF" w:rsidRPr="009B2B67" w:rsidRDefault="00895ECF" w:rsidP="00A97913">
      <w:pPr>
        <w:pStyle w:val="Bulletindent"/>
      </w:pPr>
      <w:r w:rsidRPr="009B2B67">
        <w:rPr>
          <w:b/>
          <w:bCs/>
        </w:rPr>
        <w:t>Healthcare projects:</w:t>
      </w:r>
      <w:r w:rsidRPr="009B2B67">
        <w:t xml:space="preserve"> Number of </w:t>
      </w:r>
      <w:r w:rsidRPr="00895ECF">
        <w:t>people</w:t>
      </w:r>
      <w:r w:rsidRPr="009B2B67">
        <w:t xml:space="preserve"> with access to or served by new or upgraded health facilities, </w:t>
      </w:r>
      <w:r w:rsidR="007E3177">
        <w:t>i</w:t>
      </w:r>
      <w:r w:rsidR="007E3177" w:rsidRPr="009B2B67">
        <w:t xml:space="preserve">ncrease </w:t>
      </w:r>
      <w:r w:rsidRPr="009B2B67">
        <w:t>in capacity (beds)</w:t>
      </w:r>
    </w:p>
    <w:p w14:paraId="21CBFA72" w14:textId="7344BDF1" w:rsidR="00A97913" w:rsidRDefault="00A97913" w:rsidP="00A97913">
      <w:pPr>
        <w:pStyle w:val="Heading2numbered"/>
      </w:pPr>
      <w:bookmarkStart w:id="66" w:name="_Toc68769278"/>
      <w:bookmarkStart w:id="67" w:name="_Toc117258701"/>
      <w:r>
        <w:t xml:space="preserve">Sustainable investment </w:t>
      </w:r>
      <w:r w:rsidRPr="00830646">
        <w:t>maturity</w:t>
      </w:r>
      <w:r w:rsidRPr="00C85415">
        <w:t xml:space="preserve"> </w:t>
      </w:r>
      <w:r>
        <w:t>self</w:t>
      </w:r>
      <w:r w:rsidR="00601819">
        <w:noBreakHyphen/>
      </w:r>
      <w:r>
        <w:t>a</w:t>
      </w:r>
      <w:r w:rsidRPr="00C85415">
        <w:t>ssessment</w:t>
      </w:r>
      <w:bookmarkEnd w:id="66"/>
      <w:bookmarkEnd w:id="67"/>
    </w:p>
    <w:p w14:paraId="2953A96D" w14:textId="4DFFC4C6" w:rsidR="00A97913" w:rsidRDefault="00A97913" w:rsidP="00A97913">
      <w:r>
        <w:t xml:space="preserve">The </w:t>
      </w:r>
      <w:r w:rsidRPr="004A651E">
        <w:t xml:space="preserve">realisation of different </w:t>
      </w:r>
      <w:r w:rsidRPr="00296370">
        <w:t xml:space="preserve">sustainable investment opportunities will vary across project types. The principles presented in these guidelines are used to </w:t>
      </w:r>
      <w:r w:rsidRPr="009B2B67">
        <w:t>define</w:t>
      </w:r>
      <w:r w:rsidRPr="004A651E">
        <w:t xml:space="preserve"> </w:t>
      </w:r>
      <w:r>
        <w:t xml:space="preserve">the </w:t>
      </w:r>
      <w:r w:rsidRPr="00296370">
        <w:t xml:space="preserve">minimum </w:t>
      </w:r>
      <w:r w:rsidRPr="00646C46">
        <w:t xml:space="preserve">recommended </w:t>
      </w:r>
      <w:r w:rsidRPr="009B2B67">
        <w:t xml:space="preserve">requirements for </w:t>
      </w:r>
      <w:r w:rsidRPr="004A651E">
        <w:t>investme</w:t>
      </w:r>
      <w:r w:rsidRPr="00296370">
        <w:t>nt projects, with a highe</w:t>
      </w:r>
      <w:r w:rsidRPr="00646C46">
        <w:t xml:space="preserve">r level of sophistication </w:t>
      </w:r>
      <w:r w:rsidRPr="003904DA">
        <w:t>recommended</w:t>
      </w:r>
      <w:r w:rsidRPr="00A712A8">
        <w:t xml:space="preserve"> for </w:t>
      </w:r>
      <w:r>
        <w:t>teams</w:t>
      </w:r>
      <w:r w:rsidRPr="00A712A8">
        <w:t xml:space="preserve"> delivering </w:t>
      </w:r>
      <w:r>
        <w:t>larger</w:t>
      </w:r>
      <w:r w:rsidRPr="00A712A8">
        <w:t xml:space="preserve"> projects</w:t>
      </w:r>
      <w:r>
        <w:t xml:space="preserve"> including those classified as</w:t>
      </w:r>
      <w:r w:rsidRPr="00A712A8">
        <w:t xml:space="preserve"> </w:t>
      </w:r>
      <w:r w:rsidR="007E3177">
        <w:t xml:space="preserve">high-value high-risk </w:t>
      </w:r>
      <w:r>
        <w:t>(HVHR)</w:t>
      </w:r>
      <w:r w:rsidRPr="00A712A8">
        <w:t>. Three</w:t>
      </w:r>
      <w:r>
        <w:t xml:space="preserve"> s</w:t>
      </w:r>
      <w:r w:rsidRPr="003C0815">
        <w:t>ustainable investment target maturity level</w:t>
      </w:r>
      <w:r>
        <w:t>s</w:t>
      </w:r>
      <w:r w:rsidRPr="003C0815">
        <w:t xml:space="preserve"> </w:t>
      </w:r>
      <w:r>
        <w:t xml:space="preserve">are defined </w:t>
      </w:r>
      <w:r w:rsidRPr="00A712A8">
        <w:t xml:space="preserve">for </w:t>
      </w:r>
      <w:r>
        <w:t>the aspects of sustainable investment</w:t>
      </w:r>
      <w:r w:rsidR="007E3177">
        <w:t>:</w:t>
      </w:r>
      <w:r w:rsidR="007E3177" w:rsidRPr="00A712A8">
        <w:t xml:space="preserve"> </w:t>
      </w:r>
      <w:r w:rsidR="00F00708">
        <w:t>‘</w:t>
      </w:r>
      <w:r w:rsidRPr="00A712A8">
        <w:t>defined</w:t>
      </w:r>
      <w:r w:rsidR="00F00708">
        <w:t>’</w:t>
      </w:r>
      <w:r w:rsidRPr="00A712A8">
        <w:t xml:space="preserve">, </w:t>
      </w:r>
      <w:r w:rsidR="00F00708">
        <w:t>‘</w:t>
      </w:r>
      <w:r w:rsidRPr="00A712A8">
        <w:t>managed</w:t>
      </w:r>
      <w:r w:rsidR="00F00708">
        <w:t>’</w:t>
      </w:r>
      <w:r w:rsidRPr="00A712A8">
        <w:t xml:space="preserve">, and </w:t>
      </w:r>
      <w:r w:rsidR="00F00708">
        <w:t>‘</w:t>
      </w:r>
      <w:r w:rsidRPr="00A712A8">
        <w:t>optimis</w:t>
      </w:r>
      <w:r>
        <w:t>ed</w:t>
      </w:r>
      <w:r w:rsidR="00F00708">
        <w:t>’</w:t>
      </w:r>
      <w:r w:rsidRPr="00A712A8">
        <w:t>.</w:t>
      </w:r>
    </w:p>
    <w:p w14:paraId="0997956A" w14:textId="2A67AC29" w:rsidR="00A97913" w:rsidRDefault="00A97913" w:rsidP="00A97913">
      <w:pPr>
        <w:pStyle w:val="NormalIndent"/>
        <w:ind w:left="0"/>
      </w:pPr>
      <w:r w:rsidRPr="004A651E">
        <w:t>T</w:t>
      </w:r>
      <w:r w:rsidRPr="00296370">
        <w:t>arget sustainable investmen</w:t>
      </w:r>
      <w:r w:rsidRPr="00646C46">
        <w:t>t maturity levels</w:t>
      </w:r>
      <w:r w:rsidRPr="003904DA">
        <w:t xml:space="preserve"> </w:t>
      </w:r>
      <w:r w:rsidRPr="009B2B67">
        <w:t>a</w:t>
      </w:r>
      <w:r>
        <w:t>re</w:t>
      </w:r>
      <w:r w:rsidRPr="004A651E">
        <w:t xml:space="preserve"> aligned with </w:t>
      </w:r>
      <w:r w:rsidRPr="00296370">
        <w:t xml:space="preserve">the </w:t>
      </w:r>
      <w:r>
        <w:t>DTF I</w:t>
      </w:r>
      <w:r w:rsidRPr="00646C46">
        <w:t xml:space="preserve">nvestment </w:t>
      </w:r>
      <w:r>
        <w:t>Life</w:t>
      </w:r>
      <w:r w:rsidRPr="003904DA">
        <w:t xml:space="preserve">cycle and </w:t>
      </w:r>
      <w:r>
        <w:t>HVHR G</w:t>
      </w:r>
      <w:r w:rsidRPr="00461DBF">
        <w:t>uidelines. The</w:t>
      </w:r>
      <w:r>
        <w:t>se</w:t>
      </w:r>
      <w:r w:rsidRPr="00E248A3">
        <w:t xml:space="preserve"> Guidelines</w:t>
      </w:r>
      <w:r w:rsidRPr="009B2B67">
        <w:t xml:space="preserve"> </w:t>
      </w:r>
      <w:r w:rsidRPr="004A651E">
        <w:t xml:space="preserve">require the use of the </w:t>
      </w:r>
      <w:r w:rsidRPr="00296370">
        <w:rPr>
          <w:bCs/>
        </w:rPr>
        <w:t>Project Profile Model</w:t>
      </w:r>
      <w:r w:rsidRPr="00646C46">
        <w:rPr>
          <w:bCs/>
        </w:rPr>
        <w:t xml:space="preserve"> (PPM), which</w:t>
      </w:r>
      <w:r w:rsidRPr="003904DA">
        <w:rPr>
          <w:bCs/>
        </w:rPr>
        <w:t xml:space="preserve"> is</w:t>
      </w:r>
      <w:r w:rsidRPr="00461DBF">
        <w:rPr>
          <w:b/>
        </w:rPr>
        <w:t xml:space="preserve"> </w:t>
      </w:r>
      <w:r w:rsidRPr="0030152B">
        <w:t>DTF’s risk</w:t>
      </w:r>
      <w:r w:rsidR="00601819">
        <w:noBreakHyphen/>
      </w:r>
      <w:r w:rsidRPr="0030152B">
        <w:t>based matrix</w:t>
      </w:r>
      <w:r w:rsidRPr="00773803">
        <w:t xml:space="preserve">, to assess whether a project should be subject to the </w:t>
      </w:r>
      <w:r>
        <w:t>HVHR</w:t>
      </w:r>
      <w:r w:rsidRPr="00773803">
        <w:t xml:space="preserve"> Project Assurance Framework.</w:t>
      </w:r>
      <w:r w:rsidRPr="003E1EE8">
        <w:t xml:space="preserve"> </w:t>
      </w:r>
    </w:p>
    <w:p w14:paraId="1F73D492" w14:textId="6156AE29" w:rsidR="00A97913" w:rsidRDefault="00A97913" w:rsidP="00A97913">
      <w:pPr>
        <w:pStyle w:val="Caption"/>
      </w:pPr>
      <w:bookmarkStart w:id="68" w:name="_Toc117258726"/>
      <w:r>
        <w:lastRenderedPageBreak/>
        <w:t xml:space="preserve">Table </w:t>
      </w:r>
      <w:r>
        <w:fldChar w:fldCharType="begin"/>
      </w:r>
      <w:r>
        <w:instrText>SEQ Table \* ARABIC</w:instrText>
      </w:r>
      <w:r>
        <w:fldChar w:fldCharType="separate"/>
      </w:r>
      <w:r w:rsidR="00FC7DAA">
        <w:rPr>
          <w:noProof/>
        </w:rPr>
        <w:t>5</w:t>
      </w:r>
      <w:r>
        <w:fldChar w:fldCharType="end"/>
      </w:r>
      <w:r w:rsidRPr="004A651E">
        <w:t xml:space="preserve"> </w:t>
      </w:r>
      <w:r w:rsidRPr="00296370">
        <w:t xml:space="preserve">– </w:t>
      </w:r>
      <w:r w:rsidRPr="009B2B67">
        <w:t>Sustainable investment target maturity</w:t>
      </w:r>
      <w:r w:rsidRPr="004A651E">
        <w:t xml:space="preserve"> levels</w:t>
      </w:r>
      <w:bookmarkEnd w:id="68"/>
    </w:p>
    <w:tbl>
      <w:tblPr>
        <w:tblStyle w:val="TableGridLight"/>
        <w:tblW w:w="90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28" w:type="dxa"/>
          <w:left w:w="58" w:type="dxa"/>
          <w:bottom w:w="28" w:type="dxa"/>
          <w:right w:w="58" w:type="dxa"/>
        </w:tblCellMar>
        <w:tblLook w:val="04A0" w:firstRow="1" w:lastRow="0" w:firstColumn="1" w:lastColumn="0" w:noHBand="0" w:noVBand="1"/>
      </w:tblPr>
      <w:tblGrid>
        <w:gridCol w:w="2679"/>
        <w:gridCol w:w="2976"/>
        <w:gridCol w:w="3402"/>
      </w:tblGrid>
      <w:tr w:rsidR="00A97913" w:rsidRPr="00A97913" w14:paraId="501D7E7E" w14:textId="77777777" w:rsidTr="00234360">
        <w:trPr>
          <w:cantSplit/>
        </w:trPr>
        <w:tc>
          <w:tcPr>
            <w:tcW w:w="2679" w:type="dxa"/>
            <w:shd w:val="clear" w:color="auto" w:fill="E75300" w:themeFill="accent5"/>
          </w:tcPr>
          <w:p w14:paraId="08BD86EA" w14:textId="77777777" w:rsidR="00A97913" w:rsidRPr="00A97913" w:rsidRDefault="00A97913" w:rsidP="00234360">
            <w:pPr>
              <w:pStyle w:val="Tableheader"/>
              <w:rPr>
                <w:b/>
                <w:bCs/>
              </w:rPr>
            </w:pPr>
            <w:r w:rsidRPr="00A97913">
              <w:rPr>
                <w:b/>
                <w:bCs/>
              </w:rPr>
              <w:t>DEFINED</w:t>
            </w:r>
          </w:p>
        </w:tc>
        <w:tc>
          <w:tcPr>
            <w:tcW w:w="2976" w:type="dxa"/>
            <w:shd w:val="clear" w:color="auto" w:fill="00AFAA" w:themeFill="accent3"/>
          </w:tcPr>
          <w:p w14:paraId="69ED86DD" w14:textId="77777777" w:rsidR="00A97913" w:rsidRPr="00A97913" w:rsidRDefault="00A97913" w:rsidP="00234360">
            <w:pPr>
              <w:pStyle w:val="Tableheader"/>
              <w:rPr>
                <w:b/>
                <w:bCs/>
              </w:rPr>
            </w:pPr>
            <w:r w:rsidRPr="00A97913">
              <w:rPr>
                <w:b/>
                <w:bCs/>
              </w:rPr>
              <w:t>MANAGED</w:t>
            </w:r>
          </w:p>
        </w:tc>
        <w:tc>
          <w:tcPr>
            <w:tcW w:w="3402" w:type="dxa"/>
            <w:shd w:val="clear" w:color="auto" w:fill="F9BE00" w:themeFill="accent6"/>
          </w:tcPr>
          <w:p w14:paraId="585BAD8A" w14:textId="77777777" w:rsidR="00A97913" w:rsidRPr="00A97913" w:rsidRDefault="00A97913" w:rsidP="00234360">
            <w:pPr>
              <w:pStyle w:val="Tableheader"/>
              <w:rPr>
                <w:b/>
                <w:bCs/>
              </w:rPr>
            </w:pPr>
            <w:r w:rsidRPr="00A97913">
              <w:rPr>
                <w:b/>
                <w:bCs/>
              </w:rPr>
              <w:t>OPTIMISING</w:t>
            </w:r>
          </w:p>
        </w:tc>
      </w:tr>
      <w:tr w:rsidR="00A97913" w:rsidRPr="0083626F" w14:paraId="0180205F" w14:textId="77777777" w:rsidTr="00A97913">
        <w:trPr>
          <w:cantSplit/>
        </w:trPr>
        <w:tc>
          <w:tcPr>
            <w:tcW w:w="2679" w:type="dxa"/>
            <w:shd w:val="clear" w:color="auto" w:fill="FFDAC7" w:themeFill="accent5" w:themeFillTint="33"/>
          </w:tcPr>
          <w:p w14:paraId="168A8F2D" w14:textId="2BF12906" w:rsidR="00A97913" w:rsidRPr="001A4ACB" w:rsidRDefault="00A97913" w:rsidP="00A97913">
            <w:pPr>
              <w:pStyle w:val="Tabletext"/>
            </w:pPr>
            <w:r w:rsidRPr="009B2B67">
              <w:t>Recommended for all projects</w:t>
            </w:r>
          </w:p>
        </w:tc>
        <w:tc>
          <w:tcPr>
            <w:tcW w:w="2976" w:type="dxa"/>
            <w:shd w:val="clear" w:color="auto" w:fill="BCFFFC" w:themeFill="accent3" w:themeFillTint="33"/>
          </w:tcPr>
          <w:p w14:paraId="5CA37E4C" w14:textId="1AF41075" w:rsidR="00A97913" w:rsidRPr="001A4ACB" w:rsidRDefault="00A97913" w:rsidP="00A97913">
            <w:pPr>
              <w:pStyle w:val="Tabletext"/>
            </w:pPr>
            <w:r w:rsidRPr="009B2B67">
              <w:t>Recommended for teams delivering larger (including HVHR) projects</w:t>
            </w:r>
          </w:p>
        </w:tc>
        <w:tc>
          <w:tcPr>
            <w:tcW w:w="3402" w:type="dxa"/>
            <w:shd w:val="clear" w:color="auto" w:fill="FFF2CA" w:themeFill="accent6" w:themeFillTint="33"/>
          </w:tcPr>
          <w:p w14:paraId="0731185B" w14:textId="3EC486CD" w:rsidR="00A97913" w:rsidRPr="001A4ACB" w:rsidRDefault="00A97913" w:rsidP="00A97913">
            <w:pPr>
              <w:pStyle w:val="Tabletext"/>
            </w:pPr>
            <w:r w:rsidRPr="009B2B67">
              <w:t>Recommended for priority or flagship projects and projects seeking to demonstrate improved efficiency, innovation, or performance</w:t>
            </w:r>
          </w:p>
        </w:tc>
      </w:tr>
    </w:tbl>
    <w:p w14:paraId="4F03BB61" w14:textId="3D01B76B" w:rsidR="00A97913" w:rsidRPr="00FD08CA" w:rsidRDefault="00A97913" w:rsidP="00A97913">
      <w:r>
        <w:t>All investment projects should satisfy</w:t>
      </w:r>
      <w:r w:rsidRPr="00265BD6">
        <w:t xml:space="preserve"> </w:t>
      </w:r>
      <w:r w:rsidRPr="00FD08CA">
        <w:t xml:space="preserve">the minimum requirements of the </w:t>
      </w:r>
      <w:r w:rsidR="00F00708">
        <w:t>‘</w:t>
      </w:r>
      <w:r w:rsidRPr="00FD08CA">
        <w:t>defined</w:t>
      </w:r>
      <w:r w:rsidR="00F00708">
        <w:t>’</w:t>
      </w:r>
      <w:r w:rsidRPr="00FD08CA">
        <w:t xml:space="preserve"> category. Larger projects such as those classified as </w:t>
      </w:r>
      <w:r>
        <w:t>HVHR</w:t>
      </w:r>
      <w:r w:rsidRPr="00FD08CA">
        <w:t xml:space="preserve"> are recommended to meet the requirements of the </w:t>
      </w:r>
      <w:r w:rsidR="00F00708">
        <w:t>‘</w:t>
      </w:r>
      <w:r w:rsidRPr="00FD08CA">
        <w:t>managed</w:t>
      </w:r>
      <w:r w:rsidR="00F00708">
        <w:t>’</w:t>
      </w:r>
      <w:r w:rsidRPr="00FD08CA">
        <w:t xml:space="preserve"> category in addition (or instead of) to the </w:t>
      </w:r>
      <w:r w:rsidR="00F00708">
        <w:t>‘</w:t>
      </w:r>
      <w:r w:rsidRPr="00FD08CA">
        <w:t>defined</w:t>
      </w:r>
      <w:r w:rsidR="00F00708">
        <w:t>’</w:t>
      </w:r>
      <w:r w:rsidRPr="00FD08CA">
        <w:t xml:space="preserve"> requirements and priority or flagship projects are encouraged to fulfil the requirements of the </w:t>
      </w:r>
      <w:r w:rsidR="00F00708">
        <w:t>‘</w:t>
      </w:r>
      <w:r w:rsidRPr="00FD08CA">
        <w:t>optimised</w:t>
      </w:r>
      <w:r w:rsidR="00F00708">
        <w:t>’</w:t>
      </w:r>
      <w:r w:rsidRPr="00FD08CA">
        <w:t xml:space="preserve"> category as well. The recommended sophistication for each level is outlined in Section </w:t>
      </w:r>
      <w:r w:rsidRPr="00FD08CA">
        <w:fldChar w:fldCharType="begin"/>
      </w:r>
      <w:r w:rsidRPr="00FD08CA">
        <w:instrText xml:space="preserve"> REF _Ref68677184 \r \h </w:instrText>
      </w:r>
      <w:r>
        <w:instrText xml:space="preserve"> \* MERGEFORMAT </w:instrText>
      </w:r>
      <w:r w:rsidRPr="00FD08CA">
        <w:fldChar w:fldCharType="separate"/>
      </w:r>
      <w:r w:rsidR="00FC7DAA">
        <w:t>2.6</w:t>
      </w:r>
      <w:r w:rsidRPr="00FD08CA">
        <w:fldChar w:fldCharType="end"/>
      </w:r>
      <w:r w:rsidRPr="00FD08CA">
        <w:t xml:space="preserve"> and in the sustainable investment target maturity level section under each stage of the investment lifecycle.</w:t>
      </w:r>
    </w:p>
    <w:p w14:paraId="5D38456A" w14:textId="77777777" w:rsidR="00A97913" w:rsidRPr="00FD08CA" w:rsidRDefault="00A97913" w:rsidP="00A97913">
      <w:pPr>
        <w:spacing w:after="0"/>
      </w:pPr>
      <w:r w:rsidRPr="00FD08CA">
        <w:t xml:space="preserve">The guidelines provide principles aimed at improving sustainability practices within government, and challenging norms, to support projects implementing more sustainable investment approaches. The guidelines: </w:t>
      </w:r>
    </w:p>
    <w:p w14:paraId="52CBD0CB" w14:textId="008621DB" w:rsidR="00A97913" w:rsidRPr="00FD08CA" w:rsidRDefault="00A97913" w:rsidP="00A97913">
      <w:pPr>
        <w:pStyle w:val="Bullet1"/>
      </w:pPr>
      <w:r w:rsidRPr="00FD08CA">
        <w:t xml:space="preserve">reinforce the obligation and principle that projects are to be managed to deliver the best, where value is defined as the lowest lifetime cost for the required performance and benefits including elements relating to </w:t>
      </w:r>
      <w:r>
        <w:t>S</w:t>
      </w:r>
      <w:r w:rsidRPr="00FD08CA">
        <w:t xml:space="preserve">ustainability </w:t>
      </w:r>
      <w:r>
        <w:t>I</w:t>
      </w:r>
      <w:r w:rsidRPr="00FD08CA">
        <w:t xml:space="preserve">nvestment </w:t>
      </w:r>
      <w:r w:rsidR="00FE0687">
        <w:t>t</w:t>
      </w:r>
      <w:r w:rsidR="00FE0687" w:rsidRPr="00FD08CA">
        <w:t>hemes</w:t>
      </w:r>
    </w:p>
    <w:p w14:paraId="7015DB0D" w14:textId="350E9DB8" w:rsidR="00A97913" w:rsidRDefault="00A97913" w:rsidP="00A97913">
      <w:pPr>
        <w:pStyle w:val="Bullet1"/>
      </w:pPr>
      <w:r w:rsidRPr="00FD08CA">
        <w:t>reiterate the importance of understanding the trade</w:t>
      </w:r>
      <w:r w:rsidR="00601819">
        <w:noBreakHyphen/>
      </w:r>
      <w:r w:rsidRPr="00FD08CA">
        <w:t>offs associated with the design and</w:t>
      </w:r>
      <w:r>
        <w:t xml:space="preserve"> specification of an asset and the ongoing operation of the asset over its lifetime</w:t>
      </w:r>
    </w:p>
    <w:p w14:paraId="118183BA" w14:textId="3C08B99E" w:rsidR="00A97913" w:rsidRDefault="00A97913" w:rsidP="00A97913">
      <w:pPr>
        <w:pStyle w:val="Bullet1"/>
      </w:pPr>
      <w:r>
        <w:t>identify risk and opportunities for sustainable investment</w:t>
      </w:r>
    </w:p>
    <w:p w14:paraId="30A72FBE" w14:textId="260384C5" w:rsidR="00A97913" w:rsidRDefault="00A97913" w:rsidP="00A97913">
      <w:pPr>
        <w:pStyle w:val="Bullet1"/>
      </w:pPr>
      <w:r>
        <w:t>appeal for strong governance and an outcomes focus, with clear roles and responsibilities for sustainability outcomes</w:t>
      </w:r>
    </w:p>
    <w:p w14:paraId="18DF5635" w14:textId="77777777" w:rsidR="00A97913" w:rsidRDefault="00A97913" w:rsidP="00A97913">
      <w:pPr>
        <w:pStyle w:val="Bullet1"/>
      </w:pPr>
      <w:r w:rsidRPr="00C46D10">
        <w:t xml:space="preserve">encourage </w:t>
      </w:r>
      <w:r>
        <w:t>the continuous consideration of sustainability throughout the project lifecycle.</w:t>
      </w:r>
    </w:p>
    <w:p w14:paraId="4AFADBFC" w14:textId="77777777" w:rsidR="00A97913" w:rsidRPr="00907D0F" w:rsidRDefault="00A97913" w:rsidP="00A97913">
      <w:pPr>
        <w:pStyle w:val="Heading2numbered"/>
      </w:pPr>
      <w:bookmarkStart w:id="69" w:name="_Ref68677184"/>
      <w:bookmarkStart w:id="70" w:name="_Toc68769279"/>
      <w:bookmarkStart w:id="71" w:name="_Toc117258702"/>
      <w:r w:rsidRPr="00907D0F">
        <w:t>Sustainable investment target maturity levels</w:t>
      </w:r>
      <w:bookmarkEnd w:id="69"/>
      <w:bookmarkEnd w:id="70"/>
      <w:bookmarkEnd w:id="71"/>
    </w:p>
    <w:p w14:paraId="2D166E3E" w14:textId="77777777" w:rsidR="00FC7DAA" w:rsidRDefault="00A97913">
      <w:pPr>
        <w:keepLines w:val="0"/>
        <w:spacing w:before="0" w:after="0" w:line="240" w:lineRule="auto"/>
        <w:rPr>
          <w:b/>
          <w:bCs/>
          <w:color w:val="383834" w:themeColor="background2" w:themeShade="40"/>
        </w:rPr>
      </w:pPr>
      <w:r>
        <w:rPr>
          <w:lang w:eastAsia="en-US"/>
        </w:rPr>
        <w:t xml:space="preserve">Achieving optimal outcomes from sustainable investment involves appropriate and timely consideration of the nature of the issue, </w:t>
      </w:r>
      <w:proofErr w:type="gramStart"/>
      <w:r>
        <w:rPr>
          <w:lang w:eastAsia="en-US"/>
        </w:rPr>
        <w:t>options</w:t>
      </w:r>
      <w:proofErr w:type="gramEnd"/>
      <w:r>
        <w:rPr>
          <w:lang w:eastAsia="en-US"/>
        </w:rPr>
        <w:t xml:space="preserve"> and outcomes. </w:t>
      </w:r>
      <w:r>
        <w:rPr>
          <w:lang w:eastAsia="en-US"/>
        </w:rPr>
        <w:fldChar w:fldCharType="begin"/>
      </w:r>
      <w:r>
        <w:rPr>
          <w:lang w:eastAsia="en-US"/>
        </w:rPr>
        <w:instrText xml:space="preserve"> REF _Ref68621327 \h </w:instrText>
      </w:r>
      <w:r>
        <w:rPr>
          <w:lang w:eastAsia="en-US"/>
        </w:rPr>
      </w:r>
      <w:r>
        <w:rPr>
          <w:lang w:eastAsia="en-US"/>
        </w:rPr>
        <w:fldChar w:fldCharType="separate"/>
      </w:r>
      <w:r w:rsidR="00FC7DAA">
        <w:br w:type="page"/>
      </w:r>
    </w:p>
    <w:p w14:paraId="651D09FD" w14:textId="437B5184" w:rsidR="00A87932" w:rsidRDefault="00FC7DAA" w:rsidP="00A97913">
      <w:r>
        <w:lastRenderedPageBreak/>
        <w:t xml:space="preserve">Table </w:t>
      </w:r>
      <w:r>
        <w:rPr>
          <w:noProof/>
        </w:rPr>
        <w:t>6</w:t>
      </w:r>
      <w:r w:rsidR="00A97913">
        <w:rPr>
          <w:lang w:eastAsia="en-US"/>
        </w:rPr>
        <w:fldChar w:fldCharType="end"/>
      </w:r>
      <w:r w:rsidR="00A97913">
        <w:rPr>
          <w:lang w:eastAsia="en-US"/>
        </w:rPr>
        <w:t xml:space="preserve"> </w:t>
      </w:r>
      <w:r w:rsidR="00A97913" w:rsidRPr="003B5D9C">
        <w:t xml:space="preserve">below </w:t>
      </w:r>
      <w:r w:rsidR="00A97913">
        <w:t>outline</w:t>
      </w:r>
      <w:r w:rsidR="00A97913" w:rsidRPr="003B5D9C">
        <w:t xml:space="preserve">s </w:t>
      </w:r>
      <w:r w:rsidR="00A97913">
        <w:t>selected</w:t>
      </w:r>
      <w:r w:rsidR="00A97913" w:rsidRPr="003B5D9C">
        <w:t xml:space="preserve"> sustainabl</w:t>
      </w:r>
      <w:r w:rsidR="00A97913">
        <w:t xml:space="preserve">e investment </w:t>
      </w:r>
      <w:r w:rsidR="00A97913" w:rsidRPr="003B5D9C">
        <w:t>considerations</w:t>
      </w:r>
      <w:r w:rsidR="00A97913">
        <w:t xml:space="preserve"> that should be </w:t>
      </w:r>
      <w:r w:rsidR="00A97913" w:rsidRPr="003B5D9C">
        <w:t>embedded across the Investment Lifecycle.</w:t>
      </w:r>
    </w:p>
    <w:p w14:paraId="6F5BAFAA" w14:textId="77777777" w:rsidR="00660C92" w:rsidRDefault="00660C92">
      <w:pPr>
        <w:keepLines w:val="0"/>
        <w:spacing w:before="0" w:after="0" w:line="240" w:lineRule="auto"/>
        <w:rPr>
          <w:b/>
          <w:bCs/>
          <w:color w:val="383834" w:themeColor="background2" w:themeShade="40"/>
        </w:rPr>
      </w:pPr>
      <w:bookmarkStart w:id="72" w:name="_Ref68621327"/>
      <w:r>
        <w:br w:type="page"/>
      </w:r>
    </w:p>
    <w:p w14:paraId="68CEE631" w14:textId="4BA78A05" w:rsidR="00A97913" w:rsidRDefault="00A97913" w:rsidP="00A97913">
      <w:pPr>
        <w:pStyle w:val="Caption"/>
      </w:pPr>
      <w:bookmarkStart w:id="73" w:name="_Toc117258727"/>
      <w:r>
        <w:lastRenderedPageBreak/>
        <w:t xml:space="preserve">Table </w:t>
      </w:r>
      <w:r>
        <w:fldChar w:fldCharType="begin"/>
      </w:r>
      <w:r>
        <w:instrText>SEQ Table \* ARABIC</w:instrText>
      </w:r>
      <w:r>
        <w:fldChar w:fldCharType="separate"/>
      </w:r>
      <w:r w:rsidR="00FC7DAA">
        <w:rPr>
          <w:noProof/>
        </w:rPr>
        <w:t>6</w:t>
      </w:r>
      <w:r>
        <w:fldChar w:fldCharType="end"/>
      </w:r>
      <w:bookmarkEnd w:id="72"/>
      <w:r w:rsidR="00F00708">
        <w:t xml:space="preserve"> – </w:t>
      </w:r>
      <w:r>
        <w:t>Sustainability in Investment Lifecycle stages</w:t>
      </w:r>
      <w:bookmarkEnd w:id="73"/>
    </w:p>
    <w:tbl>
      <w:tblPr>
        <w:tblStyle w:val="Texttable"/>
        <w:tblW w:w="9090" w:type="dxa"/>
        <w:tblLayout w:type="fixed"/>
        <w:tblLook w:val="0620" w:firstRow="1" w:lastRow="0" w:firstColumn="0" w:lastColumn="0" w:noHBand="1" w:noVBand="1"/>
      </w:tblPr>
      <w:tblGrid>
        <w:gridCol w:w="3030"/>
        <w:gridCol w:w="3030"/>
        <w:gridCol w:w="3030"/>
      </w:tblGrid>
      <w:tr w:rsidR="00A97913" w:rsidRPr="003E1EE8" w14:paraId="09CE393A" w14:textId="77777777" w:rsidTr="00601819">
        <w:trPr>
          <w:cnfStyle w:val="100000000000" w:firstRow="1" w:lastRow="0" w:firstColumn="0" w:lastColumn="0" w:oddVBand="0" w:evenVBand="0" w:oddHBand="0" w:evenHBand="0" w:firstRowFirstColumn="0" w:firstRowLastColumn="0" w:lastRowFirstColumn="0" w:lastRowLastColumn="0"/>
        </w:trPr>
        <w:tc>
          <w:tcPr>
            <w:tcW w:w="3030" w:type="dxa"/>
            <w:tcBorders>
              <w:bottom w:val="single" w:sz="6" w:space="0" w:color="00698F" w:themeColor="accent1"/>
            </w:tcBorders>
          </w:tcPr>
          <w:p w14:paraId="53D49A6C" w14:textId="77777777" w:rsidR="00A97913" w:rsidRPr="00C57216" w:rsidRDefault="00A97913" w:rsidP="00A97913">
            <w:pPr>
              <w:pStyle w:val="Tableheader"/>
            </w:pPr>
            <w:r w:rsidRPr="00C57216">
              <w:t>Business case</w:t>
            </w:r>
          </w:p>
        </w:tc>
        <w:tc>
          <w:tcPr>
            <w:tcW w:w="3030" w:type="dxa"/>
            <w:tcBorders>
              <w:bottom w:val="single" w:sz="6" w:space="0" w:color="00698F" w:themeColor="accent1"/>
            </w:tcBorders>
          </w:tcPr>
          <w:p w14:paraId="1E350D49" w14:textId="77777777" w:rsidR="00A97913" w:rsidRPr="00C57216" w:rsidRDefault="00A97913" w:rsidP="00A97913">
            <w:pPr>
              <w:pStyle w:val="Tableheader"/>
            </w:pPr>
            <w:r w:rsidRPr="00C57216">
              <w:t>Procurement</w:t>
            </w:r>
          </w:p>
        </w:tc>
        <w:tc>
          <w:tcPr>
            <w:tcW w:w="3030" w:type="dxa"/>
            <w:tcBorders>
              <w:bottom w:val="single" w:sz="6" w:space="0" w:color="00698F" w:themeColor="accent1"/>
            </w:tcBorders>
          </w:tcPr>
          <w:p w14:paraId="744B5A25" w14:textId="77777777" w:rsidR="00A97913" w:rsidRPr="00C57216" w:rsidRDefault="00A97913" w:rsidP="00A97913">
            <w:pPr>
              <w:pStyle w:val="Tableheader"/>
            </w:pPr>
            <w:r w:rsidRPr="00C57216">
              <w:t>Delivery</w:t>
            </w:r>
          </w:p>
        </w:tc>
      </w:tr>
      <w:tr w:rsidR="00A97913" w:rsidRPr="003E1EE8" w14:paraId="149062A3" w14:textId="77777777" w:rsidTr="00601819">
        <w:tc>
          <w:tcPr>
            <w:tcW w:w="3028" w:type="dxa"/>
            <w:tcBorders>
              <w:top w:val="single" w:sz="6" w:space="0" w:color="00698F" w:themeColor="accent1"/>
              <w:bottom w:val="nil"/>
            </w:tcBorders>
          </w:tcPr>
          <w:p w14:paraId="47761C3E" w14:textId="77777777" w:rsidR="00A97913" w:rsidRPr="00601819" w:rsidRDefault="00A97913" w:rsidP="00A97913">
            <w:pPr>
              <w:pStyle w:val="Tabletext"/>
              <w:rPr>
                <w:sz w:val="16"/>
                <w:szCs w:val="16"/>
              </w:rPr>
            </w:pPr>
            <w:r w:rsidRPr="00601819">
              <w:rPr>
                <w:sz w:val="16"/>
                <w:szCs w:val="16"/>
              </w:rPr>
              <w:t>Establishes need, defines benefits, explores interventions, estimates costs and identifies delivery options</w:t>
            </w:r>
          </w:p>
        </w:tc>
        <w:tc>
          <w:tcPr>
            <w:tcW w:w="3028" w:type="dxa"/>
            <w:tcBorders>
              <w:top w:val="single" w:sz="6" w:space="0" w:color="00698F" w:themeColor="accent1"/>
              <w:bottom w:val="nil"/>
            </w:tcBorders>
          </w:tcPr>
          <w:p w14:paraId="19265CE1" w14:textId="77777777" w:rsidR="00A97913" w:rsidRPr="00601819" w:rsidRDefault="00A97913" w:rsidP="00A97913">
            <w:pPr>
              <w:pStyle w:val="Tabletext"/>
              <w:rPr>
                <w:sz w:val="16"/>
                <w:szCs w:val="16"/>
              </w:rPr>
            </w:pPr>
            <w:r w:rsidRPr="00601819">
              <w:rPr>
                <w:sz w:val="16"/>
                <w:szCs w:val="16"/>
              </w:rPr>
              <w:t>Confirms delivery options, finalises delivery plan, engages the market and awards the contract</w:t>
            </w:r>
          </w:p>
        </w:tc>
        <w:tc>
          <w:tcPr>
            <w:tcW w:w="3028" w:type="dxa"/>
            <w:tcBorders>
              <w:top w:val="single" w:sz="6" w:space="0" w:color="00698F" w:themeColor="accent1"/>
              <w:bottom w:val="nil"/>
            </w:tcBorders>
          </w:tcPr>
          <w:p w14:paraId="6FC5DBDB" w14:textId="77777777" w:rsidR="00A97913" w:rsidRPr="00601819" w:rsidRDefault="00A97913" w:rsidP="00A97913">
            <w:pPr>
              <w:pStyle w:val="Tabletext"/>
              <w:rPr>
                <w:sz w:val="16"/>
                <w:szCs w:val="16"/>
              </w:rPr>
            </w:pPr>
            <w:r w:rsidRPr="00601819">
              <w:rPr>
                <w:sz w:val="16"/>
                <w:szCs w:val="16"/>
              </w:rPr>
              <w:t>Implements solution and transitions investment into normal business</w:t>
            </w:r>
          </w:p>
        </w:tc>
      </w:tr>
      <w:tr w:rsidR="00A97913" w:rsidRPr="003E1EE8" w14:paraId="5B11960B" w14:textId="77777777" w:rsidTr="00601819">
        <w:tc>
          <w:tcPr>
            <w:tcW w:w="3028" w:type="dxa"/>
            <w:tcBorders>
              <w:top w:val="nil"/>
            </w:tcBorders>
          </w:tcPr>
          <w:p w14:paraId="0224C748" w14:textId="77777777" w:rsidR="00A97913" w:rsidRPr="00601819" w:rsidRDefault="00A97913" w:rsidP="00A97913">
            <w:pPr>
              <w:pStyle w:val="Tablebullet"/>
              <w:rPr>
                <w:sz w:val="16"/>
              </w:rPr>
            </w:pPr>
            <w:r w:rsidRPr="00601819">
              <w:rPr>
                <w:sz w:val="16"/>
              </w:rPr>
              <w:t xml:space="preserve">What are the sustainability aspects of the problem, </w:t>
            </w:r>
            <w:proofErr w:type="gramStart"/>
            <w:r w:rsidRPr="00601819">
              <w:rPr>
                <w:sz w:val="16"/>
              </w:rPr>
              <w:t>issue</w:t>
            </w:r>
            <w:proofErr w:type="gramEnd"/>
            <w:r w:rsidRPr="00601819">
              <w:rPr>
                <w:sz w:val="16"/>
              </w:rPr>
              <w:t xml:space="preserve"> or service need?</w:t>
            </w:r>
          </w:p>
          <w:p w14:paraId="57FDD43F" w14:textId="77777777" w:rsidR="00A97913" w:rsidRPr="00601819" w:rsidRDefault="00A97913" w:rsidP="00A97913">
            <w:pPr>
              <w:pStyle w:val="Tablebullet"/>
              <w:rPr>
                <w:sz w:val="16"/>
              </w:rPr>
            </w:pPr>
            <w:r w:rsidRPr="00601819">
              <w:rPr>
                <w:sz w:val="16"/>
              </w:rPr>
              <w:t>What sustainability benefits could arise from addressing the problem/opportunity and how do these relate to sustainability priorities?</w:t>
            </w:r>
          </w:p>
          <w:p w14:paraId="3FC44C7B" w14:textId="77777777" w:rsidR="00A97913" w:rsidRPr="00601819" w:rsidRDefault="00A97913" w:rsidP="00A97913">
            <w:pPr>
              <w:pStyle w:val="Tablebullet"/>
              <w:rPr>
                <w:sz w:val="16"/>
              </w:rPr>
            </w:pPr>
            <w:r w:rsidRPr="00601819">
              <w:rPr>
                <w:sz w:val="16"/>
              </w:rPr>
              <w:t>Have sustainable finance mechanisms such as Green or Social Bonds been considered?</w:t>
            </w:r>
          </w:p>
          <w:p w14:paraId="68B6E21F" w14:textId="77777777" w:rsidR="00A97913" w:rsidRPr="00601819" w:rsidRDefault="00A97913" w:rsidP="00A97913">
            <w:pPr>
              <w:pStyle w:val="Tablebullet"/>
              <w:rPr>
                <w:sz w:val="16"/>
              </w:rPr>
            </w:pPr>
            <w:r w:rsidRPr="00601819">
              <w:rPr>
                <w:sz w:val="16"/>
              </w:rPr>
              <w:t>Can the project be delivered as planned? What are the implications for sustainability?</w:t>
            </w:r>
          </w:p>
          <w:p w14:paraId="4B0DBE7D" w14:textId="77777777" w:rsidR="00A97913" w:rsidRPr="00601819" w:rsidRDefault="00A97913" w:rsidP="00A97913">
            <w:pPr>
              <w:pStyle w:val="Tablebullet"/>
              <w:rPr>
                <w:sz w:val="16"/>
              </w:rPr>
            </w:pPr>
            <w:r w:rsidRPr="00601819">
              <w:rPr>
                <w:sz w:val="16"/>
              </w:rPr>
              <w:t>What is the preferred method for delivering the investment and how does this impact sustainability outcomes?</w:t>
            </w:r>
          </w:p>
          <w:p w14:paraId="6951AB95" w14:textId="1A94258E" w:rsidR="00A97913" w:rsidRPr="00601819" w:rsidRDefault="00A97913" w:rsidP="00A97913">
            <w:pPr>
              <w:pStyle w:val="Tablebullet"/>
              <w:rPr>
                <w:sz w:val="16"/>
              </w:rPr>
            </w:pPr>
            <w:r w:rsidRPr="00601819">
              <w:rPr>
                <w:sz w:val="16"/>
              </w:rPr>
              <w:t>Identify whole</w:t>
            </w:r>
            <w:r w:rsidR="007E3177">
              <w:rPr>
                <w:sz w:val="16"/>
              </w:rPr>
              <w:t xml:space="preserve"> </w:t>
            </w:r>
            <w:r w:rsidRPr="00601819">
              <w:rPr>
                <w:sz w:val="16"/>
              </w:rPr>
              <w:t xml:space="preserve">of life costs and benefits (quantitative and qualitative) associated with sustainable investment decisions across each of the </w:t>
            </w:r>
            <w:r w:rsidR="007E3177">
              <w:rPr>
                <w:sz w:val="16"/>
              </w:rPr>
              <w:t>eight</w:t>
            </w:r>
            <w:r w:rsidR="007E3177" w:rsidRPr="00601819">
              <w:rPr>
                <w:sz w:val="16"/>
              </w:rPr>
              <w:t xml:space="preserve"> </w:t>
            </w:r>
            <w:r w:rsidRPr="00601819">
              <w:rPr>
                <w:sz w:val="16"/>
              </w:rPr>
              <w:t>SITs and include budget in project cost estimates</w:t>
            </w:r>
          </w:p>
        </w:tc>
        <w:tc>
          <w:tcPr>
            <w:tcW w:w="3028" w:type="dxa"/>
            <w:tcBorders>
              <w:top w:val="nil"/>
            </w:tcBorders>
          </w:tcPr>
          <w:p w14:paraId="7D305BBA" w14:textId="77777777" w:rsidR="00A97913" w:rsidRPr="00601819" w:rsidRDefault="00A97913" w:rsidP="00A97913">
            <w:pPr>
              <w:pStyle w:val="Tablebullet"/>
              <w:rPr>
                <w:sz w:val="16"/>
              </w:rPr>
            </w:pPr>
            <w:r w:rsidRPr="00601819">
              <w:rPr>
                <w:sz w:val="16"/>
              </w:rPr>
              <w:t>What sustainability reporting does the project require?</w:t>
            </w:r>
          </w:p>
          <w:p w14:paraId="433BDE4A" w14:textId="77777777" w:rsidR="00A97913" w:rsidRPr="00601819" w:rsidRDefault="00A97913" w:rsidP="00A97913">
            <w:pPr>
              <w:pStyle w:val="Tablebullet"/>
              <w:rPr>
                <w:sz w:val="16"/>
              </w:rPr>
            </w:pPr>
            <w:r w:rsidRPr="00601819">
              <w:rPr>
                <w:sz w:val="16"/>
              </w:rPr>
              <w:t>What sustainability measures should a contract be evaluated on?</w:t>
            </w:r>
          </w:p>
          <w:p w14:paraId="6ACB9020" w14:textId="77777777" w:rsidR="00A97913" w:rsidRPr="00601819" w:rsidRDefault="00A97913" w:rsidP="00A97913">
            <w:pPr>
              <w:pStyle w:val="Tablebullet"/>
              <w:rPr>
                <w:sz w:val="16"/>
              </w:rPr>
            </w:pPr>
            <w:r w:rsidRPr="00601819">
              <w:rPr>
                <w:sz w:val="16"/>
              </w:rPr>
              <w:t>How should operational sustainability requirements determine reporting requirements during project delivery?</w:t>
            </w:r>
          </w:p>
          <w:p w14:paraId="1E651443" w14:textId="77777777" w:rsidR="00A97913" w:rsidRPr="00601819" w:rsidRDefault="00A97913" w:rsidP="00A97913">
            <w:pPr>
              <w:pStyle w:val="Tablebullet"/>
              <w:rPr>
                <w:sz w:val="16"/>
              </w:rPr>
            </w:pPr>
            <w:r w:rsidRPr="00601819">
              <w:rPr>
                <w:sz w:val="16"/>
              </w:rPr>
              <w:t>Should sustainability rating tools be used in contracts?</w:t>
            </w:r>
          </w:p>
        </w:tc>
        <w:tc>
          <w:tcPr>
            <w:tcW w:w="3028" w:type="dxa"/>
            <w:tcBorders>
              <w:top w:val="nil"/>
            </w:tcBorders>
          </w:tcPr>
          <w:p w14:paraId="26C712E7" w14:textId="5E29B1EF" w:rsidR="00A97913" w:rsidRPr="00601819" w:rsidRDefault="00A97913" w:rsidP="00A97913">
            <w:pPr>
              <w:pStyle w:val="Tablebullet"/>
              <w:rPr>
                <w:sz w:val="16"/>
              </w:rPr>
            </w:pPr>
            <w:r w:rsidRPr="00601819">
              <w:rPr>
                <w:sz w:val="16"/>
              </w:rPr>
              <w:t>How should non</w:t>
            </w:r>
            <w:r w:rsidR="00601819" w:rsidRPr="00601819">
              <w:rPr>
                <w:sz w:val="16"/>
              </w:rPr>
              <w:noBreakHyphen/>
            </w:r>
            <w:r w:rsidRPr="00601819">
              <w:rPr>
                <w:sz w:val="16"/>
              </w:rPr>
              <w:t>financial sustainability benefits be managed?</w:t>
            </w:r>
          </w:p>
          <w:p w14:paraId="3E2CE31D" w14:textId="77777777" w:rsidR="00A97913" w:rsidRPr="00601819" w:rsidRDefault="00A97913" w:rsidP="00A97913">
            <w:pPr>
              <w:pStyle w:val="Tablebullet"/>
              <w:rPr>
                <w:sz w:val="16"/>
              </w:rPr>
            </w:pPr>
            <w:r w:rsidRPr="00601819">
              <w:rPr>
                <w:sz w:val="16"/>
              </w:rPr>
              <w:t>How are sustainability requirements transferred from the contractor to the operator, including the minimum standards and data functional requirements aligned to the Victorian Digital Asset Strategy and Digital Build Policy?</w:t>
            </w:r>
          </w:p>
        </w:tc>
      </w:tr>
    </w:tbl>
    <w:p w14:paraId="10EBDC21" w14:textId="06139D37" w:rsidR="00A97913" w:rsidRDefault="00A97913" w:rsidP="00F00708">
      <w:pPr>
        <w:pStyle w:val="Spacer"/>
      </w:pPr>
    </w:p>
    <w:p w14:paraId="3754984E" w14:textId="77777777" w:rsidR="00FC7DAA" w:rsidRDefault="00A97913">
      <w:pPr>
        <w:keepLines w:val="0"/>
        <w:spacing w:before="0" w:after="0" w:line="240" w:lineRule="auto"/>
        <w:rPr>
          <w:b/>
          <w:bCs/>
          <w:color w:val="383834" w:themeColor="background2" w:themeShade="40"/>
        </w:rPr>
      </w:pPr>
      <w:r>
        <w:rPr>
          <w:lang w:eastAsia="en-US"/>
        </w:rPr>
        <w:t>Considering s</w:t>
      </w:r>
      <w:r w:rsidRPr="00173606">
        <w:rPr>
          <w:lang w:eastAsia="en-US"/>
        </w:rPr>
        <w:t>ustainable investment target maturity levels</w:t>
      </w:r>
      <w:r>
        <w:rPr>
          <w:lang w:eastAsia="en-US"/>
        </w:rPr>
        <w:t xml:space="preserve"> provides a more refined, fit</w:t>
      </w:r>
      <w:r w:rsidR="00601819">
        <w:rPr>
          <w:lang w:eastAsia="en-US"/>
        </w:rPr>
        <w:noBreakHyphen/>
      </w:r>
      <w:r>
        <w:rPr>
          <w:lang w:eastAsia="en-US"/>
        </w:rPr>
        <w:t>for</w:t>
      </w:r>
      <w:r w:rsidR="00601819">
        <w:rPr>
          <w:lang w:eastAsia="en-US"/>
        </w:rPr>
        <w:noBreakHyphen/>
      </w:r>
      <w:r>
        <w:rPr>
          <w:lang w:eastAsia="en-US"/>
        </w:rPr>
        <w:t>purpose approach for various investment project types, as shown in</w:t>
      </w:r>
      <w:r w:rsidR="00F00708">
        <w:rPr>
          <w:lang w:eastAsia="en-US"/>
        </w:rPr>
        <w:t xml:space="preserve"> </w:t>
      </w:r>
      <w:r w:rsidR="00F00708">
        <w:rPr>
          <w:lang w:eastAsia="en-US"/>
        </w:rPr>
        <w:fldChar w:fldCharType="begin"/>
      </w:r>
      <w:r w:rsidR="00F00708">
        <w:rPr>
          <w:lang w:eastAsia="en-US"/>
        </w:rPr>
        <w:instrText xml:space="preserve"> REF _Ref75420938 \h </w:instrText>
      </w:r>
      <w:r w:rsidR="00F00708">
        <w:rPr>
          <w:lang w:eastAsia="en-US"/>
        </w:rPr>
      </w:r>
      <w:r w:rsidR="00F00708">
        <w:rPr>
          <w:lang w:eastAsia="en-US"/>
        </w:rPr>
        <w:fldChar w:fldCharType="separate"/>
      </w:r>
      <w:r w:rsidR="00FC7DAA">
        <w:br w:type="page"/>
      </w:r>
    </w:p>
    <w:p w14:paraId="39830D6A" w14:textId="62CA04CA" w:rsidR="00A97913" w:rsidRDefault="00FC7DAA" w:rsidP="00A97913">
      <w:pPr>
        <w:rPr>
          <w:lang w:eastAsia="en-US"/>
        </w:rPr>
      </w:pPr>
      <w:r>
        <w:lastRenderedPageBreak/>
        <w:t xml:space="preserve">Table </w:t>
      </w:r>
      <w:r>
        <w:rPr>
          <w:noProof/>
        </w:rPr>
        <w:t>7</w:t>
      </w:r>
      <w:r w:rsidR="00F00708">
        <w:rPr>
          <w:lang w:eastAsia="en-US"/>
        </w:rPr>
        <w:fldChar w:fldCharType="end"/>
      </w:r>
      <w:r w:rsidR="00F00708">
        <w:rPr>
          <w:lang w:eastAsia="en-US"/>
        </w:rPr>
        <w:t>.</w:t>
      </w:r>
    </w:p>
    <w:p w14:paraId="40246919" w14:textId="77777777" w:rsidR="00B854B2" w:rsidRDefault="00B854B2">
      <w:pPr>
        <w:keepLines w:val="0"/>
        <w:spacing w:before="0" w:after="0" w:line="240" w:lineRule="auto"/>
        <w:rPr>
          <w:b/>
          <w:bCs/>
          <w:color w:val="383834" w:themeColor="background2" w:themeShade="40"/>
        </w:rPr>
      </w:pPr>
      <w:bookmarkStart w:id="74" w:name="_Ref75420938"/>
      <w:r>
        <w:br w:type="page"/>
      </w:r>
    </w:p>
    <w:p w14:paraId="10C09396" w14:textId="45238D64" w:rsidR="00A97913" w:rsidRDefault="00A97913" w:rsidP="00A97913">
      <w:pPr>
        <w:pStyle w:val="Caption"/>
      </w:pPr>
      <w:bookmarkStart w:id="75" w:name="_Toc117258728"/>
      <w:r>
        <w:lastRenderedPageBreak/>
        <w:t xml:space="preserve">Table </w:t>
      </w:r>
      <w:r>
        <w:fldChar w:fldCharType="begin"/>
      </w:r>
      <w:r>
        <w:instrText>SEQ Table \* ARABIC</w:instrText>
      </w:r>
      <w:r>
        <w:fldChar w:fldCharType="separate"/>
      </w:r>
      <w:r w:rsidR="00FC7DAA">
        <w:rPr>
          <w:noProof/>
        </w:rPr>
        <w:t>7</w:t>
      </w:r>
      <w:r>
        <w:fldChar w:fldCharType="end"/>
      </w:r>
      <w:bookmarkEnd w:id="74"/>
      <w:r w:rsidR="00F00708">
        <w:t xml:space="preserve"> – </w:t>
      </w:r>
      <w:r w:rsidRPr="00697CB7">
        <w:t>Sustainable investment target maturity levels</w:t>
      </w:r>
      <w:bookmarkEnd w:id="75"/>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321"/>
        <w:gridCol w:w="2752"/>
        <w:gridCol w:w="2417"/>
        <w:gridCol w:w="2585"/>
      </w:tblGrid>
      <w:tr w:rsidR="00601819" w:rsidRPr="007B7F61" w14:paraId="78FE406F" w14:textId="77777777" w:rsidTr="00A16A0B">
        <w:trPr>
          <w:cantSplit/>
          <w:tblHeader/>
        </w:trPr>
        <w:tc>
          <w:tcPr>
            <w:tcW w:w="1261" w:type="dxa"/>
            <w:shd w:val="clear" w:color="auto" w:fill="auto"/>
          </w:tcPr>
          <w:p w14:paraId="4B2DE70D" w14:textId="77777777" w:rsidR="00601819" w:rsidRPr="007B7F61" w:rsidRDefault="00601819" w:rsidP="00A16A0B">
            <w:pPr>
              <w:pStyle w:val="Tableheader"/>
              <w:rPr>
                <w:b/>
                <w:bCs/>
                <w:noProof/>
              </w:rPr>
            </w:pPr>
          </w:p>
        </w:tc>
        <w:tc>
          <w:tcPr>
            <w:tcW w:w="2774" w:type="dxa"/>
            <w:shd w:val="clear" w:color="auto" w:fill="E75300" w:themeFill="accent5"/>
            <w:vAlign w:val="center"/>
          </w:tcPr>
          <w:p w14:paraId="3B05C307" w14:textId="77777777" w:rsidR="00601819" w:rsidRPr="007B7F61" w:rsidRDefault="00601819" w:rsidP="00A16A0B">
            <w:pPr>
              <w:pStyle w:val="Tableheader"/>
              <w:rPr>
                <w:b/>
                <w:bCs/>
                <w:noProof/>
              </w:rPr>
            </w:pPr>
            <w:r w:rsidRPr="007B7F61">
              <w:rPr>
                <w:b/>
                <w:bCs/>
                <w:noProof/>
              </w:rPr>
              <w:t>DEFINED</w:t>
            </w:r>
          </w:p>
        </w:tc>
        <w:tc>
          <w:tcPr>
            <w:tcW w:w="2435" w:type="dxa"/>
            <w:shd w:val="clear" w:color="auto" w:fill="00AFAA" w:themeFill="accent3"/>
            <w:vAlign w:val="center"/>
          </w:tcPr>
          <w:p w14:paraId="6717AD32" w14:textId="77777777" w:rsidR="00601819" w:rsidRPr="007B7F61" w:rsidRDefault="00601819" w:rsidP="00A16A0B">
            <w:pPr>
              <w:pStyle w:val="Tableheader"/>
              <w:rPr>
                <w:b/>
                <w:bCs/>
                <w:noProof/>
              </w:rPr>
            </w:pPr>
            <w:r w:rsidRPr="007B7F61">
              <w:rPr>
                <w:b/>
                <w:bCs/>
                <w:noProof/>
              </w:rPr>
              <w:t>MANAGED</w:t>
            </w:r>
          </w:p>
        </w:tc>
        <w:tc>
          <w:tcPr>
            <w:tcW w:w="2605" w:type="dxa"/>
            <w:shd w:val="clear" w:color="auto" w:fill="F9BE00" w:themeFill="accent6"/>
            <w:vAlign w:val="center"/>
          </w:tcPr>
          <w:p w14:paraId="125C4636" w14:textId="77777777" w:rsidR="00601819" w:rsidRPr="007B7F61" w:rsidRDefault="00601819" w:rsidP="00A16A0B">
            <w:pPr>
              <w:pStyle w:val="Tableheader"/>
              <w:rPr>
                <w:b/>
                <w:bCs/>
                <w:noProof/>
              </w:rPr>
            </w:pPr>
            <w:r w:rsidRPr="007B7F61">
              <w:rPr>
                <w:b/>
                <w:bCs/>
                <w:noProof/>
              </w:rPr>
              <w:t>OPTIMISED</w:t>
            </w:r>
          </w:p>
        </w:tc>
      </w:tr>
      <w:tr w:rsidR="00601819" w:rsidRPr="007E6C2A" w14:paraId="301A0D0E" w14:textId="77777777" w:rsidTr="00624172">
        <w:trPr>
          <w:cantSplit/>
          <w:trHeight w:val="433"/>
        </w:trPr>
        <w:tc>
          <w:tcPr>
            <w:tcW w:w="1261" w:type="dxa"/>
            <w:shd w:val="clear" w:color="auto" w:fill="D9D9D9" w:themeFill="background1" w:themeFillShade="D9"/>
          </w:tcPr>
          <w:p w14:paraId="4CFAD2B7" w14:textId="78EF8BA0" w:rsidR="00601819" w:rsidRPr="009B2B67" w:rsidRDefault="00601819" w:rsidP="00601819">
            <w:pPr>
              <w:pStyle w:val="Tabletext"/>
            </w:pPr>
            <w:r w:rsidRPr="00A97913">
              <w:rPr>
                <w:b/>
                <w:bCs/>
              </w:rPr>
              <w:t>Sustainable Investment maturity target level</w:t>
            </w:r>
          </w:p>
        </w:tc>
        <w:tc>
          <w:tcPr>
            <w:tcW w:w="2774" w:type="dxa"/>
            <w:shd w:val="clear" w:color="auto" w:fill="D9D9D9" w:themeFill="background1" w:themeFillShade="D9"/>
          </w:tcPr>
          <w:p w14:paraId="4D72A201" w14:textId="18CC6D44" w:rsidR="00601819" w:rsidRPr="009B2B67" w:rsidRDefault="00601819" w:rsidP="00601819">
            <w:pPr>
              <w:pStyle w:val="Tabletext"/>
            </w:pPr>
            <w:r w:rsidRPr="00A97913">
              <w:rPr>
                <w:b/>
                <w:bCs/>
              </w:rPr>
              <w:t>Recommended for all Victorian Government investment projects</w:t>
            </w:r>
          </w:p>
        </w:tc>
        <w:tc>
          <w:tcPr>
            <w:tcW w:w="2435" w:type="dxa"/>
            <w:shd w:val="clear" w:color="auto" w:fill="D9D9D9" w:themeFill="background1" w:themeFillShade="D9"/>
          </w:tcPr>
          <w:p w14:paraId="41BDCCF1" w14:textId="75889228" w:rsidR="00601819" w:rsidRPr="009B2B67" w:rsidRDefault="00601819" w:rsidP="00601819">
            <w:pPr>
              <w:pStyle w:val="Tabletext"/>
            </w:pPr>
            <w:r w:rsidRPr="00A97913">
              <w:rPr>
                <w:b/>
                <w:bCs/>
              </w:rPr>
              <w:t>Recommended for teams delivering larger (including HVHR) projects</w:t>
            </w:r>
          </w:p>
        </w:tc>
        <w:tc>
          <w:tcPr>
            <w:tcW w:w="2605" w:type="dxa"/>
            <w:shd w:val="clear" w:color="auto" w:fill="D9D9D9" w:themeFill="background1" w:themeFillShade="D9"/>
          </w:tcPr>
          <w:p w14:paraId="296C0574" w14:textId="135BFB2D" w:rsidR="00601819" w:rsidRPr="009B2B67" w:rsidRDefault="00601819" w:rsidP="00601819">
            <w:pPr>
              <w:pStyle w:val="Tabletext"/>
            </w:pPr>
            <w:r w:rsidRPr="00A97913">
              <w:rPr>
                <w:b/>
                <w:bCs/>
              </w:rPr>
              <w:t>Recommended for priority or flagship projects, or projects seeking to demonstrate improved efficiency or performance</w:t>
            </w:r>
          </w:p>
        </w:tc>
      </w:tr>
      <w:tr w:rsidR="00601819" w:rsidRPr="007E6C2A" w14:paraId="66A47204" w14:textId="77777777" w:rsidTr="00A16A0B">
        <w:trPr>
          <w:cantSplit/>
          <w:trHeight w:val="433"/>
        </w:trPr>
        <w:tc>
          <w:tcPr>
            <w:tcW w:w="1261" w:type="dxa"/>
            <w:shd w:val="clear" w:color="auto" w:fill="F2F2F2" w:themeFill="background1" w:themeFillShade="F2"/>
          </w:tcPr>
          <w:p w14:paraId="68B67BB9" w14:textId="4DB6FEDC" w:rsidR="00601819" w:rsidRPr="00A97913" w:rsidRDefault="00601819" w:rsidP="00601819">
            <w:pPr>
              <w:pStyle w:val="Tabletext"/>
              <w:rPr>
                <w:b/>
                <w:bCs/>
              </w:rPr>
            </w:pPr>
            <w:r w:rsidRPr="000C026C">
              <w:t>Cost</w:t>
            </w:r>
            <w:r>
              <w:noBreakHyphen/>
            </w:r>
            <w:r w:rsidRPr="000C026C">
              <w:t>benefit analysis</w:t>
            </w:r>
          </w:p>
        </w:tc>
        <w:tc>
          <w:tcPr>
            <w:tcW w:w="2774" w:type="dxa"/>
            <w:shd w:val="clear" w:color="auto" w:fill="FFDAC7" w:themeFill="accent5" w:themeFillTint="33"/>
          </w:tcPr>
          <w:p w14:paraId="3BB54C76" w14:textId="45FFBC56" w:rsidR="00601819" w:rsidRPr="00A97913" w:rsidRDefault="00601819" w:rsidP="00601819">
            <w:pPr>
              <w:pStyle w:val="Tabletext"/>
              <w:rPr>
                <w:b/>
                <w:bCs/>
              </w:rPr>
            </w:pPr>
            <w:r w:rsidRPr="000C026C">
              <w:t xml:space="preserve">Consider sustainability benefits across </w:t>
            </w:r>
            <w:r w:rsidR="007E3177">
              <w:t>eight</w:t>
            </w:r>
            <w:r w:rsidR="007E3177" w:rsidRPr="000C026C">
              <w:t xml:space="preserve"> </w:t>
            </w:r>
            <w:r w:rsidRPr="000C026C">
              <w:t>SITs in determining project value for money</w:t>
            </w:r>
          </w:p>
        </w:tc>
        <w:tc>
          <w:tcPr>
            <w:tcW w:w="2435" w:type="dxa"/>
            <w:shd w:val="clear" w:color="auto" w:fill="BCFFFC" w:themeFill="accent3" w:themeFillTint="33"/>
          </w:tcPr>
          <w:p w14:paraId="3543260E" w14:textId="3684DA7B" w:rsidR="00601819" w:rsidRPr="00A97913" w:rsidRDefault="00601819" w:rsidP="00601819">
            <w:pPr>
              <w:pStyle w:val="Tabletext"/>
              <w:rPr>
                <w:b/>
                <w:bCs/>
              </w:rPr>
            </w:pPr>
            <w:r w:rsidRPr="000C026C">
              <w:t>Model whole</w:t>
            </w:r>
            <w:r w:rsidR="007E3177">
              <w:t xml:space="preserve"> </w:t>
            </w:r>
            <w:r w:rsidRPr="000C026C">
              <w:t>of</w:t>
            </w:r>
            <w:r w:rsidR="007E3177">
              <w:t xml:space="preserve"> </w:t>
            </w:r>
            <w:r w:rsidRPr="000C026C">
              <w:t>life costs to justify sustainability benefits and value for money</w:t>
            </w:r>
          </w:p>
        </w:tc>
        <w:tc>
          <w:tcPr>
            <w:tcW w:w="2605" w:type="dxa"/>
            <w:shd w:val="clear" w:color="auto" w:fill="FFF2CA" w:themeFill="accent6" w:themeFillTint="33"/>
          </w:tcPr>
          <w:p w14:paraId="6C17C318" w14:textId="62DB76B8" w:rsidR="00601819" w:rsidRPr="00A97913" w:rsidRDefault="00601819" w:rsidP="00601819">
            <w:pPr>
              <w:pStyle w:val="Tabletext"/>
              <w:rPr>
                <w:b/>
                <w:bCs/>
              </w:rPr>
            </w:pPr>
            <w:r w:rsidRPr="000C026C">
              <w:t xml:space="preserve">Conduct </w:t>
            </w:r>
            <w:r w:rsidR="00624172" w:rsidRPr="000C026C">
              <w:t xml:space="preserve">real options </w:t>
            </w:r>
            <w:r w:rsidRPr="000C026C">
              <w:t>analysis to justify the project solution based on range of potential outcomes</w:t>
            </w:r>
          </w:p>
        </w:tc>
      </w:tr>
      <w:tr w:rsidR="00601819" w:rsidRPr="007E6C2A" w14:paraId="3A2CE1EC" w14:textId="77777777" w:rsidTr="00A16A0B">
        <w:trPr>
          <w:cantSplit/>
          <w:trHeight w:val="433"/>
        </w:trPr>
        <w:tc>
          <w:tcPr>
            <w:tcW w:w="1261" w:type="dxa"/>
            <w:shd w:val="clear" w:color="auto" w:fill="F2F2F2" w:themeFill="background1" w:themeFillShade="F2"/>
          </w:tcPr>
          <w:p w14:paraId="3809E4DE" w14:textId="77777777" w:rsidR="00601819" w:rsidRPr="000C026C" w:rsidRDefault="00601819" w:rsidP="00601819">
            <w:pPr>
              <w:pStyle w:val="Tabletext"/>
            </w:pPr>
          </w:p>
        </w:tc>
        <w:tc>
          <w:tcPr>
            <w:tcW w:w="2774" w:type="dxa"/>
            <w:shd w:val="clear" w:color="auto" w:fill="FFDAC7" w:themeFill="accent5" w:themeFillTint="33"/>
          </w:tcPr>
          <w:p w14:paraId="6E9DED51" w14:textId="66E3EF2D" w:rsidR="00601819" w:rsidRPr="000C026C" w:rsidRDefault="00601819" w:rsidP="00601819">
            <w:pPr>
              <w:pStyle w:val="Tabletext"/>
            </w:pPr>
            <w:r w:rsidRPr="000C026C">
              <w:t xml:space="preserve">Budget is allocated to identify, develop, </w:t>
            </w:r>
            <w:proofErr w:type="gramStart"/>
            <w:r w:rsidRPr="000C026C">
              <w:t>design</w:t>
            </w:r>
            <w:proofErr w:type="gramEnd"/>
            <w:r w:rsidRPr="000C026C">
              <w:t xml:space="preserve"> and deliver sustainable outcomes</w:t>
            </w:r>
          </w:p>
        </w:tc>
        <w:tc>
          <w:tcPr>
            <w:tcW w:w="2435" w:type="dxa"/>
            <w:shd w:val="clear" w:color="auto" w:fill="BCFFFC" w:themeFill="accent3" w:themeFillTint="33"/>
          </w:tcPr>
          <w:p w14:paraId="3BA62002" w14:textId="77777777" w:rsidR="00601819" w:rsidRPr="000C026C" w:rsidRDefault="00601819" w:rsidP="00601819">
            <w:pPr>
              <w:pStyle w:val="Tabletext"/>
            </w:pPr>
          </w:p>
        </w:tc>
        <w:tc>
          <w:tcPr>
            <w:tcW w:w="2605" w:type="dxa"/>
            <w:shd w:val="clear" w:color="auto" w:fill="FFF2CA" w:themeFill="accent6" w:themeFillTint="33"/>
          </w:tcPr>
          <w:p w14:paraId="6F26AFA3" w14:textId="515B8663" w:rsidR="00601819" w:rsidRPr="000C026C" w:rsidRDefault="00601819" w:rsidP="00601819">
            <w:pPr>
              <w:pStyle w:val="Tabletext"/>
            </w:pPr>
            <w:r>
              <w:t>Innovative solutions may include field trials and evolution of design standards to accommodate engineered materials and new approaches.</w:t>
            </w:r>
          </w:p>
        </w:tc>
      </w:tr>
      <w:tr w:rsidR="00601819" w:rsidRPr="007E6C2A" w14:paraId="7F875EAA" w14:textId="77777777" w:rsidTr="00A16A0B">
        <w:trPr>
          <w:cantSplit/>
          <w:trHeight w:val="433"/>
        </w:trPr>
        <w:tc>
          <w:tcPr>
            <w:tcW w:w="1261" w:type="dxa"/>
            <w:shd w:val="clear" w:color="auto" w:fill="F2F2F2" w:themeFill="background1" w:themeFillShade="F2"/>
          </w:tcPr>
          <w:p w14:paraId="05592F5B" w14:textId="77777777" w:rsidR="00601819" w:rsidRPr="000C026C" w:rsidRDefault="00601819" w:rsidP="00601819">
            <w:pPr>
              <w:pStyle w:val="Tabletext"/>
            </w:pPr>
          </w:p>
        </w:tc>
        <w:tc>
          <w:tcPr>
            <w:tcW w:w="2774" w:type="dxa"/>
            <w:shd w:val="clear" w:color="auto" w:fill="FFDAC7" w:themeFill="accent5" w:themeFillTint="33"/>
          </w:tcPr>
          <w:p w14:paraId="497A61E4" w14:textId="0747A6C8" w:rsidR="00601819" w:rsidRPr="000C026C" w:rsidRDefault="00601819" w:rsidP="00601819">
            <w:pPr>
              <w:pStyle w:val="Tabletext"/>
            </w:pPr>
            <w:r w:rsidRPr="000C026C">
              <w:t xml:space="preserve">Appropriate expertise is engaged early in problem, </w:t>
            </w:r>
            <w:proofErr w:type="gramStart"/>
            <w:r w:rsidRPr="000C026C">
              <w:t>options</w:t>
            </w:r>
            <w:proofErr w:type="gramEnd"/>
            <w:r w:rsidRPr="000C026C">
              <w:t xml:space="preserve"> and solutions development</w:t>
            </w:r>
          </w:p>
        </w:tc>
        <w:tc>
          <w:tcPr>
            <w:tcW w:w="2435" w:type="dxa"/>
            <w:shd w:val="clear" w:color="auto" w:fill="BCFFFC" w:themeFill="accent3" w:themeFillTint="33"/>
          </w:tcPr>
          <w:p w14:paraId="770A4BA1" w14:textId="62D6066B" w:rsidR="00601819" w:rsidRPr="000C026C" w:rsidRDefault="00601819" w:rsidP="00601819">
            <w:pPr>
              <w:pStyle w:val="Tabletext"/>
            </w:pPr>
            <w:r w:rsidRPr="000C026C">
              <w:t>Option evaluation considers emissions from construction and operation</w:t>
            </w:r>
          </w:p>
        </w:tc>
        <w:tc>
          <w:tcPr>
            <w:tcW w:w="2605" w:type="dxa"/>
            <w:shd w:val="clear" w:color="auto" w:fill="FFF2CA" w:themeFill="accent6" w:themeFillTint="33"/>
          </w:tcPr>
          <w:p w14:paraId="61045D97" w14:textId="47C126D0" w:rsidR="00601819" w:rsidRDefault="00601819" w:rsidP="00601819">
            <w:pPr>
              <w:pStyle w:val="Tabletext"/>
            </w:pPr>
            <w:r w:rsidRPr="000C026C">
              <w:t>Consider whether project objectives should include scope 3 emissions</w:t>
            </w:r>
          </w:p>
        </w:tc>
      </w:tr>
      <w:tr w:rsidR="00601819" w:rsidRPr="007E6C2A" w14:paraId="71EA2DC9" w14:textId="77777777" w:rsidTr="00A16A0B">
        <w:trPr>
          <w:cantSplit/>
          <w:trHeight w:val="433"/>
        </w:trPr>
        <w:tc>
          <w:tcPr>
            <w:tcW w:w="1261" w:type="dxa"/>
            <w:shd w:val="clear" w:color="auto" w:fill="F2F2F2" w:themeFill="background1" w:themeFillShade="F2"/>
          </w:tcPr>
          <w:p w14:paraId="12E92EE6" w14:textId="3FEB784C" w:rsidR="00601819" w:rsidRPr="000C026C" w:rsidRDefault="00601819" w:rsidP="00601819">
            <w:pPr>
              <w:pStyle w:val="Tabletext"/>
            </w:pPr>
            <w:r w:rsidRPr="000C026C">
              <w:t>Policy</w:t>
            </w:r>
          </w:p>
        </w:tc>
        <w:tc>
          <w:tcPr>
            <w:tcW w:w="2774" w:type="dxa"/>
            <w:shd w:val="clear" w:color="auto" w:fill="FFDAC7" w:themeFill="accent5" w:themeFillTint="33"/>
          </w:tcPr>
          <w:p w14:paraId="16B8F796" w14:textId="4772D440" w:rsidR="00601819" w:rsidRPr="000C026C" w:rsidRDefault="00601819" w:rsidP="00601819">
            <w:pPr>
              <w:pStyle w:val="Tabletext"/>
            </w:pPr>
            <w:r w:rsidRPr="000C026C">
              <w:t>Meets climate pledge requirements</w:t>
            </w:r>
          </w:p>
        </w:tc>
        <w:tc>
          <w:tcPr>
            <w:tcW w:w="2435" w:type="dxa"/>
            <w:shd w:val="clear" w:color="auto" w:fill="BCFFFC" w:themeFill="accent3" w:themeFillTint="33"/>
          </w:tcPr>
          <w:p w14:paraId="50FEFAA6" w14:textId="77777777" w:rsidR="00601819" w:rsidRPr="000C026C" w:rsidRDefault="00601819" w:rsidP="00601819">
            <w:pPr>
              <w:pStyle w:val="Tabletext"/>
            </w:pPr>
          </w:p>
        </w:tc>
        <w:tc>
          <w:tcPr>
            <w:tcW w:w="2605" w:type="dxa"/>
            <w:shd w:val="clear" w:color="auto" w:fill="FFF2CA" w:themeFill="accent6" w:themeFillTint="33"/>
          </w:tcPr>
          <w:p w14:paraId="60E2A53E" w14:textId="1B457085" w:rsidR="00601819" w:rsidRPr="000C026C" w:rsidRDefault="00601819" w:rsidP="00601819">
            <w:pPr>
              <w:pStyle w:val="Tabletext"/>
            </w:pPr>
            <w:r w:rsidRPr="000C026C">
              <w:t>Expenditure on sustainability outcomes is linked to quantified benefits or policy requirements</w:t>
            </w:r>
          </w:p>
        </w:tc>
      </w:tr>
      <w:tr w:rsidR="00601819" w:rsidRPr="007E6C2A" w14:paraId="36AD1EA5" w14:textId="77777777" w:rsidTr="00A16A0B">
        <w:trPr>
          <w:cantSplit/>
          <w:trHeight w:val="433"/>
        </w:trPr>
        <w:tc>
          <w:tcPr>
            <w:tcW w:w="1261" w:type="dxa"/>
            <w:shd w:val="clear" w:color="auto" w:fill="F2F2F2" w:themeFill="background1" w:themeFillShade="F2"/>
          </w:tcPr>
          <w:p w14:paraId="4AEA4E27" w14:textId="2A7D76B6" w:rsidR="00601819" w:rsidRPr="000C026C" w:rsidRDefault="00601819" w:rsidP="00601819">
            <w:pPr>
              <w:pStyle w:val="Tabletext"/>
            </w:pPr>
            <w:r w:rsidRPr="000C026C">
              <w:t>Risks</w:t>
            </w:r>
          </w:p>
        </w:tc>
        <w:tc>
          <w:tcPr>
            <w:tcW w:w="2774" w:type="dxa"/>
            <w:shd w:val="clear" w:color="auto" w:fill="FFDAC7" w:themeFill="accent5" w:themeFillTint="33"/>
          </w:tcPr>
          <w:p w14:paraId="19C51DD0" w14:textId="2A3FE4A2" w:rsidR="00601819" w:rsidRPr="000C026C" w:rsidRDefault="00601819" w:rsidP="00601819">
            <w:pPr>
              <w:pStyle w:val="Tabletext"/>
            </w:pPr>
            <w:r w:rsidRPr="000C026C">
              <w:t>Sustainability risks are linked to objectives</w:t>
            </w:r>
          </w:p>
        </w:tc>
        <w:tc>
          <w:tcPr>
            <w:tcW w:w="2435" w:type="dxa"/>
            <w:shd w:val="clear" w:color="auto" w:fill="BCFFFC" w:themeFill="accent3" w:themeFillTint="33"/>
          </w:tcPr>
          <w:p w14:paraId="3A1580C4" w14:textId="7032DD63" w:rsidR="00601819" w:rsidRPr="000C026C" w:rsidRDefault="00601819" w:rsidP="00601819">
            <w:pPr>
              <w:pStyle w:val="Tabletext"/>
            </w:pPr>
            <w:r w:rsidRPr="000C026C">
              <w:t>Risk analysis considers sustainability trends over the expected asset life, including beyond the investment timeframe</w:t>
            </w:r>
          </w:p>
        </w:tc>
        <w:tc>
          <w:tcPr>
            <w:tcW w:w="2605" w:type="dxa"/>
            <w:shd w:val="clear" w:color="auto" w:fill="FFF2CA" w:themeFill="accent6" w:themeFillTint="33"/>
          </w:tcPr>
          <w:p w14:paraId="65F9AEA0" w14:textId="77777777" w:rsidR="00601819" w:rsidRPr="000C026C" w:rsidRDefault="00601819" w:rsidP="00601819">
            <w:pPr>
              <w:pStyle w:val="Tabletext"/>
            </w:pPr>
          </w:p>
        </w:tc>
      </w:tr>
      <w:tr w:rsidR="00601819" w:rsidRPr="007E6C2A" w14:paraId="52F49610" w14:textId="77777777" w:rsidTr="00A16A0B">
        <w:trPr>
          <w:cantSplit/>
          <w:trHeight w:val="433"/>
        </w:trPr>
        <w:tc>
          <w:tcPr>
            <w:tcW w:w="1261" w:type="dxa"/>
            <w:shd w:val="clear" w:color="auto" w:fill="F2F2F2" w:themeFill="background1" w:themeFillShade="F2"/>
          </w:tcPr>
          <w:p w14:paraId="7899812A" w14:textId="2A0A3180" w:rsidR="00601819" w:rsidRPr="000C026C" w:rsidRDefault="00601819" w:rsidP="00601819">
            <w:pPr>
              <w:pStyle w:val="Tabletext"/>
            </w:pPr>
            <w:r w:rsidRPr="000C026C">
              <w:t xml:space="preserve">Sustainable </w:t>
            </w:r>
            <w:r w:rsidR="00624172" w:rsidRPr="000C026C">
              <w:t>procurement</w:t>
            </w:r>
          </w:p>
        </w:tc>
        <w:tc>
          <w:tcPr>
            <w:tcW w:w="2774" w:type="dxa"/>
            <w:shd w:val="clear" w:color="auto" w:fill="FFDAC7" w:themeFill="accent5" w:themeFillTint="33"/>
          </w:tcPr>
          <w:p w14:paraId="33FD24DD" w14:textId="52195E1B" w:rsidR="00601819" w:rsidRPr="000C026C" w:rsidRDefault="00601819" w:rsidP="00601819">
            <w:pPr>
              <w:pStyle w:val="Tabletext"/>
            </w:pPr>
            <w:r w:rsidRPr="000C026C">
              <w:t>Use weighted evaluation criteria to favour businesses that support sustainable procurement objectives</w:t>
            </w:r>
          </w:p>
        </w:tc>
        <w:tc>
          <w:tcPr>
            <w:tcW w:w="2435" w:type="dxa"/>
            <w:shd w:val="clear" w:color="auto" w:fill="BCFFFC" w:themeFill="accent3" w:themeFillTint="33"/>
          </w:tcPr>
          <w:p w14:paraId="117C0ED3" w14:textId="323C1743" w:rsidR="00601819" w:rsidRPr="000C026C" w:rsidRDefault="00601819" w:rsidP="00601819">
            <w:pPr>
              <w:pStyle w:val="Tabletext"/>
            </w:pPr>
            <w:r w:rsidRPr="000C026C">
              <w:t>Contract negotiation team authorised and capable of balancing sustainability objectives against other project objectives</w:t>
            </w:r>
          </w:p>
        </w:tc>
        <w:tc>
          <w:tcPr>
            <w:tcW w:w="2605" w:type="dxa"/>
            <w:shd w:val="clear" w:color="auto" w:fill="FFF2CA" w:themeFill="accent6" w:themeFillTint="33"/>
          </w:tcPr>
          <w:p w14:paraId="5F5174A4" w14:textId="46553CEE" w:rsidR="00601819" w:rsidRPr="000C026C" w:rsidRDefault="00601819" w:rsidP="00601819">
            <w:pPr>
              <w:pStyle w:val="Tabletext"/>
            </w:pPr>
            <w:r w:rsidRPr="000C026C">
              <w:t>Contract negotiation team authorised and capable of balancing sustainability objectives against other project objectives</w:t>
            </w:r>
          </w:p>
        </w:tc>
      </w:tr>
      <w:tr w:rsidR="00601819" w:rsidRPr="007E6C2A" w14:paraId="46F987E0" w14:textId="77777777" w:rsidTr="00A16A0B">
        <w:trPr>
          <w:cantSplit/>
          <w:trHeight w:val="433"/>
        </w:trPr>
        <w:tc>
          <w:tcPr>
            <w:tcW w:w="1261" w:type="dxa"/>
            <w:shd w:val="clear" w:color="auto" w:fill="F2F2F2" w:themeFill="background1" w:themeFillShade="F2"/>
          </w:tcPr>
          <w:p w14:paraId="37F56366" w14:textId="6DDE7084" w:rsidR="00601819" w:rsidRPr="000C026C" w:rsidRDefault="00601819" w:rsidP="00601819">
            <w:pPr>
              <w:pStyle w:val="Tabletext"/>
            </w:pPr>
            <w:r w:rsidRPr="000C026C">
              <w:t>Contracts</w:t>
            </w:r>
          </w:p>
        </w:tc>
        <w:tc>
          <w:tcPr>
            <w:tcW w:w="2774" w:type="dxa"/>
            <w:shd w:val="clear" w:color="auto" w:fill="FFDAC7" w:themeFill="accent5" w:themeFillTint="33"/>
          </w:tcPr>
          <w:p w14:paraId="5BF30F1A" w14:textId="098F777C" w:rsidR="00601819" w:rsidRPr="000C026C" w:rsidRDefault="00601819" w:rsidP="00601819">
            <w:pPr>
              <w:pStyle w:val="Tabletext"/>
            </w:pPr>
            <w:r w:rsidRPr="000C026C">
              <w:t>Include contractual requirements on tenderers to achieve sustainable procurement objectives</w:t>
            </w:r>
          </w:p>
        </w:tc>
        <w:tc>
          <w:tcPr>
            <w:tcW w:w="2435" w:type="dxa"/>
            <w:shd w:val="clear" w:color="auto" w:fill="BCFFFC" w:themeFill="accent3" w:themeFillTint="33"/>
          </w:tcPr>
          <w:p w14:paraId="16974A7D" w14:textId="16A2BA9C" w:rsidR="00601819" w:rsidRPr="000C026C" w:rsidRDefault="00601819" w:rsidP="00601819">
            <w:pPr>
              <w:pStyle w:val="Tabletext"/>
            </w:pPr>
            <w:r w:rsidRPr="000C026C">
              <w:t>Sustainability objectives in contract align with long</w:t>
            </w:r>
            <w:r w:rsidR="00FE0687">
              <w:noBreakHyphen/>
            </w:r>
            <w:r w:rsidRPr="000C026C">
              <w:t>term sustainability outcomes during operation</w:t>
            </w:r>
          </w:p>
        </w:tc>
        <w:tc>
          <w:tcPr>
            <w:tcW w:w="2605" w:type="dxa"/>
            <w:shd w:val="clear" w:color="auto" w:fill="FFF2CA" w:themeFill="accent6" w:themeFillTint="33"/>
          </w:tcPr>
          <w:p w14:paraId="4511626B" w14:textId="50937301" w:rsidR="00601819" w:rsidRPr="000C026C" w:rsidRDefault="00601819" w:rsidP="00601819">
            <w:pPr>
              <w:pStyle w:val="Tabletext"/>
            </w:pPr>
            <w:r w:rsidRPr="000C026C">
              <w:t>Approach incentivises tenderers to exceed contractual requirements for sustainability outcomes</w:t>
            </w:r>
          </w:p>
        </w:tc>
      </w:tr>
      <w:tr w:rsidR="00601819" w:rsidRPr="007E6C2A" w14:paraId="160C3F4B" w14:textId="77777777" w:rsidTr="00A16A0B">
        <w:trPr>
          <w:cantSplit/>
          <w:trHeight w:val="433"/>
        </w:trPr>
        <w:tc>
          <w:tcPr>
            <w:tcW w:w="1261" w:type="dxa"/>
            <w:shd w:val="clear" w:color="auto" w:fill="F2F2F2" w:themeFill="background1" w:themeFillShade="F2"/>
          </w:tcPr>
          <w:p w14:paraId="3765CCB0" w14:textId="4677E3B9" w:rsidR="00601819" w:rsidRPr="000C026C" w:rsidRDefault="00601819" w:rsidP="00601819">
            <w:pPr>
              <w:pStyle w:val="Tabletext"/>
            </w:pPr>
            <w:r w:rsidRPr="000C026C">
              <w:lastRenderedPageBreak/>
              <w:t xml:space="preserve">Rating </w:t>
            </w:r>
            <w:r w:rsidR="00624172" w:rsidRPr="000C026C">
              <w:t>tools</w:t>
            </w:r>
          </w:p>
        </w:tc>
        <w:tc>
          <w:tcPr>
            <w:tcW w:w="2774" w:type="dxa"/>
            <w:shd w:val="clear" w:color="auto" w:fill="FFDAC7" w:themeFill="accent5" w:themeFillTint="33"/>
          </w:tcPr>
          <w:p w14:paraId="576A5B3F" w14:textId="5B369667" w:rsidR="00601819" w:rsidRPr="000C026C" w:rsidRDefault="00601819" w:rsidP="00601819">
            <w:pPr>
              <w:pStyle w:val="Tabletext"/>
            </w:pPr>
            <w:r w:rsidRPr="000C026C">
              <w:t>Sustainability rating tools are selected based on agency requirements</w:t>
            </w:r>
          </w:p>
        </w:tc>
        <w:tc>
          <w:tcPr>
            <w:tcW w:w="2435" w:type="dxa"/>
            <w:shd w:val="clear" w:color="auto" w:fill="BCFFFC" w:themeFill="accent3" w:themeFillTint="33"/>
          </w:tcPr>
          <w:p w14:paraId="263B5B87" w14:textId="5834E407" w:rsidR="00601819" w:rsidRPr="000C026C" w:rsidRDefault="00601819" w:rsidP="00601819">
            <w:pPr>
              <w:pStyle w:val="Tabletext"/>
            </w:pPr>
            <w:r w:rsidRPr="000C026C">
              <w:t>The use of a sustainability rating tool and appropriate targets are based on the specific sustainability outcomes applicable to the project context</w:t>
            </w:r>
          </w:p>
        </w:tc>
        <w:tc>
          <w:tcPr>
            <w:tcW w:w="2605" w:type="dxa"/>
            <w:shd w:val="clear" w:color="auto" w:fill="FFF2CA" w:themeFill="accent6" w:themeFillTint="33"/>
          </w:tcPr>
          <w:p w14:paraId="4E330323" w14:textId="77777777" w:rsidR="00601819" w:rsidRPr="000C026C" w:rsidRDefault="00601819" w:rsidP="00601819">
            <w:pPr>
              <w:pStyle w:val="Tabletext"/>
            </w:pPr>
          </w:p>
        </w:tc>
      </w:tr>
      <w:tr w:rsidR="00601819" w:rsidRPr="007E6C2A" w14:paraId="5FEDB47F" w14:textId="77777777" w:rsidTr="00A16A0B">
        <w:trPr>
          <w:cantSplit/>
          <w:trHeight w:val="433"/>
        </w:trPr>
        <w:tc>
          <w:tcPr>
            <w:tcW w:w="1261" w:type="dxa"/>
            <w:shd w:val="clear" w:color="auto" w:fill="F2F2F2" w:themeFill="background1" w:themeFillShade="F2"/>
          </w:tcPr>
          <w:p w14:paraId="14F5285A" w14:textId="3D324AEC" w:rsidR="00601819" w:rsidRPr="000C026C" w:rsidRDefault="00601819" w:rsidP="00601819">
            <w:pPr>
              <w:pStyle w:val="Tabletext"/>
            </w:pPr>
            <w:r w:rsidRPr="000C026C">
              <w:t>Accountability</w:t>
            </w:r>
          </w:p>
        </w:tc>
        <w:tc>
          <w:tcPr>
            <w:tcW w:w="2774" w:type="dxa"/>
            <w:shd w:val="clear" w:color="auto" w:fill="FFDAC7" w:themeFill="accent5" w:themeFillTint="33"/>
          </w:tcPr>
          <w:p w14:paraId="1C19C403" w14:textId="4D7110F5" w:rsidR="00601819" w:rsidRPr="000C026C" w:rsidRDefault="00601819" w:rsidP="00601819">
            <w:pPr>
              <w:pStyle w:val="Tabletext"/>
            </w:pPr>
            <w:r w:rsidRPr="000C026C">
              <w:t>Project owners ensure project team has responsibility for sustainability outcomes</w:t>
            </w:r>
          </w:p>
        </w:tc>
        <w:tc>
          <w:tcPr>
            <w:tcW w:w="2435" w:type="dxa"/>
            <w:shd w:val="clear" w:color="auto" w:fill="BCFFFC" w:themeFill="accent3" w:themeFillTint="33"/>
          </w:tcPr>
          <w:p w14:paraId="23816D3A" w14:textId="05A45CF3" w:rsidR="00601819" w:rsidRPr="000C026C" w:rsidRDefault="00601819" w:rsidP="00601819">
            <w:pPr>
              <w:pStyle w:val="Tabletext"/>
            </w:pPr>
            <w:r w:rsidRPr="000C026C">
              <w:t>Project governance structure identifies responsibility for sustainability outcomes</w:t>
            </w:r>
          </w:p>
        </w:tc>
        <w:tc>
          <w:tcPr>
            <w:tcW w:w="2605" w:type="dxa"/>
            <w:shd w:val="clear" w:color="auto" w:fill="FFF2CA" w:themeFill="accent6" w:themeFillTint="33"/>
          </w:tcPr>
          <w:p w14:paraId="3747FE25" w14:textId="2E94598C" w:rsidR="00601819" w:rsidRPr="000C026C" w:rsidRDefault="00601819" w:rsidP="00601819">
            <w:pPr>
              <w:pStyle w:val="Tabletext"/>
            </w:pPr>
            <w:r w:rsidRPr="000C026C">
              <w:t xml:space="preserve">Personnel that defined sustainability outcomes in the </w:t>
            </w:r>
            <w:r w:rsidR="007E3177">
              <w:t>p</w:t>
            </w:r>
            <w:r w:rsidR="007E3177" w:rsidRPr="000C026C">
              <w:t xml:space="preserve">rocurement </w:t>
            </w:r>
            <w:r w:rsidRPr="000C026C">
              <w:t>stage are responsible for implementation</w:t>
            </w:r>
          </w:p>
        </w:tc>
      </w:tr>
      <w:tr w:rsidR="00601819" w:rsidRPr="007E6C2A" w14:paraId="26CDF71D" w14:textId="77777777" w:rsidTr="00A16A0B">
        <w:trPr>
          <w:cantSplit/>
          <w:trHeight w:val="433"/>
        </w:trPr>
        <w:tc>
          <w:tcPr>
            <w:tcW w:w="1261" w:type="dxa"/>
            <w:shd w:val="clear" w:color="auto" w:fill="F2F2F2" w:themeFill="background1" w:themeFillShade="F2"/>
          </w:tcPr>
          <w:p w14:paraId="3790F54F" w14:textId="468DD612" w:rsidR="00601819" w:rsidRPr="000C026C" w:rsidRDefault="00601819" w:rsidP="00601819">
            <w:pPr>
              <w:pStyle w:val="Tabletext"/>
            </w:pPr>
            <w:r w:rsidRPr="000C026C">
              <w:t>Monitoring and reporting</w:t>
            </w:r>
          </w:p>
        </w:tc>
        <w:tc>
          <w:tcPr>
            <w:tcW w:w="2774" w:type="dxa"/>
            <w:shd w:val="clear" w:color="auto" w:fill="FFDAC7" w:themeFill="accent5" w:themeFillTint="33"/>
          </w:tcPr>
          <w:p w14:paraId="4F1FA71F" w14:textId="4A5A55C4" w:rsidR="00601819" w:rsidRPr="000C026C" w:rsidRDefault="00601819" w:rsidP="00601819">
            <w:pPr>
              <w:pStyle w:val="Tabletext"/>
            </w:pPr>
            <w:r w:rsidRPr="000C026C">
              <w:t>Sustainability outcomes are tracked and reported</w:t>
            </w:r>
          </w:p>
        </w:tc>
        <w:tc>
          <w:tcPr>
            <w:tcW w:w="2435" w:type="dxa"/>
            <w:shd w:val="clear" w:color="auto" w:fill="BCFFFC" w:themeFill="accent3" w:themeFillTint="33"/>
          </w:tcPr>
          <w:p w14:paraId="0C5B3EC9" w14:textId="06992942" w:rsidR="00601819" w:rsidRPr="000C026C" w:rsidRDefault="00601819" w:rsidP="00601819">
            <w:pPr>
              <w:pStyle w:val="Tabletext"/>
            </w:pPr>
            <w:r w:rsidRPr="000C026C">
              <w:t>Projected operational sustainability performance of the asset is monitored throughout project delivery (including detailed design)</w:t>
            </w:r>
          </w:p>
        </w:tc>
        <w:tc>
          <w:tcPr>
            <w:tcW w:w="2605" w:type="dxa"/>
            <w:shd w:val="clear" w:color="auto" w:fill="FFF2CA" w:themeFill="accent6" w:themeFillTint="33"/>
          </w:tcPr>
          <w:p w14:paraId="2384556D" w14:textId="3CD06F6A" w:rsidR="00601819" w:rsidRPr="000C026C" w:rsidRDefault="00601819" w:rsidP="00601819">
            <w:pPr>
              <w:pStyle w:val="Tabletext"/>
            </w:pPr>
            <w:r w:rsidRPr="000C026C">
              <w:t>Ongoing oversight of contractor includes sustainability metrics in reporting</w:t>
            </w:r>
          </w:p>
        </w:tc>
      </w:tr>
      <w:tr w:rsidR="00601819" w:rsidRPr="007E6C2A" w14:paraId="4E6CBE69" w14:textId="77777777" w:rsidTr="00A16A0B">
        <w:trPr>
          <w:cantSplit/>
          <w:trHeight w:val="433"/>
        </w:trPr>
        <w:tc>
          <w:tcPr>
            <w:tcW w:w="1261" w:type="dxa"/>
            <w:shd w:val="clear" w:color="auto" w:fill="F2F2F2" w:themeFill="background1" w:themeFillShade="F2"/>
          </w:tcPr>
          <w:p w14:paraId="1B1AE2AD" w14:textId="3CD1A700" w:rsidR="00601819" w:rsidRPr="000C026C" w:rsidRDefault="00601819" w:rsidP="00601819">
            <w:pPr>
              <w:pStyle w:val="Tabletext"/>
            </w:pPr>
            <w:r w:rsidRPr="000C026C">
              <w:t>Handover</w:t>
            </w:r>
          </w:p>
        </w:tc>
        <w:tc>
          <w:tcPr>
            <w:tcW w:w="2774" w:type="dxa"/>
            <w:shd w:val="clear" w:color="auto" w:fill="FFDAC7" w:themeFill="accent5" w:themeFillTint="33"/>
          </w:tcPr>
          <w:p w14:paraId="52007135" w14:textId="77777777" w:rsidR="00601819" w:rsidRDefault="00601819" w:rsidP="00601819">
            <w:pPr>
              <w:pStyle w:val="Tabletext"/>
            </w:pPr>
            <w:r w:rsidRPr="000C026C">
              <w:t>Operational requirements relevant to sustainability are documented with new accountabilities established</w:t>
            </w:r>
          </w:p>
          <w:p w14:paraId="7176D4B2" w14:textId="7603DFA8" w:rsidR="00601819" w:rsidRPr="000C026C" w:rsidRDefault="00601819" w:rsidP="00601819">
            <w:pPr>
              <w:pStyle w:val="Tabletext"/>
            </w:pPr>
            <w:r>
              <w:t>Handover includes digital as</w:t>
            </w:r>
            <w:r>
              <w:noBreakHyphen/>
              <w:t>built assets in required format</w:t>
            </w:r>
          </w:p>
        </w:tc>
        <w:tc>
          <w:tcPr>
            <w:tcW w:w="2435" w:type="dxa"/>
            <w:shd w:val="clear" w:color="auto" w:fill="BCFFFC" w:themeFill="accent3" w:themeFillTint="33"/>
          </w:tcPr>
          <w:p w14:paraId="76CAA64C" w14:textId="0DA83555" w:rsidR="00601819" w:rsidRPr="000C026C" w:rsidRDefault="00601819" w:rsidP="00601819">
            <w:pPr>
              <w:pStyle w:val="Tabletext"/>
            </w:pPr>
            <w:r>
              <w:t xml:space="preserve">Rating tool certification </w:t>
            </w:r>
          </w:p>
        </w:tc>
        <w:tc>
          <w:tcPr>
            <w:tcW w:w="2605" w:type="dxa"/>
            <w:shd w:val="clear" w:color="auto" w:fill="FFF2CA" w:themeFill="accent6" w:themeFillTint="33"/>
          </w:tcPr>
          <w:p w14:paraId="575AB8B4" w14:textId="77777777" w:rsidR="00601819" w:rsidRPr="000C026C" w:rsidRDefault="00601819" w:rsidP="00601819">
            <w:pPr>
              <w:pStyle w:val="Tabletext"/>
            </w:pPr>
          </w:p>
        </w:tc>
      </w:tr>
    </w:tbl>
    <w:p w14:paraId="70C50EBB" w14:textId="6F79D286" w:rsidR="00A87932" w:rsidRDefault="00A87932" w:rsidP="00F00708">
      <w:pPr>
        <w:pStyle w:val="Spacer"/>
      </w:pPr>
    </w:p>
    <w:p w14:paraId="12E46FA8" w14:textId="77777777" w:rsidR="00A97913" w:rsidRDefault="00A97913" w:rsidP="00A80DF4">
      <w:pPr>
        <w:pStyle w:val="Heading1numbered"/>
      </w:pPr>
      <w:bookmarkStart w:id="76" w:name="_Toc68769280"/>
      <w:bookmarkStart w:id="77" w:name="_Toc117258703"/>
      <w:r w:rsidRPr="00A80DF4">
        <w:t>Implementing</w:t>
      </w:r>
      <w:r>
        <w:t xml:space="preserve"> sustainable investment</w:t>
      </w:r>
      <w:bookmarkEnd w:id="76"/>
      <w:bookmarkEnd w:id="77"/>
    </w:p>
    <w:p w14:paraId="609C2DBC" w14:textId="77777777" w:rsidR="00A97913" w:rsidRDefault="00A97913" w:rsidP="00A97913">
      <w:r>
        <w:t xml:space="preserve">When implementing sustainable investment throughout the DTF Investment Lifecycle, the sustainable investment themes should be considered in the context of government priorities and legislation (such as the requirements of the </w:t>
      </w:r>
      <w:r w:rsidRPr="00F101A9">
        <w:rPr>
          <w:i/>
          <w:iCs/>
        </w:rPr>
        <w:t>Climate Change Act 2017</w:t>
      </w:r>
      <w:r>
        <w:t>), project objectives and good project management practice. Users of this SIG are encouraged to:</w:t>
      </w:r>
    </w:p>
    <w:p w14:paraId="62937DDB" w14:textId="77777777" w:rsidR="00A97913" w:rsidRDefault="00A97913" w:rsidP="00A97913">
      <w:pPr>
        <w:pStyle w:val="Bullet1"/>
      </w:pPr>
      <w:r>
        <w:t>Invest adequate planning, expertise, resources and thought into the front end of investment planning (including option development and concept design during the business case development stage) to increase the likelihood of identifying and achieving desirable project outcomes and minimise risks and issues.</w:t>
      </w:r>
    </w:p>
    <w:p w14:paraId="4F501E5D" w14:textId="77777777" w:rsidR="00A97913" w:rsidRDefault="00A97913" w:rsidP="00A97913">
      <w:pPr>
        <w:pStyle w:val="Bullet1"/>
      </w:pPr>
      <w:r>
        <w:t>Contact their agency’s sustainability team or lead to check for any specific guidance or requirements; and consider how to overcome the challenges in achieving improved sustainable investment outcomes, such as:</w:t>
      </w:r>
    </w:p>
    <w:p w14:paraId="4FA9AD87" w14:textId="77777777" w:rsidR="00A97913" w:rsidRDefault="00A97913" w:rsidP="00A97913">
      <w:pPr>
        <w:pStyle w:val="Bullet2"/>
      </w:pPr>
      <w:r w:rsidRPr="009F6668">
        <w:rPr>
          <w:b/>
          <w:bCs/>
        </w:rPr>
        <w:lastRenderedPageBreak/>
        <w:t>Perceptions</w:t>
      </w:r>
      <w:r>
        <w:rPr>
          <w:b/>
        </w:rPr>
        <w:t xml:space="preserve"> </w:t>
      </w:r>
      <w:r w:rsidRPr="00AA0AA9">
        <w:rPr>
          <w:b/>
        </w:rPr>
        <w:t>(justified or not</w:t>
      </w:r>
      <w:r w:rsidRPr="00AA0AA9">
        <w:rPr>
          <w:b/>
          <w:bCs/>
        </w:rPr>
        <w:t>)</w:t>
      </w:r>
      <w:r>
        <w:t>: that higher upfront costs make some sustainable investments uncompetitive compared with more traditional investments even if overall costs are lower across the lifecycle, especially when considering the assets operations phase.</w:t>
      </w:r>
    </w:p>
    <w:p w14:paraId="3B72E26B" w14:textId="77777777" w:rsidR="00A97913" w:rsidRDefault="00A97913" w:rsidP="00A97913">
      <w:pPr>
        <w:pStyle w:val="Bullet2"/>
      </w:pPr>
      <w:r w:rsidRPr="009F6668">
        <w:rPr>
          <w:b/>
          <w:bCs/>
        </w:rPr>
        <w:t>Risk aversion</w:t>
      </w:r>
      <w:r>
        <w:t>: innovative practices, materials or systems may be seen as too risky.</w:t>
      </w:r>
    </w:p>
    <w:p w14:paraId="4164FC8F" w14:textId="2DBCF6CD" w:rsidR="00A97913" w:rsidRDefault="00A97913" w:rsidP="00A97913">
      <w:pPr>
        <w:pStyle w:val="Bullet2"/>
      </w:pPr>
      <w:r>
        <w:rPr>
          <w:b/>
        </w:rPr>
        <w:t>Service</w:t>
      </w:r>
      <w:r w:rsidRPr="00AA0AA9">
        <w:rPr>
          <w:b/>
        </w:rPr>
        <w:t xml:space="preserve"> change</w:t>
      </w:r>
      <w:r>
        <w:t xml:space="preserve"> (rather than a new asset or development) may not conform to expected ways of dealing with a problem and may require a precinct or cross</w:t>
      </w:r>
      <w:r w:rsidR="00601819">
        <w:noBreakHyphen/>
      </w:r>
      <w:r>
        <w:t>departmental approach.</w:t>
      </w:r>
    </w:p>
    <w:p w14:paraId="5A39E40C" w14:textId="77777777" w:rsidR="00A97913" w:rsidRDefault="00A97913" w:rsidP="00A97913">
      <w:pPr>
        <w:pStyle w:val="Bullet1"/>
      </w:pPr>
      <w:r>
        <w:t>Carry out a materiality assessment across the proposed themes and, if required, incorporate additional relevant themes.</w:t>
      </w:r>
    </w:p>
    <w:p w14:paraId="79EE81FD" w14:textId="77777777" w:rsidR="00A97913" w:rsidRDefault="00A97913" w:rsidP="00A80DF4">
      <w:r>
        <w:t xml:space="preserve">The materiality assessment should be undertaken in consultation with project stakeholders, which will assist to evaluate scope, </w:t>
      </w:r>
      <w:proofErr w:type="gramStart"/>
      <w:r>
        <w:t>costs</w:t>
      </w:r>
      <w:proofErr w:type="gramEnd"/>
      <w:r>
        <w:t xml:space="preserve"> and benefits. The following assessment process has been adapted from </w:t>
      </w:r>
      <w:r w:rsidRPr="00FE0687">
        <w:t>ISO 20400</w:t>
      </w:r>
      <w:r w:rsidRPr="007B7F61">
        <w:rPr>
          <w:i/>
          <w:iCs/>
        </w:rPr>
        <w:t xml:space="preserve"> Sustainable Procurement</w:t>
      </w:r>
      <w:r>
        <w:t xml:space="preserve"> and is intended to provide an example of the issues which users of these guidelines may consider: </w:t>
      </w:r>
    </w:p>
    <w:p w14:paraId="1B7E6D72" w14:textId="77777777" w:rsidR="007B7F61" w:rsidRDefault="007B7F61" w:rsidP="00624172">
      <w:pPr>
        <w:pStyle w:val="Listnum"/>
        <w:numPr>
          <w:ilvl w:val="0"/>
          <w:numId w:val="35"/>
        </w:numPr>
        <w:tabs>
          <w:tab w:val="clear" w:pos="360"/>
          <w:tab w:val="num" w:pos="540"/>
        </w:tabs>
        <w:ind w:left="547" w:hanging="547"/>
      </w:pPr>
      <w:r w:rsidRPr="00A80DF4">
        <w:rPr>
          <w:b/>
          <w:bCs/>
        </w:rPr>
        <w:t>Relevance</w:t>
      </w:r>
      <w:r>
        <w:t xml:space="preserve">: Analyse the extent to which the </w:t>
      </w:r>
      <w:r w:rsidRPr="009B4BA2">
        <w:t>sustainable investment</w:t>
      </w:r>
      <w:r>
        <w:t xml:space="preserve"> theme is relevant to the project, determined by factors such as: </w:t>
      </w:r>
    </w:p>
    <w:p w14:paraId="5C39743F" w14:textId="667E398F" w:rsidR="007B7F61" w:rsidRDefault="00624172" w:rsidP="007B7F61">
      <w:pPr>
        <w:pStyle w:val="Bulletindent"/>
      </w:pPr>
      <w:r>
        <w:t xml:space="preserve">connection </w:t>
      </w:r>
      <w:r w:rsidR="007B7F61">
        <w:t>with core activities</w:t>
      </w:r>
    </w:p>
    <w:p w14:paraId="232D79D1" w14:textId="69A9DEC6" w:rsidR="007B7F61" w:rsidRDefault="00624172" w:rsidP="007B7F61">
      <w:pPr>
        <w:pStyle w:val="Bulletindent"/>
      </w:pPr>
      <w:r>
        <w:t xml:space="preserve">linkage </w:t>
      </w:r>
      <w:r w:rsidR="007B7F61">
        <w:t>to legislation, regulations and agency or state policy</w:t>
      </w:r>
    </w:p>
    <w:p w14:paraId="22A7141B" w14:textId="482666F2" w:rsidR="007B7F61" w:rsidRDefault="00624172" w:rsidP="007B7F61">
      <w:pPr>
        <w:pStyle w:val="Bulletindent"/>
      </w:pPr>
      <w:r>
        <w:t>product</w:t>
      </w:r>
      <w:r w:rsidR="007B7F61">
        <w:t>/material selection, materials intensity and whole of life energy consumption</w:t>
      </w:r>
    </w:p>
    <w:p w14:paraId="7EBB06BA" w14:textId="1504A8BE" w:rsidR="007B7F61" w:rsidRDefault="00624172" w:rsidP="007B7F61">
      <w:pPr>
        <w:pStyle w:val="Bulletindent"/>
      </w:pPr>
      <w:r>
        <w:t xml:space="preserve">activities </w:t>
      </w:r>
      <w:r w:rsidR="007B7F61">
        <w:t xml:space="preserve">in supply chains or within the agency’s sphere of influence. </w:t>
      </w:r>
    </w:p>
    <w:p w14:paraId="67FE133E" w14:textId="77777777" w:rsidR="007B7F61" w:rsidRDefault="007B7F61" w:rsidP="00624172">
      <w:pPr>
        <w:pStyle w:val="Listnum"/>
        <w:tabs>
          <w:tab w:val="clear" w:pos="360"/>
          <w:tab w:val="num" w:pos="540"/>
        </w:tabs>
        <w:ind w:left="547" w:hanging="547"/>
      </w:pPr>
      <w:r w:rsidRPr="00CE731E">
        <w:rPr>
          <w:b/>
          <w:bCs/>
        </w:rPr>
        <w:t>Significance</w:t>
      </w:r>
      <w:r>
        <w:t xml:space="preserve">: Analyse which relevant sustainability issues are most impacted by the activities and decisions of the project, determined by factors such as: </w:t>
      </w:r>
    </w:p>
    <w:p w14:paraId="19350D2A" w14:textId="00968962" w:rsidR="007B7F61" w:rsidRDefault="00624172" w:rsidP="007B7F61">
      <w:pPr>
        <w:pStyle w:val="Bulletindent"/>
      </w:pPr>
      <w:r>
        <w:t xml:space="preserve">severity </w:t>
      </w:r>
      <w:r w:rsidR="007B7F61">
        <w:t xml:space="preserve">of adverse sustainability impacts linked to their intensity, frequency of occurrence, and distribution </w:t>
      </w:r>
    </w:p>
    <w:p w14:paraId="2346BD5B" w14:textId="7A836803" w:rsidR="007B7F61" w:rsidRDefault="00624172" w:rsidP="007B7F61">
      <w:pPr>
        <w:pStyle w:val="Bulletindent"/>
      </w:pPr>
      <w:r>
        <w:t xml:space="preserve">potential </w:t>
      </w:r>
      <w:r w:rsidR="007B7F61">
        <w:t>effect on stakeholders and the environment of acting or failing to act</w:t>
      </w:r>
    </w:p>
    <w:p w14:paraId="6BDB0F44" w14:textId="6DED7401" w:rsidR="007B7F61" w:rsidRDefault="00624172" w:rsidP="007B7F61">
      <w:pPr>
        <w:pStyle w:val="Bulletindent"/>
      </w:pPr>
      <w:r>
        <w:t xml:space="preserve">societal </w:t>
      </w:r>
      <w:r w:rsidR="007B7F61">
        <w:t xml:space="preserve">expectations of responsible behaviour and level of concern of stakeholders regarding the impacts. </w:t>
      </w:r>
    </w:p>
    <w:p w14:paraId="4DE5A148" w14:textId="77777777" w:rsidR="007B7F61" w:rsidRPr="007B7F61" w:rsidRDefault="007B7F61" w:rsidP="00624172">
      <w:pPr>
        <w:pStyle w:val="Listnum"/>
        <w:keepNext/>
        <w:tabs>
          <w:tab w:val="clear" w:pos="360"/>
          <w:tab w:val="num" w:pos="540"/>
        </w:tabs>
        <w:ind w:left="547" w:hanging="547"/>
        <w:rPr>
          <w:bCs/>
        </w:rPr>
      </w:pPr>
      <w:r w:rsidRPr="00CE731E">
        <w:rPr>
          <w:b/>
          <w:bCs/>
        </w:rPr>
        <w:t>Other considerations</w:t>
      </w:r>
      <w:r>
        <w:t xml:space="preserve"> that can help to prioritise relevant and significant sustainability issues, including:</w:t>
      </w:r>
      <w:r w:rsidRPr="00AA0AA9">
        <w:rPr>
          <w:b/>
        </w:rPr>
        <w:t xml:space="preserve"> </w:t>
      </w:r>
    </w:p>
    <w:p w14:paraId="7D69317A" w14:textId="374DC669" w:rsidR="007B7F61" w:rsidRDefault="00624172" w:rsidP="00624172">
      <w:pPr>
        <w:pStyle w:val="Bulletindent"/>
        <w:keepNext/>
      </w:pPr>
      <w:r>
        <w:t xml:space="preserve">potential </w:t>
      </w:r>
      <w:r w:rsidR="007B7F61">
        <w:t>trade</w:t>
      </w:r>
      <w:r w:rsidR="00601819">
        <w:noBreakHyphen/>
      </w:r>
      <w:r w:rsidR="007B7F61">
        <w:t xml:space="preserve">offs in optimising sustainable investment outcomes and achieving value for money (where </w:t>
      </w:r>
      <w:r w:rsidR="007B7F61" w:rsidRPr="009B2B67">
        <w:t xml:space="preserve">sustainability benefits across SITs </w:t>
      </w:r>
      <w:r w:rsidR="007B7F61">
        <w:t xml:space="preserve">are included </w:t>
      </w:r>
      <w:r w:rsidR="007B7F61" w:rsidRPr="009B2B67">
        <w:t>in determining project value for money</w:t>
      </w:r>
      <w:r w:rsidR="007B7F61">
        <w:t xml:space="preserve">) </w:t>
      </w:r>
    </w:p>
    <w:p w14:paraId="479C0BDB" w14:textId="033B6157" w:rsidR="007B7F61" w:rsidRDefault="00624172" w:rsidP="00624172">
      <w:pPr>
        <w:pStyle w:val="Bulletindent"/>
        <w:keepNext/>
      </w:pPr>
      <w:r>
        <w:t xml:space="preserve">the </w:t>
      </w:r>
      <w:r w:rsidR="007B7F61">
        <w:t>estimated effort needed to achieve the required result</w:t>
      </w:r>
    </w:p>
    <w:p w14:paraId="487FB82F" w14:textId="7047D95C" w:rsidR="007B7F61" w:rsidRDefault="00624172" w:rsidP="007B7F61">
      <w:pPr>
        <w:pStyle w:val="Bulletindent"/>
      </w:pPr>
      <w:r>
        <w:t xml:space="preserve">legal </w:t>
      </w:r>
      <w:r w:rsidR="007B7F61">
        <w:t>and policy compliance</w:t>
      </w:r>
      <w:r w:rsidR="007B7F61" w:rsidRPr="00873D7B">
        <w:t xml:space="preserve"> </w:t>
      </w:r>
      <w:r w:rsidR="007B7F61">
        <w:t>performance, international standards, international norms of behaviour, best practices</w:t>
      </w:r>
    </w:p>
    <w:p w14:paraId="66C9C4EE" w14:textId="76FE2EC6" w:rsidR="007B7F61" w:rsidRDefault="00624172" w:rsidP="007B7F61">
      <w:pPr>
        <w:pStyle w:val="Bulletindent"/>
      </w:pPr>
      <w:r>
        <w:t xml:space="preserve">contribution </w:t>
      </w:r>
      <w:r w:rsidR="007B7F61">
        <w:t xml:space="preserve">to agency policy and objectives. </w:t>
      </w:r>
    </w:p>
    <w:p w14:paraId="28B43F7C" w14:textId="77777777" w:rsidR="007B7F61" w:rsidRDefault="007B7F61" w:rsidP="00A80DF4">
      <w:pPr>
        <w:pStyle w:val="Heading2numbered"/>
      </w:pPr>
      <w:bookmarkStart w:id="78" w:name="_Toc68769281"/>
      <w:bookmarkStart w:id="79" w:name="_Toc117258704"/>
      <w:bookmarkStart w:id="80" w:name="_Toc36122801"/>
      <w:bookmarkStart w:id="81" w:name="_Toc36841474"/>
      <w:bookmarkStart w:id="82" w:name="_Ref45190023"/>
      <w:r>
        <w:lastRenderedPageBreak/>
        <w:t>Business case</w:t>
      </w:r>
      <w:bookmarkEnd w:id="78"/>
      <w:bookmarkEnd w:id="79"/>
    </w:p>
    <w:bookmarkEnd w:id="80"/>
    <w:bookmarkEnd w:id="81"/>
    <w:bookmarkEnd w:id="82"/>
    <w:p w14:paraId="25F436EA" w14:textId="4DEBE3AD" w:rsidR="007B7F61" w:rsidRDefault="007B7F61" w:rsidP="007B7F61">
      <w:r w:rsidRPr="00830646">
        <w:rPr>
          <w:lang w:eastAsia="en-US"/>
        </w:rPr>
        <w:t>The Investment Lifecycle Guidelines provide</w:t>
      </w:r>
      <w:r>
        <w:rPr>
          <w:lang w:eastAsia="en-US"/>
        </w:rPr>
        <w:t xml:space="preserve"> direction on best practice for investment project business case development.</w:t>
      </w:r>
      <w:r>
        <w:t xml:space="preserve"> Before committing to the sustainability aspects for a specific investment, decision</w:t>
      </w:r>
      <w:r w:rsidR="00B45FD0">
        <w:t xml:space="preserve"> </w:t>
      </w:r>
      <w:r>
        <w:t xml:space="preserve">makers need to be confident that the proposed investment </w:t>
      </w:r>
      <w:proofErr w:type="gramStart"/>
      <w:r w:rsidR="00B45FD0">
        <w:t xml:space="preserve">represents </w:t>
      </w:r>
      <w:r>
        <w:t xml:space="preserve"> value</w:t>
      </w:r>
      <w:proofErr w:type="gramEnd"/>
      <w:r>
        <w:t xml:space="preserve"> for money,</w:t>
      </w:r>
      <w:r w:rsidRPr="0089447A">
        <w:t xml:space="preserve"> </w:t>
      </w:r>
      <w:r w:rsidRPr="00C633DB">
        <w:t>through consideration of</w:t>
      </w:r>
      <w:r w:rsidRPr="009B2B67">
        <w:t xml:space="preserve"> factors</w:t>
      </w:r>
      <w:r w:rsidRPr="00C633DB">
        <w:t xml:space="preserve"> such as</w:t>
      </w:r>
      <w:r>
        <w:t xml:space="preserve"> </w:t>
      </w:r>
      <w:r w:rsidRPr="0089447A">
        <w:t>environmental, social</w:t>
      </w:r>
      <w:r>
        <w:t>,</w:t>
      </w:r>
      <w:r w:rsidRPr="0089447A">
        <w:t xml:space="preserve"> and economic benefits for the community throughout all stages of the investment lifecycle</w:t>
      </w:r>
      <w:r>
        <w:t>. Sustainability aspects should be incorporated into both the investment and delivery case of the business case development:</w:t>
      </w:r>
    </w:p>
    <w:p w14:paraId="24EB71B2" w14:textId="77777777" w:rsidR="007B7F61" w:rsidRPr="007B7F61" w:rsidRDefault="007B7F61" w:rsidP="007B7F61">
      <w:pPr>
        <w:pStyle w:val="Numpara"/>
        <w:numPr>
          <w:ilvl w:val="0"/>
          <w:numId w:val="33"/>
        </w:numPr>
        <w:rPr>
          <w:sz w:val="22"/>
          <w:szCs w:val="22"/>
        </w:rPr>
      </w:pPr>
      <w:r w:rsidRPr="007B7F61">
        <w:rPr>
          <w:b/>
          <w:bCs/>
        </w:rPr>
        <w:t>Investment case:</w:t>
      </w:r>
      <w:r w:rsidRPr="00015FEC">
        <w:t xml:space="preserve"> </w:t>
      </w:r>
      <w:r w:rsidRPr="00C354C2">
        <w:t>confirms the problem definition and intended benefits</w:t>
      </w:r>
      <w:r w:rsidRPr="00015FEC">
        <w:t xml:space="preserve"> (most significant </w:t>
      </w:r>
      <w:r w:rsidRPr="009B2B67">
        <w:t>opportunity(</w:t>
      </w:r>
      <w:proofErr w:type="spellStart"/>
      <w:r w:rsidRPr="009B2B67">
        <w:t>ies</w:t>
      </w:r>
      <w:proofErr w:type="spellEnd"/>
      <w:r w:rsidRPr="009B2B67">
        <w:t>) for sustainable investment</w:t>
      </w:r>
      <w:r w:rsidRPr="00AB161D">
        <w:t>)</w:t>
      </w:r>
    </w:p>
    <w:p w14:paraId="77758676" w14:textId="77777777" w:rsidR="007B7F61" w:rsidRPr="00D06405" w:rsidRDefault="007B7F61" w:rsidP="007B7F61">
      <w:pPr>
        <w:pStyle w:val="Numpara"/>
      </w:pPr>
      <w:r w:rsidRPr="009B2B67">
        <w:rPr>
          <w:b/>
          <w:bCs/>
        </w:rPr>
        <w:t>Delivery case:</w:t>
      </w:r>
      <w:r w:rsidRPr="00C354C2">
        <w:t xml:space="preserve"> considers whether the project solution is feasible and deliverable</w:t>
      </w:r>
    </w:p>
    <w:p w14:paraId="72B46409" w14:textId="77777777" w:rsidR="007B7F61" w:rsidRDefault="007B7F61" w:rsidP="007B7F61">
      <w:pPr>
        <w:pStyle w:val="Heading3numbered"/>
      </w:pPr>
      <w:bookmarkStart w:id="83" w:name="_Toc53490235"/>
      <w:bookmarkStart w:id="84" w:name="_Toc53490420"/>
      <w:bookmarkStart w:id="85" w:name="_Toc68769282"/>
      <w:bookmarkEnd w:id="83"/>
      <w:bookmarkEnd w:id="84"/>
      <w:r>
        <w:t>Team capacity and capability</w:t>
      </w:r>
      <w:bookmarkEnd w:id="85"/>
    </w:p>
    <w:p w14:paraId="0D6EA130" w14:textId="77777777" w:rsidR="007B7F61" w:rsidRDefault="007B7F61" w:rsidP="007B7F61">
      <w:r>
        <w:t xml:space="preserve">It is crucial to the success of any investment project to ensure that the team has adequate skills and access to the required resources to develop the business case. Resources with sustainability expertise should be embedded within the project team early to assist with framing the problem and given appropriate authority to ensure that applicable environmental, social and economic benefits and requirements are </w:t>
      </w:r>
      <w:proofErr w:type="gramStart"/>
      <w:r>
        <w:t>considered;</w:t>
      </w:r>
      <w:proofErr w:type="gramEnd"/>
      <w:r>
        <w:t xml:space="preserve"> including rating tools, Social Procurement outcomes, and relevant climate change commitments.</w:t>
      </w:r>
    </w:p>
    <w:p w14:paraId="682A61E9" w14:textId="77777777" w:rsidR="007B7F61" w:rsidRPr="009B2B67" w:rsidRDefault="007B7F61" w:rsidP="007B7F61">
      <w:pPr>
        <w:pStyle w:val="Heading3numbered"/>
      </w:pPr>
      <w:bookmarkStart w:id="86" w:name="_Toc68769283"/>
      <w:r w:rsidRPr="009B2B67">
        <w:t>Sustainable investment target maturity level</w:t>
      </w:r>
      <w:bookmarkEnd w:id="86"/>
    </w:p>
    <w:p w14:paraId="3DA6DED0" w14:textId="1C97AD31" w:rsidR="007B7F61" w:rsidRDefault="007B7F61" w:rsidP="00624172">
      <w:pPr>
        <w:keepNext/>
      </w:pPr>
      <w:r w:rsidRPr="009B1D1E">
        <w:t>Application of the maturity models should be fit</w:t>
      </w:r>
      <w:r w:rsidR="00601819">
        <w:noBreakHyphen/>
      </w:r>
      <w:r w:rsidRPr="009B1D1E">
        <w:t>for</w:t>
      </w:r>
      <w:r w:rsidR="00601819">
        <w:noBreakHyphen/>
      </w:r>
      <w:r w:rsidRPr="009B1D1E">
        <w:t>purpose 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7D6B4C6F" w14:textId="67BC5875" w:rsidR="007B7F61" w:rsidRDefault="007B7F61" w:rsidP="007B7F61">
      <w:pPr>
        <w:pStyle w:val="Caption"/>
      </w:pPr>
      <w:bookmarkStart w:id="87" w:name="_Toc117258729"/>
      <w:r>
        <w:t xml:space="preserve">Table </w:t>
      </w:r>
      <w:r>
        <w:fldChar w:fldCharType="begin"/>
      </w:r>
      <w:r>
        <w:instrText>SEQ Table \* ARABIC</w:instrText>
      </w:r>
      <w:r>
        <w:fldChar w:fldCharType="separate"/>
      </w:r>
      <w:r w:rsidR="00FC7DAA">
        <w:rPr>
          <w:noProof/>
        </w:rPr>
        <w:t>8</w:t>
      </w:r>
      <w:r>
        <w:fldChar w:fldCharType="end"/>
      </w:r>
      <w:r>
        <w:t xml:space="preserve"> – </w:t>
      </w:r>
      <w:r w:rsidRPr="00DA1214">
        <w:t xml:space="preserve">Maturity in </w:t>
      </w:r>
      <w:r>
        <w:t>development of the project business case</w:t>
      </w:r>
      <w:bookmarkEnd w:id="87"/>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261"/>
        <w:gridCol w:w="2774"/>
        <w:gridCol w:w="2435"/>
        <w:gridCol w:w="2605"/>
      </w:tblGrid>
      <w:tr w:rsidR="007B7F61" w:rsidRPr="007B7F61" w14:paraId="7B23BD08" w14:textId="77777777" w:rsidTr="007B7F61">
        <w:trPr>
          <w:cantSplit/>
          <w:tblHeader/>
        </w:trPr>
        <w:tc>
          <w:tcPr>
            <w:tcW w:w="1261" w:type="dxa"/>
            <w:shd w:val="clear" w:color="auto" w:fill="auto"/>
          </w:tcPr>
          <w:p w14:paraId="65C2EF7C" w14:textId="77777777" w:rsidR="007B7F61" w:rsidRPr="007B7F61" w:rsidRDefault="007B7F61" w:rsidP="007B7F61">
            <w:pPr>
              <w:pStyle w:val="Tableheader"/>
              <w:rPr>
                <w:b/>
                <w:bCs/>
                <w:noProof/>
              </w:rPr>
            </w:pPr>
          </w:p>
        </w:tc>
        <w:tc>
          <w:tcPr>
            <w:tcW w:w="2774" w:type="dxa"/>
            <w:shd w:val="clear" w:color="auto" w:fill="E75300" w:themeFill="accent5"/>
            <w:vAlign w:val="center"/>
          </w:tcPr>
          <w:p w14:paraId="026A5CDD" w14:textId="77777777" w:rsidR="007B7F61" w:rsidRPr="007B7F61" w:rsidRDefault="007B7F61" w:rsidP="007B7F61">
            <w:pPr>
              <w:pStyle w:val="Tableheader"/>
              <w:rPr>
                <w:b/>
                <w:bCs/>
                <w:noProof/>
              </w:rPr>
            </w:pPr>
            <w:r w:rsidRPr="007B7F61">
              <w:rPr>
                <w:b/>
                <w:bCs/>
                <w:noProof/>
              </w:rPr>
              <w:t>DEFINED</w:t>
            </w:r>
          </w:p>
        </w:tc>
        <w:tc>
          <w:tcPr>
            <w:tcW w:w="2435" w:type="dxa"/>
            <w:shd w:val="clear" w:color="auto" w:fill="00AFAA" w:themeFill="accent3"/>
            <w:vAlign w:val="center"/>
          </w:tcPr>
          <w:p w14:paraId="45794494" w14:textId="77777777" w:rsidR="007B7F61" w:rsidRPr="007B7F61" w:rsidRDefault="007B7F61" w:rsidP="007B7F61">
            <w:pPr>
              <w:pStyle w:val="Tableheader"/>
              <w:rPr>
                <w:b/>
                <w:bCs/>
                <w:noProof/>
              </w:rPr>
            </w:pPr>
            <w:r w:rsidRPr="007B7F61">
              <w:rPr>
                <w:b/>
                <w:bCs/>
                <w:noProof/>
              </w:rPr>
              <w:t>MANAGED</w:t>
            </w:r>
          </w:p>
        </w:tc>
        <w:tc>
          <w:tcPr>
            <w:tcW w:w="2605" w:type="dxa"/>
            <w:shd w:val="clear" w:color="auto" w:fill="F9BE00" w:themeFill="accent6"/>
            <w:vAlign w:val="center"/>
          </w:tcPr>
          <w:p w14:paraId="5848C7BF" w14:textId="77777777" w:rsidR="007B7F61" w:rsidRPr="007B7F61" w:rsidRDefault="007B7F61" w:rsidP="007B7F61">
            <w:pPr>
              <w:pStyle w:val="Tableheader"/>
              <w:rPr>
                <w:b/>
                <w:bCs/>
                <w:noProof/>
              </w:rPr>
            </w:pPr>
            <w:r w:rsidRPr="007B7F61">
              <w:rPr>
                <w:b/>
                <w:bCs/>
                <w:noProof/>
              </w:rPr>
              <w:t>OPTIMISED</w:t>
            </w:r>
          </w:p>
        </w:tc>
      </w:tr>
      <w:tr w:rsidR="007B7F61" w:rsidRPr="007E6C2A" w14:paraId="1B3EC017" w14:textId="77777777" w:rsidTr="00860DB3">
        <w:trPr>
          <w:cantSplit/>
          <w:trHeight w:val="433"/>
        </w:trPr>
        <w:tc>
          <w:tcPr>
            <w:tcW w:w="1261" w:type="dxa"/>
            <w:shd w:val="clear" w:color="auto" w:fill="F2F2F2" w:themeFill="background1" w:themeFillShade="F2"/>
          </w:tcPr>
          <w:p w14:paraId="2517C329" w14:textId="6E9D0943" w:rsidR="007B7F61" w:rsidRPr="009B2B67" w:rsidRDefault="007B7F61" w:rsidP="00860DB3">
            <w:pPr>
              <w:pStyle w:val="Tabletext"/>
            </w:pPr>
            <w:r w:rsidRPr="000C026C">
              <w:t>Cost</w:t>
            </w:r>
            <w:r w:rsidR="00601819">
              <w:noBreakHyphen/>
            </w:r>
            <w:r w:rsidRPr="000C026C">
              <w:t>benefit analysis</w:t>
            </w:r>
          </w:p>
        </w:tc>
        <w:tc>
          <w:tcPr>
            <w:tcW w:w="2774" w:type="dxa"/>
            <w:shd w:val="clear" w:color="auto" w:fill="FFDAC7" w:themeFill="accent5" w:themeFillTint="33"/>
          </w:tcPr>
          <w:p w14:paraId="1BA6BB10" w14:textId="4AFE4E87" w:rsidR="007B7F61" w:rsidRPr="009B2B67" w:rsidRDefault="007B7F61" w:rsidP="00860DB3">
            <w:pPr>
              <w:pStyle w:val="Tabletext"/>
            </w:pPr>
            <w:r w:rsidRPr="009B2B67">
              <w:t xml:space="preserve">Consider sustainability benefits across </w:t>
            </w:r>
            <w:r w:rsidR="00B45FD0">
              <w:t>eight</w:t>
            </w:r>
            <w:r w:rsidR="00B45FD0" w:rsidRPr="009B2B67">
              <w:t xml:space="preserve"> </w:t>
            </w:r>
            <w:r w:rsidRPr="00860DB3">
              <w:t>SITs</w:t>
            </w:r>
            <w:r w:rsidRPr="009B2B67">
              <w:t xml:space="preserve"> in determining project value for money</w:t>
            </w:r>
          </w:p>
        </w:tc>
        <w:tc>
          <w:tcPr>
            <w:tcW w:w="2435" w:type="dxa"/>
            <w:shd w:val="clear" w:color="auto" w:fill="BCFFFC" w:themeFill="accent3" w:themeFillTint="33"/>
          </w:tcPr>
          <w:p w14:paraId="66630D02" w14:textId="3D2CA33C" w:rsidR="007B7F61" w:rsidRPr="009B2B67" w:rsidRDefault="007B7F61" w:rsidP="00860DB3">
            <w:pPr>
              <w:pStyle w:val="Tabletext"/>
            </w:pPr>
            <w:r w:rsidRPr="009B2B67">
              <w:t xml:space="preserve">Model </w:t>
            </w:r>
            <w:r w:rsidR="00860DB3" w:rsidRPr="009B2B67">
              <w:t>whole</w:t>
            </w:r>
            <w:r w:rsidR="00B45FD0">
              <w:t xml:space="preserve"> </w:t>
            </w:r>
            <w:r w:rsidR="00860DB3" w:rsidRPr="009B2B67">
              <w:t>of</w:t>
            </w:r>
            <w:r w:rsidR="00B45FD0">
              <w:t xml:space="preserve"> </w:t>
            </w:r>
            <w:r w:rsidR="00860DB3" w:rsidRPr="009B2B67">
              <w:t xml:space="preserve">life </w:t>
            </w:r>
            <w:r w:rsidRPr="009B2B67">
              <w:t>costs to justify sustainability benefits and value for money</w:t>
            </w:r>
          </w:p>
        </w:tc>
        <w:tc>
          <w:tcPr>
            <w:tcW w:w="2605" w:type="dxa"/>
            <w:shd w:val="clear" w:color="auto" w:fill="FFF2CA" w:themeFill="accent6" w:themeFillTint="33"/>
          </w:tcPr>
          <w:p w14:paraId="00F6E869" w14:textId="1F94CF84" w:rsidR="007B7F61" w:rsidRPr="009B2B67" w:rsidRDefault="007B7F61" w:rsidP="00860DB3">
            <w:pPr>
              <w:pStyle w:val="Tabletext"/>
            </w:pPr>
            <w:r w:rsidRPr="009B2B67">
              <w:t xml:space="preserve">Conduct </w:t>
            </w:r>
            <w:r w:rsidR="00860DB3" w:rsidRPr="009B2B67">
              <w:t xml:space="preserve">real options </w:t>
            </w:r>
            <w:r w:rsidRPr="009B2B67">
              <w:t>analysis to justify the project solution based on range of potential outcomes</w:t>
            </w:r>
          </w:p>
        </w:tc>
      </w:tr>
      <w:tr w:rsidR="007B7F61" w:rsidRPr="007E6C2A" w14:paraId="4A9921D0" w14:textId="77777777" w:rsidTr="007B7F61">
        <w:trPr>
          <w:cantSplit/>
          <w:trHeight w:val="433"/>
        </w:trPr>
        <w:tc>
          <w:tcPr>
            <w:tcW w:w="1261" w:type="dxa"/>
            <w:shd w:val="clear" w:color="auto" w:fill="F2F2F2" w:themeFill="background1" w:themeFillShade="F2"/>
          </w:tcPr>
          <w:p w14:paraId="515BF1D2" w14:textId="77777777" w:rsidR="007B7F61" w:rsidRPr="000C026C" w:rsidRDefault="007B7F61" w:rsidP="007B7F61">
            <w:pPr>
              <w:pStyle w:val="Tabletext"/>
            </w:pPr>
          </w:p>
        </w:tc>
        <w:tc>
          <w:tcPr>
            <w:tcW w:w="2774" w:type="dxa"/>
            <w:shd w:val="clear" w:color="auto" w:fill="FFDAC7" w:themeFill="accent5" w:themeFillTint="33"/>
          </w:tcPr>
          <w:p w14:paraId="4F58E4DC" w14:textId="77777777" w:rsidR="007B7F61" w:rsidRPr="009B2B67" w:rsidRDefault="007B7F61" w:rsidP="007B7F61">
            <w:pPr>
              <w:pStyle w:val="Tabletext"/>
            </w:pPr>
            <w:r w:rsidRPr="000C026C">
              <w:t xml:space="preserve">Budget is allocated to identify, develop, </w:t>
            </w:r>
            <w:proofErr w:type="gramStart"/>
            <w:r w:rsidRPr="000C026C">
              <w:t>design</w:t>
            </w:r>
            <w:proofErr w:type="gramEnd"/>
            <w:r w:rsidRPr="000C026C">
              <w:t xml:space="preserve"> and deliver sustainable outcomes</w:t>
            </w:r>
          </w:p>
        </w:tc>
        <w:tc>
          <w:tcPr>
            <w:tcW w:w="2435" w:type="dxa"/>
            <w:shd w:val="clear" w:color="auto" w:fill="BCFFFC" w:themeFill="accent3" w:themeFillTint="33"/>
          </w:tcPr>
          <w:p w14:paraId="2050ACBB" w14:textId="77777777" w:rsidR="007B7F61" w:rsidRPr="009B2B67" w:rsidRDefault="007B7F61" w:rsidP="007B7F61">
            <w:pPr>
              <w:pStyle w:val="Tabletext"/>
            </w:pPr>
            <w:r w:rsidRPr="000C026C">
              <w:t>Option evaluation considers emissions from construction and operation</w:t>
            </w:r>
          </w:p>
        </w:tc>
        <w:tc>
          <w:tcPr>
            <w:tcW w:w="2605" w:type="dxa"/>
            <w:shd w:val="clear" w:color="auto" w:fill="FFF2CA" w:themeFill="accent6" w:themeFillTint="33"/>
          </w:tcPr>
          <w:p w14:paraId="51FF4F7C" w14:textId="77777777" w:rsidR="007B7F61" w:rsidRPr="009B2B67" w:rsidRDefault="007B7F61" w:rsidP="007B7F61">
            <w:pPr>
              <w:pStyle w:val="Tabletext"/>
            </w:pPr>
            <w:r w:rsidRPr="000C026C">
              <w:t>Consider whether project objectives should include scope 3 emissions</w:t>
            </w:r>
          </w:p>
        </w:tc>
      </w:tr>
      <w:tr w:rsidR="007B7F61" w:rsidRPr="007E6C2A" w14:paraId="44E6C567" w14:textId="77777777" w:rsidTr="007B7F61">
        <w:trPr>
          <w:cantSplit/>
          <w:trHeight w:val="433"/>
        </w:trPr>
        <w:tc>
          <w:tcPr>
            <w:tcW w:w="1261" w:type="dxa"/>
            <w:shd w:val="clear" w:color="auto" w:fill="F2F2F2" w:themeFill="background1" w:themeFillShade="F2"/>
          </w:tcPr>
          <w:p w14:paraId="6FB2F343" w14:textId="77777777" w:rsidR="007B7F61" w:rsidRPr="000C026C" w:rsidRDefault="007B7F61" w:rsidP="007B7F61">
            <w:pPr>
              <w:pStyle w:val="Tabletext"/>
            </w:pPr>
          </w:p>
        </w:tc>
        <w:tc>
          <w:tcPr>
            <w:tcW w:w="2774" w:type="dxa"/>
            <w:shd w:val="clear" w:color="auto" w:fill="FFDAC7" w:themeFill="accent5" w:themeFillTint="33"/>
          </w:tcPr>
          <w:p w14:paraId="3F2B5537" w14:textId="77777777" w:rsidR="007B7F61" w:rsidRPr="000C026C" w:rsidRDefault="007B7F61" w:rsidP="007B7F61">
            <w:pPr>
              <w:pStyle w:val="Tabletext"/>
            </w:pPr>
            <w:r w:rsidRPr="000C026C">
              <w:t xml:space="preserve">Appropriate expertise is engaged early in problem, </w:t>
            </w:r>
            <w:proofErr w:type="gramStart"/>
            <w:r w:rsidRPr="000C026C">
              <w:t>options</w:t>
            </w:r>
            <w:proofErr w:type="gramEnd"/>
            <w:r w:rsidRPr="000C026C">
              <w:t xml:space="preserve"> and solutions development</w:t>
            </w:r>
          </w:p>
        </w:tc>
        <w:tc>
          <w:tcPr>
            <w:tcW w:w="2435" w:type="dxa"/>
            <w:shd w:val="clear" w:color="auto" w:fill="BCFFFC" w:themeFill="accent3" w:themeFillTint="33"/>
          </w:tcPr>
          <w:p w14:paraId="7C70ECD4" w14:textId="77777777" w:rsidR="007B7F61" w:rsidRPr="000C026C" w:rsidRDefault="007B7F61" w:rsidP="007B7F61">
            <w:pPr>
              <w:pStyle w:val="Tabletext"/>
            </w:pPr>
          </w:p>
        </w:tc>
        <w:tc>
          <w:tcPr>
            <w:tcW w:w="2605" w:type="dxa"/>
            <w:shd w:val="clear" w:color="auto" w:fill="FFF2CA" w:themeFill="accent6" w:themeFillTint="33"/>
          </w:tcPr>
          <w:p w14:paraId="133A76A8" w14:textId="77777777" w:rsidR="007B7F61" w:rsidRPr="000C026C" w:rsidRDefault="007B7F61" w:rsidP="007B7F61">
            <w:pPr>
              <w:pStyle w:val="Tabletext"/>
            </w:pPr>
            <w:r>
              <w:t>Innovation is scoped and costed with whole of life benefits considered, including impact on capacity and capability</w:t>
            </w:r>
          </w:p>
        </w:tc>
      </w:tr>
      <w:tr w:rsidR="007B7F61" w:rsidRPr="007E6C2A" w14:paraId="2E245127" w14:textId="77777777" w:rsidTr="007B7F61">
        <w:trPr>
          <w:cantSplit/>
          <w:trHeight w:val="433"/>
        </w:trPr>
        <w:tc>
          <w:tcPr>
            <w:tcW w:w="1261" w:type="dxa"/>
            <w:shd w:val="clear" w:color="auto" w:fill="F2F2F2" w:themeFill="background1" w:themeFillShade="F2"/>
          </w:tcPr>
          <w:p w14:paraId="642FC700" w14:textId="77777777" w:rsidR="007B7F61" w:rsidRPr="009B2B67" w:rsidRDefault="007B7F61" w:rsidP="007B7F61">
            <w:pPr>
              <w:pStyle w:val="Tabletext"/>
            </w:pPr>
            <w:r w:rsidRPr="000C026C">
              <w:lastRenderedPageBreak/>
              <w:t>Policy</w:t>
            </w:r>
          </w:p>
        </w:tc>
        <w:tc>
          <w:tcPr>
            <w:tcW w:w="2774" w:type="dxa"/>
            <w:shd w:val="clear" w:color="auto" w:fill="FFDAC7" w:themeFill="accent5" w:themeFillTint="33"/>
          </w:tcPr>
          <w:p w14:paraId="17F228E3" w14:textId="77777777" w:rsidR="007B7F61" w:rsidRDefault="007B7F61" w:rsidP="007B7F61">
            <w:pPr>
              <w:pStyle w:val="Tabletext"/>
            </w:pPr>
            <w:r w:rsidRPr="000C026C">
              <w:t>Expenditure on sustainability outcomes is linked to quantified benefits or policy requirements</w:t>
            </w:r>
            <w:r w:rsidRPr="009B2B67">
              <w:t xml:space="preserve"> </w:t>
            </w:r>
          </w:p>
          <w:p w14:paraId="401756CB" w14:textId="77777777" w:rsidR="007B7F61" w:rsidRPr="009B2B67" w:rsidRDefault="007B7F61" w:rsidP="007B7F61">
            <w:pPr>
              <w:pStyle w:val="Tabletext"/>
            </w:pPr>
            <w:r w:rsidRPr="009B2B67">
              <w:t xml:space="preserve">Meets climate pledge requirements </w:t>
            </w:r>
          </w:p>
        </w:tc>
        <w:tc>
          <w:tcPr>
            <w:tcW w:w="2435" w:type="dxa"/>
            <w:shd w:val="clear" w:color="auto" w:fill="BCFFFC" w:themeFill="accent3" w:themeFillTint="33"/>
          </w:tcPr>
          <w:p w14:paraId="5A698AC7" w14:textId="77777777" w:rsidR="007B7F61" w:rsidRPr="009B2B67" w:rsidRDefault="007B7F61" w:rsidP="007B7F61">
            <w:pPr>
              <w:pStyle w:val="Tabletext"/>
            </w:pPr>
          </w:p>
        </w:tc>
        <w:tc>
          <w:tcPr>
            <w:tcW w:w="2605" w:type="dxa"/>
            <w:shd w:val="clear" w:color="auto" w:fill="FFF2CA" w:themeFill="accent6" w:themeFillTint="33"/>
          </w:tcPr>
          <w:p w14:paraId="1DFDD6C0" w14:textId="77777777" w:rsidR="007B7F61" w:rsidRPr="009B2B67" w:rsidRDefault="007B7F61" w:rsidP="007B7F61">
            <w:pPr>
              <w:pStyle w:val="Tabletext"/>
            </w:pPr>
            <w:r w:rsidRPr="009B2B67">
              <w:t>Project considers and minimises scope 3 emissions</w:t>
            </w:r>
          </w:p>
        </w:tc>
      </w:tr>
      <w:tr w:rsidR="007B7F61" w:rsidRPr="007E6C2A" w14:paraId="4B141B54" w14:textId="77777777" w:rsidTr="007B7F61">
        <w:trPr>
          <w:cantSplit/>
          <w:trHeight w:val="960"/>
        </w:trPr>
        <w:tc>
          <w:tcPr>
            <w:tcW w:w="1261" w:type="dxa"/>
            <w:shd w:val="clear" w:color="auto" w:fill="F2F2F2" w:themeFill="background1" w:themeFillShade="F2"/>
          </w:tcPr>
          <w:p w14:paraId="424A10FF" w14:textId="77777777" w:rsidR="007B7F61" w:rsidRPr="009B2B67" w:rsidRDefault="007B7F61" w:rsidP="007B7F61">
            <w:pPr>
              <w:pStyle w:val="Tabletext"/>
            </w:pPr>
            <w:r w:rsidRPr="000C026C">
              <w:t>Risks</w:t>
            </w:r>
          </w:p>
        </w:tc>
        <w:tc>
          <w:tcPr>
            <w:tcW w:w="2774" w:type="dxa"/>
            <w:shd w:val="clear" w:color="auto" w:fill="FFDAC7" w:themeFill="accent5" w:themeFillTint="33"/>
          </w:tcPr>
          <w:p w14:paraId="2E7AD995" w14:textId="77777777" w:rsidR="007B7F61" w:rsidRPr="009B2B67" w:rsidRDefault="007B7F61" w:rsidP="007B7F61">
            <w:pPr>
              <w:pStyle w:val="Tabletext"/>
            </w:pPr>
            <w:r w:rsidRPr="009B2B67">
              <w:t>Sustainability risks are linked to objectives and not rating scheme accreditation</w:t>
            </w:r>
          </w:p>
        </w:tc>
        <w:tc>
          <w:tcPr>
            <w:tcW w:w="2435" w:type="dxa"/>
            <w:shd w:val="clear" w:color="auto" w:fill="BCFFFC" w:themeFill="accent3" w:themeFillTint="33"/>
          </w:tcPr>
          <w:p w14:paraId="39FA05E4" w14:textId="77777777" w:rsidR="007B7F61" w:rsidRPr="009B2B67" w:rsidRDefault="007B7F61" w:rsidP="007B7F61">
            <w:pPr>
              <w:pStyle w:val="Tabletext"/>
            </w:pPr>
            <w:r w:rsidRPr="009B2B67">
              <w:t>Risk analysis considers sustainability trends over the expected asset life, including beyond the investment timeframe</w:t>
            </w:r>
          </w:p>
        </w:tc>
        <w:tc>
          <w:tcPr>
            <w:tcW w:w="2605" w:type="dxa"/>
            <w:shd w:val="clear" w:color="auto" w:fill="FFF2CA" w:themeFill="accent6" w:themeFillTint="33"/>
          </w:tcPr>
          <w:p w14:paraId="47C0D0B9" w14:textId="77777777" w:rsidR="007B7F61" w:rsidRPr="009B2B67" w:rsidRDefault="007B7F61" w:rsidP="007B7F61">
            <w:pPr>
              <w:pStyle w:val="Tabletext"/>
            </w:pPr>
            <w:r w:rsidRPr="009B2B67">
              <w:t>Risk analysis considers sustainability trends over the expected asset life, including beyond the investment timeframe</w:t>
            </w:r>
          </w:p>
        </w:tc>
      </w:tr>
      <w:tr w:rsidR="007B7F61" w:rsidRPr="007E6C2A" w14:paraId="65C04BC0" w14:textId="77777777" w:rsidTr="007B7F61">
        <w:trPr>
          <w:cantSplit/>
          <w:trHeight w:val="433"/>
        </w:trPr>
        <w:tc>
          <w:tcPr>
            <w:tcW w:w="1261" w:type="dxa"/>
            <w:shd w:val="clear" w:color="auto" w:fill="F2F2F2" w:themeFill="background1" w:themeFillShade="F2"/>
          </w:tcPr>
          <w:p w14:paraId="5D69425A" w14:textId="77777777" w:rsidR="007B7F61" w:rsidRPr="009B2B67" w:rsidRDefault="007B7F61" w:rsidP="007B7F61">
            <w:pPr>
              <w:pStyle w:val="Tabletext"/>
            </w:pPr>
          </w:p>
        </w:tc>
        <w:tc>
          <w:tcPr>
            <w:tcW w:w="2774" w:type="dxa"/>
            <w:shd w:val="clear" w:color="auto" w:fill="FFDAC7" w:themeFill="accent5" w:themeFillTint="33"/>
            <w:vAlign w:val="center"/>
          </w:tcPr>
          <w:p w14:paraId="2A23528F" w14:textId="77777777" w:rsidR="007B7F61" w:rsidRPr="009B2B67" w:rsidRDefault="007B7F61" w:rsidP="007B7F61">
            <w:pPr>
              <w:pStyle w:val="Tabletext"/>
            </w:pPr>
            <w:r w:rsidRPr="009B2B67">
              <w:t xml:space="preserve">Sustainability objectives are identified based on the context in which the project is delivered </w:t>
            </w:r>
          </w:p>
        </w:tc>
        <w:tc>
          <w:tcPr>
            <w:tcW w:w="2435" w:type="dxa"/>
            <w:shd w:val="clear" w:color="auto" w:fill="BCFFFC" w:themeFill="accent3" w:themeFillTint="33"/>
            <w:vAlign w:val="center"/>
          </w:tcPr>
          <w:p w14:paraId="282305F4" w14:textId="77777777" w:rsidR="007B7F61" w:rsidRPr="009B2B67" w:rsidRDefault="007B7F61" w:rsidP="007B7F61">
            <w:pPr>
              <w:pStyle w:val="Tabletext"/>
            </w:pPr>
          </w:p>
        </w:tc>
        <w:tc>
          <w:tcPr>
            <w:tcW w:w="2605" w:type="dxa"/>
            <w:shd w:val="clear" w:color="auto" w:fill="FFF2CA" w:themeFill="accent6" w:themeFillTint="33"/>
            <w:vAlign w:val="center"/>
          </w:tcPr>
          <w:p w14:paraId="62A8187D" w14:textId="77777777" w:rsidR="007B7F61" w:rsidRPr="009B2B67" w:rsidRDefault="007B7F61" w:rsidP="007B7F61">
            <w:pPr>
              <w:pStyle w:val="Tabletext"/>
            </w:pPr>
          </w:p>
        </w:tc>
      </w:tr>
    </w:tbl>
    <w:p w14:paraId="5CBDFAB8" w14:textId="77777777" w:rsidR="007B7F61" w:rsidRPr="009B2B67" w:rsidRDefault="007B7F61" w:rsidP="007B7F61">
      <w:pPr>
        <w:pStyle w:val="Heading3numbered"/>
      </w:pPr>
      <w:bookmarkStart w:id="88" w:name="_Toc68769284"/>
      <w:r w:rsidRPr="00EC5B5F">
        <w:t xml:space="preserve">Understanding the </w:t>
      </w:r>
      <w:r w:rsidRPr="00865BA7">
        <w:t>problem</w:t>
      </w:r>
      <w:bookmarkEnd w:id="88"/>
    </w:p>
    <w:p w14:paraId="7F484C8B" w14:textId="77777777" w:rsidR="007B7F61" w:rsidRDefault="007B7F61" w:rsidP="007B7F61">
      <w:pPr>
        <w:spacing w:after="60"/>
      </w:pPr>
      <w:r>
        <w:t xml:space="preserve">The problem definition should consider opportunities to create positive sustainability benefits as well as considering potential adverse sustainability issues. </w:t>
      </w:r>
    </w:p>
    <w:p w14:paraId="13AD7054" w14:textId="6F15054B" w:rsidR="007B7F61" w:rsidRPr="000A61D0" w:rsidRDefault="007B7F61" w:rsidP="007B7F61">
      <w:pPr>
        <w:spacing w:after="60"/>
      </w:pPr>
      <w:r w:rsidRPr="002F169F">
        <w:t>The sustainability benefits of a project are often ‘locked</w:t>
      </w:r>
      <w:r w:rsidR="00601819">
        <w:noBreakHyphen/>
      </w:r>
      <w:r w:rsidRPr="002F169F">
        <w:t>in’ or ‘locked</w:t>
      </w:r>
      <w:r w:rsidR="00601819">
        <w:noBreakHyphen/>
      </w:r>
      <w:r w:rsidRPr="002F169F">
        <w:t xml:space="preserve">out’ early in the concept design phase. </w:t>
      </w:r>
      <w:r>
        <w:t>Therefore, t</w:t>
      </w:r>
      <w:r w:rsidRPr="002F169F">
        <w:t>he later in the investment lifecycle that the sustainable investment themes are considered, the more challenging it can be to create substantial benefit.</w:t>
      </w:r>
      <w:r w:rsidRPr="00B73EC0">
        <w:t xml:space="preserve"> </w:t>
      </w:r>
      <w:r w:rsidRPr="002F169F">
        <w:t xml:space="preserve">As such, these themes should be taken into consideration </w:t>
      </w:r>
      <w:r>
        <w:t>at the outset.</w:t>
      </w:r>
    </w:p>
    <w:p w14:paraId="7FBAF57E" w14:textId="1532BD4A" w:rsidR="007B7F61" w:rsidRDefault="007B7F61" w:rsidP="007B7F61">
      <w:pPr>
        <w:spacing w:after="60"/>
      </w:pPr>
      <w:r>
        <w:t xml:space="preserve">Taking a sustainable investment approach means broadening the assessment and understanding of the problem in line with the </w:t>
      </w:r>
      <w:r w:rsidR="00624172">
        <w:t>Sustainable Investment themes</w:t>
      </w:r>
      <w:r>
        <w:t>. For example, the problem may be caused by poor water management or a lack of resilience to extreme weather events caused by climate change. In such cases, these sustainability considerations would be noted as causes within the problem statement. Furthermore, the problem may influence issues such as liveability or energy productivity, in which case these sustainability considerations would be noted as effects within the problem statement.</w:t>
      </w:r>
    </w:p>
    <w:p w14:paraId="66F35A9D" w14:textId="0205E533" w:rsidR="007B7F61" w:rsidRDefault="007B7F61" w:rsidP="007B7F61">
      <w:r>
        <w:fldChar w:fldCharType="begin"/>
      </w:r>
      <w:r>
        <w:instrText xml:space="preserve"> REF _Ref68007483 \h </w:instrText>
      </w:r>
      <w:r>
        <w:fldChar w:fldCharType="separate"/>
      </w:r>
      <w:r w:rsidR="00FC7DAA">
        <w:t xml:space="preserve">Table </w:t>
      </w:r>
      <w:r w:rsidR="00FC7DAA">
        <w:rPr>
          <w:noProof/>
        </w:rPr>
        <w:t>9</w:t>
      </w:r>
      <w:r>
        <w:fldChar w:fldCharType="end"/>
      </w:r>
      <w:r>
        <w:t xml:space="preserve"> provides a fictional example to show the difference between a </w:t>
      </w:r>
      <w:proofErr w:type="gramStart"/>
      <w:r>
        <w:t>business as usual</w:t>
      </w:r>
      <w:proofErr w:type="gramEnd"/>
      <w:r>
        <w:t xml:space="preserve"> approach and an approach considering sustainability factors.</w:t>
      </w:r>
    </w:p>
    <w:p w14:paraId="2698E30C" w14:textId="006F3580" w:rsidR="00234360" w:rsidRDefault="00234360" w:rsidP="00234360">
      <w:pPr>
        <w:pStyle w:val="Caption"/>
      </w:pPr>
      <w:bookmarkStart w:id="89" w:name="_Ref68007483"/>
      <w:bookmarkStart w:id="90" w:name="_Toc117258730"/>
      <w:r>
        <w:lastRenderedPageBreak/>
        <w:t xml:space="preserve">Table </w:t>
      </w:r>
      <w:r>
        <w:fldChar w:fldCharType="begin"/>
      </w:r>
      <w:r>
        <w:instrText>SEQ Table \* ARABIC</w:instrText>
      </w:r>
      <w:r>
        <w:fldChar w:fldCharType="separate"/>
      </w:r>
      <w:r w:rsidR="00FC7DAA">
        <w:rPr>
          <w:noProof/>
        </w:rPr>
        <w:t>9</w:t>
      </w:r>
      <w:r>
        <w:fldChar w:fldCharType="end"/>
      </w:r>
      <w:bookmarkEnd w:id="89"/>
      <w:r w:rsidR="00F00708">
        <w:t xml:space="preserve"> – </w:t>
      </w:r>
      <w:r>
        <w:t>Considering sustainability in the problem definition</w:t>
      </w:r>
      <w:bookmarkEnd w:id="90"/>
    </w:p>
    <w:tbl>
      <w:tblPr>
        <w:tblStyle w:val="Texttable"/>
        <w:tblW w:w="9090" w:type="dxa"/>
        <w:tblLook w:val="06A0" w:firstRow="1" w:lastRow="0" w:firstColumn="1" w:lastColumn="0" w:noHBand="1" w:noVBand="1"/>
      </w:tblPr>
      <w:tblGrid>
        <w:gridCol w:w="499"/>
        <w:gridCol w:w="3821"/>
        <w:gridCol w:w="4770"/>
      </w:tblGrid>
      <w:tr w:rsidR="00234360" w:rsidRPr="007E6C2A" w14:paraId="397213ED" w14:textId="77777777" w:rsidTr="002343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9" w:type="dxa"/>
          </w:tcPr>
          <w:p w14:paraId="37B7BC81" w14:textId="77777777" w:rsidR="00234360" w:rsidRPr="00C9120D" w:rsidRDefault="00234360" w:rsidP="00234360">
            <w:pPr>
              <w:pStyle w:val="Tableheader"/>
            </w:pPr>
          </w:p>
        </w:tc>
        <w:tc>
          <w:tcPr>
            <w:tcW w:w="3821" w:type="dxa"/>
          </w:tcPr>
          <w:p w14:paraId="1EC760DB" w14:textId="77777777" w:rsidR="00234360" w:rsidRPr="009B2B67" w:rsidRDefault="00234360" w:rsidP="00234360">
            <w:pPr>
              <w:pStyle w:val="Tableheader"/>
              <w:cnfStyle w:val="100000000000" w:firstRow="1" w:lastRow="0" w:firstColumn="0" w:lastColumn="0" w:oddVBand="0" w:evenVBand="0" w:oddHBand="0" w:evenHBand="0" w:firstRowFirstColumn="0" w:firstRowLastColumn="0" w:lastRowFirstColumn="0" w:lastRowLastColumn="0"/>
            </w:pPr>
            <w:r w:rsidRPr="00C9120D">
              <w:t>Business as usual</w:t>
            </w:r>
            <w:r w:rsidRPr="00B6141F">
              <w:t xml:space="preserve"> approach</w:t>
            </w:r>
          </w:p>
        </w:tc>
        <w:tc>
          <w:tcPr>
            <w:tcW w:w="4770" w:type="dxa"/>
          </w:tcPr>
          <w:p w14:paraId="61DB69AE" w14:textId="77777777" w:rsidR="00234360" w:rsidRPr="009B2B67" w:rsidRDefault="00234360" w:rsidP="00234360">
            <w:pPr>
              <w:pStyle w:val="Tableheader"/>
              <w:cnfStyle w:val="100000000000" w:firstRow="1" w:lastRow="0" w:firstColumn="0" w:lastColumn="0" w:oddVBand="0" w:evenVBand="0" w:oddHBand="0" w:evenHBand="0" w:firstRowFirstColumn="0" w:firstRowLastColumn="0" w:lastRowFirstColumn="0" w:lastRowLastColumn="0"/>
            </w:pPr>
            <w:r w:rsidRPr="00C9120D">
              <w:t>A</w:t>
            </w:r>
            <w:r w:rsidRPr="00B6141F">
              <w:t>pproach</w:t>
            </w:r>
            <w:r w:rsidRPr="00FE4886">
              <w:t xml:space="preserve"> considering sustainability factors</w:t>
            </w:r>
          </w:p>
        </w:tc>
      </w:tr>
      <w:tr w:rsidR="00234360" w:rsidRPr="007E6C2A" w14:paraId="38691F61" w14:textId="77777777" w:rsidTr="00234360">
        <w:trPr>
          <w:trHeight w:val="1134"/>
        </w:trPr>
        <w:tc>
          <w:tcPr>
            <w:cnfStyle w:val="001000000000" w:firstRow="0" w:lastRow="0" w:firstColumn="1" w:lastColumn="0" w:oddVBand="0" w:evenVBand="0" w:oddHBand="0" w:evenHBand="0" w:firstRowFirstColumn="0" w:firstRowLastColumn="0" w:lastRowFirstColumn="0" w:lastRowLastColumn="0"/>
            <w:tcW w:w="499" w:type="dxa"/>
            <w:textDirection w:val="btLr"/>
          </w:tcPr>
          <w:p w14:paraId="68732B29" w14:textId="77777777" w:rsidR="00234360" w:rsidRPr="002E1184" w:rsidRDefault="00234360" w:rsidP="00234360">
            <w:pPr>
              <w:pStyle w:val="Tabletext"/>
              <w:jc w:val="center"/>
            </w:pPr>
            <w:r w:rsidRPr="002E1184">
              <w:t>Problem identification</w:t>
            </w:r>
          </w:p>
        </w:tc>
        <w:tc>
          <w:tcPr>
            <w:tcW w:w="3821" w:type="dxa"/>
          </w:tcPr>
          <w:p w14:paraId="62AC92EC" w14:textId="1A727BBE" w:rsidR="00234360" w:rsidRPr="000C026C" w:rsidRDefault="00F00708" w:rsidP="00234360">
            <w:pPr>
              <w:pStyle w:val="Tabletext"/>
              <w:cnfStyle w:val="000000000000" w:firstRow="0" w:lastRow="0" w:firstColumn="0" w:lastColumn="0" w:oddVBand="0" w:evenVBand="0" w:oddHBand="0" w:evenHBand="0" w:firstRowFirstColumn="0" w:firstRowLastColumn="0" w:lastRowFirstColumn="0" w:lastRowLastColumn="0"/>
            </w:pPr>
            <w:r>
              <w:t>‘</w:t>
            </w:r>
            <w:r w:rsidR="00234360" w:rsidRPr="000C026C">
              <w:t>Limited road capacity and increasing populations of townships A and B are causing congestion at peak hours on the roads.</w:t>
            </w:r>
            <w:r>
              <w:t>’</w:t>
            </w:r>
            <w:r w:rsidR="00234360" w:rsidRPr="000C026C">
              <w:t xml:space="preserve"> </w:t>
            </w:r>
          </w:p>
        </w:tc>
        <w:tc>
          <w:tcPr>
            <w:tcW w:w="4770" w:type="dxa"/>
          </w:tcPr>
          <w:p w14:paraId="118D4E8A" w14:textId="27BB1C38" w:rsidR="00234360" w:rsidRPr="000C026C" w:rsidRDefault="00F00708" w:rsidP="00234360">
            <w:pPr>
              <w:pStyle w:val="Tabletext"/>
              <w:cnfStyle w:val="000000000000" w:firstRow="0" w:lastRow="0" w:firstColumn="0" w:lastColumn="0" w:oddVBand="0" w:evenVBand="0" w:oddHBand="0" w:evenHBand="0" w:firstRowFirstColumn="0" w:firstRowLastColumn="0" w:lastRowFirstColumn="0" w:lastRowLastColumn="0"/>
            </w:pPr>
            <w:r>
              <w:t>‘</w:t>
            </w:r>
            <w:r w:rsidR="00234360" w:rsidRPr="000C026C">
              <w:t>Townships A and B share many services and shops and there is no convenient public transport or safe routes for walking and cycling between the two centres. Population in the areas is increasing and there is a lack of master planning for future growth.</w:t>
            </w:r>
          </w:p>
          <w:p w14:paraId="750ABFB3" w14:textId="50A5F4FD"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This is causing traffic congestion at peak hours on the road between townships A and B. In addition, accidents involving cars and cyclists are common and noise and air pollution complaints are frequent amongst residents along the existing road. Residents in both townships are concerned about future congestion</w:t>
            </w:r>
            <w:r w:rsidR="00F00708">
              <w:t>’</w:t>
            </w:r>
            <w:r w:rsidRPr="000C026C">
              <w:t xml:space="preserve"> </w:t>
            </w:r>
          </w:p>
        </w:tc>
      </w:tr>
      <w:tr w:rsidR="00234360" w:rsidRPr="007E6C2A" w14:paraId="10E35ABB" w14:textId="77777777" w:rsidTr="00234360">
        <w:trPr>
          <w:trHeight w:val="1134"/>
        </w:trPr>
        <w:tc>
          <w:tcPr>
            <w:cnfStyle w:val="001000000000" w:firstRow="0" w:lastRow="0" w:firstColumn="1" w:lastColumn="0" w:oddVBand="0" w:evenVBand="0" w:oddHBand="0" w:evenHBand="0" w:firstRowFirstColumn="0" w:firstRowLastColumn="0" w:lastRowFirstColumn="0" w:lastRowLastColumn="0"/>
            <w:tcW w:w="499" w:type="dxa"/>
            <w:textDirection w:val="btLr"/>
          </w:tcPr>
          <w:p w14:paraId="33E58EB3" w14:textId="77777777" w:rsidR="00234360" w:rsidRPr="007E6C2A" w:rsidRDefault="00234360" w:rsidP="00234360">
            <w:pPr>
              <w:pStyle w:val="Tabletext"/>
              <w:jc w:val="center"/>
            </w:pPr>
            <w:r>
              <w:t>Outcome</w:t>
            </w:r>
          </w:p>
        </w:tc>
        <w:tc>
          <w:tcPr>
            <w:tcW w:w="3821" w:type="dxa"/>
          </w:tcPr>
          <w:p w14:paraId="08A0474A" w14:textId="77777777"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A narrow approach to problem identification and solution development leads directly to one solution – that the road should be widened and its capacity increased</w:t>
            </w:r>
          </w:p>
        </w:tc>
        <w:tc>
          <w:tcPr>
            <w:tcW w:w="4770" w:type="dxa"/>
          </w:tcPr>
          <w:p w14:paraId="07DBA8B2" w14:textId="77777777" w:rsidR="00234360" w:rsidRPr="000C026C" w:rsidRDefault="00234360" w:rsidP="00234360">
            <w:pPr>
              <w:pStyle w:val="Tabletext"/>
              <w:cnfStyle w:val="000000000000" w:firstRow="0" w:lastRow="0" w:firstColumn="0" w:lastColumn="0" w:oddVBand="0" w:evenVBand="0" w:oddHBand="0" w:evenHBand="0" w:firstRowFirstColumn="0" w:firstRowLastColumn="0" w:lastRowFirstColumn="0" w:lastRowLastColumn="0"/>
            </w:pPr>
            <w:r w:rsidRPr="000C026C">
              <w:t>Inclusion of a wider range of sustainability considerations such as cyclist injury/health, noise and air pollution mean that it presents a wider range of possible solutions. Considering this broad range of issues at this early stage increases the likelihood of achieving positive sustainable investment outcomes for the local region</w:t>
            </w:r>
          </w:p>
        </w:tc>
      </w:tr>
    </w:tbl>
    <w:p w14:paraId="7C8B07BC" w14:textId="2CB8D718" w:rsidR="007B7F61" w:rsidRDefault="007B7F61" w:rsidP="007B7F61"/>
    <w:p w14:paraId="570D2BA9" w14:textId="77777777" w:rsidR="00234360" w:rsidRPr="009B2B67" w:rsidRDefault="00234360" w:rsidP="00234360">
      <w:pPr>
        <w:pStyle w:val="Heading3numbered"/>
      </w:pPr>
      <w:bookmarkStart w:id="91" w:name="_Toc68769285"/>
      <w:r w:rsidRPr="00EC5B5F">
        <w:t>Benefits</w:t>
      </w:r>
      <w:r w:rsidRPr="00865BA7">
        <w:t xml:space="preserve"> and the </w:t>
      </w:r>
      <w:r w:rsidRPr="009B2B67">
        <w:t>case for change</w:t>
      </w:r>
      <w:bookmarkEnd w:id="91"/>
    </w:p>
    <w:p w14:paraId="2F50E290" w14:textId="1628AD9A" w:rsidR="00234360" w:rsidRDefault="00234360" w:rsidP="00234360">
      <w:r w:rsidRPr="00890D36">
        <w:t>To avoid risks from a narrow problem statement, once the need for investment to solve the problem has</w:t>
      </w:r>
      <w:r>
        <w:t xml:space="preserve"> </w:t>
      </w:r>
      <w:r w:rsidRPr="00890D36">
        <w:t xml:space="preserve">been identified, </w:t>
      </w:r>
      <w:r>
        <w:t>business case</w:t>
      </w:r>
      <w:r w:rsidRPr="00890D36">
        <w:t xml:space="preserve"> authors should ask the following questions in relation to each benefit:</w:t>
      </w:r>
    </w:p>
    <w:p w14:paraId="4A709470" w14:textId="1E4A3781" w:rsidR="00234360" w:rsidRDefault="00234360" w:rsidP="00234360">
      <w:pPr>
        <w:pStyle w:val="Caption"/>
      </w:pPr>
      <w:bookmarkStart w:id="92" w:name="_Toc117258731"/>
      <w:r>
        <w:t xml:space="preserve">Table </w:t>
      </w:r>
      <w:r>
        <w:fldChar w:fldCharType="begin"/>
      </w:r>
      <w:r>
        <w:instrText>SEQ Table \* ARABIC</w:instrText>
      </w:r>
      <w:r>
        <w:fldChar w:fldCharType="separate"/>
      </w:r>
      <w:r w:rsidR="00FC7DAA">
        <w:rPr>
          <w:noProof/>
        </w:rPr>
        <w:t>10</w:t>
      </w:r>
      <w:r>
        <w:fldChar w:fldCharType="end"/>
      </w:r>
      <w:r w:rsidR="00F00708">
        <w:t xml:space="preserve"> – </w:t>
      </w:r>
      <w:r>
        <w:t xml:space="preserve">Benefit </w:t>
      </w:r>
      <w:r w:rsidRPr="00234360">
        <w:t>considerations</w:t>
      </w:r>
      <w:bookmarkEnd w:id="92"/>
    </w:p>
    <w:tbl>
      <w:tblPr>
        <w:tblStyle w:val="Texttable"/>
        <w:tblW w:w="9090" w:type="dxa"/>
        <w:tblLook w:val="0620" w:firstRow="1" w:lastRow="0" w:firstColumn="0" w:lastColumn="0" w:noHBand="1" w:noVBand="1"/>
      </w:tblPr>
      <w:tblGrid>
        <w:gridCol w:w="3330"/>
        <w:gridCol w:w="5760"/>
      </w:tblGrid>
      <w:tr w:rsidR="00234360" w:rsidRPr="007E6C2A" w14:paraId="5E997532" w14:textId="77777777" w:rsidTr="00234360">
        <w:trPr>
          <w:cnfStyle w:val="100000000000" w:firstRow="1" w:lastRow="0" w:firstColumn="0" w:lastColumn="0" w:oddVBand="0" w:evenVBand="0" w:oddHBand="0" w:evenHBand="0" w:firstRowFirstColumn="0" w:firstRowLastColumn="0" w:lastRowFirstColumn="0" w:lastRowLastColumn="0"/>
        </w:trPr>
        <w:tc>
          <w:tcPr>
            <w:tcW w:w="3330" w:type="dxa"/>
          </w:tcPr>
          <w:p w14:paraId="4D1084EE" w14:textId="77777777" w:rsidR="00234360" w:rsidRPr="00FA6588" w:rsidRDefault="00234360" w:rsidP="00234360">
            <w:pPr>
              <w:pStyle w:val="Tableheader"/>
            </w:pPr>
            <w:r w:rsidRPr="00FA6588">
              <w:t>Question</w:t>
            </w:r>
          </w:p>
        </w:tc>
        <w:tc>
          <w:tcPr>
            <w:tcW w:w="5760" w:type="dxa"/>
          </w:tcPr>
          <w:p w14:paraId="0DC87767" w14:textId="77777777" w:rsidR="00234360" w:rsidRPr="009F7AB8" w:rsidRDefault="00234360" w:rsidP="00234360">
            <w:pPr>
              <w:pStyle w:val="Tableheader"/>
            </w:pPr>
            <w:r w:rsidRPr="009F7AB8">
              <w:t>Examples</w:t>
            </w:r>
          </w:p>
        </w:tc>
      </w:tr>
      <w:tr w:rsidR="00234360" w:rsidRPr="007E6C2A" w14:paraId="21FB6823" w14:textId="77777777" w:rsidTr="00234360">
        <w:tc>
          <w:tcPr>
            <w:tcW w:w="3330" w:type="dxa"/>
          </w:tcPr>
          <w:p w14:paraId="4031E3A5" w14:textId="77777777" w:rsidR="00234360" w:rsidRPr="009B2B67" w:rsidRDefault="00234360" w:rsidP="00234360">
            <w:pPr>
              <w:pStyle w:val="Tabletext"/>
            </w:pPr>
            <w:r w:rsidRPr="009B2B67">
              <w:t>Are there any interdependencies that could materially impact the nature or extent of the problem, or the underlying service need?</w:t>
            </w:r>
          </w:p>
        </w:tc>
        <w:tc>
          <w:tcPr>
            <w:tcW w:w="5760" w:type="dxa"/>
          </w:tcPr>
          <w:p w14:paraId="54F6FAAB" w14:textId="77777777" w:rsidR="00234360" w:rsidRPr="008A1D1F" w:rsidRDefault="00234360" w:rsidP="00234360">
            <w:pPr>
              <w:pStyle w:val="Tabletext"/>
            </w:pPr>
            <w:r w:rsidRPr="008A1D1F">
              <w:t xml:space="preserve">If your problem is about tackling road congestion, an interdependency would need to consider impacts of other modes of transport </w:t>
            </w:r>
            <w:proofErr w:type="gramStart"/>
            <w:r>
              <w:t>e.g.</w:t>
            </w:r>
            <w:proofErr w:type="gramEnd"/>
            <w:r>
              <w:t xml:space="preserve"> </w:t>
            </w:r>
            <w:r w:rsidRPr="008A1D1F">
              <w:t>a plan for a new train line that could ease traffic by giving drivers an alternative means of commuting.</w:t>
            </w:r>
          </w:p>
        </w:tc>
      </w:tr>
      <w:tr w:rsidR="00234360" w:rsidRPr="007E6C2A" w14:paraId="4F45B3A5" w14:textId="77777777" w:rsidTr="00234360">
        <w:tc>
          <w:tcPr>
            <w:tcW w:w="3330" w:type="dxa"/>
          </w:tcPr>
          <w:p w14:paraId="44D6BD6A" w14:textId="77777777" w:rsidR="00234360" w:rsidRPr="009B2B67" w:rsidRDefault="00234360" w:rsidP="00234360">
            <w:pPr>
              <w:pStyle w:val="Tabletext"/>
            </w:pPr>
            <w:r w:rsidRPr="009B2B67">
              <w:t>Are there any external factors that could affect the nature or extent of the problem, or the underlying service need?</w:t>
            </w:r>
          </w:p>
        </w:tc>
        <w:tc>
          <w:tcPr>
            <w:tcW w:w="5760" w:type="dxa"/>
          </w:tcPr>
          <w:p w14:paraId="7D2D55E8" w14:textId="77777777" w:rsidR="00234360" w:rsidRPr="008A1D1F" w:rsidRDefault="00234360" w:rsidP="00234360">
            <w:pPr>
              <w:pStyle w:val="Tabletext"/>
            </w:pPr>
            <w:r w:rsidRPr="008A1D1F">
              <w:t>External factors could include the impacts of extreme weather events caused by climate change</w:t>
            </w:r>
            <w:r>
              <w:t xml:space="preserve"> </w:t>
            </w:r>
            <w:proofErr w:type="gramStart"/>
            <w:r>
              <w:t>e.g.</w:t>
            </w:r>
            <w:proofErr w:type="gramEnd"/>
            <w:r>
              <w:t xml:space="preserve"> </w:t>
            </w:r>
            <w:r w:rsidRPr="008A1D1F">
              <w:t>flooding could cause road closure and exacerbate the problem.</w:t>
            </w:r>
          </w:p>
        </w:tc>
      </w:tr>
      <w:tr w:rsidR="00234360" w:rsidRPr="007E6C2A" w14:paraId="705D8D58" w14:textId="77777777" w:rsidTr="00234360">
        <w:tc>
          <w:tcPr>
            <w:tcW w:w="3330" w:type="dxa"/>
          </w:tcPr>
          <w:p w14:paraId="40099F47" w14:textId="77777777" w:rsidR="00234360" w:rsidRPr="009B2B67" w:rsidRDefault="00234360" w:rsidP="00234360">
            <w:pPr>
              <w:pStyle w:val="Tabletext"/>
            </w:pPr>
            <w:r w:rsidRPr="009B2B67">
              <w:t>Could the realisation of this benefit create or worsen existing problems or create new problems?</w:t>
            </w:r>
          </w:p>
        </w:tc>
        <w:tc>
          <w:tcPr>
            <w:tcW w:w="5760" w:type="dxa"/>
          </w:tcPr>
          <w:p w14:paraId="4C303491" w14:textId="77777777" w:rsidR="00234360" w:rsidRPr="008A1D1F" w:rsidRDefault="00234360" w:rsidP="00234360">
            <w:pPr>
              <w:pStyle w:val="Tabletext"/>
            </w:pPr>
            <w:r w:rsidRPr="008A1D1F">
              <w:t xml:space="preserve">If the chosen solution to a problem like congestion is to increase road capacity, this might ease congestion in the short term but could create additional traffic, increase total vehicle kilometres travelled, result in higher </w:t>
            </w:r>
            <w:proofErr w:type="gramStart"/>
            <w:r w:rsidRPr="008A1D1F">
              <w:t>congestion</w:t>
            </w:r>
            <w:proofErr w:type="gramEnd"/>
            <w:r w:rsidRPr="008A1D1F">
              <w:t xml:space="preserve"> and worsen the existing problem over the medium to long term.</w:t>
            </w:r>
          </w:p>
        </w:tc>
      </w:tr>
    </w:tbl>
    <w:p w14:paraId="4A208E28" w14:textId="60E82210" w:rsidR="00234360" w:rsidRDefault="00234360" w:rsidP="00F00708">
      <w:pPr>
        <w:pStyle w:val="Spacer"/>
      </w:pPr>
    </w:p>
    <w:p w14:paraId="079A3A29" w14:textId="759D7458" w:rsidR="00234360" w:rsidRDefault="00234360" w:rsidP="00234360">
      <w:pPr>
        <w:pStyle w:val="NormalIndent"/>
        <w:ind w:left="0"/>
      </w:pPr>
      <w:r w:rsidRPr="007C1F8A">
        <w:t xml:space="preserve">Below is a </w:t>
      </w:r>
      <w:r>
        <w:t>hypothetical</w:t>
      </w:r>
      <w:r w:rsidRPr="007C1F8A">
        <w:t xml:space="preserve"> example to illustrate how to outline the benefits</w:t>
      </w:r>
      <w:r>
        <w:t xml:space="preserve"> and</w:t>
      </w:r>
      <w:r w:rsidRPr="007C1F8A">
        <w:t xml:space="preserve"> priorities underpinning the need for change (and hence the investment considered). This fictional example takes a holistic view of the benefits that can be expected from the best possible solution to the problem</w:t>
      </w:r>
      <w:r>
        <w:t xml:space="preserve">. </w:t>
      </w:r>
    </w:p>
    <w:p w14:paraId="34853D78" w14:textId="69182338" w:rsidR="00234360" w:rsidRDefault="00234360" w:rsidP="00234360">
      <w:pPr>
        <w:pStyle w:val="Caption"/>
      </w:pPr>
      <w:bookmarkStart w:id="93" w:name="_Toc117258732"/>
      <w:r>
        <w:t xml:space="preserve">Table </w:t>
      </w:r>
      <w:r>
        <w:fldChar w:fldCharType="begin"/>
      </w:r>
      <w:r>
        <w:instrText>SEQ Table \* ARABIC</w:instrText>
      </w:r>
      <w:r>
        <w:fldChar w:fldCharType="separate"/>
      </w:r>
      <w:r w:rsidR="00FC7DAA">
        <w:rPr>
          <w:noProof/>
        </w:rPr>
        <w:t>11</w:t>
      </w:r>
      <w:r>
        <w:fldChar w:fldCharType="end"/>
      </w:r>
      <w:r w:rsidR="00F00708">
        <w:t xml:space="preserve"> – </w:t>
      </w:r>
      <w:r>
        <w:t>Aligning benefits with priorities</w:t>
      </w:r>
      <w:bookmarkEnd w:id="93"/>
    </w:p>
    <w:tbl>
      <w:tblPr>
        <w:tblStyle w:val="Texttable"/>
        <w:tblW w:w="0" w:type="auto"/>
        <w:tblLook w:val="0600" w:firstRow="0" w:lastRow="0" w:firstColumn="0" w:lastColumn="0" w:noHBand="1" w:noVBand="1"/>
      </w:tblPr>
      <w:tblGrid>
        <w:gridCol w:w="1980"/>
        <w:gridCol w:w="7046"/>
      </w:tblGrid>
      <w:tr w:rsidR="00234360" w14:paraId="5EA34CC5" w14:textId="77777777" w:rsidTr="00234360">
        <w:tc>
          <w:tcPr>
            <w:tcW w:w="1980" w:type="dxa"/>
            <w:tcBorders>
              <w:top w:val="single" w:sz="6" w:space="0" w:color="00698F" w:themeColor="accent1"/>
              <w:bottom w:val="single" w:sz="6" w:space="0" w:color="FFFFFF" w:themeColor="background1"/>
            </w:tcBorders>
            <w:shd w:val="clear" w:color="auto" w:fill="00698F" w:themeFill="accent1"/>
          </w:tcPr>
          <w:p w14:paraId="50D2EE4F" w14:textId="5515CF92" w:rsidR="00234360" w:rsidRDefault="00234360" w:rsidP="00234360">
            <w:pPr>
              <w:pStyle w:val="Tableheader"/>
              <w:keepNext w:val="0"/>
            </w:pPr>
            <w:r w:rsidRPr="00BE0021">
              <w:t>Problem statement</w:t>
            </w:r>
          </w:p>
        </w:tc>
        <w:tc>
          <w:tcPr>
            <w:tcW w:w="7046" w:type="dxa"/>
            <w:tcBorders>
              <w:top w:val="single" w:sz="6" w:space="0" w:color="00698F" w:themeColor="accent1"/>
              <w:bottom w:val="single" w:sz="6" w:space="0" w:color="00698F" w:themeColor="accent1"/>
            </w:tcBorders>
          </w:tcPr>
          <w:p w14:paraId="1BCE0BE6" w14:textId="7E94787D" w:rsidR="00234360" w:rsidRPr="00234360" w:rsidRDefault="00234360" w:rsidP="00234360">
            <w:pPr>
              <w:pStyle w:val="Tabletext"/>
            </w:pPr>
            <w:r w:rsidRPr="00234360">
              <w:t>From 2012</w:t>
            </w:r>
            <w:r w:rsidR="00601819">
              <w:noBreakHyphen/>
            </w:r>
            <w:r w:rsidRPr="00234360">
              <w:t>2020, population growth has increased the number of vehicles using the road from A</w:t>
            </w:r>
            <w:r>
              <w:rPr>
                <w:rFonts w:ascii="Calibri" w:hAnsi="Calibri" w:cs="Calibri"/>
              </w:rPr>
              <w:t> </w:t>
            </w:r>
            <w:r w:rsidRPr="00234360">
              <w:t>to B by 35</w:t>
            </w:r>
            <w:r>
              <w:rPr>
                <w:rFonts w:ascii="Calibri" w:hAnsi="Calibri" w:cs="Calibri"/>
              </w:rPr>
              <w:t> </w:t>
            </w:r>
            <w:r w:rsidRPr="00234360">
              <w:t>per</w:t>
            </w:r>
            <w:r w:rsidRPr="00234360">
              <w:rPr>
                <w:rFonts w:ascii="Calibri" w:hAnsi="Calibri" w:cs="Calibri"/>
              </w:rPr>
              <w:t> </w:t>
            </w:r>
            <w:r w:rsidRPr="00234360">
              <w:t xml:space="preserve">cent. </w:t>
            </w:r>
          </w:p>
          <w:p w14:paraId="4AAB2D41" w14:textId="77777777" w:rsidR="00234360" w:rsidRPr="00234360" w:rsidRDefault="00234360" w:rsidP="00234360">
            <w:pPr>
              <w:pStyle w:val="Tabletext"/>
            </w:pPr>
            <w:r w:rsidRPr="00234360">
              <w:t>This has caused an increase in congestion, delaying journeys by an average of 25</w:t>
            </w:r>
            <w:r>
              <w:rPr>
                <w:rFonts w:ascii="Calibri" w:hAnsi="Calibri" w:cs="Calibri"/>
              </w:rPr>
              <w:t> </w:t>
            </w:r>
            <w:r w:rsidRPr="00234360">
              <w:t xml:space="preserve">minutes at peak hours. </w:t>
            </w:r>
          </w:p>
          <w:p w14:paraId="470D2723" w14:textId="28BCA9AA" w:rsidR="00234360" w:rsidRDefault="00234360" w:rsidP="00234360">
            <w:pPr>
              <w:pStyle w:val="Tabletext"/>
            </w:pPr>
            <w:r w:rsidRPr="00234360">
              <w:t>There has also been an increase in air pollution and greenhouse gas emissions of 10</w:t>
            </w:r>
            <w:r>
              <w:rPr>
                <w:rFonts w:ascii="Calibri" w:hAnsi="Calibri" w:cs="Calibri"/>
              </w:rPr>
              <w:t> </w:t>
            </w:r>
            <w:r>
              <w:t>per cent</w:t>
            </w:r>
          </w:p>
        </w:tc>
      </w:tr>
      <w:tr w:rsidR="00234360" w14:paraId="27D90651"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39C5005A" w14:textId="4F915C9C" w:rsidR="00234360" w:rsidRDefault="00234360" w:rsidP="00234360">
            <w:pPr>
              <w:pStyle w:val="Tableheader"/>
              <w:keepNext w:val="0"/>
            </w:pPr>
            <w:r w:rsidRPr="00BE0021">
              <w:t>Sought benefits</w:t>
            </w:r>
          </w:p>
        </w:tc>
        <w:tc>
          <w:tcPr>
            <w:tcW w:w="7046" w:type="dxa"/>
            <w:tcBorders>
              <w:top w:val="single" w:sz="6" w:space="0" w:color="00698F" w:themeColor="accent1"/>
            </w:tcBorders>
          </w:tcPr>
          <w:p w14:paraId="2873AF52" w14:textId="77777777" w:rsidR="00234360" w:rsidRPr="00234360" w:rsidRDefault="00234360" w:rsidP="00234360">
            <w:pPr>
              <w:pStyle w:val="Tabletext"/>
            </w:pPr>
            <w:r w:rsidRPr="00234360">
              <w:t>Reduced road congestion and air pollution</w:t>
            </w:r>
          </w:p>
          <w:p w14:paraId="7919B7F9" w14:textId="77777777" w:rsidR="00234360" w:rsidRPr="00234360" w:rsidRDefault="00234360" w:rsidP="00234360">
            <w:pPr>
              <w:pStyle w:val="Tabletext"/>
            </w:pPr>
            <w:r w:rsidRPr="00234360">
              <w:t>Greater economic productivity</w:t>
            </w:r>
          </w:p>
          <w:p w14:paraId="6AB3CDD4" w14:textId="77777777" w:rsidR="00234360" w:rsidRPr="00234360" w:rsidRDefault="00234360" w:rsidP="00234360">
            <w:pPr>
              <w:pStyle w:val="Tabletext"/>
            </w:pPr>
            <w:r w:rsidRPr="00234360">
              <w:t>Reduced contribution to climate change</w:t>
            </w:r>
          </w:p>
          <w:p w14:paraId="0EEC4052" w14:textId="77777777" w:rsidR="00234360" w:rsidRPr="00234360" w:rsidRDefault="00234360" w:rsidP="00234360">
            <w:pPr>
              <w:pStyle w:val="Tabletext"/>
            </w:pPr>
            <w:r w:rsidRPr="00234360">
              <w:t>Healthier communities; reduced health inequalities</w:t>
            </w:r>
          </w:p>
          <w:p w14:paraId="186C3866" w14:textId="77777777" w:rsidR="00234360" w:rsidRPr="00234360" w:rsidRDefault="00234360" w:rsidP="00234360">
            <w:pPr>
              <w:pStyle w:val="Tabletext"/>
            </w:pPr>
            <w:r w:rsidRPr="00234360">
              <w:t>Environmental protection</w:t>
            </w:r>
          </w:p>
          <w:p w14:paraId="0ABC53C9" w14:textId="77777777" w:rsidR="00234360" w:rsidRPr="00234360" w:rsidRDefault="00234360" w:rsidP="00234360">
            <w:pPr>
              <w:pStyle w:val="Tabletext"/>
            </w:pPr>
            <w:r w:rsidRPr="00234360">
              <w:t>Lower costs of upgrades in future</w:t>
            </w:r>
          </w:p>
          <w:p w14:paraId="55AB4DEB" w14:textId="75E6F85E" w:rsidR="00234360" w:rsidRDefault="00234360" w:rsidP="00234360">
            <w:pPr>
              <w:pStyle w:val="Tabletext"/>
            </w:pPr>
            <w:r w:rsidRPr="00234360">
              <w:t>Infrastructure climate resilience</w:t>
            </w:r>
          </w:p>
        </w:tc>
      </w:tr>
      <w:tr w:rsidR="00234360" w14:paraId="08490987"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681B4AF9" w14:textId="6099C7A2" w:rsidR="00234360" w:rsidRPr="00BE0021" w:rsidRDefault="00234360" w:rsidP="00234360">
            <w:pPr>
              <w:pStyle w:val="Tableheader"/>
              <w:keepNext w:val="0"/>
            </w:pPr>
            <w:r w:rsidRPr="00BE0021">
              <w:t>Disbenefits</w:t>
            </w:r>
          </w:p>
        </w:tc>
        <w:tc>
          <w:tcPr>
            <w:tcW w:w="7046" w:type="dxa"/>
          </w:tcPr>
          <w:p w14:paraId="1EE82971" w14:textId="77777777" w:rsidR="00234360" w:rsidRPr="00234360" w:rsidDel="00C95612" w:rsidRDefault="00234360" w:rsidP="00234360">
            <w:pPr>
              <w:pStyle w:val="Tabletext"/>
            </w:pPr>
            <w:r w:rsidRPr="00234360">
              <w:t>Increased emissions from increased traffic</w:t>
            </w:r>
          </w:p>
          <w:p w14:paraId="4B8A8CEC" w14:textId="77777777" w:rsidR="00234360" w:rsidRPr="00234360" w:rsidRDefault="00234360" w:rsidP="00234360">
            <w:pPr>
              <w:pStyle w:val="Tabletext"/>
            </w:pPr>
            <w:r w:rsidRPr="00234360">
              <w:t>Use of virgin construction material</w:t>
            </w:r>
          </w:p>
          <w:p w14:paraId="1D4D0E68" w14:textId="77777777" w:rsidR="00234360" w:rsidRPr="00234360" w:rsidRDefault="00234360" w:rsidP="00234360">
            <w:pPr>
              <w:pStyle w:val="Tabletext"/>
            </w:pPr>
            <w:r w:rsidRPr="00234360">
              <w:t>Loss of amenity for neighbouring communities</w:t>
            </w:r>
          </w:p>
          <w:p w14:paraId="7A1810CA" w14:textId="302E6900" w:rsidR="00234360" w:rsidRPr="00234360" w:rsidRDefault="00234360" w:rsidP="00234360">
            <w:pPr>
              <w:pStyle w:val="Tabletext"/>
            </w:pPr>
            <w:r w:rsidRPr="00234360">
              <w:t>Environmental degradation</w:t>
            </w:r>
          </w:p>
        </w:tc>
      </w:tr>
      <w:tr w:rsidR="00234360" w14:paraId="1EB1C94D"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234783CB" w14:textId="18D7922E" w:rsidR="00234360" w:rsidRPr="00BE0021" w:rsidRDefault="00234360" w:rsidP="00234360">
            <w:pPr>
              <w:pStyle w:val="Tableheader"/>
              <w:keepNext w:val="0"/>
            </w:pPr>
            <w:r w:rsidRPr="00BE0021">
              <w:t>Agency priorities</w:t>
            </w:r>
          </w:p>
        </w:tc>
        <w:tc>
          <w:tcPr>
            <w:tcW w:w="7046" w:type="dxa"/>
          </w:tcPr>
          <w:p w14:paraId="6DDEDFEE" w14:textId="77777777" w:rsidR="00234360" w:rsidRPr="00234360" w:rsidRDefault="00234360" w:rsidP="00234360">
            <w:pPr>
              <w:pStyle w:val="Tabletext"/>
            </w:pPr>
            <w:r w:rsidRPr="00234360">
              <w:t>Agency’s emission reduction pledge</w:t>
            </w:r>
          </w:p>
          <w:p w14:paraId="1A4192EB" w14:textId="77777777" w:rsidR="00234360" w:rsidRPr="00234360" w:rsidRDefault="00234360" w:rsidP="00234360">
            <w:pPr>
              <w:pStyle w:val="Tabletext"/>
            </w:pPr>
            <w:r w:rsidRPr="00234360">
              <w:t>Reduce agency environmental footprint</w:t>
            </w:r>
          </w:p>
          <w:p w14:paraId="60ADF2BF" w14:textId="77777777" w:rsidR="00234360" w:rsidRPr="00234360" w:rsidRDefault="00234360" w:rsidP="00234360">
            <w:pPr>
              <w:pStyle w:val="Tabletext"/>
            </w:pPr>
            <w:r w:rsidRPr="00234360">
              <w:t>Minimise future agency spending</w:t>
            </w:r>
          </w:p>
          <w:p w14:paraId="0997C6C9" w14:textId="0C467E21" w:rsidR="00234360" w:rsidRPr="00234360" w:rsidRDefault="00234360" w:rsidP="00234360">
            <w:pPr>
              <w:pStyle w:val="Tabletext"/>
            </w:pPr>
            <w:r w:rsidRPr="00234360">
              <w:t>Supports agency’s climate resilience plan</w:t>
            </w:r>
          </w:p>
        </w:tc>
      </w:tr>
      <w:tr w:rsidR="00234360" w14:paraId="6F912CE2" w14:textId="77777777" w:rsidTr="00234360">
        <w:tc>
          <w:tcPr>
            <w:tcW w:w="1980" w:type="dxa"/>
            <w:tcBorders>
              <w:top w:val="single" w:sz="6" w:space="0" w:color="FFFFFF" w:themeColor="background1"/>
              <w:bottom w:val="single" w:sz="6" w:space="0" w:color="FFFFFF" w:themeColor="background1"/>
            </w:tcBorders>
            <w:shd w:val="clear" w:color="auto" w:fill="00698F" w:themeFill="accent1"/>
          </w:tcPr>
          <w:p w14:paraId="2D159E69" w14:textId="04C4C870" w:rsidR="00234360" w:rsidRPr="00BE0021" w:rsidRDefault="00234360" w:rsidP="00234360">
            <w:pPr>
              <w:pStyle w:val="Tableheader"/>
              <w:keepNext w:val="0"/>
            </w:pPr>
            <w:r w:rsidRPr="00BE0021">
              <w:t>Government priorities</w:t>
            </w:r>
          </w:p>
        </w:tc>
        <w:tc>
          <w:tcPr>
            <w:tcW w:w="7046" w:type="dxa"/>
          </w:tcPr>
          <w:p w14:paraId="709ADED4" w14:textId="77777777" w:rsidR="00234360" w:rsidRPr="00234360" w:rsidRDefault="00234360" w:rsidP="00234360">
            <w:pPr>
              <w:pStyle w:val="Tabletext"/>
            </w:pPr>
            <w:r w:rsidRPr="00234360">
              <w:t xml:space="preserve">Contributes to State </w:t>
            </w:r>
          </w:p>
          <w:p w14:paraId="00635797" w14:textId="77777777" w:rsidR="00234360" w:rsidRPr="00234360" w:rsidRDefault="00234360" w:rsidP="00234360">
            <w:pPr>
              <w:pStyle w:val="Tabletext"/>
            </w:pPr>
            <w:r w:rsidRPr="00234360">
              <w:t>economic development plan</w:t>
            </w:r>
          </w:p>
          <w:p w14:paraId="7E23F6F8" w14:textId="77777777" w:rsidR="00234360" w:rsidRPr="00234360" w:rsidRDefault="00234360" w:rsidP="00234360">
            <w:pPr>
              <w:pStyle w:val="Tabletext"/>
            </w:pPr>
            <w:r w:rsidRPr="00234360">
              <w:t xml:space="preserve">Alignment with </w:t>
            </w:r>
            <w:r w:rsidRPr="00FE0687">
              <w:rPr>
                <w:i/>
                <w:iCs/>
              </w:rPr>
              <w:t>Climate Change Act 2017</w:t>
            </w:r>
          </w:p>
          <w:p w14:paraId="44C6945C" w14:textId="77777777" w:rsidR="00234360" w:rsidRPr="00234360" w:rsidRDefault="00234360" w:rsidP="00234360">
            <w:pPr>
              <w:pStyle w:val="Tabletext"/>
            </w:pPr>
            <w:r w:rsidRPr="00234360">
              <w:t>Contributes to Victorian Public Health and Wellbeing Plan</w:t>
            </w:r>
          </w:p>
          <w:p w14:paraId="113676D9" w14:textId="77777777" w:rsidR="00234360" w:rsidRPr="00234360" w:rsidRDefault="00234360" w:rsidP="00234360">
            <w:pPr>
              <w:pStyle w:val="Tabletext"/>
            </w:pPr>
            <w:r w:rsidRPr="00234360">
              <w:t xml:space="preserve">Supports </w:t>
            </w:r>
            <w:r w:rsidRPr="00097D77">
              <w:t>Biodiversity 2037</w:t>
            </w:r>
          </w:p>
          <w:p w14:paraId="316AF6F7" w14:textId="717A2C1C" w:rsidR="00234360" w:rsidRPr="00234360" w:rsidRDefault="00234360" w:rsidP="00234360">
            <w:pPr>
              <w:pStyle w:val="Tabletext"/>
            </w:pPr>
            <w:r w:rsidRPr="00234360">
              <w:t>Supports agency emission reduction pledge, reduces environmental footprint (including future energy spend) and its climate resilience plan</w:t>
            </w:r>
          </w:p>
        </w:tc>
      </w:tr>
      <w:tr w:rsidR="00234360" w14:paraId="0D48A788" w14:textId="77777777" w:rsidTr="00234360">
        <w:tc>
          <w:tcPr>
            <w:tcW w:w="1980" w:type="dxa"/>
            <w:tcBorders>
              <w:top w:val="single" w:sz="6" w:space="0" w:color="FFFFFF" w:themeColor="background1"/>
              <w:bottom w:val="single" w:sz="12" w:space="0" w:color="00698F" w:themeColor="accent1"/>
            </w:tcBorders>
            <w:shd w:val="clear" w:color="auto" w:fill="00698F" w:themeFill="accent1"/>
          </w:tcPr>
          <w:p w14:paraId="6A3D695E" w14:textId="723A0A6E" w:rsidR="00234360" w:rsidRPr="00BE0021" w:rsidRDefault="00234360" w:rsidP="00234360">
            <w:pPr>
              <w:pStyle w:val="Tableheader"/>
              <w:keepNext w:val="0"/>
            </w:pPr>
            <w:r w:rsidRPr="00BE0021">
              <w:t>Alignment with SITs</w:t>
            </w:r>
          </w:p>
        </w:tc>
        <w:tc>
          <w:tcPr>
            <w:tcW w:w="7046" w:type="dxa"/>
          </w:tcPr>
          <w:p w14:paraId="6F36307E" w14:textId="77777777" w:rsidR="00234360" w:rsidRPr="00234360" w:rsidRDefault="00234360" w:rsidP="00234360">
            <w:pPr>
              <w:pStyle w:val="Tabletext"/>
            </w:pPr>
            <w:r w:rsidRPr="00234360">
              <w:t>Liveability</w:t>
            </w:r>
          </w:p>
          <w:p w14:paraId="0CEF3701" w14:textId="77777777" w:rsidR="00234360" w:rsidRPr="00234360" w:rsidRDefault="00234360" w:rsidP="00234360">
            <w:pPr>
              <w:pStyle w:val="Tabletext"/>
            </w:pPr>
            <w:r w:rsidRPr="00234360">
              <w:t>Climate Resilience</w:t>
            </w:r>
          </w:p>
          <w:p w14:paraId="501DE420" w14:textId="77777777" w:rsidR="00234360" w:rsidRPr="00234360" w:rsidRDefault="00234360" w:rsidP="00234360">
            <w:pPr>
              <w:pStyle w:val="Tabletext"/>
            </w:pPr>
            <w:r w:rsidRPr="00234360">
              <w:t>Energy productivity and carbon emissions</w:t>
            </w:r>
          </w:p>
          <w:p w14:paraId="25C57366" w14:textId="234242DD" w:rsidR="00234360" w:rsidRPr="00234360" w:rsidRDefault="00234360" w:rsidP="00234360">
            <w:pPr>
              <w:pStyle w:val="Tabletext"/>
            </w:pPr>
            <w:r w:rsidRPr="00234360">
              <w:t>Environmental protection and enhancement</w:t>
            </w:r>
            <w:r w:rsidR="00097D77">
              <w:t>;</w:t>
            </w:r>
            <w:r w:rsidRPr="00234360">
              <w:t xml:space="preserve"> </w:t>
            </w:r>
            <w:r w:rsidR="00097D77">
              <w:t>t</w:t>
            </w:r>
            <w:r w:rsidR="00097D77" w:rsidRPr="00234360">
              <w:t xml:space="preserve">ransport </w:t>
            </w:r>
            <w:r w:rsidRPr="00234360">
              <w:t>access connectivity</w:t>
            </w:r>
          </w:p>
          <w:p w14:paraId="510022EC" w14:textId="22E8C661" w:rsidR="00234360" w:rsidRPr="00234360" w:rsidRDefault="00234360" w:rsidP="00234360">
            <w:pPr>
              <w:pStyle w:val="Tabletext"/>
            </w:pPr>
            <w:r w:rsidRPr="00234360">
              <w:t>Material use and circular economy</w:t>
            </w:r>
          </w:p>
        </w:tc>
      </w:tr>
    </w:tbl>
    <w:p w14:paraId="6FD5746D" w14:textId="77777777" w:rsidR="00234360" w:rsidRPr="00234360" w:rsidRDefault="00234360" w:rsidP="00234360"/>
    <w:p w14:paraId="5CB901A4" w14:textId="77777777" w:rsidR="00234360" w:rsidRDefault="00234360" w:rsidP="00234360">
      <w:pPr>
        <w:pStyle w:val="Heading3numbered"/>
      </w:pPr>
      <w:bookmarkStart w:id="94" w:name="_Toc66806235"/>
      <w:bookmarkStart w:id="95" w:name="_Toc66863683"/>
      <w:bookmarkStart w:id="96" w:name="_Toc66863997"/>
      <w:bookmarkStart w:id="97" w:name="_Toc66866181"/>
      <w:bookmarkStart w:id="98" w:name="_Toc66867965"/>
      <w:bookmarkStart w:id="99" w:name="_Toc67925150"/>
      <w:bookmarkStart w:id="100" w:name="_Toc67926178"/>
      <w:bookmarkStart w:id="101" w:name="_Toc67926817"/>
      <w:bookmarkStart w:id="102" w:name="_Toc68006570"/>
      <w:bookmarkStart w:id="103" w:name="_Toc68006904"/>
      <w:bookmarkStart w:id="104" w:name="_Toc68007238"/>
      <w:bookmarkStart w:id="105" w:name="_Toc68007589"/>
      <w:bookmarkStart w:id="106" w:name="_Toc68007928"/>
      <w:bookmarkStart w:id="107" w:name="_Toc68008262"/>
      <w:bookmarkStart w:id="108" w:name="_Toc68008599"/>
      <w:bookmarkStart w:id="109" w:name="_Toc68071320"/>
      <w:bookmarkStart w:id="110" w:name="_Toc68071654"/>
      <w:bookmarkStart w:id="111" w:name="_Toc68071988"/>
      <w:bookmarkStart w:id="112" w:name="_Toc68074424"/>
      <w:bookmarkStart w:id="113" w:name="_Toc68074764"/>
      <w:bookmarkStart w:id="114" w:name="_Toc68075098"/>
      <w:bookmarkStart w:id="115" w:name="_Toc68075527"/>
      <w:bookmarkStart w:id="116" w:name="_Toc68075861"/>
      <w:bookmarkStart w:id="117" w:name="_Toc66806236"/>
      <w:bookmarkStart w:id="118" w:name="_Toc66863684"/>
      <w:bookmarkStart w:id="119" w:name="_Toc66863998"/>
      <w:bookmarkStart w:id="120" w:name="_Toc66866182"/>
      <w:bookmarkStart w:id="121" w:name="_Toc66867966"/>
      <w:bookmarkStart w:id="122" w:name="_Toc67925151"/>
      <w:bookmarkStart w:id="123" w:name="_Toc67926179"/>
      <w:bookmarkStart w:id="124" w:name="_Toc67926818"/>
      <w:bookmarkStart w:id="125" w:name="_Toc68006571"/>
      <w:bookmarkStart w:id="126" w:name="_Toc68006905"/>
      <w:bookmarkStart w:id="127" w:name="_Toc68007239"/>
      <w:bookmarkStart w:id="128" w:name="_Toc68007590"/>
      <w:bookmarkStart w:id="129" w:name="_Toc68007929"/>
      <w:bookmarkStart w:id="130" w:name="_Toc68008263"/>
      <w:bookmarkStart w:id="131" w:name="_Toc68008600"/>
      <w:bookmarkStart w:id="132" w:name="_Toc68071321"/>
      <w:bookmarkStart w:id="133" w:name="_Toc68071655"/>
      <w:bookmarkStart w:id="134" w:name="_Toc68071989"/>
      <w:bookmarkStart w:id="135" w:name="_Toc68074425"/>
      <w:bookmarkStart w:id="136" w:name="_Toc68074765"/>
      <w:bookmarkStart w:id="137" w:name="_Toc68075099"/>
      <w:bookmarkStart w:id="138" w:name="_Toc68075528"/>
      <w:bookmarkStart w:id="139" w:name="_Toc68075862"/>
      <w:bookmarkStart w:id="140" w:name="_Toc66806237"/>
      <w:bookmarkStart w:id="141" w:name="_Toc66863685"/>
      <w:bookmarkStart w:id="142" w:name="_Toc66863999"/>
      <w:bookmarkStart w:id="143" w:name="_Toc66866183"/>
      <w:bookmarkStart w:id="144" w:name="_Toc66867967"/>
      <w:bookmarkStart w:id="145" w:name="_Toc67925152"/>
      <w:bookmarkStart w:id="146" w:name="_Toc67926180"/>
      <w:bookmarkStart w:id="147" w:name="_Toc67926819"/>
      <w:bookmarkStart w:id="148" w:name="_Toc68006572"/>
      <w:bookmarkStart w:id="149" w:name="_Toc68006906"/>
      <w:bookmarkStart w:id="150" w:name="_Toc68007240"/>
      <w:bookmarkStart w:id="151" w:name="_Toc68007591"/>
      <w:bookmarkStart w:id="152" w:name="_Toc68007930"/>
      <w:bookmarkStart w:id="153" w:name="_Toc68008264"/>
      <w:bookmarkStart w:id="154" w:name="_Toc68008601"/>
      <w:bookmarkStart w:id="155" w:name="_Toc68071322"/>
      <w:bookmarkStart w:id="156" w:name="_Toc68071656"/>
      <w:bookmarkStart w:id="157" w:name="_Toc68071990"/>
      <w:bookmarkStart w:id="158" w:name="_Toc68074426"/>
      <w:bookmarkStart w:id="159" w:name="_Toc68074766"/>
      <w:bookmarkStart w:id="160" w:name="_Toc68075100"/>
      <w:bookmarkStart w:id="161" w:name="_Toc68075529"/>
      <w:bookmarkStart w:id="162" w:name="_Toc68075863"/>
      <w:bookmarkStart w:id="163" w:name="_Toc66806238"/>
      <w:bookmarkStart w:id="164" w:name="_Toc66863686"/>
      <w:bookmarkStart w:id="165" w:name="_Toc66864000"/>
      <w:bookmarkStart w:id="166" w:name="_Toc66866184"/>
      <w:bookmarkStart w:id="167" w:name="_Toc66867968"/>
      <w:bookmarkStart w:id="168" w:name="_Toc67925153"/>
      <w:bookmarkStart w:id="169" w:name="_Toc67926181"/>
      <w:bookmarkStart w:id="170" w:name="_Toc67926820"/>
      <w:bookmarkStart w:id="171" w:name="_Toc68006573"/>
      <w:bookmarkStart w:id="172" w:name="_Toc68006907"/>
      <w:bookmarkStart w:id="173" w:name="_Toc68007241"/>
      <w:bookmarkStart w:id="174" w:name="_Toc68007592"/>
      <w:bookmarkStart w:id="175" w:name="_Toc68007931"/>
      <w:bookmarkStart w:id="176" w:name="_Toc68008265"/>
      <w:bookmarkStart w:id="177" w:name="_Toc68008602"/>
      <w:bookmarkStart w:id="178" w:name="_Toc68071323"/>
      <w:bookmarkStart w:id="179" w:name="_Toc68071657"/>
      <w:bookmarkStart w:id="180" w:name="_Toc68071991"/>
      <w:bookmarkStart w:id="181" w:name="_Toc68074427"/>
      <w:bookmarkStart w:id="182" w:name="_Toc68074767"/>
      <w:bookmarkStart w:id="183" w:name="_Toc68075101"/>
      <w:bookmarkStart w:id="184" w:name="_Toc68075530"/>
      <w:bookmarkStart w:id="185" w:name="_Toc68075864"/>
      <w:bookmarkStart w:id="186" w:name="_Toc66806239"/>
      <w:bookmarkStart w:id="187" w:name="_Toc66863687"/>
      <w:bookmarkStart w:id="188" w:name="_Toc66864001"/>
      <w:bookmarkStart w:id="189" w:name="_Toc66866185"/>
      <w:bookmarkStart w:id="190" w:name="_Toc66867969"/>
      <w:bookmarkStart w:id="191" w:name="_Toc67925154"/>
      <w:bookmarkStart w:id="192" w:name="_Toc67926182"/>
      <w:bookmarkStart w:id="193" w:name="_Toc67926821"/>
      <w:bookmarkStart w:id="194" w:name="_Toc68006574"/>
      <w:bookmarkStart w:id="195" w:name="_Toc68006908"/>
      <w:bookmarkStart w:id="196" w:name="_Toc68007242"/>
      <w:bookmarkStart w:id="197" w:name="_Toc68007593"/>
      <w:bookmarkStart w:id="198" w:name="_Toc68007932"/>
      <w:bookmarkStart w:id="199" w:name="_Toc68008266"/>
      <w:bookmarkStart w:id="200" w:name="_Toc68008603"/>
      <w:bookmarkStart w:id="201" w:name="_Toc68071324"/>
      <w:bookmarkStart w:id="202" w:name="_Toc68071658"/>
      <w:bookmarkStart w:id="203" w:name="_Toc68071992"/>
      <w:bookmarkStart w:id="204" w:name="_Toc68074428"/>
      <w:bookmarkStart w:id="205" w:name="_Toc68074768"/>
      <w:bookmarkStart w:id="206" w:name="_Toc68075102"/>
      <w:bookmarkStart w:id="207" w:name="_Toc68075531"/>
      <w:bookmarkStart w:id="208" w:name="_Toc68075865"/>
      <w:bookmarkStart w:id="209" w:name="_Toc66806240"/>
      <w:bookmarkStart w:id="210" w:name="_Toc66863688"/>
      <w:bookmarkStart w:id="211" w:name="_Toc66864002"/>
      <w:bookmarkStart w:id="212" w:name="_Toc66866186"/>
      <w:bookmarkStart w:id="213" w:name="_Toc66867970"/>
      <w:bookmarkStart w:id="214" w:name="_Toc67925155"/>
      <w:bookmarkStart w:id="215" w:name="_Toc67926183"/>
      <w:bookmarkStart w:id="216" w:name="_Toc67926822"/>
      <w:bookmarkStart w:id="217" w:name="_Toc68006575"/>
      <w:bookmarkStart w:id="218" w:name="_Toc68006909"/>
      <w:bookmarkStart w:id="219" w:name="_Toc68007243"/>
      <w:bookmarkStart w:id="220" w:name="_Toc68007594"/>
      <w:bookmarkStart w:id="221" w:name="_Toc68007933"/>
      <w:bookmarkStart w:id="222" w:name="_Toc68008267"/>
      <w:bookmarkStart w:id="223" w:name="_Toc68008604"/>
      <w:bookmarkStart w:id="224" w:name="_Toc68071325"/>
      <w:bookmarkStart w:id="225" w:name="_Toc68071659"/>
      <w:bookmarkStart w:id="226" w:name="_Toc68071993"/>
      <w:bookmarkStart w:id="227" w:name="_Toc68074429"/>
      <w:bookmarkStart w:id="228" w:name="_Toc68074769"/>
      <w:bookmarkStart w:id="229" w:name="_Toc68075103"/>
      <w:bookmarkStart w:id="230" w:name="_Toc68075532"/>
      <w:bookmarkStart w:id="231" w:name="_Toc68075866"/>
      <w:bookmarkStart w:id="232" w:name="_Toc66806241"/>
      <w:bookmarkStart w:id="233" w:name="_Toc66863689"/>
      <w:bookmarkStart w:id="234" w:name="_Toc66864003"/>
      <w:bookmarkStart w:id="235" w:name="_Toc66866187"/>
      <w:bookmarkStart w:id="236" w:name="_Toc66867971"/>
      <w:bookmarkStart w:id="237" w:name="_Toc67925156"/>
      <w:bookmarkStart w:id="238" w:name="_Toc67926184"/>
      <w:bookmarkStart w:id="239" w:name="_Toc67926823"/>
      <w:bookmarkStart w:id="240" w:name="_Toc68006576"/>
      <w:bookmarkStart w:id="241" w:name="_Toc68006910"/>
      <w:bookmarkStart w:id="242" w:name="_Toc68007244"/>
      <w:bookmarkStart w:id="243" w:name="_Toc68007595"/>
      <w:bookmarkStart w:id="244" w:name="_Toc68007934"/>
      <w:bookmarkStart w:id="245" w:name="_Toc68008268"/>
      <w:bookmarkStart w:id="246" w:name="_Toc68008605"/>
      <w:bookmarkStart w:id="247" w:name="_Toc68071326"/>
      <w:bookmarkStart w:id="248" w:name="_Toc68071660"/>
      <w:bookmarkStart w:id="249" w:name="_Toc68071994"/>
      <w:bookmarkStart w:id="250" w:name="_Toc68074430"/>
      <w:bookmarkStart w:id="251" w:name="_Toc68074770"/>
      <w:bookmarkStart w:id="252" w:name="_Toc68075104"/>
      <w:bookmarkStart w:id="253" w:name="_Toc68075533"/>
      <w:bookmarkStart w:id="254" w:name="_Toc68075867"/>
      <w:bookmarkStart w:id="255" w:name="_Toc66806242"/>
      <w:bookmarkStart w:id="256" w:name="_Toc66863690"/>
      <w:bookmarkStart w:id="257" w:name="_Toc66864004"/>
      <w:bookmarkStart w:id="258" w:name="_Toc66866188"/>
      <w:bookmarkStart w:id="259" w:name="_Toc66867972"/>
      <w:bookmarkStart w:id="260" w:name="_Toc67925157"/>
      <w:bookmarkStart w:id="261" w:name="_Toc67926185"/>
      <w:bookmarkStart w:id="262" w:name="_Toc67926824"/>
      <w:bookmarkStart w:id="263" w:name="_Toc68006577"/>
      <w:bookmarkStart w:id="264" w:name="_Toc68006911"/>
      <w:bookmarkStart w:id="265" w:name="_Toc68007245"/>
      <w:bookmarkStart w:id="266" w:name="_Toc68007596"/>
      <w:bookmarkStart w:id="267" w:name="_Toc68007935"/>
      <w:bookmarkStart w:id="268" w:name="_Toc68008269"/>
      <w:bookmarkStart w:id="269" w:name="_Toc68008606"/>
      <w:bookmarkStart w:id="270" w:name="_Toc68071327"/>
      <w:bookmarkStart w:id="271" w:name="_Toc68071661"/>
      <w:bookmarkStart w:id="272" w:name="_Toc68071995"/>
      <w:bookmarkStart w:id="273" w:name="_Toc68074431"/>
      <w:bookmarkStart w:id="274" w:name="_Toc68074771"/>
      <w:bookmarkStart w:id="275" w:name="_Toc68075105"/>
      <w:bookmarkStart w:id="276" w:name="_Toc68075534"/>
      <w:bookmarkStart w:id="277" w:name="_Toc68075868"/>
      <w:bookmarkStart w:id="278" w:name="_Toc66806243"/>
      <w:bookmarkStart w:id="279" w:name="_Toc66863691"/>
      <w:bookmarkStart w:id="280" w:name="_Toc66864005"/>
      <w:bookmarkStart w:id="281" w:name="_Toc66866189"/>
      <w:bookmarkStart w:id="282" w:name="_Toc66867973"/>
      <w:bookmarkStart w:id="283" w:name="_Toc67925158"/>
      <w:bookmarkStart w:id="284" w:name="_Toc67926186"/>
      <w:bookmarkStart w:id="285" w:name="_Toc67926825"/>
      <w:bookmarkStart w:id="286" w:name="_Toc68006578"/>
      <w:bookmarkStart w:id="287" w:name="_Toc68006912"/>
      <w:bookmarkStart w:id="288" w:name="_Toc68007246"/>
      <w:bookmarkStart w:id="289" w:name="_Toc68007597"/>
      <w:bookmarkStart w:id="290" w:name="_Toc68007936"/>
      <w:bookmarkStart w:id="291" w:name="_Toc68008270"/>
      <w:bookmarkStart w:id="292" w:name="_Toc68008607"/>
      <w:bookmarkStart w:id="293" w:name="_Toc68071328"/>
      <w:bookmarkStart w:id="294" w:name="_Toc68071662"/>
      <w:bookmarkStart w:id="295" w:name="_Toc68071996"/>
      <w:bookmarkStart w:id="296" w:name="_Toc68074432"/>
      <w:bookmarkStart w:id="297" w:name="_Toc68074772"/>
      <w:bookmarkStart w:id="298" w:name="_Toc68075106"/>
      <w:bookmarkStart w:id="299" w:name="_Toc68075535"/>
      <w:bookmarkStart w:id="300" w:name="_Toc68075869"/>
      <w:bookmarkStart w:id="301" w:name="_Toc66806244"/>
      <w:bookmarkStart w:id="302" w:name="_Toc66863692"/>
      <w:bookmarkStart w:id="303" w:name="_Toc66864006"/>
      <w:bookmarkStart w:id="304" w:name="_Toc66866190"/>
      <w:bookmarkStart w:id="305" w:name="_Toc66867974"/>
      <w:bookmarkStart w:id="306" w:name="_Toc67925159"/>
      <w:bookmarkStart w:id="307" w:name="_Toc67926187"/>
      <w:bookmarkStart w:id="308" w:name="_Toc67926826"/>
      <w:bookmarkStart w:id="309" w:name="_Toc68006579"/>
      <w:bookmarkStart w:id="310" w:name="_Toc68006913"/>
      <w:bookmarkStart w:id="311" w:name="_Toc68007247"/>
      <w:bookmarkStart w:id="312" w:name="_Toc68007598"/>
      <w:bookmarkStart w:id="313" w:name="_Toc68007937"/>
      <w:bookmarkStart w:id="314" w:name="_Toc68008271"/>
      <w:bookmarkStart w:id="315" w:name="_Toc68008608"/>
      <w:bookmarkStart w:id="316" w:name="_Toc68071329"/>
      <w:bookmarkStart w:id="317" w:name="_Toc68071663"/>
      <w:bookmarkStart w:id="318" w:name="_Toc68071997"/>
      <w:bookmarkStart w:id="319" w:name="_Toc68074433"/>
      <w:bookmarkStart w:id="320" w:name="_Toc68074773"/>
      <w:bookmarkStart w:id="321" w:name="_Toc68075107"/>
      <w:bookmarkStart w:id="322" w:name="_Toc68075536"/>
      <w:bookmarkStart w:id="323" w:name="_Toc68075870"/>
      <w:bookmarkStart w:id="324" w:name="_Toc66806245"/>
      <w:bookmarkStart w:id="325" w:name="_Toc66863693"/>
      <w:bookmarkStart w:id="326" w:name="_Toc66864007"/>
      <w:bookmarkStart w:id="327" w:name="_Toc66866191"/>
      <w:bookmarkStart w:id="328" w:name="_Toc66867975"/>
      <w:bookmarkStart w:id="329" w:name="_Toc67925160"/>
      <w:bookmarkStart w:id="330" w:name="_Toc67926188"/>
      <w:bookmarkStart w:id="331" w:name="_Toc67926827"/>
      <w:bookmarkStart w:id="332" w:name="_Toc68006580"/>
      <w:bookmarkStart w:id="333" w:name="_Toc68006914"/>
      <w:bookmarkStart w:id="334" w:name="_Toc68007248"/>
      <w:bookmarkStart w:id="335" w:name="_Toc68007599"/>
      <w:bookmarkStart w:id="336" w:name="_Toc68007938"/>
      <w:bookmarkStart w:id="337" w:name="_Toc68008272"/>
      <w:bookmarkStart w:id="338" w:name="_Toc68008609"/>
      <w:bookmarkStart w:id="339" w:name="_Toc68071330"/>
      <w:bookmarkStart w:id="340" w:name="_Toc68071664"/>
      <w:bookmarkStart w:id="341" w:name="_Toc68071998"/>
      <w:bookmarkStart w:id="342" w:name="_Toc68074434"/>
      <w:bookmarkStart w:id="343" w:name="_Toc68074774"/>
      <w:bookmarkStart w:id="344" w:name="_Toc68075108"/>
      <w:bookmarkStart w:id="345" w:name="_Toc68075537"/>
      <w:bookmarkStart w:id="346" w:name="_Toc68075871"/>
      <w:bookmarkStart w:id="347" w:name="_Toc66806246"/>
      <w:bookmarkStart w:id="348" w:name="_Toc66863694"/>
      <w:bookmarkStart w:id="349" w:name="_Toc66864008"/>
      <w:bookmarkStart w:id="350" w:name="_Toc66866192"/>
      <w:bookmarkStart w:id="351" w:name="_Toc66867976"/>
      <w:bookmarkStart w:id="352" w:name="_Toc67925161"/>
      <w:bookmarkStart w:id="353" w:name="_Toc67926189"/>
      <w:bookmarkStart w:id="354" w:name="_Toc67926828"/>
      <w:bookmarkStart w:id="355" w:name="_Toc68006581"/>
      <w:bookmarkStart w:id="356" w:name="_Toc68006915"/>
      <w:bookmarkStart w:id="357" w:name="_Toc68007249"/>
      <w:bookmarkStart w:id="358" w:name="_Toc68007600"/>
      <w:bookmarkStart w:id="359" w:name="_Toc68007939"/>
      <w:bookmarkStart w:id="360" w:name="_Toc68008273"/>
      <w:bookmarkStart w:id="361" w:name="_Toc68008610"/>
      <w:bookmarkStart w:id="362" w:name="_Toc68071331"/>
      <w:bookmarkStart w:id="363" w:name="_Toc68071665"/>
      <w:bookmarkStart w:id="364" w:name="_Toc68071999"/>
      <w:bookmarkStart w:id="365" w:name="_Toc68074435"/>
      <w:bookmarkStart w:id="366" w:name="_Toc68074775"/>
      <w:bookmarkStart w:id="367" w:name="_Toc68075109"/>
      <w:bookmarkStart w:id="368" w:name="_Toc68075538"/>
      <w:bookmarkStart w:id="369" w:name="_Toc68075872"/>
      <w:bookmarkStart w:id="370" w:name="_Toc66806247"/>
      <w:bookmarkStart w:id="371" w:name="_Toc66863695"/>
      <w:bookmarkStart w:id="372" w:name="_Toc66864009"/>
      <w:bookmarkStart w:id="373" w:name="_Toc66866193"/>
      <w:bookmarkStart w:id="374" w:name="_Toc66867977"/>
      <w:bookmarkStart w:id="375" w:name="_Toc67925162"/>
      <w:bookmarkStart w:id="376" w:name="_Toc67926190"/>
      <w:bookmarkStart w:id="377" w:name="_Toc67926829"/>
      <w:bookmarkStart w:id="378" w:name="_Toc68006582"/>
      <w:bookmarkStart w:id="379" w:name="_Toc68006916"/>
      <w:bookmarkStart w:id="380" w:name="_Toc68007250"/>
      <w:bookmarkStart w:id="381" w:name="_Toc68007601"/>
      <w:bookmarkStart w:id="382" w:name="_Toc68007940"/>
      <w:bookmarkStart w:id="383" w:name="_Toc68008274"/>
      <w:bookmarkStart w:id="384" w:name="_Toc68008611"/>
      <w:bookmarkStart w:id="385" w:name="_Toc68071332"/>
      <w:bookmarkStart w:id="386" w:name="_Toc68071666"/>
      <w:bookmarkStart w:id="387" w:name="_Toc68072000"/>
      <w:bookmarkStart w:id="388" w:name="_Toc68074436"/>
      <w:bookmarkStart w:id="389" w:name="_Toc68074776"/>
      <w:bookmarkStart w:id="390" w:name="_Toc68075110"/>
      <w:bookmarkStart w:id="391" w:name="_Toc68075539"/>
      <w:bookmarkStart w:id="392" w:name="_Toc68075873"/>
      <w:bookmarkStart w:id="393" w:name="_Toc66806248"/>
      <w:bookmarkStart w:id="394" w:name="_Toc66863696"/>
      <w:bookmarkStart w:id="395" w:name="_Toc66864010"/>
      <w:bookmarkStart w:id="396" w:name="_Toc66866194"/>
      <w:bookmarkStart w:id="397" w:name="_Toc66867978"/>
      <w:bookmarkStart w:id="398" w:name="_Toc67925163"/>
      <w:bookmarkStart w:id="399" w:name="_Toc67926191"/>
      <w:bookmarkStart w:id="400" w:name="_Toc67926830"/>
      <w:bookmarkStart w:id="401" w:name="_Toc68006583"/>
      <w:bookmarkStart w:id="402" w:name="_Toc68006917"/>
      <w:bookmarkStart w:id="403" w:name="_Toc68007251"/>
      <w:bookmarkStart w:id="404" w:name="_Toc68007602"/>
      <w:bookmarkStart w:id="405" w:name="_Toc68007941"/>
      <w:bookmarkStart w:id="406" w:name="_Toc68008275"/>
      <w:bookmarkStart w:id="407" w:name="_Toc68008612"/>
      <w:bookmarkStart w:id="408" w:name="_Toc68071333"/>
      <w:bookmarkStart w:id="409" w:name="_Toc68071667"/>
      <w:bookmarkStart w:id="410" w:name="_Toc68072001"/>
      <w:bookmarkStart w:id="411" w:name="_Toc68074437"/>
      <w:bookmarkStart w:id="412" w:name="_Toc68074777"/>
      <w:bookmarkStart w:id="413" w:name="_Toc68075111"/>
      <w:bookmarkStart w:id="414" w:name="_Toc68075540"/>
      <w:bookmarkStart w:id="415" w:name="_Toc68075874"/>
      <w:bookmarkStart w:id="416" w:name="_Toc66806249"/>
      <w:bookmarkStart w:id="417" w:name="_Toc66863697"/>
      <w:bookmarkStart w:id="418" w:name="_Toc66864011"/>
      <w:bookmarkStart w:id="419" w:name="_Toc66866195"/>
      <w:bookmarkStart w:id="420" w:name="_Toc66867979"/>
      <w:bookmarkStart w:id="421" w:name="_Toc67925164"/>
      <w:bookmarkStart w:id="422" w:name="_Toc67926192"/>
      <w:bookmarkStart w:id="423" w:name="_Toc67926831"/>
      <w:bookmarkStart w:id="424" w:name="_Toc68006584"/>
      <w:bookmarkStart w:id="425" w:name="_Toc68006918"/>
      <w:bookmarkStart w:id="426" w:name="_Toc68007252"/>
      <w:bookmarkStart w:id="427" w:name="_Toc68007603"/>
      <w:bookmarkStart w:id="428" w:name="_Toc68007942"/>
      <w:bookmarkStart w:id="429" w:name="_Toc68008276"/>
      <w:bookmarkStart w:id="430" w:name="_Toc68008613"/>
      <w:bookmarkStart w:id="431" w:name="_Toc68071334"/>
      <w:bookmarkStart w:id="432" w:name="_Toc68071668"/>
      <w:bookmarkStart w:id="433" w:name="_Toc68072002"/>
      <w:bookmarkStart w:id="434" w:name="_Toc68074438"/>
      <w:bookmarkStart w:id="435" w:name="_Toc68074778"/>
      <w:bookmarkStart w:id="436" w:name="_Toc68075112"/>
      <w:bookmarkStart w:id="437" w:name="_Toc68075541"/>
      <w:bookmarkStart w:id="438" w:name="_Toc68075875"/>
      <w:bookmarkStart w:id="439" w:name="_Toc66806250"/>
      <w:bookmarkStart w:id="440" w:name="_Toc66863698"/>
      <w:bookmarkStart w:id="441" w:name="_Toc66864012"/>
      <w:bookmarkStart w:id="442" w:name="_Toc66866196"/>
      <w:bookmarkStart w:id="443" w:name="_Toc66867980"/>
      <w:bookmarkStart w:id="444" w:name="_Toc67925165"/>
      <w:bookmarkStart w:id="445" w:name="_Toc67926193"/>
      <w:bookmarkStart w:id="446" w:name="_Toc67926832"/>
      <w:bookmarkStart w:id="447" w:name="_Toc68006585"/>
      <w:bookmarkStart w:id="448" w:name="_Toc68006919"/>
      <w:bookmarkStart w:id="449" w:name="_Toc68007253"/>
      <w:bookmarkStart w:id="450" w:name="_Toc68007604"/>
      <w:bookmarkStart w:id="451" w:name="_Toc68007943"/>
      <w:bookmarkStart w:id="452" w:name="_Toc68008277"/>
      <w:bookmarkStart w:id="453" w:name="_Toc68008614"/>
      <w:bookmarkStart w:id="454" w:name="_Toc68071335"/>
      <w:bookmarkStart w:id="455" w:name="_Toc68071669"/>
      <w:bookmarkStart w:id="456" w:name="_Toc68072003"/>
      <w:bookmarkStart w:id="457" w:name="_Toc68074439"/>
      <w:bookmarkStart w:id="458" w:name="_Toc68074779"/>
      <w:bookmarkStart w:id="459" w:name="_Toc68075113"/>
      <w:bookmarkStart w:id="460" w:name="_Toc68075542"/>
      <w:bookmarkStart w:id="461" w:name="_Toc68075876"/>
      <w:bookmarkStart w:id="462" w:name="_Toc66806251"/>
      <w:bookmarkStart w:id="463" w:name="_Toc66863699"/>
      <w:bookmarkStart w:id="464" w:name="_Toc66864013"/>
      <w:bookmarkStart w:id="465" w:name="_Toc66866197"/>
      <w:bookmarkStart w:id="466" w:name="_Toc66867981"/>
      <w:bookmarkStart w:id="467" w:name="_Toc67925166"/>
      <w:bookmarkStart w:id="468" w:name="_Toc67926194"/>
      <w:bookmarkStart w:id="469" w:name="_Toc67926833"/>
      <w:bookmarkStart w:id="470" w:name="_Toc68006586"/>
      <w:bookmarkStart w:id="471" w:name="_Toc68006920"/>
      <w:bookmarkStart w:id="472" w:name="_Toc68007254"/>
      <w:bookmarkStart w:id="473" w:name="_Toc68007605"/>
      <w:bookmarkStart w:id="474" w:name="_Toc68007944"/>
      <w:bookmarkStart w:id="475" w:name="_Toc68008278"/>
      <w:bookmarkStart w:id="476" w:name="_Toc68008615"/>
      <w:bookmarkStart w:id="477" w:name="_Toc68071336"/>
      <w:bookmarkStart w:id="478" w:name="_Toc68071670"/>
      <w:bookmarkStart w:id="479" w:name="_Toc68072004"/>
      <w:bookmarkStart w:id="480" w:name="_Toc68074440"/>
      <w:bookmarkStart w:id="481" w:name="_Toc68074780"/>
      <w:bookmarkStart w:id="482" w:name="_Toc68075114"/>
      <w:bookmarkStart w:id="483" w:name="_Toc68075543"/>
      <w:bookmarkStart w:id="484" w:name="_Toc68075877"/>
      <w:bookmarkStart w:id="485" w:name="_Toc66806252"/>
      <w:bookmarkStart w:id="486" w:name="_Toc66863700"/>
      <w:bookmarkStart w:id="487" w:name="_Toc66864014"/>
      <w:bookmarkStart w:id="488" w:name="_Toc66866198"/>
      <w:bookmarkStart w:id="489" w:name="_Toc66867982"/>
      <w:bookmarkStart w:id="490" w:name="_Toc67925167"/>
      <w:bookmarkStart w:id="491" w:name="_Toc67926195"/>
      <w:bookmarkStart w:id="492" w:name="_Toc67926834"/>
      <w:bookmarkStart w:id="493" w:name="_Toc68006587"/>
      <w:bookmarkStart w:id="494" w:name="_Toc68006921"/>
      <w:bookmarkStart w:id="495" w:name="_Toc68007255"/>
      <w:bookmarkStart w:id="496" w:name="_Toc68007606"/>
      <w:bookmarkStart w:id="497" w:name="_Toc68007945"/>
      <w:bookmarkStart w:id="498" w:name="_Toc68008279"/>
      <w:bookmarkStart w:id="499" w:name="_Toc68008616"/>
      <w:bookmarkStart w:id="500" w:name="_Toc68071337"/>
      <w:bookmarkStart w:id="501" w:name="_Toc68071671"/>
      <w:bookmarkStart w:id="502" w:name="_Toc68072005"/>
      <w:bookmarkStart w:id="503" w:name="_Toc68074441"/>
      <w:bookmarkStart w:id="504" w:name="_Toc68074781"/>
      <w:bookmarkStart w:id="505" w:name="_Toc68075115"/>
      <w:bookmarkStart w:id="506" w:name="_Toc68075544"/>
      <w:bookmarkStart w:id="507" w:name="_Toc68075878"/>
      <w:bookmarkStart w:id="508" w:name="_Toc66806253"/>
      <w:bookmarkStart w:id="509" w:name="_Toc66863701"/>
      <w:bookmarkStart w:id="510" w:name="_Toc66864015"/>
      <w:bookmarkStart w:id="511" w:name="_Toc66866199"/>
      <w:bookmarkStart w:id="512" w:name="_Toc66867983"/>
      <w:bookmarkStart w:id="513" w:name="_Toc67925168"/>
      <w:bookmarkStart w:id="514" w:name="_Toc67926196"/>
      <w:bookmarkStart w:id="515" w:name="_Toc67926835"/>
      <w:bookmarkStart w:id="516" w:name="_Toc68006588"/>
      <w:bookmarkStart w:id="517" w:name="_Toc68006922"/>
      <w:bookmarkStart w:id="518" w:name="_Toc68007256"/>
      <w:bookmarkStart w:id="519" w:name="_Toc68007607"/>
      <w:bookmarkStart w:id="520" w:name="_Toc68007946"/>
      <w:bookmarkStart w:id="521" w:name="_Toc68008280"/>
      <w:bookmarkStart w:id="522" w:name="_Toc68008617"/>
      <w:bookmarkStart w:id="523" w:name="_Toc68071338"/>
      <w:bookmarkStart w:id="524" w:name="_Toc68071672"/>
      <w:bookmarkStart w:id="525" w:name="_Toc68072006"/>
      <w:bookmarkStart w:id="526" w:name="_Toc68074442"/>
      <w:bookmarkStart w:id="527" w:name="_Toc68074782"/>
      <w:bookmarkStart w:id="528" w:name="_Toc68075116"/>
      <w:bookmarkStart w:id="529" w:name="_Toc68075545"/>
      <w:bookmarkStart w:id="530" w:name="_Toc68075879"/>
      <w:bookmarkStart w:id="531" w:name="_Toc66806254"/>
      <w:bookmarkStart w:id="532" w:name="_Toc66863702"/>
      <w:bookmarkStart w:id="533" w:name="_Toc66864016"/>
      <w:bookmarkStart w:id="534" w:name="_Toc66866200"/>
      <w:bookmarkStart w:id="535" w:name="_Toc66867984"/>
      <w:bookmarkStart w:id="536" w:name="_Toc67925169"/>
      <w:bookmarkStart w:id="537" w:name="_Toc67926197"/>
      <w:bookmarkStart w:id="538" w:name="_Toc67926836"/>
      <w:bookmarkStart w:id="539" w:name="_Toc68006589"/>
      <w:bookmarkStart w:id="540" w:name="_Toc68006923"/>
      <w:bookmarkStart w:id="541" w:name="_Toc68007257"/>
      <w:bookmarkStart w:id="542" w:name="_Toc68007608"/>
      <w:bookmarkStart w:id="543" w:name="_Toc68007947"/>
      <w:bookmarkStart w:id="544" w:name="_Toc68008281"/>
      <w:bookmarkStart w:id="545" w:name="_Toc68008618"/>
      <w:bookmarkStart w:id="546" w:name="_Toc68071339"/>
      <w:bookmarkStart w:id="547" w:name="_Toc68071673"/>
      <w:bookmarkStart w:id="548" w:name="_Toc68072007"/>
      <w:bookmarkStart w:id="549" w:name="_Toc68074443"/>
      <w:bookmarkStart w:id="550" w:name="_Toc68074783"/>
      <w:bookmarkStart w:id="551" w:name="_Toc68075117"/>
      <w:bookmarkStart w:id="552" w:name="_Toc68075546"/>
      <w:bookmarkStart w:id="553" w:name="_Toc68075880"/>
      <w:bookmarkStart w:id="554" w:name="_Toc66806255"/>
      <w:bookmarkStart w:id="555" w:name="_Toc66863703"/>
      <w:bookmarkStart w:id="556" w:name="_Toc66864017"/>
      <w:bookmarkStart w:id="557" w:name="_Toc66866201"/>
      <w:bookmarkStart w:id="558" w:name="_Toc66867985"/>
      <w:bookmarkStart w:id="559" w:name="_Toc67925170"/>
      <w:bookmarkStart w:id="560" w:name="_Toc67926198"/>
      <w:bookmarkStart w:id="561" w:name="_Toc67926837"/>
      <w:bookmarkStart w:id="562" w:name="_Toc68006590"/>
      <w:bookmarkStart w:id="563" w:name="_Toc68006924"/>
      <w:bookmarkStart w:id="564" w:name="_Toc68007258"/>
      <w:bookmarkStart w:id="565" w:name="_Toc68007609"/>
      <w:bookmarkStart w:id="566" w:name="_Toc68007948"/>
      <w:bookmarkStart w:id="567" w:name="_Toc68008282"/>
      <w:bookmarkStart w:id="568" w:name="_Toc68008619"/>
      <w:bookmarkStart w:id="569" w:name="_Toc68071340"/>
      <w:bookmarkStart w:id="570" w:name="_Toc68071674"/>
      <w:bookmarkStart w:id="571" w:name="_Toc68072008"/>
      <w:bookmarkStart w:id="572" w:name="_Toc68074444"/>
      <w:bookmarkStart w:id="573" w:name="_Toc68074784"/>
      <w:bookmarkStart w:id="574" w:name="_Toc68075118"/>
      <w:bookmarkStart w:id="575" w:name="_Toc68075547"/>
      <w:bookmarkStart w:id="576" w:name="_Toc68075881"/>
      <w:bookmarkStart w:id="577" w:name="_Toc66806256"/>
      <w:bookmarkStart w:id="578" w:name="_Toc66863704"/>
      <w:bookmarkStart w:id="579" w:name="_Toc66864018"/>
      <w:bookmarkStart w:id="580" w:name="_Toc66866202"/>
      <w:bookmarkStart w:id="581" w:name="_Toc66867986"/>
      <w:bookmarkStart w:id="582" w:name="_Toc67925171"/>
      <w:bookmarkStart w:id="583" w:name="_Toc67926199"/>
      <w:bookmarkStart w:id="584" w:name="_Toc67926838"/>
      <w:bookmarkStart w:id="585" w:name="_Toc68006591"/>
      <w:bookmarkStart w:id="586" w:name="_Toc68006925"/>
      <w:bookmarkStart w:id="587" w:name="_Toc68007259"/>
      <w:bookmarkStart w:id="588" w:name="_Toc68007610"/>
      <w:bookmarkStart w:id="589" w:name="_Toc68007949"/>
      <w:bookmarkStart w:id="590" w:name="_Toc68008283"/>
      <w:bookmarkStart w:id="591" w:name="_Toc68008620"/>
      <w:bookmarkStart w:id="592" w:name="_Toc68071341"/>
      <w:bookmarkStart w:id="593" w:name="_Toc68071675"/>
      <w:bookmarkStart w:id="594" w:name="_Toc68072009"/>
      <w:bookmarkStart w:id="595" w:name="_Toc68074445"/>
      <w:bookmarkStart w:id="596" w:name="_Toc68074785"/>
      <w:bookmarkStart w:id="597" w:name="_Toc68075119"/>
      <w:bookmarkStart w:id="598" w:name="_Toc68075548"/>
      <w:bookmarkStart w:id="599" w:name="_Toc68075882"/>
      <w:bookmarkStart w:id="600" w:name="_Toc66806257"/>
      <w:bookmarkStart w:id="601" w:name="_Toc66863705"/>
      <w:bookmarkStart w:id="602" w:name="_Toc66864019"/>
      <w:bookmarkStart w:id="603" w:name="_Toc66866203"/>
      <w:bookmarkStart w:id="604" w:name="_Toc66867987"/>
      <w:bookmarkStart w:id="605" w:name="_Toc67925172"/>
      <w:bookmarkStart w:id="606" w:name="_Toc67926200"/>
      <w:bookmarkStart w:id="607" w:name="_Toc67926839"/>
      <w:bookmarkStart w:id="608" w:name="_Toc68006592"/>
      <w:bookmarkStart w:id="609" w:name="_Toc68006926"/>
      <w:bookmarkStart w:id="610" w:name="_Toc68007260"/>
      <w:bookmarkStart w:id="611" w:name="_Toc68007611"/>
      <w:bookmarkStart w:id="612" w:name="_Toc68007950"/>
      <w:bookmarkStart w:id="613" w:name="_Toc68008284"/>
      <w:bookmarkStart w:id="614" w:name="_Toc68008621"/>
      <w:bookmarkStart w:id="615" w:name="_Toc68071342"/>
      <w:bookmarkStart w:id="616" w:name="_Toc68071676"/>
      <w:bookmarkStart w:id="617" w:name="_Toc68072010"/>
      <w:bookmarkStart w:id="618" w:name="_Toc68074446"/>
      <w:bookmarkStart w:id="619" w:name="_Toc68074786"/>
      <w:bookmarkStart w:id="620" w:name="_Toc68075120"/>
      <w:bookmarkStart w:id="621" w:name="_Toc68075549"/>
      <w:bookmarkStart w:id="622" w:name="_Toc68075883"/>
      <w:bookmarkStart w:id="623" w:name="_Toc66806258"/>
      <w:bookmarkStart w:id="624" w:name="_Toc66863706"/>
      <w:bookmarkStart w:id="625" w:name="_Toc66864020"/>
      <w:bookmarkStart w:id="626" w:name="_Toc66866204"/>
      <w:bookmarkStart w:id="627" w:name="_Toc66867988"/>
      <w:bookmarkStart w:id="628" w:name="_Toc67925173"/>
      <w:bookmarkStart w:id="629" w:name="_Toc67926201"/>
      <w:bookmarkStart w:id="630" w:name="_Toc67926840"/>
      <w:bookmarkStart w:id="631" w:name="_Toc68006593"/>
      <w:bookmarkStart w:id="632" w:name="_Toc68006927"/>
      <w:bookmarkStart w:id="633" w:name="_Toc68007261"/>
      <w:bookmarkStart w:id="634" w:name="_Toc68007612"/>
      <w:bookmarkStart w:id="635" w:name="_Toc68007951"/>
      <w:bookmarkStart w:id="636" w:name="_Toc68008285"/>
      <w:bookmarkStart w:id="637" w:name="_Toc68008622"/>
      <w:bookmarkStart w:id="638" w:name="_Toc68071343"/>
      <w:bookmarkStart w:id="639" w:name="_Toc68071677"/>
      <w:bookmarkStart w:id="640" w:name="_Toc68072011"/>
      <w:bookmarkStart w:id="641" w:name="_Toc68074447"/>
      <w:bookmarkStart w:id="642" w:name="_Toc68074787"/>
      <w:bookmarkStart w:id="643" w:name="_Toc68075121"/>
      <w:bookmarkStart w:id="644" w:name="_Toc68075550"/>
      <w:bookmarkStart w:id="645" w:name="_Toc68075884"/>
      <w:bookmarkStart w:id="646" w:name="_Toc66806259"/>
      <w:bookmarkStart w:id="647" w:name="_Toc66863707"/>
      <w:bookmarkStart w:id="648" w:name="_Toc66864021"/>
      <w:bookmarkStart w:id="649" w:name="_Toc66866205"/>
      <w:bookmarkStart w:id="650" w:name="_Toc66867989"/>
      <w:bookmarkStart w:id="651" w:name="_Toc67925174"/>
      <w:bookmarkStart w:id="652" w:name="_Toc67926202"/>
      <w:bookmarkStart w:id="653" w:name="_Toc67926841"/>
      <w:bookmarkStart w:id="654" w:name="_Toc68006594"/>
      <w:bookmarkStart w:id="655" w:name="_Toc68006928"/>
      <w:bookmarkStart w:id="656" w:name="_Toc68007262"/>
      <w:bookmarkStart w:id="657" w:name="_Toc68007613"/>
      <w:bookmarkStart w:id="658" w:name="_Toc68007952"/>
      <w:bookmarkStart w:id="659" w:name="_Toc68008286"/>
      <w:bookmarkStart w:id="660" w:name="_Toc68008623"/>
      <w:bookmarkStart w:id="661" w:name="_Toc68071344"/>
      <w:bookmarkStart w:id="662" w:name="_Toc68071678"/>
      <w:bookmarkStart w:id="663" w:name="_Toc68072012"/>
      <w:bookmarkStart w:id="664" w:name="_Toc68074448"/>
      <w:bookmarkStart w:id="665" w:name="_Toc68074788"/>
      <w:bookmarkStart w:id="666" w:name="_Toc68075122"/>
      <w:bookmarkStart w:id="667" w:name="_Toc68075551"/>
      <w:bookmarkStart w:id="668" w:name="_Toc68075885"/>
      <w:bookmarkStart w:id="669" w:name="_Toc66806260"/>
      <w:bookmarkStart w:id="670" w:name="_Toc66863708"/>
      <w:bookmarkStart w:id="671" w:name="_Toc66864022"/>
      <w:bookmarkStart w:id="672" w:name="_Toc66866206"/>
      <w:bookmarkStart w:id="673" w:name="_Toc66867990"/>
      <w:bookmarkStart w:id="674" w:name="_Toc67925175"/>
      <w:bookmarkStart w:id="675" w:name="_Toc67926203"/>
      <w:bookmarkStart w:id="676" w:name="_Toc67926842"/>
      <w:bookmarkStart w:id="677" w:name="_Toc68006595"/>
      <w:bookmarkStart w:id="678" w:name="_Toc68006929"/>
      <w:bookmarkStart w:id="679" w:name="_Toc68007263"/>
      <w:bookmarkStart w:id="680" w:name="_Toc68007614"/>
      <w:bookmarkStart w:id="681" w:name="_Toc68007953"/>
      <w:bookmarkStart w:id="682" w:name="_Toc68008287"/>
      <w:bookmarkStart w:id="683" w:name="_Toc68008624"/>
      <w:bookmarkStart w:id="684" w:name="_Toc68071345"/>
      <w:bookmarkStart w:id="685" w:name="_Toc68071679"/>
      <w:bookmarkStart w:id="686" w:name="_Toc68072013"/>
      <w:bookmarkStart w:id="687" w:name="_Toc68074449"/>
      <w:bookmarkStart w:id="688" w:name="_Toc68074789"/>
      <w:bookmarkStart w:id="689" w:name="_Toc68075123"/>
      <w:bookmarkStart w:id="690" w:name="_Toc68075552"/>
      <w:bookmarkStart w:id="691" w:name="_Toc68075886"/>
      <w:bookmarkStart w:id="692" w:name="_Toc66806261"/>
      <w:bookmarkStart w:id="693" w:name="_Toc66863709"/>
      <w:bookmarkStart w:id="694" w:name="_Toc66864023"/>
      <w:bookmarkStart w:id="695" w:name="_Toc66866207"/>
      <w:bookmarkStart w:id="696" w:name="_Toc66867991"/>
      <w:bookmarkStart w:id="697" w:name="_Toc67925176"/>
      <w:bookmarkStart w:id="698" w:name="_Toc67926204"/>
      <w:bookmarkStart w:id="699" w:name="_Toc67926843"/>
      <w:bookmarkStart w:id="700" w:name="_Toc68006596"/>
      <w:bookmarkStart w:id="701" w:name="_Toc68006930"/>
      <w:bookmarkStart w:id="702" w:name="_Toc68007264"/>
      <w:bookmarkStart w:id="703" w:name="_Toc68007615"/>
      <w:bookmarkStart w:id="704" w:name="_Toc68007954"/>
      <w:bookmarkStart w:id="705" w:name="_Toc68008288"/>
      <w:bookmarkStart w:id="706" w:name="_Toc68008625"/>
      <w:bookmarkStart w:id="707" w:name="_Toc68071346"/>
      <w:bookmarkStart w:id="708" w:name="_Toc68071680"/>
      <w:bookmarkStart w:id="709" w:name="_Toc68072014"/>
      <w:bookmarkStart w:id="710" w:name="_Toc68074450"/>
      <w:bookmarkStart w:id="711" w:name="_Toc68074790"/>
      <w:bookmarkStart w:id="712" w:name="_Toc68075124"/>
      <w:bookmarkStart w:id="713" w:name="_Toc68075553"/>
      <w:bookmarkStart w:id="714" w:name="_Toc68075887"/>
      <w:bookmarkStart w:id="715" w:name="_Toc66806262"/>
      <w:bookmarkStart w:id="716" w:name="_Toc66863710"/>
      <w:bookmarkStart w:id="717" w:name="_Toc66864024"/>
      <w:bookmarkStart w:id="718" w:name="_Toc66866208"/>
      <w:bookmarkStart w:id="719" w:name="_Toc66867992"/>
      <w:bookmarkStart w:id="720" w:name="_Toc67925177"/>
      <w:bookmarkStart w:id="721" w:name="_Toc67926205"/>
      <w:bookmarkStart w:id="722" w:name="_Toc67926844"/>
      <w:bookmarkStart w:id="723" w:name="_Toc68006597"/>
      <w:bookmarkStart w:id="724" w:name="_Toc68006931"/>
      <w:bookmarkStart w:id="725" w:name="_Toc68007265"/>
      <w:bookmarkStart w:id="726" w:name="_Toc68007616"/>
      <w:bookmarkStart w:id="727" w:name="_Toc68007955"/>
      <w:bookmarkStart w:id="728" w:name="_Toc68008289"/>
      <w:bookmarkStart w:id="729" w:name="_Toc68008626"/>
      <w:bookmarkStart w:id="730" w:name="_Toc68071347"/>
      <w:bookmarkStart w:id="731" w:name="_Toc68071681"/>
      <w:bookmarkStart w:id="732" w:name="_Toc68072015"/>
      <w:bookmarkStart w:id="733" w:name="_Toc68074451"/>
      <w:bookmarkStart w:id="734" w:name="_Toc68074791"/>
      <w:bookmarkStart w:id="735" w:name="_Toc68075125"/>
      <w:bookmarkStart w:id="736" w:name="_Toc68075554"/>
      <w:bookmarkStart w:id="737" w:name="_Toc68075888"/>
      <w:bookmarkStart w:id="738" w:name="_Toc66806263"/>
      <w:bookmarkStart w:id="739" w:name="_Toc66863711"/>
      <w:bookmarkStart w:id="740" w:name="_Toc66864025"/>
      <w:bookmarkStart w:id="741" w:name="_Toc66866209"/>
      <w:bookmarkStart w:id="742" w:name="_Toc66867993"/>
      <w:bookmarkStart w:id="743" w:name="_Toc67925178"/>
      <w:bookmarkStart w:id="744" w:name="_Toc67926206"/>
      <w:bookmarkStart w:id="745" w:name="_Toc67926845"/>
      <w:bookmarkStart w:id="746" w:name="_Toc68006598"/>
      <w:bookmarkStart w:id="747" w:name="_Toc68006932"/>
      <w:bookmarkStart w:id="748" w:name="_Toc68007266"/>
      <w:bookmarkStart w:id="749" w:name="_Toc68007617"/>
      <w:bookmarkStart w:id="750" w:name="_Toc68007956"/>
      <w:bookmarkStart w:id="751" w:name="_Toc68008290"/>
      <w:bookmarkStart w:id="752" w:name="_Toc68008627"/>
      <w:bookmarkStart w:id="753" w:name="_Toc68071348"/>
      <w:bookmarkStart w:id="754" w:name="_Toc68071682"/>
      <w:bookmarkStart w:id="755" w:name="_Toc68072016"/>
      <w:bookmarkStart w:id="756" w:name="_Toc68074452"/>
      <w:bookmarkStart w:id="757" w:name="_Toc68074792"/>
      <w:bookmarkStart w:id="758" w:name="_Toc68075126"/>
      <w:bookmarkStart w:id="759" w:name="_Toc68075555"/>
      <w:bookmarkStart w:id="760" w:name="_Toc68075889"/>
      <w:bookmarkStart w:id="761" w:name="_Toc66806264"/>
      <w:bookmarkStart w:id="762" w:name="_Toc66863712"/>
      <w:bookmarkStart w:id="763" w:name="_Toc66864026"/>
      <w:bookmarkStart w:id="764" w:name="_Toc66866210"/>
      <w:bookmarkStart w:id="765" w:name="_Toc66867994"/>
      <w:bookmarkStart w:id="766" w:name="_Toc67925179"/>
      <w:bookmarkStart w:id="767" w:name="_Toc67926207"/>
      <w:bookmarkStart w:id="768" w:name="_Toc67926846"/>
      <w:bookmarkStart w:id="769" w:name="_Toc68006599"/>
      <w:bookmarkStart w:id="770" w:name="_Toc68006933"/>
      <w:bookmarkStart w:id="771" w:name="_Toc68007267"/>
      <w:bookmarkStart w:id="772" w:name="_Toc68007618"/>
      <w:bookmarkStart w:id="773" w:name="_Toc68007957"/>
      <w:bookmarkStart w:id="774" w:name="_Toc68008291"/>
      <w:bookmarkStart w:id="775" w:name="_Toc68008628"/>
      <w:bookmarkStart w:id="776" w:name="_Toc68071349"/>
      <w:bookmarkStart w:id="777" w:name="_Toc68071683"/>
      <w:bookmarkStart w:id="778" w:name="_Toc68072017"/>
      <w:bookmarkStart w:id="779" w:name="_Toc68074453"/>
      <w:bookmarkStart w:id="780" w:name="_Toc68074793"/>
      <w:bookmarkStart w:id="781" w:name="_Toc68075127"/>
      <w:bookmarkStart w:id="782" w:name="_Toc68075556"/>
      <w:bookmarkStart w:id="783" w:name="_Toc68075890"/>
      <w:bookmarkStart w:id="784" w:name="_Toc66806265"/>
      <w:bookmarkStart w:id="785" w:name="_Toc66863713"/>
      <w:bookmarkStart w:id="786" w:name="_Toc66864027"/>
      <w:bookmarkStart w:id="787" w:name="_Toc66866211"/>
      <w:bookmarkStart w:id="788" w:name="_Toc66867995"/>
      <w:bookmarkStart w:id="789" w:name="_Toc67925180"/>
      <w:bookmarkStart w:id="790" w:name="_Toc67926208"/>
      <w:bookmarkStart w:id="791" w:name="_Toc67926847"/>
      <w:bookmarkStart w:id="792" w:name="_Toc68006600"/>
      <w:bookmarkStart w:id="793" w:name="_Toc68006934"/>
      <w:bookmarkStart w:id="794" w:name="_Toc68007268"/>
      <w:bookmarkStart w:id="795" w:name="_Toc68007619"/>
      <w:bookmarkStart w:id="796" w:name="_Toc68007958"/>
      <w:bookmarkStart w:id="797" w:name="_Toc68008292"/>
      <w:bookmarkStart w:id="798" w:name="_Toc68008629"/>
      <w:bookmarkStart w:id="799" w:name="_Toc68071350"/>
      <w:bookmarkStart w:id="800" w:name="_Toc68071684"/>
      <w:bookmarkStart w:id="801" w:name="_Toc68072018"/>
      <w:bookmarkStart w:id="802" w:name="_Toc68074454"/>
      <w:bookmarkStart w:id="803" w:name="_Toc68074794"/>
      <w:bookmarkStart w:id="804" w:name="_Toc68075128"/>
      <w:bookmarkStart w:id="805" w:name="_Toc68075557"/>
      <w:bookmarkStart w:id="806" w:name="_Toc68075891"/>
      <w:bookmarkStart w:id="807" w:name="_Toc66806266"/>
      <w:bookmarkStart w:id="808" w:name="_Toc66863714"/>
      <w:bookmarkStart w:id="809" w:name="_Toc66864028"/>
      <w:bookmarkStart w:id="810" w:name="_Toc66866212"/>
      <w:bookmarkStart w:id="811" w:name="_Toc66867996"/>
      <w:bookmarkStart w:id="812" w:name="_Toc67925181"/>
      <w:bookmarkStart w:id="813" w:name="_Toc67926209"/>
      <w:bookmarkStart w:id="814" w:name="_Toc67926848"/>
      <w:bookmarkStart w:id="815" w:name="_Toc68006601"/>
      <w:bookmarkStart w:id="816" w:name="_Toc68006935"/>
      <w:bookmarkStart w:id="817" w:name="_Toc68007269"/>
      <w:bookmarkStart w:id="818" w:name="_Toc68007620"/>
      <w:bookmarkStart w:id="819" w:name="_Toc68007959"/>
      <w:bookmarkStart w:id="820" w:name="_Toc68008293"/>
      <w:bookmarkStart w:id="821" w:name="_Toc68008630"/>
      <w:bookmarkStart w:id="822" w:name="_Toc68071351"/>
      <w:bookmarkStart w:id="823" w:name="_Toc68071685"/>
      <w:bookmarkStart w:id="824" w:name="_Toc68072019"/>
      <w:bookmarkStart w:id="825" w:name="_Toc68074455"/>
      <w:bookmarkStart w:id="826" w:name="_Toc68074795"/>
      <w:bookmarkStart w:id="827" w:name="_Toc68075129"/>
      <w:bookmarkStart w:id="828" w:name="_Toc68075558"/>
      <w:bookmarkStart w:id="829" w:name="_Toc68075892"/>
      <w:bookmarkStart w:id="830" w:name="_Toc66806267"/>
      <w:bookmarkStart w:id="831" w:name="_Toc66863715"/>
      <w:bookmarkStart w:id="832" w:name="_Toc66864029"/>
      <w:bookmarkStart w:id="833" w:name="_Toc66866213"/>
      <w:bookmarkStart w:id="834" w:name="_Toc66867997"/>
      <w:bookmarkStart w:id="835" w:name="_Toc67925182"/>
      <w:bookmarkStart w:id="836" w:name="_Toc67926210"/>
      <w:bookmarkStart w:id="837" w:name="_Toc67926849"/>
      <w:bookmarkStart w:id="838" w:name="_Toc68006602"/>
      <w:bookmarkStart w:id="839" w:name="_Toc68006936"/>
      <w:bookmarkStart w:id="840" w:name="_Toc68007270"/>
      <w:bookmarkStart w:id="841" w:name="_Toc68007621"/>
      <w:bookmarkStart w:id="842" w:name="_Toc68007960"/>
      <w:bookmarkStart w:id="843" w:name="_Toc68008294"/>
      <w:bookmarkStart w:id="844" w:name="_Toc68008631"/>
      <w:bookmarkStart w:id="845" w:name="_Toc68071352"/>
      <w:bookmarkStart w:id="846" w:name="_Toc68071686"/>
      <w:bookmarkStart w:id="847" w:name="_Toc68072020"/>
      <w:bookmarkStart w:id="848" w:name="_Toc68074456"/>
      <w:bookmarkStart w:id="849" w:name="_Toc68074796"/>
      <w:bookmarkStart w:id="850" w:name="_Toc68075130"/>
      <w:bookmarkStart w:id="851" w:name="_Toc68075559"/>
      <w:bookmarkStart w:id="852" w:name="_Toc68075893"/>
      <w:bookmarkStart w:id="853" w:name="_Toc64976401"/>
      <w:bookmarkStart w:id="854" w:name="_Toc64977501"/>
      <w:bookmarkStart w:id="855" w:name="_Toc65244464"/>
      <w:bookmarkStart w:id="856" w:name="_Toc65244704"/>
      <w:bookmarkStart w:id="857" w:name="_Toc65505944"/>
      <w:bookmarkStart w:id="858" w:name="_Toc65577351"/>
      <w:bookmarkStart w:id="859" w:name="_Toc65596420"/>
      <w:bookmarkStart w:id="860" w:name="_Toc65597144"/>
      <w:bookmarkStart w:id="861" w:name="_Toc65597370"/>
      <w:bookmarkStart w:id="862" w:name="_Toc66195183"/>
      <w:bookmarkStart w:id="863" w:name="_Toc66460031"/>
      <w:bookmarkStart w:id="864" w:name="_Toc66709378"/>
      <w:bookmarkStart w:id="865" w:name="_Toc66713743"/>
      <w:bookmarkStart w:id="866" w:name="_Toc66806268"/>
      <w:bookmarkStart w:id="867" w:name="_Toc66863716"/>
      <w:bookmarkStart w:id="868" w:name="_Toc66864030"/>
      <w:bookmarkStart w:id="869" w:name="_Toc66866214"/>
      <w:bookmarkStart w:id="870" w:name="_Toc66867998"/>
      <w:bookmarkStart w:id="871" w:name="_Toc67925183"/>
      <w:bookmarkStart w:id="872" w:name="_Toc67926211"/>
      <w:bookmarkStart w:id="873" w:name="_Toc67926850"/>
      <w:bookmarkStart w:id="874" w:name="_Toc68006603"/>
      <w:bookmarkStart w:id="875" w:name="_Toc68006937"/>
      <w:bookmarkStart w:id="876" w:name="_Toc68007271"/>
      <w:bookmarkStart w:id="877" w:name="_Toc68007622"/>
      <w:bookmarkStart w:id="878" w:name="_Toc68007961"/>
      <w:bookmarkStart w:id="879" w:name="_Toc68008295"/>
      <w:bookmarkStart w:id="880" w:name="_Toc68008632"/>
      <w:bookmarkStart w:id="881" w:name="_Toc68071353"/>
      <w:bookmarkStart w:id="882" w:name="_Toc68071687"/>
      <w:bookmarkStart w:id="883" w:name="_Toc68072021"/>
      <w:bookmarkStart w:id="884" w:name="_Toc68074457"/>
      <w:bookmarkStart w:id="885" w:name="_Toc68074797"/>
      <w:bookmarkStart w:id="886" w:name="_Toc68075131"/>
      <w:bookmarkStart w:id="887" w:name="_Toc68075560"/>
      <w:bookmarkStart w:id="888" w:name="_Toc68075894"/>
      <w:bookmarkStart w:id="889" w:name="_Toc53490267"/>
      <w:bookmarkStart w:id="890" w:name="_Toc53490452"/>
      <w:bookmarkStart w:id="891" w:name="_Toc6876928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9B2B67">
        <w:t>Developing</w:t>
      </w:r>
      <w:r>
        <w:t xml:space="preserve"> project options and solutions</w:t>
      </w:r>
      <w:bookmarkEnd w:id="891"/>
    </w:p>
    <w:p w14:paraId="4080C985" w14:textId="7BA26740" w:rsidR="00234360" w:rsidRDefault="00234360" w:rsidP="00234360">
      <w:r>
        <w:t xml:space="preserve">Sustainable investment considerations are not just an </w:t>
      </w:r>
      <w:r w:rsidR="00F00708">
        <w:t>‘</w:t>
      </w:r>
      <w:r>
        <w:t>add</w:t>
      </w:r>
      <w:r w:rsidR="00601819">
        <w:noBreakHyphen/>
      </w:r>
      <w:r>
        <w:t>on</w:t>
      </w:r>
      <w:r w:rsidR="00F00708">
        <w:t>’</w:t>
      </w:r>
      <w:r>
        <w:t xml:space="preserve"> but an integral part of project options and solution development. Good project options assessments should ensure investment decisions are not made simply </w:t>
      </w:r>
      <w:proofErr w:type="gramStart"/>
      <w:r>
        <w:t>on the basis of</w:t>
      </w:r>
      <w:proofErr w:type="gramEnd"/>
      <w:r>
        <w:t xml:space="preserve"> the lowest possible cost (in short</w:t>
      </w:r>
      <w:r w:rsidR="00601819">
        <w:noBreakHyphen/>
      </w:r>
      <w:r>
        <w:t>term monetary terms), or sustainability only in terms of environmental impacts, but consider all aspects of sustainability costs and benefits (across all eight SITs) arising from each of the project options, including the opportunity cost of not incorporating such benefits.</w:t>
      </w:r>
    </w:p>
    <w:p w14:paraId="446FB932" w14:textId="7AD89E32" w:rsidR="00234360" w:rsidRPr="00F50498" w:rsidRDefault="00F50498" w:rsidP="009D3A3F">
      <w:pPr>
        <w:pStyle w:val="Breakoutheading"/>
      </w:pPr>
      <w:bookmarkStart w:id="892" w:name="_Toc75427322"/>
      <w:r w:rsidRPr="00F50498">
        <w:t xml:space="preserve">Case study </w:t>
      </w:r>
      <w:r>
        <w:fldChar w:fldCharType="begin"/>
      </w:r>
      <w:r>
        <w:instrText>SEQ Case_study \* ARABIC</w:instrText>
      </w:r>
      <w:r>
        <w:fldChar w:fldCharType="separate"/>
      </w:r>
      <w:r w:rsidR="00FC7DAA">
        <w:rPr>
          <w:noProof/>
        </w:rPr>
        <w:t>2</w:t>
      </w:r>
      <w:r>
        <w:fldChar w:fldCharType="end"/>
      </w:r>
      <w:r w:rsidR="00F00708">
        <w:t xml:space="preserve"> – </w:t>
      </w:r>
      <w:r w:rsidRPr="00F50498">
        <w:t>Energy efficiency in the built environment</w:t>
      </w:r>
      <w:bookmarkEnd w:id="892"/>
    </w:p>
    <w:p w14:paraId="3D12FA27" w14:textId="77777777" w:rsidR="00F50498" w:rsidRPr="00F50498" w:rsidRDefault="00F50498" w:rsidP="009D3A3F">
      <w:pPr>
        <w:pStyle w:val="Breakouttext"/>
      </w:pPr>
      <w:r w:rsidRPr="00F50498">
        <w:t>A common type of sustainable investment is the construction of energy efficient buildings. This requires capital expenditure up front which can sometimes be more expensive than the construction costs of less efficient buildings. However, the operational cost savings for energy efficient buildings can be significant.</w:t>
      </w:r>
    </w:p>
    <w:p w14:paraId="1C136E35" w14:textId="44F00F32" w:rsidR="00F50498" w:rsidRPr="00F50498" w:rsidRDefault="00F50498" w:rsidP="009D3A3F">
      <w:pPr>
        <w:pStyle w:val="Breakouttext"/>
      </w:pPr>
      <w:r w:rsidRPr="00F50498">
        <w:t xml:space="preserve">A 2013 report from the World Green Building Council found that </w:t>
      </w:r>
      <w:r w:rsidR="00F00708">
        <w:t>‘</w:t>
      </w:r>
      <w:r w:rsidRPr="00F50498">
        <w:t>…</w:t>
      </w:r>
      <w:r w:rsidR="00624172">
        <w:t xml:space="preserve"> </w:t>
      </w:r>
      <w:r w:rsidRPr="00F50498">
        <w:t xml:space="preserve">for </w:t>
      </w:r>
      <w:proofErr w:type="gramStart"/>
      <w:r w:rsidRPr="00F50498">
        <w:t>the majority of</w:t>
      </w:r>
      <w:proofErr w:type="gramEnd"/>
      <w:r w:rsidRPr="00F50498">
        <w:t xml:space="preserve"> certified green buildings, the cost typically ranges from less than 0</w:t>
      </w:r>
      <w:r w:rsidR="00965764">
        <w:t xml:space="preserve"> per cent</w:t>
      </w:r>
      <w:r w:rsidR="00965764" w:rsidRPr="00F50498">
        <w:t xml:space="preserve"> </w:t>
      </w:r>
      <w:r w:rsidRPr="00F50498">
        <w:t>to 4</w:t>
      </w:r>
      <w:r w:rsidR="00965764">
        <w:t xml:space="preserve"> per cent</w:t>
      </w:r>
      <w:r w:rsidRPr="00F50498">
        <w:t xml:space="preserve"> [more than other buildings]</w:t>
      </w:r>
      <w:r w:rsidR="00F00708">
        <w:t>’</w:t>
      </w:r>
      <w:r w:rsidRPr="00F50498">
        <w:t>. This alone suggests that energy efficient buildings can be cheaper to build than less efficient buildings (World Green Building Council, 2013)</w:t>
      </w:r>
      <w:r w:rsidR="00624172">
        <w:t>.</w:t>
      </w:r>
    </w:p>
    <w:p w14:paraId="30779809" w14:textId="04A8EFBB" w:rsidR="00F50498" w:rsidRPr="00F50498" w:rsidRDefault="00F50498" w:rsidP="009D3A3F">
      <w:pPr>
        <w:pStyle w:val="Breakouttext"/>
      </w:pPr>
      <w:r w:rsidRPr="00F50498">
        <w:t xml:space="preserve">The same report goes on to state that estimates for the reduction in a green building’s energy use compared </w:t>
      </w:r>
      <w:r w:rsidR="00965764">
        <w:t>with</w:t>
      </w:r>
      <w:r w:rsidR="00965764" w:rsidRPr="00F50498">
        <w:t xml:space="preserve"> </w:t>
      </w:r>
      <w:r w:rsidRPr="00F50498">
        <w:t>a conventional code</w:t>
      </w:r>
      <w:r w:rsidR="00601819">
        <w:noBreakHyphen/>
      </w:r>
      <w:r w:rsidRPr="00F50498">
        <w:t>compliant building range from 25</w:t>
      </w:r>
      <w:r w:rsidR="00601819">
        <w:noBreakHyphen/>
      </w:r>
      <w:r w:rsidRPr="00F50498">
        <w:t>50</w:t>
      </w:r>
      <w:r w:rsidR="00965764" w:rsidRPr="00965764">
        <w:t xml:space="preserve"> </w:t>
      </w:r>
      <w:r w:rsidR="00965764">
        <w:t>per cent</w:t>
      </w:r>
      <w:r w:rsidRPr="00F50498">
        <w:t xml:space="preserve"> (based on studies from the United States and New Zealand). This represents significant savings over the lifetime of a building.</w:t>
      </w:r>
    </w:p>
    <w:p w14:paraId="1596C266" w14:textId="7A532F16" w:rsidR="00F50498" w:rsidRPr="00F50498" w:rsidRDefault="00F50498" w:rsidP="009D3A3F">
      <w:pPr>
        <w:pStyle w:val="Breakouttext"/>
      </w:pPr>
      <w:r w:rsidRPr="00F50498">
        <w:t>The Green Building Council of Australia note that energy efficiency can generate up to 76</w:t>
      </w:r>
      <w:r w:rsidR="00624172">
        <w:t xml:space="preserve"> per cent</w:t>
      </w:r>
      <w:r w:rsidRPr="00F50498">
        <w:t xml:space="preserve"> productivity gains from improved ventilation, access to daylight and operable windows, and well</w:t>
      </w:r>
      <w:r w:rsidR="00601819">
        <w:noBreakHyphen/>
      </w:r>
      <w:r w:rsidRPr="00F50498">
        <w:t>designed lighting, as well as 20</w:t>
      </w:r>
      <w:r w:rsidR="00965764" w:rsidRPr="00965764">
        <w:t xml:space="preserve"> </w:t>
      </w:r>
      <w:r w:rsidR="00965764">
        <w:t>per cent</w:t>
      </w:r>
      <w:r w:rsidRPr="00F50498">
        <w:t xml:space="preserve"> savings of total construction costs over a building’s lifetime. As</w:t>
      </w:r>
      <w:r w:rsidR="00624172">
        <w:rPr>
          <w:rFonts w:ascii="Calibri" w:hAnsi="Calibri" w:cs="Calibri"/>
        </w:rPr>
        <w:t> </w:t>
      </w:r>
      <w:r w:rsidRPr="00F50498">
        <w:t>well as these results, energy efficiency also reduces greenhouse gas emissions, improves comfort, wellbeing, and public health outcomes, and improves energy security. These figures show that perceptions of additional costs for sustainable investments can be inaccurate. Even in cases where there is a small additional cost compared with conventional approaches, the operational savings can be significant.</w:t>
      </w:r>
    </w:p>
    <w:p w14:paraId="112F9FE7" w14:textId="143DF9CA" w:rsidR="00F50498" w:rsidRDefault="00F50498" w:rsidP="009D3A3F">
      <w:pPr>
        <w:pStyle w:val="Spacer"/>
      </w:pPr>
    </w:p>
    <w:p w14:paraId="4E5B3140" w14:textId="3087E3B2" w:rsidR="00F50498" w:rsidRDefault="00F50498" w:rsidP="00F50498">
      <w:r w:rsidRPr="00EE77A4">
        <w:lastRenderedPageBreak/>
        <w:t>The development of good options and investment outcomes can be influenced strongly by the early engagement of experts and appropriate allocation of budget necessary to invest in sustainable option advice and development in the business case stage. Importantly, sustainable investment option and solution development should be undertaken from a multi</w:t>
      </w:r>
      <w:r w:rsidR="00601819">
        <w:noBreakHyphen/>
      </w:r>
      <w:r w:rsidRPr="00EE77A4">
        <w:t xml:space="preserve">disciplinary perspective </w:t>
      </w:r>
      <w:proofErr w:type="gramStart"/>
      <w:r w:rsidRPr="00EE77A4">
        <w:t>in order to</w:t>
      </w:r>
      <w:proofErr w:type="gramEnd"/>
      <w:r w:rsidRPr="00EE77A4">
        <w:t xml:space="preserve"> fully and accurately identify problem/issue and develop optimal options considering SITs. As sustainable investment options should be developed considering the SITs, it is important to note that while the engagement of a single ‘sustainability’ expert would result in environmental sustainability being considered appropriately, this would fall short of the Victorian Government’s sustainable investment requirements, which considers sustainability across a broader perspective.</w:t>
      </w:r>
    </w:p>
    <w:p w14:paraId="1B7D31A7" w14:textId="387FC92B" w:rsidR="00F50498" w:rsidRDefault="00F50498" w:rsidP="00F50498">
      <w:r w:rsidRPr="005A1B77">
        <w:t xml:space="preserve">It should be noted that although the project lifecycle is shown as clear linear stages, it is important to understand that a level of procurement may occur at various points in time, for example early engagement of experts to develop appropriate options in the business case stage and engagement of design consultants for concept design and tender documentation may be required to inform construction tenders. The benefits (or lost opportunity) of early engagement of experts and the iterative design </w:t>
      </w:r>
      <w:proofErr w:type="gramStart"/>
      <w:r w:rsidRPr="005A1B77">
        <w:t>is</w:t>
      </w:r>
      <w:proofErr w:type="gramEnd"/>
      <w:r w:rsidRPr="005A1B77">
        <w:t xml:space="preserve"> shown in </w:t>
      </w:r>
      <w:r w:rsidRPr="005A1B77">
        <w:fldChar w:fldCharType="begin"/>
      </w:r>
      <w:r w:rsidRPr="005A1B77">
        <w:instrText xml:space="preserve"> REF _Ref68687332 \h </w:instrText>
      </w:r>
      <w:r>
        <w:instrText xml:space="preserve"> \* MERGEFORMAT </w:instrText>
      </w:r>
      <w:r w:rsidRPr="005A1B77">
        <w:fldChar w:fldCharType="separate"/>
      </w:r>
      <w:r w:rsidR="00FC7DAA">
        <w:t xml:space="preserve">Figure </w:t>
      </w:r>
      <w:r w:rsidR="00FC7DAA">
        <w:rPr>
          <w:noProof/>
        </w:rPr>
        <w:t>4</w:t>
      </w:r>
      <w:r w:rsidRPr="005A1B77">
        <w:fldChar w:fldCharType="end"/>
      </w:r>
      <w:r w:rsidRPr="005A1B77">
        <w:t>.</w:t>
      </w:r>
    </w:p>
    <w:p w14:paraId="28A47222" w14:textId="5401E311" w:rsidR="00F50498" w:rsidRDefault="00434FBE" w:rsidP="00F50498">
      <w:pPr>
        <w:pStyle w:val="Caption"/>
        <w:rPr>
          <w:noProof/>
        </w:rPr>
      </w:pPr>
      <w:bookmarkStart w:id="893" w:name="_Ref68687332"/>
      <w:bookmarkStart w:id="894" w:name="_Toc117258720"/>
      <w:r>
        <w:t xml:space="preserve">Figure </w:t>
      </w:r>
      <w:r>
        <w:fldChar w:fldCharType="begin"/>
      </w:r>
      <w:r>
        <w:instrText>SEQ Figure \* ARABIC</w:instrText>
      </w:r>
      <w:r>
        <w:fldChar w:fldCharType="separate"/>
      </w:r>
      <w:r w:rsidR="00FC7DAA">
        <w:rPr>
          <w:noProof/>
        </w:rPr>
        <w:t>4</w:t>
      </w:r>
      <w:r>
        <w:fldChar w:fldCharType="end"/>
      </w:r>
      <w:bookmarkEnd w:id="893"/>
      <w:r>
        <w:t xml:space="preserve"> – </w:t>
      </w:r>
      <w:r w:rsidR="00F50498">
        <w:t>Sustainable investment outcome influence</w:t>
      </w:r>
      <w:r w:rsidR="00F50498">
        <w:rPr>
          <w:noProof/>
        </w:rPr>
        <w:t xml:space="preserve"> over the project lifecycle</w:t>
      </w:r>
      <w:bookmarkEnd w:id="894"/>
    </w:p>
    <w:p w14:paraId="298311C3" w14:textId="0D446FCF" w:rsidR="00104664" w:rsidRPr="00104664" w:rsidRDefault="00104664" w:rsidP="00104664">
      <w:r w:rsidRPr="00104664">
        <w:rPr>
          <w:noProof/>
        </w:rPr>
        <mc:AlternateContent>
          <mc:Choice Requires="wpg">
            <w:drawing>
              <wp:inline distT="0" distB="0" distL="0" distR="0" wp14:anchorId="158206E2" wp14:editId="3C99EB5C">
                <wp:extent cx="5764159" cy="2666575"/>
                <wp:effectExtent l="0" t="38100" r="8255" b="635"/>
                <wp:docPr id="2131589139" name="Group 90"/>
                <wp:cNvGraphicFramePr/>
                <a:graphic xmlns:a="http://schemas.openxmlformats.org/drawingml/2006/main">
                  <a:graphicData uri="http://schemas.microsoft.com/office/word/2010/wordprocessingGroup">
                    <wpg:wgp>
                      <wpg:cNvGrpSpPr/>
                      <wpg:grpSpPr>
                        <a:xfrm>
                          <a:off x="0" y="0"/>
                          <a:ext cx="5764159" cy="2666575"/>
                          <a:chOff x="0" y="0"/>
                          <a:chExt cx="5764159" cy="2666575"/>
                        </a:xfrm>
                      </wpg:grpSpPr>
                      <wps:wsp>
                        <wps:cNvPr id="2131589140" name="Connector: Elbow 2131589140"/>
                        <wps:cNvCnPr>
                          <a:cxnSpLocks/>
                        </wps:cNvCnPr>
                        <wps:spPr>
                          <a:xfrm>
                            <a:off x="769858" y="0"/>
                            <a:ext cx="3661763" cy="2330009"/>
                          </a:xfrm>
                          <a:prstGeom prst="bentConnector3">
                            <a:avLst>
                              <a:gd name="adj1" fmla="val 57"/>
                            </a:avLst>
                          </a:prstGeom>
                          <a:ln w="22225">
                            <a:solidFill>
                              <a:schemeClr val="accent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wps:wsp>
                        <wps:cNvPr id="2131589141" name="Freeform: Shape 2131589141"/>
                        <wps:cNvSpPr/>
                        <wps:spPr>
                          <a:xfrm>
                            <a:off x="769858" y="564875"/>
                            <a:ext cx="3593713" cy="1503484"/>
                          </a:xfrm>
                          <a:custGeom>
                            <a:avLst/>
                            <a:gdLst>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36631 w 3376246"/>
                              <a:gd name="connsiteY5" fmla="*/ 1310053 h 1503484"/>
                              <a:gd name="connsiteX6" fmla="*/ 3376246 w 3376246"/>
                              <a:gd name="connsiteY6" fmla="*/ 1503484 h 1503484"/>
                              <a:gd name="connsiteX0" fmla="*/ 0 w 3376246"/>
                              <a:gd name="connsiteY0" fmla="*/ 0 h 1503484"/>
                              <a:gd name="connsiteX1" fmla="*/ 1090246 w 3376246"/>
                              <a:gd name="connsiteY1" fmla="*/ 8792 h 1503484"/>
                              <a:gd name="connsiteX2" fmla="*/ 1389185 w 3376246"/>
                              <a:gd name="connsiteY2" fmla="*/ 87923 h 1503484"/>
                              <a:gd name="connsiteX3" fmla="*/ 2259623 w 3376246"/>
                              <a:gd name="connsiteY3" fmla="*/ 474784 h 1503484"/>
                              <a:gd name="connsiteX4" fmla="*/ 2567354 w 3376246"/>
                              <a:gd name="connsiteY4" fmla="*/ 905607 h 1503484"/>
                              <a:gd name="connsiteX5" fmla="*/ 2927106 w 3376246"/>
                              <a:gd name="connsiteY5" fmla="*/ 1319578 h 1503484"/>
                              <a:gd name="connsiteX6" fmla="*/ 3376246 w 3376246"/>
                              <a:gd name="connsiteY6" fmla="*/ 1503484 h 1503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6246" h="1503484">
                                <a:moveTo>
                                  <a:pt x="0" y="0"/>
                                </a:moveTo>
                                <a:lnTo>
                                  <a:pt x="1090246" y="8792"/>
                                </a:lnTo>
                                <a:cubicBezTo>
                                  <a:pt x="1195570" y="11540"/>
                                  <a:pt x="1315733" y="55502"/>
                                  <a:pt x="1389185" y="87923"/>
                                </a:cubicBezTo>
                                <a:cubicBezTo>
                                  <a:pt x="1462637" y="120344"/>
                                  <a:pt x="2137080" y="386128"/>
                                  <a:pt x="2259623" y="474784"/>
                                </a:cubicBezTo>
                                <a:cubicBezTo>
                                  <a:pt x="2382166" y="563440"/>
                                  <a:pt x="2456107" y="764808"/>
                                  <a:pt x="2567354" y="905607"/>
                                </a:cubicBezTo>
                                <a:cubicBezTo>
                                  <a:pt x="2678601" y="1046406"/>
                                  <a:pt x="2828010" y="1238982"/>
                                  <a:pt x="2927106" y="1319578"/>
                                </a:cubicBezTo>
                                <a:cubicBezTo>
                                  <a:pt x="3026202" y="1400174"/>
                                  <a:pt x="3068515" y="1491761"/>
                                  <a:pt x="3376246" y="150348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1589142" name="Straight Connector 2131589142"/>
                        <wps:cNvCnPr>
                          <a:cxnSpLocks/>
                        </wps:cNvCnPr>
                        <wps:spPr>
                          <a:xfrm>
                            <a:off x="1673755" y="583570"/>
                            <a:ext cx="0" cy="1765134"/>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3" name="Straight Connector 2131589143"/>
                        <wps:cNvCnPr>
                          <a:cxnSpLocks/>
                        </wps:cNvCnPr>
                        <wps:spPr>
                          <a:xfrm>
                            <a:off x="2527894" y="773882"/>
                            <a:ext cx="0" cy="1556127"/>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4" name="Straight Connector 2131589144"/>
                        <wps:cNvCnPr>
                          <a:cxnSpLocks/>
                        </wps:cNvCnPr>
                        <wps:spPr>
                          <a:xfrm flipH="1">
                            <a:off x="3382034" y="1295376"/>
                            <a:ext cx="169" cy="1046978"/>
                          </a:xfrm>
                          <a:prstGeom prst="line">
                            <a:avLst/>
                          </a:prstGeom>
                          <a:ln w="12700">
                            <a:prstDash val="dashDot"/>
                          </a:ln>
                        </wps:spPr>
                        <wps:style>
                          <a:lnRef idx="1">
                            <a:schemeClr val="accent1"/>
                          </a:lnRef>
                          <a:fillRef idx="0">
                            <a:schemeClr val="accent1"/>
                          </a:fillRef>
                          <a:effectRef idx="0">
                            <a:schemeClr val="accent1"/>
                          </a:effectRef>
                          <a:fontRef idx="minor">
                            <a:schemeClr val="tx1"/>
                          </a:fontRef>
                        </wps:style>
                        <wps:bodyPr/>
                      </wps:wsp>
                      <wps:wsp>
                        <wps:cNvPr id="2131589145" name="Text Box 1718929500"/>
                        <wps:cNvSpPr txBox="1"/>
                        <wps:spPr>
                          <a:xfrm>
                            <a:off x="1608474" y="276483"/>
                            <a:ext cx="3251784" cy="275053"/>
                          </a:xfrm>
                          <a:prstGeom prst="rect">
                            <a:avLst/>
                          </a:prstGeom>
                          <a:noFill/>
                          <a:ln w="6350">
                            <a:noFill/>
                          </a:ln>
                        </wps:spPr>
                        <wps:txbx>
                          <w:txbxContent>
                            <w:p w14:paraId="344C3380"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constrained by business case scope and budget</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6" name="Text Box 1718929501"/>
                        <wps:cNvSpPr txBox="1"/>
                        <wps:spPr>
                          <a:xfrm>
                            <a:off x="2469292" y="466519"/>
                            <a:ext cx="3065314" cy="224115"/>
                          </a:xfrm>
                          <a:prstGeom prst="rect">
                            <a:avLst/>
                          </a:prstGeom>
                          <a:noFill/>
                          <a:ln w="6350">
                            <a:noFill/>
                          </a:ln>
                        </wps:spPr>
                        <wps:txbx>
                          <w:txbxContent>
                            <w:p w14:paraId="14709967"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through design by experts constrained by contracts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7" name="Text Box 1718929503"/>
                        <wps:cNvSpPr txBox="1"/>
                        <wps:spPr>
                          <a:xfrm>
                            <a:off x="4272082" y="1503858"/>
                            <a:ext cx="1492077" cy="462594"/>
                          </a:xfrm>
                          <a:prstGeom prst="rect">
                            <a:avLst/>
                          </a:prstGeom>
                          <a:noFill/>
                          <a:ln w="6350">
                            <a:noFill/>
                          </a:ln>
                        </wps:spPr>
                        <wps:txbx>
                          <w:txbxContent>
                            <w:p w14:paraId="771E0EDC" w14:textId="77777777" w:rsidR="00FE0687" w:rsidRDefault="00FE0687" w:rsidP="00104664">
                              <w:pPr>
                                <w:spacing w:before="0"/>
                                <w:rPr>
                                  <w:sz w:val="24"/>
                                  <w:szCs w:val="24"/>
                                </w:rPr>
                              </w:pPr>
                              <w:r>
                                <w:rPr>
                                  <w:rFonts w:ascii="VIC" w:eastAsia="Times New Roman" w:hAnsi="VIC"/>
                                  <w:color w:val="000000" w:themeColor="text1"/>
                                  <w:kern w:val="24"/>
                                  <w:sz w:val="14"/>
                                  <w:szCs w:val="14"/>
                                </w:rPr>
                                <w:t>Ability to influence sustainable outcomes constrained by built solution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8" name="Text Box 2093112038"/>
                        <wps:cNvSpPr txBox="1"/>
                        <wps:spPr>
                          <a:xfrm>
                            <a:off x="3327117" y="673505"/>
                            <a:ext cx="2225402" cy="449779"/>
                          </a:xfrm>
                          <a:prstGeom prst="rect">
                            <a:avLst/>
                          </a:prstGeom>
                          <a:noFill/>
                          <a:ln w="6350">
                            <a:noFill/>
                          </a:ln>
                        </wps:spPr>
                        <wps:txbx>
                          <w:txbxContent>
                            <w:p w14:paraId="73CC12AA" w14:textId="3E88F93A" w:rsidR="00FE0687" w:rsidRDefault="00FE0687" w:rsidP="00104664">
                              <w:pPr>
                                <w:spacing w:before="0"/>
                                <w:rPr>
                                  <w:sz w:val="24"/>
                                  <w:szCs w:val="24"/>
                                </w:rPr>
                              </w:pPr>
                              <w:r>
                                <w:rPr>
                                  <w:rFonts w:ascii="VIC" w:eastAsia="Times New Roman" w:hAnsi="VIC"/>
                                  <w:color w:val="000000" w:themeColor="text1"/>
                                  <w:kern w:val="24"/>
                                  <w:sz w:val="14"/>
                                  <w:szCs w:val="14"/>
                                </w:rPr>
                                <w:t xml:space="preserve">Influence through construction practices constrained by design, tender and contracts </w:t>
                              </w:r>
                              <w:r>
                                <w:rPr>
                                  <w:rFonts w:ascii="VIC" w:eastAsia="Times New Roman" w:hAnsi="VIC"/>
                                  <w:color w:val="000000" w:themeColor="text1"/>
                                  <w:kern w:val="24"/>
                                  <w:sz w:val="14"/>
                                  <w:szCs w:val="14"/>
                                </w:rPr>
                                <w:br/>
                                <w:t>e.g. prescribed materials, waste management</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49" name="Text Box 2093112032"/>
                        <wps:cNvSpPr txBox="1"/>
                        <wps:spPr>
                          <a:xfrm>
                            <a:off x="823009" y="2375695"/>
                            <a:ext cx="974939" cy="290880"/>
                          </a:xfrm>
                          <a:prstGeom prst="rect">
                            <a:avLst/>
                          </a:prstGeom>
                          <a:noFill/>
                          <a:ln w="6350">
                            <a:noFill/>
                          </a:ln>
                        </wps:spPr>
                        <wps:txbx>
                          <w:txbxContent>
                            <w:p w14:paraId="319A1B0C" w14:textId="77777777" w:rsidR="00FE0687" w:rsidRDefault="00FE0687" w:rsidP="00104664">
                              <w:pPr>
                                <w:spacing w:before="0" w:after="0"/>
                                <w:rPr>
                                  <w:sz w:val="24"/>
                                  <w:szCs w:val="24"/>
                                </w:rPr>
                              </w:pPr>
                              <w:r>
                                <w:rPr>
                                  <w:rFonts w:ascii="VIC" w:eastAsia="Times New Roman" w:hAnsi="VIC"/>
                                  <w:color w:val="000000" w:themeColor="text1"/>
                                  <w:kern w:val="24"/>
                                  <w:sz w:val="15"/>
                                  <w:szCs w:val="15"/>
                                </w:rPr>
                                <w:t xml:space="preserve">Business case </w:t>
                              </w:r>
                              <w:r>
                                <w:rPr>
                                  <w:rFonts w:ascii="VIC" w:eastAsia="Times New Roman" w:hAnsi="VIC"/>
                                  <w:color w:val="000000" w:themeColor="text1"/>
                                  <w:kern w:val="24"/>
                                  <w:sz w:val="15"/>
                                  <w:szCs w:val="15"/>
                                </w:rPr>
                                <w:br/>
                              </w:r>
                              <w:r>
                                <w:rPr>
                                  <w:rFonts w:ascii="VIC" w:eastAsia="Times New Roman" w:hAnsi="VIC"/>
                                  <w:color w:val="000000" w:themeColor="text1"/>
                                  <w:kern w:val="24"/>
                                  <w:sz w:val="12"/>
                                  <w:szCs w:val="12"/>
                                </w:rPr>
                                <w:t>(incl. concept design)</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1589150" name="Rectangle 2131589150"/>
                        <wps:cNvSpPr/>
                        <wps:spPr>
                          <a:xfrm>
                            <a:off x="3528415" y="2374970"/>
                            <a:ext cx="647700" cy="157480"/>
                          </a:xfrm>
                          <a:prstGeom prst="rect">
                            <a:avLst/>
                          </a:prstGeom>
                        </wps:spPr>
                        <wps:txbx>
                          <w:txbxContent>
                            <w:p w14:paraId="782A0082"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Construction</w:t>
                              </w:r>
                            </w:p>
                          </w:txbxContent>
                        </wps:txbx>
                        <wps:bodyPr wrap="none" lIns="0" tIns="0" rIns="0" bIns="0">
                          <a:spAutoFit/>
                        </wps:bodyPr>
                      </wps:wsp>
                      <wps:wsp>
                        <wps:cNvPr id="2131589151" name="Rectangle 2131589151"/>
                        <wps:cNvSpPr/>
                        <wps:spPr>
                          <a:xfrm>
                            <a:off x="2544943" y="2374930"/>
                            <a:ext cx="836930" cy="157480"/>
                          </a:xfrm>
                          <a:prstGeom prst="rect">
                            <a:avLst/>
                          </a:prstGeom>
                        </wps:spPr>
                        <wps:txbx>
                          <w:txbxContent>
                            <w:p w14:paraId="218DDCB6"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Detailed design</w:t>
                              </w:r>
                            </w:p>
                          </w:txbxContent>
                        </wps:txbx>
                        <wps:bodyPr wrap="square" lIns="0" tIns="0" rIns="0" bIns="0">
                          <a:spAutoFit/>
                        </wps:bodyPr>
                      </wps:wsp>
                      <wps:wsp>
                        <wps:cNvPr id="1359047744" name="Rectangle 1359047744"/>
                        <wps:cNvSpPr/>
                        <wps:spPr>
                          <a:xfrm>
                            <a:off x="1690691" y="2374930"/>
                            <a:ext cx="836295" cy="157480"/>
                          </a:xfrm>
                          <a:prstGeom prst="rect">
                            <a:avLst/>
                          </a:prstGeom>
                        </wps:spPr>
                        <wps:txbx>
                          <w:txbxContent>
                            <w:p w14:paraId="2235A9D2" w14:textId="77777777" w:rsidR="00FE0687" w:rsidRDefault="00FE0687" w:rsidP="00104664">
                              <w:pPr>
                                <w:spacing w:before="0" w:after="0"/>
                                <w:jc w:val="center"/>
                                <w:rPr>
                                  <w:sz w:val="24"/>
                                  <w:szCs w:val="24"/>
                                </w:rPr>
                              </w:pPr>
                              <w:r>
                                <w:rPr>
                                  <w:rFonts w:ascii="VIC" w:eastAsia="Times New Roman" w:hAnsi="VIC"/>
                                  <w:color w:val="000000" w:themeColor="text1"/>
                                  <w:kern w:val="24"/>
                                  <w:sz w:val="16"/>
                                  <w:szCs w:val="16"/>
                                </w:rPr>
                                <w:t>Procurement</w:t>
                              </w:r>
                            </w:p>
                          </w:txbxContent>
                        </wps:txbx>
                        <wps:bodyPr wrap="square" lIns="0" tIns="0" rIns="0" bIns="0">
                          <a:spAutoFit/>
                        </wps:bodyPr>
                      </wps:wsp>
                      <wps:wsp>
                        <wps:cNvPr id="1359047745" name="Text Box 1718929499"/>
                        <wps:cNvSpPr txBox="1"/>
                        <wps:spPr>
                          <a:xfrm>
                            <a:off x="4431215" y="2374970"/>
                            <a:ext cx="837087" cy="210861"/>
                          </a:xfrm>
                          <a:prstGeom prst="rect">
                            <a:avLst/>
                          </a:prstGeom>
                          <a:noFill/>
                          <a:ln w="6350">
                            <a:noFill/>
                          </a:ln>
                        </wps:spPr>
                        <wps:txbx>
                          <w:txbxContent>
                            <w:p w14:paraId="1B7E29DC" w14:textId="77777777" w:rsidR="00FE0687" w:rsidRDefault="00FE0687" w:rsidP="00104664">
                              <w:pPr>
                                <w:spacing w:before="0" w:after="0"/>
                                <w:rPr>
                                  <w:sz w:val="24"/>
                                  <w:szCs w:val="24"/>
                                </w:rPr>
                              </w:pPr>
                              <w:r>
                                <w:rPr>
                                  <w:rFonts w:ascii="VIC" w:eastAsia="Times New Roman" w:hAnsi="VIC"/>
                                  <w:b/>
                                  <w:bCs/>
                                  <w:color w:val="000000" w:themeColor="text1"/>
                                  <w:kern w:val="24"/>
                                  <w:sz w:val="16"/>
                                  <w:szCs w:val="16"/>
                                </w:rPr>
                                <w:t>Project stage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9047746" name="Text Box 1718929498"/>
                        <wps:cNvSpPr txBox="1"/>
                        <wps:spPr>
                          <a:xfrm>
                            <a:off x="0" y="4116"/>
                            <a:ext cx="800100" cy="926124"/>
                          </a:xfrm>
                          <a:prstGeom prst="rect">
                            <a:avLst/>
                          </a:prstGeom>
                          <a:noFill/>
                          <a:ln w="6350">
                            <a:noFill/>
                          </a:ln>
                        </wps:spPr>
                        <wps:txbx>
                          <w:txbxContent>
                            <w:p w14:paraId="12A4F386" w14:textId="77777777" w:rsidR="00FE0687" w:rsidRDefault="00FE0687" w:rsidP="00104664">
                              <w:pPr>
                                <w:rPr>
                                  <w:sz w:val="24"/>
                                  <w:szCs w:val="24"/>
                                </w:rPr>
                              </w:pPr>
                              <w:r>
                                <w:rPr>
                                  <w:rFonts w:ascii="VIC" w:eastAsia="Times New Roman" w:hAnsi="VIC"/>
                                  <w:b/>
                                  <w:bCs/>
                                  <w:color w:val="000000" w:themeColor="text1"/>
                                  <w:kern w:val="24"/>
                                  <w:sz w:val="16"/>
                                  <w:szCs w:val="16"/>
                                </w:rPr>
                                <w:t>Ability to influence sustainable investment outcomes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59047747" name="Isosceles Triangle 1359047747"/>
                        <wps:cNvSpPr/>
                        <wps:spPr>
                          <a:xfrm flipV="1">
                            <a:off x="1597051" y="464432"/>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48" name="Isosceles Triangle 1359047748"/>
                        <wps:cNvSpPr/>
                        <wps:spPr>
                          <a:xfrm flipV="1">
                            <a:off x="2459913" y="657275"/>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49" name="Isosceles Triangle 1359047749"/>
                        <wps:cNvSpPr/>
                        <wps:spPr>
                          <a:xfrm flipV="1">
                            <a:off x="3314768" y="1139721"/>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9047750" name="Isosceles Triangle 1359047750"/>
                        <wps:cNvSpPr/>
                        <wps:spPr>
                          <a:xfrm flipV="1">
                            <a:off x="4287567" y="1960772"/>
                            <a:ext cx="144054" cy="7584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8206E2" id="Group 90" o:spid="_x0000_s1044" style="width:453.85pt;height:209.95pt;mso-position-horizontal-relative:char;mso-position-vertical-relative:line" coordsize="57641,2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AO5woAAH5wAAAOAAAAZHJzL2Uyb0RvYy54bWzsXV1z2zYWfd+Z/Q8cPe7MRgRI8EMTp5M6&#10;H9uZTDfTZLfNI01RlnYpkkvSttJf33MBEAYVyZSdTeK2yINDigABXJx7cXGBAz79brctveui7TZ1&#10;dTZjT/yZV1R5vdxUl2ezf71/9fdk5nV9Vi2zsq6Ks9nHopt99+yvf3l60ywKXq/rclm0Hl5SdYub&#10;5my27vtmMZ93+brYZt2TuikqPFzV7TbrcdtezpdtdoO3b8s59/1oflO3y6at86Lr8OsL9XD2TL5/&#10;tSry/p+rVVf0Xnk2Q916+beVfy/o7/zZ02xx2WbNepPramQPqMU221Qo1LzqRdZn3lW7+eRV203e&#10;1l296p/k9XZer1abvJBtQGuYv9ea12191ci2XC5uLhsjJoh2T04Pfm3+4/XrtnnXvG0hiZvmErKQ&#10;d9SW3ard0v+opbeTIvtoRFbsei/HjyKOQibSmZfjGY+iSMRCCTVfQ/Kf5MvXLydyzoeC56Pq3DQA&#10;SHcrg+7zZPBunTWFFG23gAzett5miQawgIkkZSGgUmVb4PW8riqAqG4X3svyor7xrCRSYjL7efW2&#10;JUnlu+pd86bO/9vhGepvPaSbDmI+INg4ShMBPflUukEUsTgKtHSDwPf9lKRrZJQtmrbrXxf11qOL&#10;s9lFUfWmzgEamC2y6zddTxeXS92obPkfNvNW2xJQv85KT8T6pTopXj+8lvKVlXcD2eCfkC/s6nKz&#10;fLUpS3ooNbU4L1sPbzqbZXmOGjD9vlHKdZEtX1ZLr//YQLBdX2Rlv57Rq8vLmVcWsB+4QOuyRZ9t&#10;ypOSoqZlpUWtpCvl3H8sC1Xzn4oVehZAZarqZFeO1baskJqyrdA2k9GfzqjTU9ZC2pz7ZDY5ZMl1&#10;1ZvM201Vt4dK73eDgFcq/SAB1W4SwUW9/Ch1WqIQikPa/TU1CABTGvSqLQqy3wtP6tytAsk2UKWg&#10;f8YAnaIkIgqTwcoMdigQaRAzrSlM+EGYhHuakl8pTSE5S6BLqF0u97Ujh8p3m774BUZA6cjf5p7v&#10;3XhBEEc8jBREjTINyT+Mk689qxaW7g3JfzEaiLczP/Xx5uky7ExJnHJvshhuNYIFsG2JmC7GzkTF&#10;BNPlQPRGWDAUaYRMkyKzM4VxGCfhdEGhXZCI4kCE0wXZmVJfRH48XZCwC0phigM2XZCdCYOJ74sT&#10;ZBdZJWmQTZdkZ9JQm27TGKOT/TNOPok1G50O0nPPQfpsBuvmID2pObbBdVaaQOOsNJxz53hMD2m2&#10;D+EcD4kZ53g4X9r50s7xcNNDNz0kH8JNDydnurYD7iIewAx3EQ9/2vl0EY/ig+2Au4iHi3i4uLTH&#10;XVxaTUTVQsy0HR0HmidH63Hyyeias9LOSus1PXvVxMWlJzXHdotdXNrFpW/XeN2C+MT6vu0Wu7i0&#10;i0u7BXG3IE4b7hBbcY6HczzctiUXl3Y78dxOPLfH44QNks6Xpg3JH9zmUu1AOV/a+dLOl557bqnl&#10;ay618Jj5J3A09qx0KuJkegHky8SlQY8y/JZsDaKLpLyApaY5L7jyMmJqKpJTU3dE2DMUFSyzgJM2&#10;3ILgoqhnyEUcmonMWHSxMw+MpdMyI+5sZ+b3Khnegp05uFdmMEXszAOJ6LRqo+vtzJIJiT44LTMg&#10;YGeWPKMhs/pf91oLQiLxWUvJZ+1nHvis7cwDn/VCcZOarKfOpk6iS6LY6ZDDzFuDCqfpUfR8W18X&#10;72uZst8ja6LM26dlZafS46+sMNkgLeEhUX51scm/L34dZWGpELFCFGMCDEuJxUaWSrTLOFD9JoTw&#10;5QtRef1QspZMYaY/R6UcLDOMeBTEMifj4ITJ3hzeCyZn7CeqRkESMZ7YVdIhW5lX7WrQjRwXNL5T&#10;FeZBwlmkulNEKHXUVh6KiPmqUiDPJv64WLVyLItVW+BPLzaKk8hXasf8MAp9TVXTtUp4AoqxFgaY&#10;YMlIyjyV5k09DtBZsawXAW9SzoHPI45OI/yCO+uzeCTowI8SwZRusDAFo1Uag6EfDDQp94i5Z5eM&#10;ihCWJffV4FvW7pbVV9XESiUjJVmgkm0rrw7wQfkhYuXAXiV96NbZslCkVgHe7WD8DN9V1uQwZfQE&#10;runXpoyWhpM7QRn12lqR5Lsmf7UBp/hN1vVvsxaRS2AHTH88XdftryDugjUPHu//rrK2AH/3hwqU&#10;bFCniTvdy5tQxBw3rf3kwn5SXW3PaxgyYBalyUtK35fD5aqttz+D4P+cSsWjrMpRNoakHvZO3Zz3&#10;uMcjUEzz4vlzeQ1qPSDyBlzsnF4urRta8n73c9Y2mijdgzn6Yz3QwG8ZoYQzk5ZyVvXzq75ebWjs&#10;lLhS1Fp98w2YtdAzxax917fZ5nLde+cDSf2WXCt1W5NrP4+dzrCHNhZKe0USkA2Xlntg3kL2xP2H&#10;VgsWDMPlcHTAQCPXQi83FZHuP5E2EdjpZ8U0ZzyGug299iLr1koNl7h6UffaIDreN5HVlaV7RLxv&#10;DOLT6JRD+P8FnVzwOEmV0xbHQTIMavvoFBh0+XDMgUMnKZcZyQ6d3PAHPZUAQJlGpzRiD0entyo3&#10;zT+GgUcfnhLAJ4QDqr2vVOAogbEZZZE+RIVct9Q4Xw6qf1aoYsRVUH1Ptuz7euexmCUpT+GNEnQ0&#10;QOnkDK/f4TkhTv9+5KAZFvkJ5jIShJzmHtIO49ASfSRPwAUDb0wfNxMLHF6gB9sjMKSZ6F3juXHI&#10;h6E9CoQa2c0T+FsHRvJ+d7GTJ/JILaGmKq/r87xTuCrKM8WF8kpxoTxSXDzYG+3/vL4oJrnHQGrA&#10;qI93ORWkOAcFIFeTyRDnSTF54pEFUj8SARtAykMEE741SKVf4UCKyRUZ60c3YUKs5RhIbUf0PpY0&#10;5JjawteUEQ/ELOj8rtGsCHEO7scomeZGCEMJ+KhIAGv3zUyprKFD6WNFKQ6A20Mp99OAUdzS9Nw9&#10;TWkQIKbHVKiRmLC+PppvGO/pRLeQ4nYSpGEaxxOny3358V5WwIH0sYIUc5RjILUjTvcxpQkP6FRD&#10;sqQcgaYo3QNpGodpMBwwmfoJIvbf2JAiiK79bOeUPsLxHjMMDdKfMD3B8mZZmLgonumuO+nQwUDw&#10;BMebDuCEhZT5b53RKIwpVqkioCLGas7ngHNv2cJMgpjxpTXgVOi9wom6Q+AddTg+tZFT6IbC2K8e&#10;TRhbIOivTMmBXjLtPamXMIiFaahWD2FCYC72eikJIvrtS/eSsYCjXhovkPxu+onhRE0f6Maa6Sf9&#10;ZD27jzYhxOVHqVqgPNZPCG988X4yTv8fqp+OxovC1DhV9/QfwzBg/C7zl9AKup7kcOZjEf1zzB9N&#10;HfUC7oPjRQgMuLFZLXQ+prm4sRhHA0Zh+tBZDkwqzbEZ24uoJ9iIMIzNKcfyzzefgatIlZvdPLLZ&#10;jQGnCRT90NVdXpRF571vN8qDtBJNjnlyBejfeytAOCU/9snrkQEhmFa9/WaYjNPOCaHDmrFI1Kah&#10;4/GiXlfsrvD76Pj1g8t9sg4oZJSS4vGWLT4coe/cnhq3p+b3vqfGKLUJvt2l+fsDlLYD9mLbQc3H&#10;jr80pbPpofn4PgbfP7veaX7ZytC4203Xud10X+c7FUbzTUTzLs3fn0CdqvkBFirjSH3ahbEgjbmc&#10;IN3Gj5zqO9V3G2lpRvT1NtIOqn8bJ75D9U8JGB8c9EOOb9REau2NpfjgSOz8/SE4bqYibtR3e+i1&#10;6mPtQ37kTkJCf5CPvqJn3+Pa/mzgs98AAAD//wMAUEsDBBQABgAIAAAAIQDIFihf3gAAAAUBAAAP&#10;AAAAZHJzL2Rvd25yZXYueG1sTI9BS8NAEIXvgv9hGcGb3aRVa9JsSinqqRRsBeltmp0modnZkN0m&#10;6b939aKXgcd7vPdNthxNI3rqXG1ZQTyJQBAXVtdcKvjcvz28gHAeWWNjmRRcycEyv73JMNV24A/q&#10;d74UoYRdigoq79tUSldUZNBNbEscvJPtDPogu1LqDodQbho5jaJnabDmsFBhS+uKivPuYhS8Dzis&#10;ZvFrvzmf1tfD/mn7tYlJqfu7cbUA4Wn0f2H4wQ/okAemo72wdqJREB7xvzd4STSfgzgqeIyTBGSe&#10;yf/0+TcAAAD//wMAUEsBAi0AFAAGAAgAAAAhALaDOJL+AAAA4QEAABMAAAAAAAAAAAAAAAAAAAAA&#10;AFtDb250ZW50X1R5cGVzXS54bWxQSwECLQAUAAYACAAAACEAOP0h/9YAAACUAQAACwAAAAAAAAAA&#10;AAAAAAAvAQAAX3JlbHMvLnJlbHNQSwECLQAUAAYACAAAACEA2lgwDucKAAB+cAAADgAAAAAAAAAA&#10;AAAAAAAuAgAAZHJzL2Uyb0RvYy54bWxQSwECLQAUAAYACAAAACEAyBYoX94AAAAFAQAADwAAAAAA&#10;AAAAAAAAAABBDQAAZHJzL2Rvd25yZXYueG1sUEsFBgAAAAAEAAQA8wAAAEwO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31589140" o:spid="_x0000_s1045" type="#_x0000_t34" style="position:absolute;left:7698;width:36618;height:233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PnygAAAOMAAAAPAAAAZHJzL2Rvd25yZXYueG1sRI9dS8Mw&#10;FIbvhf2HcATvXJL5weyWjTEUBQWxiuzy0BybsuakNFnb/XtzIXj58n7xrLeTb8VAfWwCG9BzBYK4&#10;Crbh2sDX59P1EkRMyBbbwGTgTBG2m9nFGgsbRv6goUy1yCMcCzTgUuoKKWPlyGOch444ez+h95iy&#10;7GtpexzzuG/lQql76bHh/OCwo72j6liefP4t3fFtf3DfpNVrNZyfH0/juzLm6nLarUAkmtJ/+K/9&#10;Yg0s9I2+Wz7o20yRmTIPyM0vAAAA//8DAFBLAQItABQABgAIAAAAIQDb4fbL7gAAAIUBAAATAAAA&#10;AAAAAAAAAAAAAAAAAABbQ29udGVudF9UeXBlc10ueG1sUEsBAi0AFAAGAAgAAAAhAFr0LFu/AAAA&#10;FQEAAAsAAAAAAAAAAAAAAAAAHwEAAF9yZWxzLy5yZWxzUEsBAi0AFAAGAAgAAAAhAC/aU+fKAAAA&#10;4wAAAA8AAAAAAAAAAAAAAAAABwIAAGRycy9kb3ducmV2LnhtbFBLBQYAAAAAAwADALcAAAD+AgAA&#10;AAA=&#10;" adj="12" strokecolor="#00698f [3204]" strokeweight="1.75pt">
                  <v:stroke startarrow="classic" startarrowwidth="wide" startarrowlength="long" endarrow="classic" endarrowwidth="wide" endarrowlength="long"/>
                  <o:lock v:ext="edit" shapetype="f"/>
                </v:shape>
                <v:shape id="Freeform: Shape 2131589141" o:spid="_x0000_s1046" style="position:absolute;left:7698;top:5648;width:35937;height:15035;visibility:visible;mso-wrap-style:square;v-text-anchor:middle" coordsize="3376246,150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c4ywAAAOMAAAAPAAAAZHJzL2Rvd25yZXYueG1sRI9RS8NA&#10;EITfBf/DsQXf7OZqK2nstZSKkAfB2voDltw2Cc3txdzZxn/vCYKPw8x8w6w2o+vUhYfQejGgpxko&#10;lsrbVmoDH8eX+xxUiCSWOi9s4JsDbNa3NysqrL/KO18OsVYJIqEgA02MfYEYqoYdhanvWZJ38oOj&#10;mORQox3omuCuw1mWPaKjVtJCQz3vGq7Ohy9nABen+Lnb4n75XNbtm30tj5jPjbmbjNsnUJHH+B/+&#10;a5fWwEw/6EW+1HMNv5/SH8D1DwAAAP//AwBQSwECLQAUAAYACAAAACEA2+H2y+4AAACFAQAAEwAA&#10;AAAAAAAAAAAAAAAAAAAAW0NvbnRlbnRfVHlwZXNdLnhtbFBLAQItABQABgAIAAAAIQBa9CxbvwAA&#10;ABUBAAALAAAAAAAAAAAAAAAAAB8BAABfcmVscy8ucmVsc1BLAQItABQABgAIAAAAIQAexrc4ywAA&#10;AOMAAAAPAAAAAAAAAAAAAAAAAAcCAABkcnMvZG93bnJldi54bWxQSwUGAAAAAAMAAwC3AAAA/wIA&#10;AAAA&#10;" path="m,l1090246,8792v105324,2748,225487,46710,298939,79131c1462637,120344,2137080,386128,2259623,474784v122543,88656,196484,290024,307731,430823c2678601,1046406,2828010,1238982,2927106,1319578v99096,80596,141409,172183,449140,183906e" filled="f" strokecolor="#003447 [1604]" strokeweight="2pt">
                  <v:path arrowok="t" o:connecttype="custom" o:connectlocs="0,0;1160470,8792;1478664,87923;2405167,474784;2732720,905607;3115643,1319578;3593713,1503484" o:connectangles="0,0,0,0,0,0,0"/>
                </v:shape>
                <v:line id="Straight Connector 2131589142" o:spid="_x0000_s1047" style="position:absolute;visibility:visible;mso-wrap-style:square" from="16737,5835" to="16737,2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CRygAAAOMAAAAPAAAAZHJzL2Rvd25yZXYueG1sRI9Ra8Iw&#10;FIXfB/6HcIW9zTR1K64aRQTZGGOg2w+4Nte22NyUJGr998tg4OPhnPMdzmI12E5cyIfWsQY1yUAQ&#10;V860XGv4+d4+zUCEiGywc0wabhRgtRw9LLA07so7uuxjLRKEQ4kamhj7UspQNWQxTFxPnLyj8xZj&#10;kr6WxuM1wW0n8ywrpMWW00KDPW0aqk77s9VQvMXtSfnj+qv4yA60m94+jWq1fhwP6zmISEO8h//b&#10;70ZDrqbqZfaqnnP4+5T+gFz+AgAA//8DAFBLAQItABQABgAIAAAAIQDb4fbL7gAAAIUBAAATAAAA&#10;AAAAAAAAAAAAAAAAAABbQ29udGVudF9UeXBlc10ueG1sUEsBAi0AFAAGAAgAAAAhAFr0LFu/AAAA&#10;FQEAAAsAAAAAAAAAAAAAAAAAHwEAAF9yZWxzLy5yZWxzUEsBAi0AFAAGAAgAAAAhADPlQJHKAAAA&#10;4wAAAA8AAAAAAAAAAAAAAAAABwIAAGRycy9kb3ducmV2LnhtbFBLBQYAAAAAAwADALcAAAD+AgAA&#10;AAA=&#10;" strokecolor="#006387 [3044]" strokeweight="1pt">
                  <v:stroke dashstyle="dashDot"/>
                  <o:lock v:ext="edit" shapetype="f"/>
                </v:line>
                <v:line id="Straight Connector 2131589143" o:spid="_x0000_s1048" style="position:absolute;visibility:visible;mso-wrap-style:square" from="25278,7738" to="25278,2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UKygAAAOMAAAAPAAAAZHJzL2Rvd25yZXYueG1sRI9Ra8Iw&#10;FIXfB/sP4Q72NtPYrbhqFBFkYwxB3Q+4Nte22NyUJGr998tg4OPhnPMdzmwx2E5cyIfWsQY1ykAQ&#10;V860XGv42a9fJiBCRDbYOSYNNwqwmD8+zLA07spbuuxiLRKEQ4kamhj7UspQNWQxjFxPnLyj8xZj&#10;kr6WxuM1wW0nx1lWSIstp4UGe1o1VJ12Z6uh+Ijrk/LH5ab4yg60zW/fRrVaPz8NyymISEO8h//b&#10;n0bDWOXqbfKuXnP4+5T+gJz/AgAA//8DAFBLAQItABQABgAIAAAAIQDb4fbL7gAAAIUBAAATAAAA&#10;AAAAAAAAAAAAAAAAAABbQ29udGVudF9UeXBlc10ueG1sUEsBAi0AFAAGAAgAAAAhAFr0LFu/AAAA&#10;FQEAAAsAAAAAAAAAAAAAAAAAHwEAAF9yZWxzLy5yZWxzUEsBAi0AFAAGAAgAAAAhAFyp5QrKAAAA&#10;4wAAAA8AAAAAAAAAAAAAAAAABwIAAGRycy9kb3ducmV2LnhtbFBLBQYAAAAAAwADALcAAAD+AgAA&#10;AAA=&#10;" strokecolor="#006387 [3044]" strokeweight="1pt">
                  <v:stroke dashstyle="dashDot"/>
                  <o:lock v:ext="edit" shapetype="f"/>
                </v:line>
                <v:line id="Straight Connector 2131589144" o:spid="_x0000_s1049" style="position:absolute;flip:x;visibility:visible;mso-wrap-style:square" from="33820,12953" to="33822,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fsyQAAAOMAAAAPAAAAZHJzL2Rvd25yZXYueG1sRI9Ba8JA&#10;FITvQv/D8gre6iZqS0xdRUTBa9UWentkn0ns7tuQ3Wj013cLBY/DzHzDzJe9NeJCra8dK0hHCQji&#10;wumaSwXHw/YlA+EDskbjmBTcyMNy8TSYY67dlT/osg+liBD2OSqoQmhyKX1RkUU/cg1x9E6utRii&#10;bEupW7xGuDVynCRv0mLNcaHChtYVFT/7zirYafNpzsmGsq/uu87uDZ2565QaPverdxCB+vAI/7d3&#10;WsE4naSv2SydTuHvU/wDcvELAAD//wMAUEsBAi0AFAAGAAgAAAAhANvh9svuAAAAhQEAABMAAAAA&#10;AAAAAAAAAAAAAAAAAFtDb250ZW50X1R5cGVzXS54bWxQSwECLQAUAAYACAAAACEAWvQsW78AAAAV&#10;AQAACwAAAAAAAAAAAAAAAAAfAQAAX3JlbHMvLnJlbHNQSwECLQAUAAYACAAAACEAIHLH7MkAAADj&#10;AAAADwAAAAAAAAAAAAAAAAAHAgAAZHJzL2Rvd25yZXYueG1sUEsFBgAAAAADAAMAtwAAAP0CAAAA&#10;AA==&#10;" strokecolor="#006387 [3044]" strokeweight="1pt">
                  <v:stroke dashstyle="dashDot"/>
                  <o:lock v:ext="edit" shapetype="f"/>
                </v:line>
                <v:shape id="Text Box 1718929500" o:spid="_x0000_s1050" type="#_x0000_t202" style="position:absolute;left:16084;top:2764;width:32518;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90zQAAAOMAAAAPAAAAZHJzL2Rvd25yZXYueG1sRI9LT8Mw&#10;EITvSPwHa5G4UceFohLqVoiHxIHyKCDBbYmXJCJeR/Y2Df8eIyFxHM3MN5rFavSdGiimNrAFMylA&#10;EVfBtVxbeHm+OZqDSoLssAtMFr4pwWq5v7fA0oUdP9GwkVplCKcSLTQifal1qhrymCahJ87eZ4ge&#10;JctYaxdxl+G+09OiONUeW84LDfZ02VD1tdl6C91bincfhbwPV/VaHh/09vXa3Ft7eDBenIMSGuU/&#10;/Ne+dRam5tjM5mfmZAa/n/If0MsfAAAA//8DAFBLAQItABQABgAIAAAAIQDb4fbL7gAAAIUBAAAT&#10;AAAAAAAAAAAAAAAAAAAAAABbQ29udGVudF9UeXBlc10ueG1sUEsBAi0AFAAGAAgAAAAhAFr0LFu/&#10;AAAAFQEAAAsAAAAAAAAAAAAAAAAAHwEAAF9yZWxzLy5yZWxzUEsBAi0AFAAGAAgAAAAhAJ1m33TN&#10;AAAA4wAAAA8AAAAAAAAAAAAAAAAABwIAAGRycy9kb3ducmV2LnhtbFBLBQYAAAAAAwADALcAAAAB&#10;AwAAAAA=&#10;" filled="f" stroked="f" strokeweight=".5pt">
                  <v:textbox inset="0,0,0,0">
                    <w:txbxContent>
                      <w:p w14:paraId="344C3380"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constrained by business case scope and budget</w:t>
                        </w:r>
                      </w:p>
                    </w:txbxContent>
                  </v:textbox>
                </v:shape>
                <v:shape id="Text Box 1718929501" o:spid="_x0000_s1051" type="#_x0000_t202" style="position:absolute;left:24692;top:4665;width:3065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EDzQAAAOMAAAAPAAAAZHJzL2Rvd25yZXYueG1sRI9LT8Mw&#10;EITvSPwHa5G4UccFqhLqVoiHxIHyKCDBbYmXJCJeR/Y2Df8eIyFxHM3MN5rFavSdGiimNrAFMylA&#10;EVfBtVxbeHm+OZqDSoLssAtMFr4pwWq5v7fA0oUdP9GwkVplCKcSLTQifal1qhrymCahJ87eZ4ge&#10;JctYaxdxl+G+09OimGmPLeeFBnu6bKj62my9he4txbuPQt6Hq3otjw96+3pt7q09PBgvzkEJjfIf&#10;/mvfOgtTc2xO52fmZAa/n/If0MsfAAAA//8DAFBLAQItABQABgAIAAAAIQDb4fbL7gAAAIUBAAAT&#10;AAAAAAAAAAAAAAAAAAAAAABbQ29udGVudF9UeXBlc10ueG1sUEsBAi0AFAAGAAgAAAAhAFr0LFu/&#10;AAAAFQEAAAsAAAAAAAAAAAAAAAAAHwEAAF9yZWxzLy5yZWxzUEsBAi0AFAAGAAgAAAAhAG20QQPN&#10;AAAA4wAAAA8AAAAAAAAAAAAAAAAABwIAAGRycy9kb3ducmV2LnhtbFBLBQYAAAAAAwADALcAAAAB&#10;AwAAAAA=&#10;" filled="f" stroked="f" strokeweight=".5pt">
                  <v:textbox inset="0,0,0,0">
                    <w:txbxContent>
                      <w:p w14:paraId="14709967" w14:textId="77777777" w:rsidR="00FE0687" w:rsidRDefault="00FE0687" w:rsidP="00104664">
                        <w:pPr>
                          <w:spacing w:before="0"/>
                          <w:rPr>
                            <w:sz w:val="24"/>
                            <w:szCs w:val="24"/>
                          </w:rPr>
                        </w:pPr>
                        <w:r>
                          <w:rPr>
                            <w:rFonts w:ascii="VIC" w:eastAsia="Times New Roman" w:hAnsi="VIC"/>
                            <w:color w:val="000000" w:themeColor="text1"/>
                            <w:kern w:val="24"/>
                            <w:sz w:val="14"/>
                            <w:szCs w:val="14"/>
                          </w:rPr>
                          <w:t>Influence through design by experts constrained by contracts</w:t>
                        </w:r>
                      </w:p>
                    </w:txbxContent>
                  </v:textbox>
                </v:shape>
                <v:shape id="Text Box 1718929503" o:spid="_x0000_s1052" type="#_x0000_t202" style="position:absolute;left:42720;top:15038;width:14921;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YzAAAAOMAAAAPAAAAZHJzL2Rvd25yZXYueG1sRI9LT8Mw&#10;EITvSPwHa5G4UcflVULdCvGQOJRXAQluS7wkEfE6srdp+PcYCYnjaGa+0cyXo+/UQDG1gS2YSQGK&#10;uAqu5drCy/PNwQxUEmSHXWCy8E0JlovdnTmWLmz5iYa11CpDOJVooRHpS61T1ZDHNAk9cfY+Q/Qo&#10;WcZau4jbDPednhbFifbYcl5osKfLhqqv9cZb6N5SXH0U8j5c1Xfy+KA3r9fm3tr9vfHiHJTQKP/h&#10;v/atszA1h+Z4dmaOTuH3U/4DevEDAAD//wMAUEsBAi0AFAAGAAgAAAAhANvh9svuAAAAhQEAABMA&#10;AAAAAAAAAAAAAAAAAAAAAFtDb250ZW50X1R5cGVzXS54bWxQSwECLQAUAAYACAAAACEAWvQsW78A&#10;AAAVAQAACwAAAAAAAAAAAAAAAAAfAQAAX3JlbHMvLnJlbHNQSwECLQAUAAYACAAAACEAAvjkmMwA&#10;AADjAAAADwAAAAAAAAAAAAAAAAAHAgAAZHJzL2Rvd25yZXYueG1sUEsFBgAAAAADAAMAtwAAAAAD&#10;AAAAAA==&#10;" filled="f" stroked="f" strokeweight=".5pt">
                  <v:textbox inset="0,0,0,0">
                    <w:txbxContent>
                      <w:p w14:paraId="771E0EDC" w14:textId="77777777" w:rsidR="00FE0687" w:rsidRDefault="00FE0687" w:rsidP="00104664">
                        <w:pPr>
                          <w:spacing w:before="0"/>
                          <w:rPr>
                            <w:sz w:val="24"/>
                            <w:szCs w:val="24"/>
                          </w:rPr>
                        </w:pPr>
                        <w:r>
                          <w:rPr>
                            <w:rFonts w:ascii="VIC" w:eastAsia="Times New Roman" w:hAnsi="VIC"/>
                            <w:color w:val="000000" w:themeColor="text1"/>
                            <w:kern w:val="24"/>
                            <w:sz w:val="14"/>
                            <w:szCs w:val="14"/>
                          </w:rPr>
                          <w:t>Ability to influence sustainable outcomes constrained by built solution</w:t>
                        </w:r>
                      </w:p>
                    </w:txbxContent>
                  </v:textbox>
                </v:shape>
                <v:shape id="Text Box 2093112038" o:spid="_x0000_s1053" type="#_x0000_t202" style="position:absolute;left:33271;top:6735;width:22254;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DqyQAAAOMAAAAPAAAAZHJzL2Rvd25yZXYueG1sRE/JTsMw&#10;EL0j8Q/WIHGjjsuiEupWiEXiQKEtIMFtiIckIh5H9jQNf48PSByf3j5fjr5TA8XUBrZgJgUo4iq4&#10;lmsLry/3JzNQSZAddoHJwg8lWC4OD+ZYurDnDQ1bqVUO4VSihUakL7VOVUMe0yT0xJn7CtGjZBhr&#10;7SLuc7jv9LQoLrTHlnNDgz3dNFR9b3feQvee4uNnIR/Dbb2S9bPevd2ZJ2uPj8brK1BCo/yL/9wP&#10;zsLUnJrz2aU5y6Pzp/wH9OIXAAD//wMAUEsBAi0AFAAGAAgAAAAhANvh9svuAAAAhQEAABMAAAAA&#10;AAAAAAAAAAAAAAAAAFtDb250ZW50X1R5cGVzXS54bWxQSwECLQAUAAYACAAAACEAWvQsW78AAAAV&#10;AQAACwAAAAAAAAAAAAAAAAAfAQAAX3JlbHMvLnJlbHNQSwECLQAUAAYACAAAACEAc2dw6skAAADj&#10;AAAADwAAAAAAAAAAAAAAAAAHAgAAZHJzL2Rvd25yZXYueG1sUEsFBgAAAAADAAMAtwAAAP0CAAAA&#10;AA==&#10;" filled="f" stroked="f" strokeweight=".5pt">
                  <v:textbox inset="0,0,0,0">
                    <w:txbxContent>
                      <w:p w14:paraId="73CC12AA" w14:textId="3E88F93A" w:rsidR="00FE0687" w:rsidRDefault="00FE0687" w:rsidP="00104664">
                        <w:pPr>
                          <w:spacing w:before="0"/>
                          <w:rPr>
                            <w:sz w:val="24"/>
                            <w:szCs w:val="24"/>
                          </w:rPr>
                        </w:pPr>
                        <w:r>
                          <w:rPr>
                            <w:rFonts w:ascii="VIC" w:eastAsia="Times New Roman" w:hAnsi="VIC"/>
                            <w:color w:val="000000" w:themeColor="text1"/>
                            <w:kern w:val="24"/>
                            <w:sz w:val="14"/>
                            <w:szCs w:val="14"/>
                          </w:rPr>
                          <w:t xml:space="preserve">Influence through construction practices constrained by design, tender and contracts </w:t>
                        </w:r>
                        <w:r>
                          <w:rPr>
                            <w:rFonts w:ascii="VIC" w:eastAsia="Times New Roman" w:hAnsi="VIC"/>
                            <w:color w:val="000000" w:themeColor="text1"/>
                            <w:kern w:val="24"/>
                            <w:sz w:val="14"/>
                            <w:szCs w:val="14"/>
                          </w:rPr>
                          <w:br/>
                          <w:t>e.g. prescribed materials, waste management</w:t>
                        </w:r>
                      </w:p>
                    </w:txbxContent>
                  </v:textbox>
                </v:shape>
                <v:shape id="Text Box 2093112032" o:spid="_x0000_s1054" type="#_x0000_t202" style="position:absolute;left:8230;top:23756;width:974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VxzQAAAOMAAAAPAAAAZHJzL2Rvd25yZXYueG1sRI9LT8Mw&#10;EITvSPwHa5G4UcfloTbUrRAPiQPlUUCC2xIvSUS8juxtGv49RkLiOJqZbzSL1eg7NVBMbWALZlKA&#10;Iq6Ca7m28PJ8czQDlQTZYReYLHxTgtVyf2+BpQs7fqJhI7XKEE4lWmhE+lLrVDXkMU1CT5y9zxA9&#10;Spax1i7iLsN9p6dFcaY9tpwXGuzpsqHqa7P1Frq3FO8+Cnkfruq1PD7o7eu1ubf28GC8OAclNMp/&#10;+K996yxMzbE5nc3NyRx+P+U/oJc/AAAA//8DAFBLAQItABQABgAIAAAAIQDb4fbL7gAAAIUBAAAT&#10;AAAAAAAAAAAAAAAAAAAAAABbQ29udGVudF9UeXBlc10ueG1sUEsBAi0AFAAGAAgAAAAhAFr0LFu/&#10;AAAAFQEAAAsAAAAAAAAAAAAAAAAAHwEAAF9yZWxzLy5yZWxzUEsBAi0AFAAGAAgAAAAhABwr1XHN&#10;AAAA4wAAAA8AAAAAAAAAAAAAAAAABwIAAGRycy9kb3ducmV2LnhtbFBLBQYAAAAAAwADALcAAAAB&#10;AwAAAAA=&#10;" filled="f" stroked="f" strokeweight=".5pt">
                  <v:textbox inset="0,0,0,0">
                    <w:txbxContent>
                      <w:p w14:paraId="319A1B0C" w14:textId="77777777" w:rsidR="00FE0687" w:rsidRDefault="00FE0687" w:rsidP="00104664">
                        <w:pPr>
                          <w:spacing w:before="0" w:after="0"/>
                          <w:rPr>
                            <w:sz w:val="24"/>
                            <w:szCs w:val="24"/>
                          </w:rPr>
                        </w:pPr>
                        <w:r>
                          <w:rPr>
                            <w:rFonts w:ascii="VIC" w:eastAsia="Times New Roman" w:hAnsi="VIC"/>
                            <w:color w:val="000000" w:themeColor="text1"/>
                            <w:kern w:val="24"/>
                            <w:sz w:val="15"/>
                            <w:szCs w:val="15"/>
                          </w:rPr>
                          <w:t xml:space="preserve">Business case </w:t>
                        </w:r>
                        <w:r>
                          <w:rPr>
                            <w:rFonts w:ascii="VIC" w:eastAsia="Times New Roman" w:hAnsi="VIC"/>
                            <w:color w:val="000000" w:themeColor="text1"/>
                            <w:kern w:val="24"/>
                            <w:sz w:val="15"/>
                            <w:szCs w:val="15"/>
                          </w:rPr>
                          <w:br/>
                        </w:r>
                        <w:r>
                          <w:rPr>
                            <w:rFonts w:ascii="VIC" w:eastAsia="Times New Roman" w:hAnsi="VIC"/>
                            <w:color w:val="000000" w:themeColor="text1"/>
                            <w:kern w:val="24"/>
                            <w:sz w:val="12"/>
                            <w:szCs w:val="12"/>
                          </w:rPr>
                          <w:t>(incl. concept design)</w:t>
                        </w:r>
                      </w:p>
                    </w:txbxContent>
                  </v:textbox>
                </v:shape>
                <v:rect id="Rectangle 2131589150" o:spid="_x0000_s1055" style="position:absolute;left:35284;top:23749;width:6477;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MNyAAAAOMAAAAPAAAAZHJzL2Rvd25yZXYueG1sRI/LasMw&#10;EEX3hf6DmEB2jWyHFNeNEkohkJZu4uQDBmv8INLISGrs/H20KHR5uS/Odj9bI27kw+BYQb7KQBA3&#10;Tg/cKbicDy8liBCRNRrHpOBOAfa756ctVtpNfKJbHTuRRjhUqKCPcaykDE1PFsPKjcTJa523GJP0&#10;ndQepzRujSyy7FVaHDg99DjSZ0/Ntf61CuS5PkxlbXzmvov2x3wdTy05pZaL+eMdRKQ5/of/2ket&#10;oMjX+aZ8yzeJIjElHpC7BwAAAP//AwBQSwECLQAUAAYACAAAACEA2+H2y+4AAACFAQAAEwAAAAAA&#10;AAAAAAAAAAAAAAAAW0NvbnRlbnRfVHlwZXNdLnhtbFBLAQItABQABgAIAAAAIQBa9CxbvwAAABUB&#10;AAALAAAAAAAAAAAAAAAAAB8BAABfcmVscy8ucmVsc1BLAQItABQABgAIAAAAIQCdmeMNyAAAAOMA&#10;AAAPAAAAAAAAAAAAAAAAAAcCAABkcnMvZG93bnJldi54bWxQSwUGAAAAAAMAAwC3AAAA/AIAAAAA&#10;" filled="f" stroked="f">
                  <v:textbox style="mso-fit-shape-to-text:t" inset="0,0,0,0">
                    <w:txbxContent>
                      <w:p w14:paraId="782A0082"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Construction</w:t>
                        </w:r>
                      </w:p>
                    </w:txbxContent>
                  </v:textbox>
                </v:rect>
                <v:rect id="Rectangle 2131589151" o:spid="_x0000_s1056" style="position:absolute;left:25449;top:23749;width:836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cKzAAAAOMAAAAPAAAAZHJzL2Rvd25yZXYueG1sRI9BS8NA&#10;FITvQv/D8oRexG42Ukljt6UIhR4EafRgb4/sazaafRuyaxP99a4geBxm5htmvZ1cJy40hNazBrXI&#10;QBDX3rTcaHh92d8WIEJENth5Jg1fFGC7mV2tsTR+5CNdqtiIBOFQogYbY19KGWpLDsPC98TJO/vB&#10;YUxyaKQZcExw18k8y+6lw5bTgsWeHi3VH9Wn07B/fmuJv+XxZlWM/r3OT5V96rWeX0+7BxCRpvgf&#10;/msfjIZc3allsVJLBb+f0h+Qmx8AAAD//wMAUEsBAi0AFAAGAAgAAAAhANvh9svuAAAAhQEAABMA&#10;AAAAAAAAAAAAAAAAAAAAAFtDb250ZW50X1R5cGVzXS54bWxQSwECLQAUAAYACAAAACEAWvQsW78A&#10;AAAVAQAACwAAAAAAAAAAAAAAAAAfAQAAX3JlbHMvLnJlbHNQSwECLQAUAAYACAAAACEARK5HCswA&#10;AADjAAAADwAAAAAAAAAAAAAAAAAHAgAAZHJzL2Rvd25yZXYueG1sUEsFBgAAAAADAAMAtwAAAAAD&#10;AAAAAA==&#10;" filled="f" stroked="f">
                  <v:textbox style="mso-fit-shape-to-text:t" inset="0,0,0,0">
                    <w:txbxContent>
                      <w:p w14:paraId="218DDCB6" w14:textId="77777777" w:rsidR="00FE0687" w:rsidRDefault="00FE0687" w:rsidP="00104664">
                        <w:pPr>
                          <w:spacing w:before="0" w:after="0"/>
                          <w:rPr>
                            <w:sz w:val="24"/>
                            <w:szCs w:val="24"/>
                          </w:rPr>
                        </w:pPr>
                        <w:r>
                          <w:rPr>
                            <w:rFonts w:ascii="VIC" w:eastAsia="Times New Roman" w:hAnsi="VIC"/>
                            <w:color w:val="000000" w:themeColor="text1"/>
                            <w:kern w:val="24"/>
                            <w:sz w:val="16"/>
                            <w:szCs w:val="16"/>
                          </w:rPr>
                          <w:t>Detailed design</w:t>
                        </w:r>
                      </w:p>
                    </w:txbxContent>
                  </v:textbox>
                </v:rect>
                <v:rect id="Rectangle 1359047744" o:spid="_x0000_s1057" style="position:absolute;left:16906;top:23749;width:836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IyygAAAOMAAAAPAAAAZHJzL2Rvd25yZXYueG1sRE9La8JA&#10;EL4X/A/LCL0U3dTGV+oqpSB4KIjRg70N2Wk2bXY2ZLcm9dd3CwWP871nteltLS7U+sqxgsdxAoK4&#10;cLriUsHpuB0tQPiArLF2TAp+yMNmPbhbYaZdxwe65KEUMYR9hgpMCE0mpS8MWfRj1xBH7sO1FkM8&#10;21LqFrsYbms5SZKZtFhxbDDY0Kuh4iv/tgq2+3NFfJWHh+Wic5/F5D03b41S98P+5RlEoD7cxP/u&#10;nY7zn6bLJJ3P0xT+fooAyPUvAAAA//8DAFBLAQItABQABgAIAAAAIQDb4fbL7gAAAIUBAAATAAAA&#10;AAAAAAAAAAAAAAAAAABbQ29udGVudF9UeXBlc10ueG1sUEsBAi0AFAAGAAgAAAAhAFr0LFu/AAAA&#10;FQEAAAsAAAAAAAAAAAAAAAAAHwEAAF9yZWxzLy5yZWxzUEsBAi0AFAAGAAgAAAAhACY9EjLKAAAA&#10;4wAAAA8AAAAAAAAAAAAAAAAABwIAAGRycy9kb3ducmV2LnhtbFBLBQYAAAAAAwADALcAAAD+AgAA&#10;AAA=&#10;" filled="f" stroked="f">
                  <v:textbox style="mso-fit-shape-to-text:t" inset="0,0,0,0">
                    <w:txbxContent>
                      <w:p w14:paraId="2235A9D2" w14:textId="77777777" w:rsidR="00FE0687" w:rsidRDefault="00FE0687" w:rsidP="00104664">
                        <w:pPr>
                          <w:spacing w:before="0" w:after="0"/>
                          <w:jc w:val="center"/>
                          <w:rPr>
                            <w:sz w:val="24"/>
                            <w:szCs w:val="24"/>
                          </w:rPr>
                        </w:pPr>
                        <w:r>
                          <w:rPr>
                            <w:rFonts w:ascii="VIC" w:eastAsia="Times New Roman" w:hAnsi="VIC"/>
                            <w:color w:val="000000" w:themeColor="text1"/>
                            <w:kern w:val="24"/>
                            <w:sz w:val="16"/>
                            <w:szCs w:val="16"/>
                          </w:rPr>
                          <w:t>Procurement</w:t>
                        </w:r>
                      </w:p>
                    </w:txbxContent>
                  </v:textbox>
                </v:rect>
                <v:shape id="Text Box 1718929499" o:spid="_x0000_s1058" type="#_x0000_t202" style="position:absolute;left:44312;top:23749;width:837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8JyQAAAOMAAAAPAAAAZHJzL2Rvd25yZXYueG1sRE9LSwMx&#10;EL4L/ocwgjebVFura9MiPsCD2loV9DZuxt3FzWRJptv13xtB8Djfe+bLwbeqp5iawBbGIwOKuAyu&#10;4crCy/Pt0RmoJMgO28Bk4ZsSLBf7e3MsXNjxE/UbqVQO4VSghVqkK7ROZU0e0yh0xJn7DNGj5DNW&#10;2kXc5XDf6mNjTrXHhnNDjR1d1VR+bbbeQvuW4v2Hkff+unqQ9UpvX2/Gj9YeHgyXF6CEBvkX/7nv&#10;XJ5/Mj03k9lsMoXfnzIAevEDAAD//wMAUEsBAi0AFAAGAAgAAAAhANvh9svuAAAAhQEAABMAAAAA&#10;AAAAAAAAAAAAAAAAAFtDb250ZW50X1R5cGVzXS54bWxQSwECLQAUAAYACAAAACEAWvQsW78AAAAV&#10;AQAACwAAAAAAAAAAAAAAAAAfAQAAX3JlbHMvLnJlbHNQSwECLQAUAAYACAAAACEAalu/CckAAADj&#10;AAAADwAAAAAAAAAAAAAAAAAHAgAAZHJzL2Rvd25yZXYueG1sUEsFBgAAAAADAAMAtwAAAP0CAAAA&#10;AA==&#10;" filled="f" stroked="f" strokeweight=".5pt">
                  <v:textbox inset="0,0,0,0">
                    <w:txbxContent>
                      <w:p w14:paraId="1B7E29DC" w14:textId="77777777" w:rsidR="00FE0687" w:rsidRDefault="00FE0687" w:rsidP="00104664">
                        <w:pPr>
                          <w:spacing w:before="0" w:after="0"/>
                          <w:rPr>
                            <w:sz w:val="24"/>
                            <w:szCs w:val="24"/>
                          </w:rPr>
                        </w:pPr>
                        <w:r>
                          <w:rPr>
                            <w:rFonts w:ascii="VIC" w:eastAsia="Times New Roman" w:hAnsi="VIC"/>
                            <w:b/>
                            <w:bCs/>
                            <w:color w:val="000000" w:themeColor="text1"/>
                            <w:kern w:val="24"/>
                            <w:sz w:val="16"/>
                            <w:szCs w:val="16"/>
                          </w:rPr>
                          <w:t>Project stage</w:t>
                        </w:r>
                      </w:p>
                    </w:txbxContent>
                  </v:textbox>
                </v:shape>
                <v:shape id="Text Box 1718929498" o:spid="_x0000_s1059" type="#_x0000_t202" style="position:absolute;top:41;width:8001;height: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F+yQAAAOMAAAAPAAAAZHJzL2Rvd25yZXYueG1sRE9LSwMx&#10;EL4L/ocwgjebVGura9MiPsCD2loV9DZuxt3FzWRJptv13xtB8Djfe+bLwbeqp5iawBbGIwOKuAyu&#10;4crCy/Pt0RmoJMgO28Bk4ZsSLBf7e3MsXNjxE/UbqVQO4VSghVqkK7ROZU0e0yh0xJn7DNGj5DNW&#10;2kXc5XDf6mNjptpjw7mhxo6uaiq/NltvoX1L8f7DyHt/XT3IeqW3rzfjR2sPD4bLC1BCg/yL/9x3&#10;Ls8/OT03k9lsMoXfnzIAevEDAAD//wMAUEsBAi0AFAAGAAgAAAAhANvh9svuAAAAhQEAABMAAAAA&#10;AAAAAAAAAAAAAAAAAFtDb250ZW50X1R5cGVzXS54bWxQSwECLQAUAAYACAAAACEAWvQsW78AAAAV&#10;AQAACwAAAAAAAAAAAAAAAAAfAQAAX3JlbHMvLnJlbHNQSwECLQAUAAYACAAAACEAmokhfskAAADj&#10;AAAADwAAAAAAAAAAAAAAAAAHAgAAZHJzL2Rvd25yZXYueG1sUEsFBgAAAAADAAMAtwAAAP0CAAAA&#10;AA==&#10;" filled="f" stroked="f" strokeweight=".5pt">
                  <v:textbox inset="0,0,0,0">
                    <w:txbxContent>
                      <w:p w14:paraId="12A4F386" w14:textId="77777777" w:rsidR="00FE0687" w:rsidRDefault="00FE0687" w:rsidP="00104664">
                        <w:pPr>
                          <w:rPr>
                            <w:sz w:val="24"/>
                            <w:szCs w:val="24"/>
                          </w:rPr>
                        </w:pPr>
                        <w:r>
                          <w:rPr>
                            <w:rFonts w:ascii="VIC" w:eastAsia="Times New Roman" w:hAnsi="VIC"/>
                            <w:b/>
                            <w:bCs/>
                            <w:color w:val="000000" w:themeColor="text1"/>
                            <w:kern w:val="24"/>
                            <w:sz w:val="16"/>
                            <w:szCs w:val="16"/>
                          </w:rPr>
                          <w:t>Ability to influence sustainable investment outcomes</w:t>
                        </w:r>
                      </w:p>
                    </w:txbxContent>
                  </v:textbox>
                </v:shape>
                <v:shape id="Isosceles Triangle 1359047747" o:spid="_x0000_s1060" type="#_x0000_t5" style="position:absolute;left:15970;top:4644;width:1441;height:7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wWygAAAOMAAAAPAAAAZHJzL2Rvd25yZXYueG1sRE9LS8NA&#10;EL4X/A/LCL01u2pqauy2iLTSQ1H6Qo9DdkyC2dmQ3bbpv3eFgsf53jOd97YRJ+p87VjDXaJAEBfO&#10;1Fxq2O+WowkIH5ANNo5Jw4U8zGc3gynmxp15Q6dtKEUMYZ+jhiqENpfSFxVZ9IlriSP37TqLIZ5d&#10;KU2H5xhuG3mv1KO0WHNsqLCl14qKn+3Ralh9vh/65cdbuks39UI14/VCfk20Ht72L88gAvXhX3x1&#10;r0yc/zB+UmmWpRn8/RQBkLNfAAAA//8DAFBLAQItABQABgAIAAAAIQDb4fbL7gAAAIUBAAATAAAA&#10;AAAAAAAAAAAAAAAAAABbQ29udGVudF9UeXBlc10ueG1sUEsBAi0AFAAGAAgAAAAhAFr0LFu/AAAA&#10;FQEAAAsAAAAAAAAAAAAAAAAAHwEAAF9yZWxzLy5yZWxzUEsBAi0AFAAGAAgAAAAhAMRiDBbKAAAA&#10;4wAAAA8AAAAAAAAAAAAAAAAABwIAAGRycy9kb3ducmV2LnhtbFBLBQYAAAAAAwADALcAAAD+AgAA&#10;AAA=&#10;" fillcolor="#87dadf [3205]" stroked="f" strokeweight="2pt"/>
                <v:shape id="Isosceles Triangle 1359047748" o:spid="_x0000_s1061" type="#_x0000_t5" style="position:absolute;left:24599;top:6572;width:1440;height:7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kzQAAAOMAAAAPAAAAZHJzL2Rvd25yZXYueG1sRI9BT8JA&#10;EIXvJvyHzZB4k121CBQWYgwYDkYDaOA46Y5tY3e26a5Q/71zMPE48968981i1ftGnamLdWALtyMD&#10;irgIrubSwvthczMFFROywyYwWfihCKvl4GqBuQsX3tF5n0olIRxztFCl1OZax6Iij3EUWmLRPkPn&#10;McnYldp1eJFw3+g7Yx60x5qlocKWnioqvvbf3sL2+PrRb96es0O2q9emGb+s9Wlq7fWwf5yDStSn&#10;f/Pf9dYJ/v14ZrLJJBNo+UkWoJe/AAAA//8DAFBLAQItABQABgAIAAAAIQDb4fbL7gAAAIUBAAAT&#10;AAAAAAAAAAAAAAAAAAAAAABbQ29udGVudF9UeXBlc10ueG1sUEsBAi0AFAAGAAgAAAAhAFr0LFu/&#10;AAAAFQEAAAsAAAAAAAAAAAAAAAAAHwEAAF9yZWxzLy5yZWxzUEsBAi0AFAAGAAgAAAAhALX9mGTN&#10;AAAA4wAAAA8AAAAAAAAAAAAAAAAABwIAAGRycy9kb3ducmV2LnhtbFBLBQYAAAAAAwADALcAAAAB&#10;AwAAAAA=&#10;" fillcolor="#87dadf [3205]" stroked="f" strokeweight="2pt"/>
                <v:shape id="Isosceles Triangle 1359047749" o:spid="_x0000_s1062" type="#_x0000_t5" style="position:absolute;left:33147;top:11397;width:1441;height:7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3/yQAAAOMAAAAPAAAAZHJzL2Rvd25yZXYueG1sRE9LawIx&#10;EL4X/A9hhN5qYl1fq1FK0eKhtKgt9Thsxt2lm8mySXX996YgeJzvPfNlaytxosaXjjX0ewoEceZM&#10;ybmGr/36aQLCB2SDlWPScCEPy0XnYY6pcWfe0mkXchFD2KeooQihTqX0WUEWfc/VxJE7usZiiGeT&#10;S9PgOYbbSj4rNZIWS44NBdb0WlD2u/uzGjY/H9/t+vMt2SfbcqWq4ftKHiZaP3bblxmIQG24i2/u&#10;jYnzB8OpSsbjZAr/P0UA5OIKAAD//wMAUEsBAi0AFAAGAAgAAAAhANvh9svuAAAAhQEAABMAAAAA&#10;AAAAAAAAAAAAAAAAAFtDb250ZW50X1R5cGVzXS54bWxQSwECLQAUAAYACAAAACEAWvQsW78AAAAV&#10;AQAACwAAAAAAAAAAAAAAAAAfAQAAX3JlbHMvLnJlbHNQSwECLQAUAAYACAAAACEA2rE9/8kAAADj&#10;AAAADwAAAAAAAAAAAAAAAAAHAgAAZHJzL2Rvd25yZXYueG1sUEsFBgAAAAADAAMAtwAAAP0CAAAA&#10;AA==&#10;" fillcolor="#87dadf [3205]" stroked="f" strokeweight="2pt"/>
                <v:shape id="Isosceles Triangle 1359047750" o:spid="_x0000_s1063" type="#_x0000_t5" style="position:absolute;left:42875;top:19607;width:1441;height:75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K/zQAAAOMAAAAPAAAAZHJzL2Rvd25yZXYueG1sRI9BT8Mw&#10;DIXvSPsPkSdxY8mgZaMsmxDa0A4ItA0ER6vx2orGqZqwlX+PD0gcbT+/977FavCtOlEfm8AWphMD&#10;irgMruHKwtthczUHFROywzYwWfihCKvl6GKBhQtn3tFpnyolJhwLtFCn1BVax7Imj3ESOmK5HUPv&#10;McnYV9r1eBZz3+prY261x4YlocaOHmsqv/bf3sL24+V92Lw+ZYds16xNmz+v9efc2svx8HAPKtGQ&#10;/sV/31sn9W/yO5PNZrlQCJMsQC9/AQAA//8DAFBLAQItABQABgAIAAAAIQDb4fbL7gAAAIUBAAAT&#10;AAAAAAAAAAAAAAAAAAAAAABbQ29udGVudF9UeXBlc10ueG1sUEsBAi0AFAAGAAgAAAAhAFr0LFu/&#10;AAAAFQEAAAsAAAAAAAAAAAAAAAAAHwEAAF9yZWxzLy5yZWxzUEsBAi0AFAAGAAgAAAAhAM5SAr/N&#10;AAAA4wAAAA8AAAAAAAAAAAAAAAAABwIAAGRycy9kb3ducmV2LnhtbFBLBQYAAAAAAwADALcAAAAB&#10;AwAAAAA=&#10;" fillcolor="#87dadf [3205]" stroked="f" strokeweight="2pt"/>
                <w10:anchorlock/>
              </v:group>
            </w:pict>
          </mc:Fallback>
        </mc:AlternateContent>
      </w:r>
    </w:p>
    <w:p w14:paraId="00901164" w14:textId="77777777" w:rsidR="00104664" w:rsidRDefault="00104664" w:rsidP="00104664">
      <w:pPr>
        <w:pStyle w:val="Spacer"/>
      </w:pPr>
    </w:p>
    <w:p w14:paraId="55989BBA" w14:textId="586878B4" w:rsidR="00F50498" w:rsidRDefault="00F50498" w:rsidP="00F50498">
      <w:r>
        <w:t xml:space="preserve">The project options should clearly articulate how they address the problem and deliver all or part of the sustainability benefits identified (see the </w:t>
      </w:r>
      <w:r w:rsidRPr="003F1AB3">
        <w:t>Investme</w:t>
      </w:r>
      <w:r w:rsidRPr="00296370">
        <w:t>nt Lifecycle Guidelines</w:t>
      </w:r>
      <w:r w:rsidRPr="00646C46">
        <w:t xml:space="preserve"> for detailed</w:t>
      </w:r>
      <w:r>
        <w:t xml:space="preserve"> guidance on describing project options). </w:t>
      </w:r>
      <w:r w:rsidR="00651FF3">
        <w:t xml:space="preserve">Business </w:t>
      </w:r>
      <w:r>
        <w:t>case authors are encouraged to:</w:t>
      </w:r>
    </w:p>
    <w:p w14:paraId="5A9B0C74" w14:textId="3645B0D8" w:rsidR="00F50498" w:rsidRPr="00FA2D33" w:rsidRDefault="00F50498" w:rsidP="00F50498">
      <w:pPr>
        <w:pStyle w:val="Bullet1"/>
      </w:pPr>
      <w:r>
        <w:t xml:space="preserve">articulate how negative sustainability impacts will be avoided in the short, </w:t>
      </w:r>
      <w:proofErr w:type="gramStart"/>
      <w:r>
        <w:t>medium</w:t>
      </w:r>
      <w:proofErr w:type="gramEnd"/>
      <w:r>
        <w:t xml:space="preserve"> or longer term </w:t>
      </w:r>
    </w:p>
    <w:p w14:paraId="0939AED6" w14:textId="77777777" w:rsidR="00F50498" w:rsidRDefault="00F50498" w:rsidP="00F50498">
      <w:pPr>
        <w:pStyle w:val="Bullet1"/>
      </w:pPr>
      <w:r>
        <w:t>identify any sustainability benefits likely to be realised.</w:t>
      </w:r>
    </w:p>
    <w:p w14:paraId="04F5026A" w14:textId="484890A4" w:rsidR="00F50498" w:rsidRDefault="00F50498" w:rsidP="00F50498">
      <w:r>
        <w:lastRenderedPageBreak/>
        <w:t>The Sustainable Investment themes can help to shape the statement of design intent</w:t>
      </w:r>
      <w:r w:rsidRPr="14D50369">
        <w:rPr>
          <w:b/>
          <w:bCs/>
        </w:rPr>
        <w:t xml:space="preserve"> </w:t>
      </w:r>
      <w:r w:rsidRPr="000307E0">
        <w:t xml:space="preserve">as </w:t>
      </w:r>
      <w:r w:rsidR="00104664">
        <w:t xml:space="preserve">show in </w:t>
      </w:r>
      <w:r w:rsidRPr="000307E0">
        <w:t xml:space="preserve">the </w:t>
      </w:r>
      <w:r w:rsidRPr="008F4F48">
        <w:t xml:space="preserve">below </w:t>
      </w:r>
      <w:r w:rsidRPr="000307E0">
        <w:t xml:space="preserve">table. </w:t>
      </w:r>
    </w:p>
    <w:p w14:paraId="5984B648" w14:textId="56FA948F" w:rsidR="00F50498" w:rsidRDefault="00F50498" w:rsidP="00F50498">
      <w:pPr>
        <w:pStyle w:val="Caption"/>
      </w:pPr>
      <w:bookmarkStart w:id="895" w:name="_Toc117258733"/>
      <w:r>
        <w:t xml:space="preserve">Table </w:t>
      </w:r>
      <w:r>
        <w:fldChar w:fldCharType="begin"/>
      </w:r>
      <w:r>
        <w:instrText>SEQ Table \* ARABIC</w:instrText>
      </w:r>
      <w:r>
        <w:fldChar w:fldCharType="separate"/>
      </w:r>
      <w:r w:rsidR="00FC7DAA">
        <w:rPr>
          <w:noProof/>
        </w:rPr>
        <w:t>12</w:t>
      </w:r>
      <w:r>
        <w:fldChar w:fldCharType="end"/>
      </w:r>
      <w:r w:rsidR="00F00708">
        <w:t xml:space="preserve"> – </w:t>
      </w:r>
      <w:r>
        <w:t>Sustainable Investment themes and the project solution</w:t>
      </w:r>
      <w:bookmarkEnd w:id="895"/>
    </w:p>
    <w:tbl>
      <w:tblPr>
        <w:tblStyle w:val="Texttable"/>
        <w:tblW w:w="9813" w:type="dxa"/>
        <w:tblLook w:val="0620" w:firstRow="1" w:lastRow="0" w:firstColumn="0" w:lastColumn="0" w:noHBand="1" w:noVBand="1"/>
      </w:tblPr>
      <w:tblGrid>
        <w:gridCol w:w="828"/>
        <w:gridCol w:w="2149"/>
        <w:gridCol w:w="6836"/>
      </w:tblGrid>
      <w:tr w:rsidR="00F50498" w:rsidRPr="00987AFA" w14:paraId="04741694" w14:textId="77777777" w:rsidTr="441443D2">
        <w:trPr>
          <w:cnfStyle w:val="100000000000" w:firstRow="1" w:lastRow="0" w:firstColumn="0" w:lastColumn="0" w:oddVBand="0" w:evenVBand="0" w:oddHBand="0" w:evenHBand="0" w:firstRowFirstColumn="0" w:firstRowLastColumn="0" w:lastRowFirstColumn="0" w:lastRowLastColumn="0"/>
          <w:trHeight w:val="105"/>
        </w:trPr>
        <w:tc>
          <w:tcPr>
            <w:tcW w:w="828" w:type="dxa"/>
            <w:shd w:val="clear" w:color="auto" w:fill="auto"/>
            <w:vAlign w:val="center"/>
            <w:hideMark/>
          </w:tcPr>
          <w:p w14:paraId="162A815F" w14:textId="77777777" w:rsidR="00F50498" w:rsidRPr="00987AFA" w:rsidRDefault="00F50498" w:rsidP="00F50498">
            <w:pPr>
              <w:jc w:val="center"/>
              <w:rPr>
                <w:sz w:val="2"/>
                <w:szCs w:val="6"/>
              </w:rPr>
            </w:pPr>
          </w:p>
        </w:tc>
        <w:tc>
          <w:tcPr>
            <w:tcW w:w="2149" w:type="dxa"/>
            <w:hideMark/>
          </w:tcPr>
          <w:p w14:paraId="77B1C784" w14:textId="77777777" w:rsidR="00F50498" w:rsidRPr="00987AFA" w:rsidRDefault="00F50498" w:rsidP="00F50498">
            <w:pPr>
              <w:pStyle w:val="Tableheader"/>
              <w:rPr>
                <w:bCs/>
              </w:rPr>
            </w:pPr>
            <w:r w:rsidRPr="00987AFA">
              <w:t>Theme</w:t>
            </w:r>
          </w:p>
        </w:tc>
        <w:tc>
          <w:tcPr>
            <w:tcW w:w="6836" w:type="dxa"/>
            <w:hideMark/>
          </w:tcPr>
          <w:p w14:paraId="7A400105" w14:textId="77777777" w:rsidR="00F50498" w:rsidRPr="00987AFA" w:rsidRDefault="00F50498" w:rsidP="00F50498">
            <w:pPr>
              <w:pStyle w:val="Tableheader"/>
              <w:rPr>
                <w:bCs/>
              </w:rPr>
            </w:pPr>
            <w:r w:rsidRPr="00987AFA">
              <w:t xml:space="preserve">Example of design intent </w:t>
            </w:r>
          </w:p>
        </w:tc>
      </w:tr>
      <w:tr w:rsidR="00F50498" w:rsidRPr="009B2B67" w14:paraId="5F30F93F" w14:textId="77777777" w:rsidTr="441443D2">
        <w:trPr>
          <w:trHeight w:val="459"/>
        </w:trPr>
        <w:tc>
          <w:tcPr>
            <w:tcW w:w="828" w:type="dxa"/>
            <w:vAlign w:val="center"/>
            <w:hideMark/>
          </w:tcPr>
          <w:p w14:paraId="7492E5AF" w14:textId="77777777" w:rsidR="00F50498" w:rsidRPr="009B2B67" w:rsidRDefault="00F50498" w:rsidP="00F50498">
            <w:pPr>
              <w:jc w:val="center"/>
            </w:pPr>
            <w:r>
              <w:rPr>
                <w:noProof/>
              </w:rPr>
              <w:drawing>
                <wp:inline distT="0" distB="0" distL="0" distR="0" wp14:anchorId="0F33BEFC" wp14:editId="08EB1BB0">
                  <wp:extent cx="288000" cy="27815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B8B0FE6-ACDD-46B8-9D52-C308E37D9A50}"/>
                              </a:ext>
                            </a:extLst>
                          </a:blip>
                          <a:stretch>
                            <a:fillRect/>
                          </a:stretch>
                        </pic:blipFill>
                        <pic:spPr>
                          <a:xfrm>
                            <a:off x="0" y="0"/>
                            <a:ext cx="288000" cy="278154"/>
                          </a:xfrm>
                          <a:prstGeom prst="rect">
                            <a:avLst/>
                          </a:prstGeom>
                        </pic:spPr>
                      </pic:pic>
                    </a:graphicData>
                  </a:graphic>
                </wp:inline>
              </w:drawing>
            </w:r>
          </w:p>
        </w:tc>
        <w:tc>
          <w:tcPr>
            <w:tcW w:w="2149" w:type="dxa"/>
            <w:hideMark/>
          </w:tcPr>
          <w:p w14:paraId="42825413" w14:textId="250AF090" w:rsidR="00F50498" w:rsidRPr="007A6A98" w:rsidRDefault="00F50498" w:rsidP="00F50498">
            <w:pPr>
              <w:pStyle w:val="Tabletext"/>
            </w:pPr>
            <w:r w:rsidRPr="007A6A98">
              <w:t>Cultural heritage</w:t>
            </w:r>
          </w:p>
        </w:tc>
        <w:tc>
          <w:tcPr>
            <w:tcW w:w="6836" w:type="dxa"/>
          </w:tcPr>
          <w:p w14:paraId="1CE02D27" w14:textId="77777777" w:rsidR="00F50498" w:rsidRPr="009B2B67" w:rsidRDefault="00F50498" w:rsidP="00F50498">
            <w:pPr>
              <w:pStyle w:val="Tabletext"/>
            </w:pPr>
            <w:r w:rsidRPr="009B2B67">
              <w:t>Involves traditional owners in the design, ensuring that the asset is sensitive to aboriginal cultural heritage</w:t>
            </w:r>
          </w:p>
        </w:tc>
      </w:tr>
      <w:tr w:rsidR="00F50498" w:rsidRPr="009B2B67" w14:paraId="0124B6F5" w14:textId="77777777" w:rsidTr="441443D2">
        <w:trPr>
          <w:trHeight w:val="486"/>
        </w:trPr>
        <w:tc>
          <w:tcPr>
            <w:tcW w:w="828" w:type="dxa"/>
            <w:vAlign w:val="center"/>
            <w:hideMark/>
          </w:tcPr>
          <w:p w14:paraId="74D6DC0C" w14:textId="77777777" w:rsidR="00F50498" w:rsidRPr="009B2B67" w:rsidRDefault="00F50498" w:rsidP="00F50498">
            <w:pPr>
              <w:jc w:val="center"/>
            </w:pPr>
            <w:r>
              <w:rPr>
                <w:noProof/>
              </w:rPr>
              <w:drawing>
                <wp:inline distT="0" distB="0" distL="0" distR="0" wp14:anchorId="5DFECBD8" wp14:editId="5DA458B9">
                  <wp:extent cx="324000" cy="320877"/>
                  <wp:effectExtent l="0" t="0" r="0" b="3175"/>
                  <wp:docPr id="458"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9">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F5B2FFC1-EC72-4F5B-AEA8-DFF8152FD149}"/>
                              </a:ext>
                            </a:extLst>
                          </a:blip>
                          <a:srcRect l="9099" b="9975"/>
                          <a:stretch>
                            <a:fillRect/>
                          </a:stretch>
                        </pic:blipFill>
                        <pic:spPr>
                          <a:xfrm>
                            <a:off x="0" y="0"/>
                            <a:ext cx="324000" cy="320877"/>
                          </a:xfrm>
                          <a:prstGeom prst="rect">
                            <a:avLst/>
                          </a:prstGeom>
                        </pic:spPr>
                      </pic:pic>
                    </a:graphicData>
                  </a:graphic>
                </wp:inline>
              </w:drawing>
            </w:r>
          </w:p>
        </w:tc>
        <w:tc>
          <w:tcPr>
            <w:tcW w:w="2149" w:type="dxa"/>
            <w:hideMark/>
          </w:tcPr>
          <w:p w14:paraId="71C4A35B" w14:textId="77777777" w:rsidR="00F50498" w:rsidRPr="007A6A98" w:rsidRDefault="00F50498" w:rsidP="00F50498">
            <w:pPr>
              <w:pStyle w:val="Tabletext"/>
            </w:pPr>
            <w:r w:rsidRPr="007A6A98">
              <w:t>Liveability</w:t>
            </w:r>
          </w:p>
        </w:tc>
        <w:tc>
          <w:tcPr>
            <w:tcW w:w="6836" w:type="dxa"/>
          </w:tcPr>
          <w:p w14:paraId="1FBBC296" w14:textId="77777777" w:rsidR="00F50498" w:rsidRPr="009B2B67" w:rsidRDefault="00F50498" w:rsidP="00F50498">
            <w:pPr>
              <w:pStyle w:val="Tabletext"/>
            </w:pPr>
            <w:r w:rsidRPr="009B2B67">
              <w:t>Provides green space accessible to the local community while allowing for a distinctive and memorable architectural outcome with a mix of uses</w:t>
            </w:r>
          </w:p>
        </w:tc>
      </w:tr>
      <w:tr w:rsidR="00F50498" w:rsidRPr="009B2B67" w14:paraId="393C05EC" w14:textId="77777777" w:rsidTr="441443D2">
        <w:trPr>
          <w:trHeight w:val="396"/>
        </w:trPr>
        <w:tc>
          <w:tcPr>
            <w:tcW w:w="828" w:type="dxa"/>
            <w:vAlign w:val="center"/>
            <w:hideMark/>
          </w:tcPr>
          <w:p w14:paraId="788B8CE6" w14:textId="77777777" w:rsidR="00F50498" w:rsidRPr="009B2B67" w:rsidRDefault="00F50498" w:rsidP="00F50498">
            <w:pPr>
              <w:jc w:val="center"/>
            </w:pPr>
            <w:r>
              <w:rPr>
                <w:noProof/>
              </w:rPr>
              <w:drawing>
                <wp:inline distT="0" distB="0" distL="0" distR="0" wp14:anchorId="0F71BB7C" wp14:editId="685326C7">
                  <wp:extent cx="324000" cy="327273"/>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50">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324000" cy="327273"/>
                          </a:xfrm>
                          <a:prstGeom prst="rect">
                            <a:avLst/>
                          </a:prstGeom>
                        </pic:spPr>
                      </pic:pic>
                    </a:graphicData>
                  </a:graphic>
                </wp:inline>
              </w:drawing>
            </w:r>
          </w:p>
        </w:tc>
        <w:tc>
          <w:tcPr>
            <w:tcW w:w="2149" w:type="dxa"/>
            <w:hideMark/>
          </w:tcPr>
          <w:p w14:paraId="1CA940BB" w14:textId="77777777" w:rsidR="00F50498" w:rsidRPr="007A6A98" w:rsidRDefault="00F50498" w:rsidP="00F50498">
            <w:pPr>
              <w:pStyle w:val="Tabletext"/>
            </w:pPr>
            <w:r w:rsidRPr="007A6A98">
              <w:t xml:space="preserve">Transport, </w:t>
            </w:r>
            <w:proofErr w:type="gramStart"/>
            <w:r w:rsidRPr="007A6A98">
              <w:t>access</w:t>
            </w:r>
            <w:proofErr w:type="gramEnd"/>
            <w:r w:rsidRPr="007A6A98">
              <w:t xml:space="preserve"> and connectivity</w:t>
            </w:r>
          </w:p>
        </w:tc>
        <w:tc>
          <w:tcPr>
            <w:tcW w:w="6836" w:type="dxa"/>
          </w:tcPr>
          <w:p w14:paraId="2424F79D" w14:textId="77777777" w:rsidR="00F50498" w:rsidRPr="009B2B67" w:rsidRDefault="00F50498" w:rsidP="00F50498">
            <w:pPr>
              <w:pStyle w:val="Tabletext"/>
            </w:pPr>
            <w:r w:rsidRPr="009B2B67">
              <w:t>Creates new cycleways and walking paths which connect to existing routes, avoiding busy road intersections</w:t>
            </w:r>
          </w:p>
        </w:tc>
      </w:tr>
      <w:tr w:rsidR="00F50498" w:rsidRPr="009B2B67" w14:paraId="5F87B175" w14:textId="77777777" w:rsidTr="441443D2">
        <w:trPr>
          <w:trHeight w:val="149"/>
        </w:trPr>
        <w:tc>
          <w:tcPr>
            <w:tcW w:w="828" w:type="dxa"/>
            <w:vAlign w:val="center"/>
            <w:hideMark/>
          </w:tcPr>
          <w:p w14:paraId="4EBBF7F0" w14:textId="77777777" w:rsidR="00F50498" w:rsidRPr="009B2B67" w:rsidRDefault="00F50498" w:rsidP="00F50498">
            <w:pPr>
              <w:jc w:val="center"/>
            </w:pPr>
            <w:r>
              <w:rPr>
                <w:noProof/>
              </w:rPr>
              <w:drawing>
                <wp:inline distT="0" distB="0" distL="0" distR="0" wp14:anchorId="3909E483" wp14:editId="2CDED695">
                  <wp:extent cx="252000" cy="252000"/>
                  <wp:effectExtent l="0" t="0" r="0" b="0"/>
                  <wp:docPr id="1718929488"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52000" cy="252000"/>
                          </a:xfrm>
                          <a:prstGeom prst="rect">
                            <a:avLst/>
                          </a:prstGeom>
                        </pic:spPr>
                      </pic:pic>
                    </a:graphicData>
                  </a:graphic>
                </wp:inline>
              </w:drawing>
            </w:r>
          </w:p>
        </w:tc>
        <w:tc>
          <w:tcPr>
            <w:tcW w:w="2149" w:type="dxa"/>
            <w:hideMark/>
          </w:tcPr>
          <w:p w14:paraId="1C239DC9" w14:textId="77777777" w:rsidR="00F50498" w:rsidRPr="007A6A98" w:rsidRDefault="00F50498" w:rsidP="00F50498">
            <w:pPr>
              <w:pStyle w:val="Tabletext"/>
            </w:pPr>
            <w:r w:rsidRPr="007A6A98">
              <w:t>Climate resilience</w:t>
            </w:r>
          </w:p>
        </w:tc>
        <w:tc>
          <w:tcPr>
            <w:tcW w:w="6836" w:type="dxa"/>
          </w:tcPr>
          <w:p w14:paraId="1D68FB91" w14:textId="49923CD7" w:rsidR="00F50498" w:rsidRPr="009B2B67" w:rsidRDefault="00F50498" w:rsidP="00F50498">
            <w:pPr>
              <w:pStyle w:val="Tabletext"/>
            </w:pPr>
            <w:r w:rsidRPr="009B2B67">
              <w:t xml:space="preserve">Delivers a climate resilient asset which can withstand extreme temperatures which in turn keep people safe during heat waves </w:t>
            </w:r>
            <w:r w:rsidR="00965764">
              <w:t>while</w:t>
            </w:r>
            <w:r w:rsidR="00965764" w:rsidRPr="009B2B67">
              <w:t xml:space="preserve"> </w:t>
            </w:r>
            <w:r w:rsidRPr="009B2B67">
              <w:t>avoiding unaffordable energy costs</w:t>
            </w:r>
          </w:p>
        </w:tc>
      </w:tr>
      <w:tr w:rsidR="00F50498" w:rsidRPr="009B2B67" w14:paraId="12EA498A" w14:textId="77777777" w:rsidTr="441443D2">
        <w:trPr>
          <w:trHeight w:val="470"/>
        </w:trPr>
        <w:tc>
          <w:tcPr>
            <w:tcW w:w="828" w:type="dxa"/>
            <w:vAlign w:val="center"/>
            <w:hideMark/>
          </w:tcPr>
          <w:p w14:paraId="73AFAFCA" w14:textId="77777777" w:rsidR="00F50498" w:rsidRPr="009B2B67" w:rsidRDefault="00F50498" w:rsidP="00F50498">
            <w:pPr>
              <w:jc w:val="center"/>
            </w:pPr>
            <w:r>
              <w:rPr>
                <w:noProof/>
              </w:rPr>
              <w:drawing>
                <wp:inline distT="0" distB="0" distL="0" distR="0" wp14:anchorId="7A74DE6E" wp14:editId="27566442">
                  <wp:extent cx="360000" cy="360000"/>
                  <wp:effectExtent l="0" t="0" r="0" b="2540"/>
                  <wp:docPr id="1718929489" name="Graphic 1718929489"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18929489"/>
                          <pic:cNvPicPr/>
                        </pic:nvPicPr>
                        <pic:blipFill>
                          <a:blip r:embed="rId36">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360000" cy="360000"/>
                          </a:xfrm>
                          <a:prstGeom prst="rect">
                            <a:avLst/>
                          </a:prstGeom>
                        </pic:spPr>
                      </pic:pic>
                    </a:graphicData>
                  </a:graphic>
                </wp:inline>
              </w:drawing>
            </w:r>
          </w:p>
        </w:tc>
        <w:tc>
          <w:tcPr>
            <w:tcW w:w="2149" w:type="dxa"/>
            <w:hideMark/>
          </w:tcPr>
          <w:p w14:paraId="35F7D3DE" w14:textId="77777777" w:rsidR="00F50498" w:rsidRPr="007A6A98" w:rsidRDefault="00F50498" w:rsidP="00F50498">
            <w:pPr>
              <w:pStyle w:val="Tabletext"/>
            </w:pPr>
            <w:r w:rsidRPr="007A6A98">
              <w:t>Material use and circular economy</w:t>
            </w:r>
          </w:p>
        </w:tc>
        <w:tc>
          <w:tcPr>
            <w:tcW w:w="6836" w:type="dxa"/>
          </w:tcPr>
          <w:p w14:paraId="7F87AC4F" w14:textId="41CFD282" w:rsidR="00F50498" w:rsidRPr="009B2B67" w:rsidRDefault="00F50498" w:rsidP="00F50498">
            <w:pPr>
              <w:pStyle w:val="Tabletext"/>
            </w:pPr>
            <w:r w:rsidRPr="009B2B67">
              <w:t>Uses locally available recycled content in 80</w:t>
            </w:r>
            <w:r w:rsidR="00965764">
              <w:t xml:space="preserve"> per cent</w:t>
            </w:r>
            <w:r w:rsidRPr="009B2B67">
              <w:t xml:space="preserve"> of the asset </w:t>
            </w:r>
          </w:p>
        </w:tc>
      </w:tr>
      <w:tr w:rsidR="00F50498" w:rsidRPr="009B2B67" w14:paraId="1B6C6592" w14:textId="77777777" w:rsidTr="441443D2">
        <w:trPr>
          <w:trHeight w:val="380"/>
        </w:trPr>
        <w:tc>
          <w:tcPr>
            <w:tcW w:w="828" w:type="dxa"/>
            <w:vAlign w:val="center"/>
            <w:hideMark/>
          </w:tcPr>
          <w:p w14:paraId="4113E9E8" w14:textId="77777777" w:rsidR="00F50498" w:rsidRPr="009B2B67" w:rsidRDefault="00F50498" w:rsidP="00F50498">
            <w:pPr>
              <w:jc w:val="center"/>
            </w:pPr>
            <w:r>
              <w:rPr>
                <w:noProof/>
              </w:rPr>
              <w:drawing>
                <wp:inline distT="0" distB="0" distL="0" distR="0" wp14:anchorId="65C80C58" wp14:editId="641ABC15">
                  <wp:extent cx="288000" cy="293938"/>
                  <wp:effectExtent l="0" t="0" r="0" b="0"/>
                  <wp:docPr id="1718929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EB62233-91EB-4A12-8FD9-F733313B1CC0}"/>
                              </a:ext>
                            </a:extLst>
                          </a:blip>
                          <a:stretch>
                            <a:fillRect/>
                          </a:stretch>
                        </pic:blipFill>
                        <pic:spPr>
                          <a:xfrm>
                            <a:off x="0" y="0"/>
                            <a:ext cx="288000" cy="293938"/>
                          </a:xfrm>
                          <a:prstGeom prst="rect">
                            <a:avLst/>
                          </a:prstGeom>
                        </pic:spPr>
                      </pic:pic>
                    </a:graphicData>
                  </a:graphic>
                </wp:inline>
              </w:drawing>
            </w:r>
          </w:p>
        </w:tc>
        <w:tc>
          <w:tcPr>
            <w:tcW w:w="2149" w:type="dxa"/>
            <w:hideMark/>
          </w:tcPr>
          <w:p w14:paraId="34013AA8" w14:textId="77777777" w:rsidR="00F50498" w:rsidRPr="007A6A98" w:rsidRDefault="00F50498" w:rsidP="00F50498">
            <w:pPr>
              <w:pStyle w:val="Tabletext"/>
            </w:pPr>
            <w:r w:rsidRPr="007A6A98">
              <w:t>Energy productivity and carbon emissions</w:t>
            </w:r>
          </w:p>
        </w:tc>
        <w:tc>
          <w:tcPr>
            <w:tcW w:w="6836" w:type="dxa"/>
          </w:tcPr>
          <w:p w14:paraId="2E33FC8C" w14:textId="17C00D19" w:rsidR="00F50498" w:rsidRPr="009B2B67" w:rsidRDefault="00F50498" w:rsidP="00F50498">
            <w:pPr>
              <w:pStyle w:val="Tabletext"/>
            </w:pPr>
            <w:r w:rsidRPr="009B2B67">
              <w:t xml:space="preserve">Delivers an asset which generates its own power to be carbon neutral during operation, </w:t>
            </w:r>
            <w:r w:rsidR="00965764">
              <w:t>while</w:t>
            </w:r>
            <w:r w:rsidR="00965764" w:rsidRPr="009B2B67">
              <w:t xml:space="preserve"> </w:t>
            </w:r>
            <w:r w:rsidRPr="009B2B67">
              <w:t>minimising the carbon emissions impact of construction</w:t>
            </w:r>
          </w:p>
        </w:tc>
      </w:tr>
      <w:tr w:rsidR="00F50498" w:rsidRPr="009B2B67" w14:paraId="056DF4D3" w14:textId="77777777" w:rsidTr="441443D2">
        <w:trPr>
          <w:trHeight w:val="276"/>
        </w:trPr>
        <w:tc>
          <w:tcPr>
            <w:tcW w:w="828" w:type="dxa"/>
            <w:vAlign w:val="center"/>
            <w:hideMark/>
          </w:tcPr>
          <w:p w14:paraId="28815C4B" w14:textId="77777777" w:rsidR="00F50498" w:rsidRPr="009B2B67" w:rsidRDefault="00F50498" w:rsidP="00F50498">
            <w:pPr>
              <w:jc w:val="center"/>
            </w:pPr>
            <w:r>
              <w:rPr>
                <w:noProof/>
              </w:rPr>
              <w:drawing>
                <wp:inline distT="0" distB="0" distL="0" distR="0" wp14:anchorId="62686AE6" wp14:editId="1AA6688B">
                  <wp:extent cx="324000" cy="250248"/>
                  <wp:effectExtent l="0" t="0" r="0" b="0"/>
                  <wp:docPr id="1718929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324000" cy="250248"/>
                          </a:xfrm>
                          <a:prstGeom prst="rect">
                            <a:avLst/>
                          </a:prstGeom>
                        </pic:spPr>
                      </pic:pic>
                    </a:graphicData>
                  </a:graphic>
                </wp:inline>
              </w:drawing>
            </w:r>
          </w:p>
        </w:tc>
        <w:tc>
          <w:tcPr>
            <w:tcW w:w="2149" w:type="dxa"/>
            <w:hideMark/>
          </w:tcPr>
          <w:p w14:paraId="05BE8350" w14:textId="77777777" w:rsidR="00F50498" w:rsidRPr="007A6A98" w:rsidRDefault="00F50498" w:rsidP="00F50498">
            <w:pPr>
              <w:pStyle w:val="Tabletext"/>
            </w:pPr>
            <w:r w:rsidRPr="007A6A98">
              <w:t>Integrated water management</w:t>
            </w:r>
          </w:p>
        </w:tc>
        <w:tc>
          <w:tcPr>
            <w:tcW w:w="6836" w:type="dxa"/>
          </w:tcPr>
          <w:p w14:paraId="78C05446" w14:textId="1CFEF9B3" w:rsidR="00F50498" w:rsidRPr="009B2B67" w:rsidRDefault="00F50498" w:rsidP="00F50498">
            <w:pPr>
              <w:pStyle w:val="Tabletext"/>
            </w:pPr>
            <w:r w:rsidRPr="009B2B67">
              <w:t>Builds in integrated water management with innovative drainage (</w:t>
            </w:r>
            <w:proofErr w:type="gramStart"/>
            <w:r w:rsidRPr="009B2B67">
              <w:t>i.e.</w:t>
            </w:r>
            <w:proofErr w:type="gramEnd"/>
            <w:r w:rsidRPr="009B2B67">
              <w:t xml:space="preserve"> to direct water to street trees to increase shady spaces) and on</w:t>
            </w:r>
            <w:r w:rsidR="00601819">
              <w:noBreakHyphen/>
            </w:r>
            <w:r w:rsidRPr="009B2B67">
              <w:t>site reuse</w:t>
            </w:r>
          </w:p>
        </w:tc>
      </w:tr>
      <w:tr w:rsidR="00F50498" w:rsidRPr="009B2B67" w14:paraId="199BF5DC" w14:textId="77777777" w:rsidTr="441443D2">
        <w:trPr>
          <w:trHeight w:val="598"/>
        </w:trPr>
        <w:tc>
          <w:tcPr>
            <w:tcW w:w="828" w:type="dxa"/>
            <w:vAlign w:val="center"/>
          </w:tcPr>
          <w:p w14:paraId="6655EBA3" w14:textId="77777777" w:rsidR="00F50498" w:rsidRPr="009B2B67" w:rsidRDefault="00F50498" w:rsidP="00F50498">
            <w:pPr>
              <w:jc w:val="center"/>
              <w:rPr>
                <w:noProof/>
              </w:rPr>
            </w:pPr>
            <w:r>
              <w:rPr>
                <w:noProof/>
              </w:rPr>
              <w:drawing>
                <wp:inline distT="0" distB="0" distL="0" distR="0" wp14:anchorId="76E21E0F" wp14:editId="4020D987">
                  <wp:extent cx="288000" cy="255674"/>
                  <wp:effectExtent l="0" t="0" r="0" b="0"/>
                  <wp:docPr id="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9AF56BF-C3E0-48FB-A0E4-E89610109655}"/>
                              </a:ext>
                            </a:extLst>
                          </a:blip>
                          <a:stretch>
                            <a:fillRect/>
                          </a:stretch>
                        </pic:blipFill>
                        <pic:spPr>
                          <a:xfrm>
                            <a:off x="0" y="0"/>
                            <a:ext cx="288000" cy="255674"/>
                          </a:xfrm>
                          <a:prstGeom prst="rect">
                            <a:avLst/>
                          </a:prstGeom>
                        </pic:spPr>
                      </pic:pic>
                    </a:graphicData>
                  </a:graphic>
                </wp:inline>
              </w:drawing>
            </w:r>
          </w:p>
        </w:tc>
        <w:tc>
          <w:tcPr>
            <w:tcW w:w="2149" w:type="dxa"/>
          </w:tcPr>
          <w:p w14:paraId="093DB3C5" w14:textId="77777777" w:rsidR="00F50498" w:rsidRPr="007A6A98" w:rsidRDefault="00F50498" w:rsidP="00F50498">
            <w:pPr>
              <w:pStyle w:val="Tabletext"/>
            </w:pPr>
            <w:r w:rsidRPr="005C171B">
              <w:t>Environmental protection and enhancement</w:t>
            </w:r>
          </w:p>
        </w:tc>
        <w:tc>
          <w:tcPr>
            <w:tcW w:w="6836" w:type="dxa"/>
          </w:tcPr>
          <w:p w14:paraId="1F264118" w14:textId="77777777" w:rsidR="00F50498" w:rsidRPr="009B2B67" w:rsidRDefault="00F50498" w:rsidP="00F50498">
            <w:pPr>
              <w:pStyle w:val="Tabletext"/>
            </w:pPr>
            <w:r w:rsidRPr="005C171B">
              <w:t>Protects existing native species during construction and creates new habitats for wildlife during operation</w:t>
            </w:r>
          </w:p>
        </w:tc>
      </w:tr>
    </w:tbl>
    <w:p w14:paraId="5FF7B3A7" w14:textId="77777777" w:rsidR="00F50498" w:rsidRDefault="00F50498" w:rsidP="00F00708">
      <w:pPr>
        <w:pStyle w:val="Spacer"/>
      </w:pPr>
    </w:p>
    <w:p w14:paraId="370C1BAA" w14:textId="36FB9120" w:rsidR="00F50498" w:rsidRDefault="00F50498" w:rsidP="00F50498">
      <w:r>
        <w:t>The</w:t>
      </w:r>
      <w:r w:rsidRPr="0042214E">
        <w:t xml:space="preserve"> </w:t>
      </w:r>
      <w:r>
        <w:t xml:space="preserve">project solution should consider the </w:t>
      </w:r>
      <w:r w:rsidRPr="0042214E">
        <w:t>Project Development and Due Diligence (PDDD)</w:t>
      </w:r>
      <w:r>
        <w:t xml:space="preserve"> guidance, which includes sustainability specific elements such as air quality surveys, heritage, ecological and water assessments and audits, and noise and vibration assessments. Project teams should note that the PDDD may not directly cover all aspects of the Sustainable Investment themes or other development or due diligence applicable to the project. </w:t>
      </w:r>
    </w:p>
    <w:p w14:paraId="668E2CA3" w14:textId="77777777" w:rsidR="00F50498" w:rsidRPr="00FA2D33" w:rsidRDefault="00F50498" w:rsidP="00F50498">
      <w:pPr>
        <w:spacing w:before="60"/>
      </w:pPr>
      <w:r>
        <w:t xml:space="preserve">Proper </w:t>
      </w:r>
      <w:r w:rsidRPr="00F50498">
        <w:t>development of the project concept also includes providing detailed justification for design choices as well as proving that the project solution passes the public interest test and provides</w:t>
      </w:r>
      <w:r>
        <w:t xml:space="preserve"> an opportunity for some market testing that may help to test and prove the viability of an innovative sustainability response.</w:t>
      </w:r>
    </w:p>
    <w:p w14:paraId="775347EC" w14:textId="77777777" w:rsidR="00F50498" w:rsidRPr="009C6A38" w:rsidRDefault="00F50498" w:rsidP="00F50498">
      <w:pPr>
        <w:spacing w:after="0"/>
      </w:pPr>
      <w:r>
        <w:t xml:space="preserve">In describing the project options, business case authors should note any </w:t>
      </w:r>
      <w:r w:rsidRPr="009C6A38">
        <w:t>critical assumptions</w:t>
      </w:r>
      <w:r>
        <w:t xml:space="preserve"> and constraints</w:t>
      </w:r>
      <w:r w:rsidRPr="009C6A38">
        <w:t>.</w:t>
      </w:r>
      <w:r>
        <w:t xml:space="preserve"> For example</w:t>
      </w:r>
      <w:r w:rsidRPr="009C6A38">
        <w:t>:</w:t>
      </w:r>
    </w:p>
    <w:p w14:paraId="50FB195A" w14:textId="77777777" w:rsidR="00F50498" w:rsidRDefault="00F50498" w:rsidP="00F50498">
      <w:pPr>
        <w:pStyle w:val="Bullet1"/>
      </w:pPr>
      <w:r>
        <w:lastRenderedPageBreak/>
        <w:t>Resource availability, particularly in relation to the use of virgin materials where recycled materials are a viable alternative.</w:t>
      </w:r>
    </w:p>
    <w:p w14:paraId="4C086BD5" w14:textId="77777777" w:rsidR="00F50498" w:rsidRDefault="00F50498" w:rsidP="00F50498">
      <w:pPr>
        <w:pStyle w:val="Bullet1"/>
      </w:pPr>
      <w:r>
        <w:t>Known or emerging constraints or opportunities affecting the proposed project option. For example, an endangered species may be lost if the investment is delayed.</w:t>
      </w:r>
    </w:p>
    <w:p w14:paraId="237A2525" w14:textId="77777777" w:rsidR="00201CF9" w:rsidRDefault="00F50498" w:rsidP="00201CF9">
      <w:r>
        <w:t xml:space="preserve">Business </w:t>
      </w:r>
      <w:r w:rsidR="00104664">
        <w:t xml:space="preserve">case </w:t>
      </w:r>
      <w:r>
        <w:t>authors should</w:t>
      </w:r>
      <w:r w:rsidRPr="00FA25AF">
        <w:t xml:space="preserve"> refer to the </w:t>
      </w:r>
      <w:r w:rsidR="00624172">
        <w:t>Sustainable Investment themes</w:t>
      </w:r>
      <w:r w:rsidRPr="00FA25AF">
        <w:t xml:space="preserve"> </w:t>
      </w:r>
      <w:r>
        <w:t>in developing</w:t>
      </w:r>
      <w:r w:rsidRPr="00FA25AF">
        <w:t xml:space="preserve"> project options</w:t>
      </w:r>
      <w:r>
        <w:t>.</w:t>
      </w:r>
    </w:p>
    <w:p w14:paraId="7F25106C" w14:textId="25638919" w:rsidR="00F50498" w:rsidRDefault="00F50498" w:rsidP="00201CF9">
      <w:pPr>
        <w:pStyle w:val="Caption"/>
      </w:pPr>
      <w:bookmarkStart w:id="896" w:name="_Toc117258734"/>
      <w:r>
        <w:t xml:space="preserve">Table </w:t>
      </w:r>
      <w:r>
        <w:fldChar w:fldCharType="begin"/>
      </w:r>
      <w:r>
        <w:instrText>SEQ Table \* ARABIC</w:instrText>
      </w:r>
      <w:r>
        <w:fldChar w:fldCharType="separate"/>
      </w:r>
      <w:r w:rsidR="00FC7DAA">
        <w:rPr>
          <w:noProof/>
        </w:rPr>
        <w:t>13</w:t>
      </w:r>
      <w:r>
        <w:fldChar w:fldCharType="end"/>
      </w:r>
      <w:r w:rsidR="00F00708">
        <w:t xml:space="preserve"> – </w:t>
      </w:r>
      <w:r>
        <w:t>Example project option</w:t>
      </w:r>
      <w:bookmarkEnd w:id="896"/>
    </w:p>
    <w:tbl>
      <w:tblPr>
        <w:tblStyle w:val="Texttable"/>
        <w:tblW w:w="9639" w:type="dxa"/>
        <w:tblLook w:val="0620" w:firstRow="1" w:lastRow="0" w:firstColumn="0" w:lastColumn="0" w:noHBand="1" w:noVBand="1"/>
      </w:tblPr>
      <w:tblGrid>
        <w:gridCol w:w="1980"/>
        <w:gridCol w:w="7659"/>
      </w:tblGrid>
      <w:tr w:rsidR="00F50498" w:rsidRPr="00D04E3D" w14:paraId="3E9E75E4" w14:textId="77777777" w:rsidTr="00104664">
        <w:trPr>
          <w:cnfStyle w:val="100000000000" w:firstRow="1" w:lastRow="0" w:firstColumn="0" w:lastColumn="0" w:oddVBand="0" w:evenVBand="0" w:oddHBand="0" w:evenHBand="0" w:firstRowFirstColumn="0" w:firstRowLastColumn="0" w:lastRowFirstColumn="0" w:lastRowLastColumn="0"/>
        </w:trPr>
        <w:tc>
          <w:tcPr>
            <w:tcW w:w="1980" w:type="dxa"/>
          </w:tcPr>
          <w:p w14:paraId="6125C800" w14:textId="77777777" w:rsidR="00F50498" w:rsidRPr="000327A8" w:rsidRDefault="00F50498" w:rsidP="00AD1641">
            <w:pPr>
              <w:pStyle w:val="Tableheader"/>
              <w:rPr>
                <w:bCs/>
              </w:rPr>
            </w:pPr>
            <w:r w:rsidRPr="000327A8">
              <w:t>Problem</w:t>
            </w:r>
          </w:p>
        </w:tc>
        <w:tc>
          <w:tcPr>
            <w:tcW w:w="7659" w:type="dxa"/>
          </w:tcPr>
          <w:p w14:paraId="01769E2B" w14:textId="77777777" w:rsidR="00F50498" w:rsidRPr="000327A8" w:rsidRDefault="00F50498" w:rsidP="00AD1641">
            <w:pPr>
              <w:pStyle w:val="Tableheader"/>
              <w:rPr>
                <w:bCs/>
              </w:rPr>
            </w:pPr>
            <w:r w:rsidRPr="000327A8">
              <w:t xml:space="preserve">Unmet healthcare needs in a community </w:t>
            </w:r>
          </w:p>
        </w:tc>
      </w:tr>
      <w:tr w:rsidR="00F50498" w:rsidRPr="00260D11" w14:paraId="19E79DEC" w14:textId="77777777" w:rsidTr="00104664">
        <w:trPr>
          <w:trHeight w:val="248"/>
        </w:trPr>
        <w:tc>
          <w:tcPr>
            <w:tcW w:w="1980" w:type="dxa"/>
          </w:tcPr>
          <w:p w14:paraId="601D945A" w14:textId="77777777" w:rsidR="00F50498" w:rsidRPr="007A6A98" w:rsidRDefault="00F50498" w:rsidP="00AD1641">
            <w:pPr>
              <w:pStyle w:val="Tabletext"/>
            </w:pPr>
            <w:r w:rsidRPr="007A6A98">
              <w:t>Project options</w:t>
            </w:r>
          </w:p>
        </w:tc>
        <w:tc>
          <w:tcPr>
            <w:tcW w:w="7659" w:type="dxa"/>
          </w:tcPr>
          <w:p w14:paraId="69D134E8" w14:textId="77777777" w:rsidR="00F50498" w:rsidRPr="007A6A98" w:rsidRDefault="00F50498" w:rsidP="00AD1641">
            <w:pPr>
              <w:pStyle w:val="Tabletext"/>
            </w:pPr>
            <w:r w:rsidRPr="007A6A98">
              <w:t>Construction of a new hospital (project options specify several specific vacant sites)</w:t>
            </w:r>
            <w:r>
              <w:t>.</w:t>
            </w:r>
          </w:p>
        </w:tc>
      </w:tr>
      <w:tr w:rsidR="00F50498" w:rsidRPr="00260D11" w14:paraId="3080396F" w14:textId="77777777" w:rsidTr="00104664">
        <w:tc>
          <w:tcPr>
            <w:tcW w:w="1980" w:type="dxa"/>
          </w:tcPr>
          <w:p w14:paraId="65A220F4" w14:textId="77777777" w:rsidR="00F50498" w:rsidRPr="007A6A98" w:rsidRDefault="00F50498" w:rsidP="00AD1641">
            <w:pPr>
              <w:pStyle w:val="Tabletext"/>
            </w:pPr>
            <w:r w:rsidRPr="007A6A98">
              <w:t>Example of a related SIT and constraint</w:t>
            </w:r>
          </w:p>
        </w:tc>
        <w:tc>
          <w:tcPr>
            <w:tcW w:w="7659" w:type="dxa"/>
          </w:tcPr>
          <w:p w14:paraId="17D70FA7" w14:textId="79A34A74" w:rsidR="00F50498" w:rsidRPr="007A6A98" w:rsidRDefault="00F50498" w:rsidP="00AD1641">
            <w:pPr>
              <w:pStyle w:val="Tabletext"/>
            </w:pPr>
            <w:r w:rsidRPr="007A6A98">
              <w:rPr>
                <w:iCs/>
              </w:rPr>
              <w:t>Environmental protection and enhancement:</w:t>
            </w:r>
            <w:r w:rsidRPr="007A6A98">
              <w:t xml:space="preserve"> </w:t>
            </w:r>
            <w:r w:rsidR="008F74E4">
              <w:t>p</w:t>
            </w:r>
            <w:r w:rsidR="008F74E4" w:rsidRPr="007A6A98">
              <w:t xml:space="preserve">resence </w:t>
            </w:r>
            <w:r w:rsidRPr="007A6A98">
              <w:t>of a protected native species in one of three potential sites identified for the new hospital</w:t>
            </w:r>
            <w:r>
              <w:t xml:space="preserve">. </w:t>
            </w:r>
          </w:p>
        </w:tc>
      </w:tr>
      <w:tr w:rsidR="00F50498" w:rsidRPr="00260D11" w14:paraId="7A556693" w14:textId="77777777" w:rsidTr="00104664">
        <w:tc>
          <w:tcPr>
            <w:tcW w:w="1980" w:type="dxa"/>
          </w:tcPr>
          <w:p w14:paraId="422820E7" w14:textId="77777777" w:rsidR="00F50498" w:rsidRPr="007A6A98" w:rsidRDefault="00F50498" w:rsidP="00AD1641">
            <w:pPr>
              <w:pStyle w:val="Tabletext"/>
            </w:pPr>
            <w:r w:rsidRPr="007A6A98">
              <w:t>Considerations</w:t>
            </w:r>
          </w:p>
        </w:tc>
        <w:tc>
          <w:tcPr>
            <w:tcW w:w="7659" w:type="dxa"/>
          </w:tcPr>
          <w:p w14:paraId="188325FF" w14:textId="701DAABA" w:rsidR="00F50498" w:rsidRPr="007A6A98" w:rsidRDefault="00F50498" w:rsidP="00AD1641">
            <w:pPr>
              <w:pStyle w:val="Tabletext"/>
            </w:pPr>
            <w:r w:rsidRPr="007A6A98">
              <w:t xml:space="preserve">Even though this could be dealt with as part of the planning authorisation process, it should be part of the early decision making to consider the risk and cost of irretrievable damage to the endangered species population. This constraint should be highlighted in the </w:t>
            </w:r>
            <w:r w:rsidR="008F74E4">
              <w:t>b</w:t>
            </w:r>
            <w:r w:rsidR="008F74E4" w:rsidRPr="007A6A98">
              <w:t xml:space="preserve">usiness </w:t>
            </w:r>
            <w:r w:rsidRPr="007A6A98">
              <w:t>case.</w:t>
            </w:r>
          </w:p>
        </w:tc>
      </w:tr>
    </w:tbl>
    <w:p w14:paraId="38946286" w14:textId="77777777" w:rsidR="00201CF9" w:rsidRDefault="00201CF9" w:rsidP="00F00708">
      <w:pPr>
        <w:pStyle w:val="Spacer"/>
      </w:pPr>
    </w:p>
    <w:p w14:paraId="36369FA2" w14:textId="77777777" w:rsidR="00274B7D" w:rsidRDefault="00274B7D" w:rsidP="00274B7D">
      <w:pPr>
        <w:pStyle w:val="Heading3numbered"/>
      </w:pPr>
      <w:r w:rsidRPr="00274B7D">
        <w:t>Assessing</w:t>
      </w:r>
      <w:r>
        <w:t xml:space="preserve"> project options</w:t>
      </w:r>
    </w:p>
    <w:p w14:paraId="6896CC76" w14:textId="77777777" w:rsidR="00274B7D" w:rsidRDefault="00274B7D" w:rsidP="00274B7D">
      <w:r>
        <w:t xml:space="preserve">When assessing project options, business case authors should consider information, and follow the steps, provided in the DTF Investment Lifecycle Guidance and associated documents including </w:t>
      </w:r>
      <w:r w:rsidRPr="00830646">
        <w:t>Economic Evaluation for Business Cases Technical guidelines</w:t>
      </w:r>
      <w:r>
        <w:t xml:space="preserve"> and </w:t>
      </w:r>
      <w:proofErr w:type="gramStart"/>
      <w:r w:rsidRPr="009B2B67">
        <w:rPr>
          <w:iCs/>
        </w:rPr>
        <w:t>Investing</w:t>
      </w:r>
      <w:proofErr w:type="gramEnd"/>
      <w:r w:rsidRPr="009B2B67">
        <w:rPr>
          <w:iCs/>
        </w:rPr>
        <w:t xml:space="preserve"> under uncertainty – Real options analysis</w:t>
      </w:r>
      <w:r>
        <w:t>.</w:t>
      </w:r>
      <w:r w:rsidRPr="00F11B44">
        <w:t xml:space="preserve"> </w:t>
      </w:r>
    </w:p>
    <w:p w14:paraId="7C2EB70F" w14:textId="77777777" w:rsidR="00274B7D" w:rsidRDefault="00274B7D" w:rsidP="00274B7D">
      <w:r>
        <w:t>Sustainable investment options should consider the following:</w:t>
      </w:r>
    </w:p>
    <w:p w14:paraId="2731C5BE" w14:textId="3EFEE871" w:rsidR="00274B7D" w:rsidRPr="00E17234" w:rsidRDefault="00104664" w:rsidP="00274B7D">
      <w:pPr>
        <w:pStyle w:val="Bullet1"/>
      </w:pPr>
      <w:r w:rsidRPr="00E17234">
        <w:t xml:space="preserve">lifecycle </w:t>
      </w:r>
      <w:r w:rsidR="00274B7D" w:rsidRPr="00E17234">
        <w:t xml:space="preserve">impact, taking account of the full costs and benefits of an investment over its lifecycle through to decommissioning or </w:t>
      </w:r>
      <w:r w:rsidR="00274B7D">
        <w:t xml:space="preserve">modification for </w:t>
      </w:r>
      <w:r w:rsidR="00274B7D" w:rsidRPr="00E17234">
        <w:t>reuse. For example, investing in making a building more energy efficient will deliver long</w:t>
      </w:r>
      <w:r w:rsidR="008F74E4">
        <w:t>-</w:t>
      </w:r>
      <w:r w:rsidR="00274B7D" w:rsidRPr="00E17234">
        <w:t>term financial savings and environmental benefits in the form of reduced carbon emissions that may be valued using a shadow price of carbon</w:t>
      </w:r>
    </w:p>
    <w:p w14:paraId="3B7BD746" w14:textId="062E09D9" w:rsidR="00274B7D" w:rsidRPr="00E17234" w:rsidRDefault="00104664" w:rsidP="00274B7D">
      <w:pPr>
        <w:pStyle w:val="Bullet1"/>
      </w:pPr>
      <w:r w:rsidRPr="00E17234">
        <w:t xml:space="preserve">avoided </w:t>
      </w:r>
      <w:r w:rsidR="00274B7D" w:rsidRPr="00E17234">
        <w:t>costs</w:t>
      </w:r>
      <w:r w:rsidR="00274B7D">
        <w:t>, such as</w:t>
      </w:r>
      <w:r w:rsidR="00274B7D" w:rsidRPr="00E17234">
        <w:t xml:space="preserve"> health and energy use costs associated with poor thermal comfort</w:t>
      </w:r>
    </w:p>
    <w:p w14:paraId="18FE7CB0" w14:textId="21205DF5" w:rsidR="00274B7D" w:rsidRDefault="00104664" w:rsidP="00274B7D">
      <w:pPr>
        <w:pStyle w:val="Bullet1"/>
      </w:pPr>
      <w:r>
        <w:t xml:space="preserve">how </w:t>
      </w:r>
      <w:r w:rsidR="00274B7D">
        <w:t>qualitative sustainability impacts, such as amenity and wellbeing, can be considered in the overall solution development and investment decision making process</w:t>
      </w:r>
    </w:p>
    <w:p w14:paraId="760220C2" w14:textId="57130FE3" w:rsidR="00274B7D" w:rsidRPr="00985C95" w:rsidRDefault="00104664" w:rsidP="00274B7D">
      <w:pPr>
        <w:pStyle w:val="Bullet1"/>
      </w:pPr>
      <w:r>
        <w:t xml:space="preserve">the </w:t>
      </w:r>
      <w:r w:rsidR="00274B7D">
        <w:t>timing of the benefits or disbenefits</w:t>
      </w:r>
    </w:p>
    <w:p w14:paraId="4AAFB4DA" w14:textId="4E384A4C" w:rsidR="00274B7D" w:rsidRPr="00985C95" w:rsidRDefault="00104664" w:rsidP="00274B7D">
      <w:pPr>
        <w:pStyle w:val="Bullet1"/>
      </w:pPr>
      <w:r>
        <w:t xml:space="preserve">the </w:t>
      </w:r>
      <w:r w:rsidR="00274B7D">
        <w:t>resilience of the asset, and its ability to meet the core service objectives under future scenarios</w:t>
      </w:r>
    </w:p>
    <w:p w14:paraId="51B9EB22" w14:textId="72D2341F" w:rsidR="00274B7D" w:rsidRDefault="00104664" w:rsidP="00274B7D">
      <w:pPr>
        <w:pStyle w:val="Bullet1"/>
      </w:pPr>
      <w:r>
        <w:t>t</w:t>
      </w:r>
      <w:r w:rsidRPr="00F377BE">
        <w:t xml:space="preserve">he </w:t>
      </w:r>
      <w:r w:rsidR="00274B7D" w:rsidRPr="00F377BE">
        <w:t>risk of investing in stranded assets</w:t>
      </w:r>
      <w:r w:rsidR="00274B7D">
        <w:t xml:space="preserve"> </w:t>
      </w:r>
    </w:p>
    <w:p w14:paraId="647E4C51" w14:textId="7351B76D" w:rsidR="00274B7D" w:rsidRDefault="00104664" w:rsidP="00274B7D">
      <w:pPr>
        <w:pStyle w:val="Bullet1"/>
      </w:pPr>
      <w:r>
        <w:t xml:space="preserve">the </w:t>
      </w:r>
      <w:r w:rsidR="00274B7D">
        <w:t>ability of the option to support the Government’s zero carbon goal</w:t>
      </w:r>
    </w:p>
    <w:p w14:paraId="5C42BEE1" w14:textId="2DF1AEF9" w:rsidR="00274B7D" w:rsidRDefault="00104664" w:rsidP="00274B7D">
      <w:pPr>
        <w:pStyle w:val="Bullet1"/>
      </w:pPr>
      <w:r>
        <w:t>e</w:t>
      </w:r>
      <w:r w:rsidRPr="00F377BE">
        <w:t>nvironmental</w:t>
      </w:r>
      <w:r>
        <w:t xml:space="preserve"> </w:t>
      </w:r>
      <w:r w:rsidR="00274B7D">
        <w:t>impacts:</w:t>
      </w:r>
    </w:p>
    <w:p w14:paraId="07A19675" w14:textId="20F7EB8A" w:rsidR="00274B7D" w:rsidRDefault="00104664" w:rsidP="00274B7D">
      <w:pPr>
        <w:pStyle w:val="Bullet2"/>
      </w:pPr>
      <w:r>
        <w:lastRenderedPageBreak/>
        <w:t xml:space="preserve">environmental </w:t>
      </w:r>
      <w:r w:rsidR="00274B7D">
        <w:t>benefits created,</w:t>
      </w:r>
      <w:r w:rsidR="00274B7D" w:rsidRPr="006E6368">
        <w:t xml:space="preserve"> </w:t>
      </w:r>
      <w:r w:rsidR="00274B7D">
        <w:t xml:space="preserve">including the avoidance of waste or use of recycled </w:t>
      </w:r>
      <w:proofErr w:type="gramStart"/>
      <w:r w:rsidR="00274B7D">
        <w:t>materials;</w:t>
      </w:r>
      <w:proofErr w:type="gramEnd"/>
    </w:p>
    <w:p w14:paraId="5D15BC60" w14:textId="24B73C53" w:rsidR="00274B7D" w:rsidRDefault="00104664" w:rsidP="00274B7D">
      <w:pPr>
        <w:pStyle w:val="Bullet2"/>
      </w:pPr>
      <w:r>
        <w:t>u</w:t>
      </w:r>
      <w:r w:rsidRPr="00F377BE">
        <w:t xml:space="preserve">nderlying </w:t>
      </w:r>
      <w:r w:rsidR="00274B7D" w:rsidRPr="00F377BE">
        <w:t xml:space="preserve">environmental degradation trends, such as a waterway facing growing biodiversity loss over </w:t>
      </w:r>
      <w:proofErr w:type="gramStart"/>
      <w:r w:rsidR="00274B7D" w:rsidRPr="00F377BE">
        <w:t>time</w:t>
      </w:r>
      <w:r w:rsidR="00274B7D">
        <w:t>;</w:t>
      </w:r>
      <w:proofErr w:type="gramEnd"/>
    </w:p>
    <w:p w14:paraId="25E89FB8" w14:textId="1CC9CECE" w:rsidR="00274B7D" w:rsidRDefault="00104664" w:rsidP="00274B7D">
      <w:pPr>
        <w:pStyle w:val="Bullet2"/>
      </w:pPr>
      <w:r>
        <w:t xml:space="preserve">the </w:t>
      </w:r>
      <w:r w:rsidR="00274B7D">
        <w:t xml:space="preserve">possibility of an ecological threshold to be crossed causing irretrievable </w:t>
      </w:r>
      <w:proofErr w:type="gramStart"/>
      <w:r w:rsidR="00274B7D">
        <w:t>damage;</w:t>
      </w:r>
      <w:proofErr w:type="gramEnd"/>
    </w:p>
    <w:p w14:paraId="68441E72" w14:textId="6D0B9A3D" w:rsidR="00274B7D" w:rsidRDefault="00104664" w:rsidP="00274B7D">
      <w:pPr>
        <w:pStyle w:val="Bullet2"/>
      </w:pPr>
      <w:r>
        <w:t xml:space="preserve">damage </w:t>
      </w:r>
      <w:r w:rsidR="00274B7D">
        <w:t xml:space="preserve">during </w:t>
      </w:r>
      <w:proofErr w:type="gramStart"/>
      <w:r w:rsidR="00274B7D">
        <w:t>construction;</w:t>
      </w:r>
      <w:proofErr w:type="gramEnd"/>
    </w:p>
    <w:p w14:paraId="1850FBFE" w14:textId="672E25D3" w:rsidR="00274B7D" w:rsidRDefault="00104664" w:rsidP="00274B7D">
      <w:pPr>
        <w:pStyle w:val="Bullet1"/>
        <w:keepNext/>
      </w:pPr>
      <w:r w:rsidRPr="00C15B03">
        <w:t>social</w:t>
      </w:r>
      <w:r>
        <w:t xml:space="preserve"> </w:t>
      </w:r>
      <w:r w:rsidR="00274B7D">
        <w:t>impacts:</w:t>
      </w:r>
    </w:p>
    <w:p w14:paraId="75E00D6C" w14:textId="7C1A7A6B" w:rsidR="00274B7D" w:rsidRDefault="00104664" w:rsidP="00274B7D">
      <w:pPr>
        <w:pStyle w:val="Bullet2"/>
        <w:keepNext/>
      </w:pPr>
      <w:r>
        <w:t>l</w:t>
      </w:r>
      <w:r w:rsidRPr="00C15B03">
        <w:t xml:space="preserve">ack </w:t>
      </w:r>
      <w:r w:rsidR="00274B7D" w:rsidRPr="00C15B03">
        <w:t>of access to green space for local community members</w:t>
      </w:r>
    </w:p>
    <w:p w14:paraId="2F6FD362" w14:textId="632A963D" w:rsidR="00274B7D" w:rsidRPr="00C15B03" w:rsidRDefault="00104664" w:rsidP="00274B7D">
      <w:pPr>
        <w:pStyle w:val="Bullet2"/>
      </w:pPr>
      <w:r>
        <w:t xml:space="preserve">protection </w:t>
      </w:r>
      <w:r w:rsidR="00274B7D">
        <w:t xml:space="preserve">of </w:t>
      </w:r>
      <w:r w:rsidR="00274B7D" w:rsidRPr="00C15B03">
        <w:t>important cultural heritage site</w:t>
      </w:r>
      <w:r w:rsidR="00274B7D">
        <w:t>s</w:t>
      </w:r>
      <w:r w:rsidR="00274B7D" w:rsidRPr="00C15B03">
        <w:t>.</w:t>
      </w:r>
    </w:p>
    <w:p w14:paraId="700D26D9" w14:textId="77777777" w:rsidR="00274B7D" w:rsidRDefault="00274B7D" w:rsidP="00274B7D">
      <w:r>
        <w:t>Each option is assessed against t</w:t>
      </w:r>
      <w:r w:rsidRPr="009B2B67">
        <w:t>he base case, which incorporates existing (and in some cases planned) policy settings as the current policy option, as the reference point for comparing the costs and benefits of a policy (or investment) decision.</w:t>
      </w:r>
    </w:p>
    <w:p w14:paraId="43984147" w14:textId="77777777" w:rsidR="00274B7D" w:rsidRPr="00F377BE" w:rsidRDefault="00274B7D" w:rsidP="00274B7D">
      <w:r w:rsidRPr="00F377BE">
        <w:t xml:space="preserve">In defining </w:t>
      </w:r>
      <w:r>
        <w:t xml:space="preserve">and assessing </w:t>
      </w:r>
      <w:r w:rsidRPr="00296370">
        <w:t xml:space="preserve">the </w:t>
      </w:r>
      <w:r w:rsidRPr="009B2B67">
        <w:t>base case</w:t>
      </w:r>
      <w:r w:rsidRPr="00296370">
        <w:t>, it m</w:t>
      </w:r>
      <w:r w:rsidRPr="00F377BE">
        <w:t xml:space="preserve">ay also be helpful to consider </w:t>
      </w:r>
      <w:r>
        <w:t>temporal</w:t>
      </w:r>
      <w:r w:rsidRPr="00F377BE">
        <w:t xml:space="preserve"> sustainability issues such as:</w:t>
      </w:r>
    </w:p>
    <w:p w14:paraId="430D10BE" w14:textId="77777777" w:rsidR="00274B7D" w:rsidRPr="006065B2" w:rsidRDefault="00274B7D" w:rsidP="00274B7D">
      <w:pPr>
        <w:pStyle w:val="Bullet1"/>
      </w:pPr>
      <w:r w:rsidRPr="006065B2">
        <w:t>Will the problem more likely create environmental</w:t>
      </w:r>
      <w:r>
        <w:t>,</w:t>
      </w:r>
      <w:r w:rsidRPr="006065B2">
        <w:t xml:space="preserve"> </w:t>
      </w:r>
      <w:r>
        <w:t xml:space="preserve">or other, </w:t>
      </w:r>
      <w:r w:rsidRPr="006065B2">
        <w:t>harm if a response is delivered quickly or delayed?</w:t>
      </w:r>
    </w:p>
    <w:p w14:paraId="67481B98" w14:textId="77777777" w:rsidR="00274B7D" w:rsidRPr="006065B2" w:rsidRDefault="00274B7D" w:rsidP="00274B7D">
      <w:pPr>
        <w:pStyle w:val="Bullet1"/>
      </w:pPr>
      <w:r w:rsidRPr="006065B2">
        <w:t>Will Government sustainability targets be missed if a response is not delivered or is delayed?</w:t>
      </w:r>
    </w:p>
    <w:p w14:paraId="54577680" w14:textId="77777777" w:rsidR="00274B7D" w:rsidRPr="006065B2" w:rsidRDefault="00274B7D" w:rsidP="00274B7D">
      <w:pPr>
        <w:pStyle w:val="Bullet1"/>
      </w:pPr>
      <w:r w:rsidRPr="006065B2">
        <w:t>Will delaying climate resilience works now result in higher costs in future, or risk investing in stranded assets?</w:t>
      </w:r>
    </w:p>
    <w:p w14:paraId="3A69F600" w14:textId="77777777" w:rsidR="00274B7D" w:rsidRDefault="00274B7D" w:rsidP="00274B7D">
      <w:pPr>
        <w:pStyle w:val="Bullet1"/>
      </w:pPr>
      <w:r>
        <w:t>What social or environmental benefits may result during the delivery stage of the project?</w:t>
      </w:r>
    </w:p>
    <w:p w14:paraId="0F611DC2" w14:textId="34B5FF39" w:rsidR="008A319A" w:rsidRDefault="0078725A" w:rsidP="008A319A">
      <w:bookmarkStart w:id="897" w:name="_Hlk75939829"/>
      <w:r w:rsidRPr="00226A87">
        <w:t xml:space="preserve">Scenario modelling and stress testing </w:t>
      </w:r>
      <w:r w:rsidR="00DD68DA" w:rsidRPr="00226A87">
        <w:t xml:space="preserve">the </w:t>
      </w:r>
      <w:r w:rsidR="00C568E6" w:rsidRPr="00226A87">
        <w:t xml:space="preserve">climate change resilience </w:t>
      </w:r>
      <w:r w:rsidRPr="00226A87">
        <w:t>of options</w:t>
      </w:r>
      <w:r w:rsidR="00C568E6" w:rsidRPr="00226A87">
        <w:t xml:space="preserve"> </w:t>
      </w:r>
      <w:r w:rsidR="00637653" w:rsidRPr="00226A87">
        <w:t>is</w:t>
      </w:r>
      <w:r w:rsidR="00C568E6" w:rsidRPr="00226A87">
        <w:t xml:space="preserve"> supported by the </w:t>
      </w:r>
      <w:r w:rsidR="001D46A8" w:rsidRPr="00226A87">
        <w:t>Victoria’s Managed Insurance Agency</w:t>
      </w:r>
      <w:r w:rsidR="00C568E6" w:rsidRPr="00226A87">
        <w:t>’s</w:t>
      </w:r>
      <w:r w:rsidR="001D46A8" w:rsidRPr="00226A87">
        <w:t xml:space="preserve"> (VMIA) </w:t>
      </w:r>
      <w:r w:rsidR="00C568E6" w:rsidRPr="00226A87">
        <w:t xml:space="preserve">climate change risk management service and </w:t>
      </w:r>
      <w:r w:rsidR="008A319A" w:rsidRPr="00226A87">
        <w:t xml:space="preserve">Victoria’s Future Climate </w:t>
      </w:r>
      <w:r w:rsidR="001D46A8" w:rsidRPr="00226A87">
        <w:t>Tool</w:t>
      </w:r>
      <w:r w:rsidR="00333A23">
        <w:t xml:space="preserve">. The interactive </w:t>
      </w:r>
      <w:r w:rsidR="00333A23" w:rsidRPr="00333A23">
        <w:t xml:space="preserve">Future Climate Tool provides access to the most recent climate model simulations of Victoria's future climate and indicators of climate-related hazards (including temperature, </w:t>
      </w:r>
      <w:proofErr w:type="gramStart"/>
      <w:r w:rsidR="00333A23" w:rsidRPr="00333A23">
        <w:t>rainfall</w:t>
      </w:r>
      <w:proofErr w:type="gramEnd"/>
      <w:r w:rsidR="00333A23" w:rsidRPr="00333A23">
        <w:t xml:space="preserve"> and heatwaves) for both high and medium emissions. </w:t>
      </w:r>
    </w:p>
    <w:bookmarkEnd w:id="897"/>
    <w:p w14:paraId="0E0F2E40" w14:textId="1AC81F47" w:rsidR="00274B7D" w:rsidRPr="00093C06" w:rsidRDefault="00274B7D" w:rsidP="008A319A">
      <w:r>
        <w:t>Assessment of project options provides information necessary to develop the Benefits Management Plan.</w:t>
      </w:r>
    </w:p>
    <w:p w14:paraId="22E6E84D" w14:textId="46AF9BE1" w:rsidR="00274B7D" w:rsidRPr="00274B7D" w:rsidRDefault="00274B7D" w:rsidP="000C20DE">
      <w:pPr>
        <w:pStyle w:val="Breakoutheading2"/>
      </w:pPr>
      <w:r w:rsidRPr="00274B7D">
        <w:t>Real options assessment</w:t>
      </w:r>
    </w:p>
    <w:p w14:paraId="4FE63E48" w14:textId="5ECE8415" w:rsidR="00274B7D" w:rsidRPr="00274B7D" w:rsidRDefault="00274B7D" w:rsidP="00104664">
      <w:pPr>
        <w:pStyle w:val="Breakouttext"/>
        <w:keepNext/>
        <w:keepLines w:val="0"/>
      </w:pPr>
      <w:r w:rsidRPr="00274B7D">
        <w:t xml:space="preserve">Real options are particularly relevant to the </w:t>
      </w:r>
      <w:r w:rsidR="00624172">
        <w:t>Sustainable Investment themes</w:t>
      </w:r>
      <w:r w:rsidRPr="00274B7D">
        <w:t xml:space="preserve">. </w:t>
      </w:r>
    </w:p>
    <w:p w14:paraId="4EF0274C" w14:textId="77777777" w:rsidR="00274B7D" w:rsidRPr="00274B7D" w:rsidRDefault="00274B7D" w:rsidP="00104664">
      <w:pPr>
        <w:pStyle w:val="Breakouttext"/>
        <w:keepNext/>
        <w:keepLines w:val="0"/>
      </w:pPr>
      <w:r w:rsidRPr="00274B7D">
        <w:t xml:space="preserve">Real options allow early investments for future flexibility to be valued based on the probability of the flexibility being needed and projected benefits. This is useful to justify including provisions for infrastructure to be upgraded later. For example, where considerable uncertainty exists around the </w:t>
      </w:r>
      <w:r w:rsidRPr="00274B7D">
        <w:lastRenderedPageBreak/>
        <w:t>impacts of climate change and corresponding future infrastructure adaptation (Sustainable Investment Theme: Energy Productivity and Carbon Emissions).</w:t>
      </w:r>
    </w:p>
    <w:p w14:paraId="6E2071F6" w14:textId="77777777" w:rsidR="00274B7D" w:rsidRPr="00274B7D" w:rsidRDefault="00274B7D" w:rsidP="00104664">
      <w:pPr>
        <w:pStyle w:val="Breakouttext"/>
        <w:keepNext/>
        <w:keepLines w:val="0"/>
      </w:pPr>
      <w:r w:rsidRPr="00274B7D">
        <w:t>In applying the example of climate change in a real options assessment, assess the probability of expected effects of climate change (such as increased average temperatures and more frequent and severe extreme weather events) materially impacting the business case assumptions, and adjust the value of the project benefits based on the likelihood of different outcomes.</w:t>
      </w:r>
    </w:p>
    <w:p w14:paraId="68D4901E" w14:textId="775BD2E5" w:rsidR="00274B7D" w:rsidRDefault="00274B7D" w:rsidP="00104664">
      <w:pPr>
        <w:pStyle w:val="Spacer"/>
      </w:pPr>
    </w:p>
    <w:p w14:paraId="6580311D" w14:textId="38D5F334" w:rsidR="00274B7D" w:rsidRPr="009B2B67" w:rsidRDefault="00274B7D" w:rsidP="00274B7D">
      <w:pPr>
        <w:pStyle w:val="Heading3numbered"/>
      </w:pPr>
      <w:bookmarkStart w:id="898" w:name="_Toc68769288"/>
      <w:r w:rsidRPr="009B2B67">
        <w:t>Sustainability requirements and potential trade</w:t>
      </w:r>
      <w:r w:rsidR="00601819">
        <w:noBreakHyphen/>
      </w:r>
      <w:r w:rsidRPr="009B2B67">
        <w:t>offs</w:t>
      </w:r>
      <w:bookmarkEnd w:id="898"/>
    </w:p>
    <w:p w14:paraId="01E9078C" w14:textId="514E18A2" w:rsidR="00274B7D" w:rsidRDefault="00274B7D" w:rsidP="00104664">
      <w:pPr>
        <w:rPr>
          <w:lang w:eastAsia="en-US"/>
        </w:rPr>
      </w:pPr>
      <w:r>
        <w:rPr>
          <w:lang w:eastAsia="en-US"/>
        </w:rPr>
        <w:t xml:space="preserve">Certain sustainability outcomes, such as building energy performance, are required by </w:t>
      </w:r>
      <w:r w:rsidR="00486CDF">
        <w:rPr>
          <w:lang w:eastAsia="en-US"/>
        </w:rPr>
        <w:t xml:space="preserve">government </w:t>
      </w:r>
      <w:r>
        <w:rPr>
          <w:lang w:eastAsia="en-US"/>
        </w:rPr>
        <w:t xml:space="preserve">policy or </w:t>
      </w:r>
      <w:proofErr w:type="gramStart"/>
      <w:r>
        <w:rPr>
          <w:lang w:eastAsia="en-US"/>
        </w:rPr>
        <w:t>legislation</w:t>
      </w:r>
      <w:proofErr w:type="gramEnd"/>
      <w:r>
        <w:rPr>
          <w:lang w:eastAsia="en-US"/>
        </w:rPr>
        <w:t xml:space="preserve"> and must be included in investment planning. For example, a key requirement is Victoria’s legislated target of a zero</w:t>
      </w:r>
      <w:r w:rsidR="00601819">
        <w:rPr>
          <w:lang w:eastAsia="en-US"/>
        </w:rPr>
        <w:noBreakHyphen/>
      </w:r>
      <w:r>
        <w:rPr>
          <w:lang w:eastAsia="en-US"/>
        </w:rPr>
        <w:t>carbon economy by 2050, and hence the viability of longer</w:t>
      </w:r>
      <w:r w:rsidR="00601819">
        <w:rPr>
          <w:lang w:eastAsia="en-US"/>
        </w:rPr>
        <w:noBreakHyphen/>
      </w:r>
      <w:r>
        <w:rPr>
          <w:lang w:eastAsia="en-US"/>
        </w:rPr>
        <w:t>term investments should be evaluated for suitability within that target.</w:t>
      </w:r>
    </w:p>
    <w:p w14:paraId="63D32973" w14:textId="6553DB3F" w:rsidR="00274B7D" w:rsidRDefault="00274B7D" w:rsidP="00274B7D">
      <w:r>
        <w:rPr>
          <w:lang w:eastAsia="en-US"/>
        </w:rPr>
        <w:t>Where s</w:t>
      </w:r>
      <w:r>
        <w:t>ustainability benefits and costs are not required by any legislation or policy, they should be justified on dollar terms where possible, as is consistent with a whole</w:t>
      </w:r>
      <w:r w:rsidR="00B45FD0">
        <w:t xml:space="preserve"> </w:t>
      </w:r>
      <w:r>
        <w:t>of</w:t>
      </w:r>
      <w:r w:rsidR="00B45FD0">
        <w:t xml:space="preserve"> </w:t>
      </w:r>
      <w:r>
        <w:t>life assessment. This allows for sustainability benefits across different domains to be compared and evaluated on a like</w:t>
      </w:r>
      <w:r w:rsidR="00486CDF">
        <w:t>-</w:t>
      </w:r>
      <w:r>
        <w:t>for</w:t>
      </w:r>
      <w:r w:rsidR="00486CDF">
        <w:t>-</w:t>
      </w:r>
      <w:r>
        <w:t>like basis</w:t>
      </w:r>
      <w:r w:rsidRPr="00393E66">
        <w:t xml:space="preserve"> </w:t>
      </w:r>
      <w:r>
        <w:t xml:space="preserve">to maximise the project </w:t>
      </w:r>
      <w:r w:rsidR="001C79F8">
        <w:t>benefit cost ratio</w:t>
      </w:r>
      <w:r>
        <w:t>.</w:t>
      </w:r>
    </w:p>
    <w:p w14:paraId="36EA0556" w14:textId="545849CC" w:rsidR="00274B7D" w:rsidRDefault="00274B7D" w:rsidP="00274B7D">
      <w:r>
        <w:t>The Investment Lifecycle provides further guidance on the quantification of project benefits and costs, including sustainability</w:t>
      </w:r>
      <w:r w:rsidR="00486CDF">
        <w:t>-</w:t>
      </w:r>
      <w:r>
        <w:t>related benefits. ‘</w:t>
      </w:r>
      <w:r w:rsidRPr="00830646">
        <w:t>Economic Evaluation for Business Cases Technical guidelines</w:t>
      </w:r>
      <w:r>
        <w:t>’</w:t>
      </w:r>
      <w:r w:rsidRPr="004E4511">
        <w:t xml:space="preserve"> </w:t>
      </w:r>
      <w:r>
        <w:t>proposes valuation techniques for non</w:t>
      </w:r>
      <w:r w:rsidR="00601819">
        <w:noBreakHyphen/>
      </w:r>
      <w:r>
        <w:t>market values such as air quality to assist in determining optimal outcomes.</w:t>
      </w:r>
    </w:p>
    <w:p w14:paraId="4ADB7594" w14:textId="77777777" w:rsidR="00274B7D" w:rsidRDefault="00274B7D" w:rsidP="00274B7D">
      <w:r>
        <w:t>In addition to the impact (benefits) and costs of sustainability initiatives, projects should also consider the feasibility of implementing these initiatives, considering factors such as complexity, risk, timeframe, and logistical requirements. Projects should only consider sustainability initiatives that can be resourced and implemented within the capabilities of the project team or through contracts.</w:t>
      </w:r>
    </w:p>
    <w:p w14:paraId="603A9797" w14:textId="4855A1EC" w:rsidR="00274B7D" w:rsidRDefault="00274B7D" w:rsidP="00274B7D">
      <w:r>
        <w:t>Certain sustainability outcomes cannot be practically evaluated in dollar terms. For these situations, where trade</w:t>
      </w:r>
      <w:r w:rsidR="00601819">
        <w:noBreakHyphen/>
      </w:r>
      <w:r>
        <w:t>offs are required but economic evaluation is not possible, multi</w:t>
      </w:r>
      <w:r w:rsidR="00601819">
        <w:noBreakHyphen/>
      </w:r>
      <w:r>
        <w:t>criteria analysis should be used to assess the range of potential solutions. This is documented in ‘</w:t>
      </w:r>
      <w:r w:rsidRPr="00830646">
        <w:t>Economic Evaluation for Business Cases Technical guidelines</w:t>
      </w:r>
      <w:r>
        <w:t>’, however it ultimately requires subjective judgement for decision</w:t>
      </w:r>
      <w:r w:rsidR="00486CDF">
        <w:t xml:space="preserve"> </w:t>
      </w:r>
      <w:r>
        <w:t>makers; the bases for these judgements should be documented to provide transparency and clarity around decision</w:t>
      </w:r>
      <w:r w:rsidR="00486CDF">
        <w:t xml:space="preserve"> </w:t>
      </w:r>
      <w:r>
        <w:t>making.</w:t>
      </w:r>
    </w:p>
    <w:p w14:paraId="3EA6EFD3" w14:textId="77777777" w:rsidR="000A3ABE" w:rsidRDefault="000A3ABE">
      <w:pPr>
        <w:keepLines w:val="0"/>
        <w:spacing w:before="0" w:after="0" w:line="240" w:lineRule="auto"/>
        <w:rPr>
          <w:b/>
          <w:bCs/>
          <w:color w:val="00698F" w:themeColor="accent1"/>
          <w:szCs w:val="22"/>
        </w:rPr>
      </w:pPr>
      <w:bookmarkStart w:id="899" w:name="_Toc75427323"/>
      <w:r>
        <w:br w:type="page"/>
      </w:r>
    </w:p>
    <w:p w14:paraId="18B69926" w14:textId="5678F45D" w:rsidR="00274B7D" w:rsidRPr="00274B7D" w:rsidRDefault="00274B7D" w:rsidP="009D3A3F">
      <w:pPr>
        <w:pStyle w:val="Breakoutheading"/>
      </w:pPr>
      <w:r w:rsidRPr="00274B7D">
        <w:lastRenderedPageBreak/>
        <w:t xml:space="preserve">Case study </w:t>
      </w:r>
      <w:r>
        <w:fldChar w:fldCharType="begin"/>
      </w:r>
      <w:r>
        <w:instrText>SEQ Case_study \* ARABIC</w:instrText>
      </w:r>
      <w:r>
        <w:fldChar w:fldCharType="separate"/>
      </w:r>
      <w:r w:rsidR="00FC7DAA">
        <w:rPr>
          <w:noProof/>
        </w:rPr>
        <w:t>3</w:t>
      </w:r>
      <w:r>
        <w:fldChar w:fldCharType="end"/>
      </w:r>
      <w:r w:rsidR="00F00708">
        <w:t xml:space="preserve"> – </w:t>
      </w:r>
      <w:r w:rsidRPr="00274B7D">
        <w:t>Minimum sustainability targets, Development Victoria</w:t>
      </w:r>
      <w:bookmarkEnd w:id="899"/>
    </w:p>
    <w:p w14:paraId="2D396C8B" w14:textId="056CB199" w:rsidR="00274B7D" w:rsidRDefault="00274B7D" w:rsidP="009D3A3F">
      <w:pPr>
        <w:pStyle w:val="Breakouttext"/>
        <w:pBdr>
          <w:bottom w:val="none" w:sz="0" w:space="0" w:color="auto"/>
        </w:pBdr>
      </w:pPr>
      <w:r w:rsidRPr="00274B7D">
        <w:t xml:space="preserve">Development Victoria requires </w:t>
      </w:r>
      <w:proofErr w:type="gramStart"/>
      <w:r w:rsidRPr="00274B7D">
        <w:t>a number of</w:t>
      </w:r>
      <w:proofErr w:type="gramEnd"/>
      <w:r w:rsidRPr="00274B7D">
        <w:t xml:space="preserve"> tasks to be undertaken when new investment projects are developed. These include the preparation of sustainability plans for multiple scenarios; the preparation of information on materials use, </w:t>
      </w:r>
      <w:proofErr w:type="gramStart"/>
      <w:r w:rsidRPr="00274B7D">
        <w:t>reuse</w:t>
      </w:r>
      <w:proofErr w:type="gramEnd"/>
      <w:r w:rsidRPr="00274B7D">
        <w:t xml:space="preserve"> and disposal; and alignment with a set of minimum sustainability requirements. These targets include:</w:t>
      </w:r>
    </w:p>
    <w:p w14:paraId="164FA840" w14:textId="77777777" w:rsidR="009D3A3F" w:rsidRDefault="009D3A3F" w:rsidP="009D3A3F">
      <w:pPr>
        <w:pStyle w:val="Breakouttext"/>
        <w:sectPr w:rsidR="009D3A3F" w:rsidSect="00434FBE">
          <w:headerReference w:type="even" r:id="rId52"/>
          <w:headerReference w:type="default" r:id="rId53"/>
          <w:footerReference w:type="even" r:id="rId54"/>
          <w:footerReference w:type="default" r:id="rId55"/>
          <w:pgSz w:w="11906" w:h="16838" w:code="9"/>
          <w:pgMar w:top="2160" w:right="1440" w:bottom="1987" w:left="1440" w:header="461" w:footer="576" w:gutter="0"/>
          <w:pgNumType w:start="1"/>
          <w:cols w:space="708"/>
          <w:docGrid w:linePitch="360"/>
        </w:sectPr>
      </w:pPr>
    </w:p>
    <w:p w14:paraId="22665DBE" w14:textId="0C66FC71" w:rsidR="009D3A3F" w:rsidRPr="00274B7D" w:rsidRDefault="009D3A3F" w:rsidP="00104664">
      <w:pPr>
        <w:pStyle w:val="Breakoutbullet"/>
        <w:pBdr>
          <w:bottom w:val="none" w:sz="0" w:space="0" w:color="auto"/>
        </w:pBdr>
        <w:spacing w:before="40" w:after="40"/>
        <w:rPr>
          <w:rFonts w:eastAsiaTheme="minorHAnsi"/>
        </w:rPr>
      </w:pPr>
      <w:r w:rsidRPr="00274B7D">
        <w:t>30</w:t>
      </w:r>
      <w:r>
        <w:t xml:space="preserve"> per cent</w:t>
      </w:r>
      <w:r w:rsidRPr="00274B7D">
        <w:t xml:space="preserve"> better than code energy compliance</w:t>
      </w:r>
    </w:p>
    <w:p w14:paraId="4C27151E" w14:textId="77777777" w:rsidR="009D3A3F" w:rsidRPr="00274B7D" w:rsidRDefault="009D3A3F" w:rsidP="00104664">
      <w:pPr>
        <w:pStyle w:val="Breakoutbullet"/>
        <w:pBdr>
          <w:bottom w:val="none" w:sz="0" w:space="0" w:color="auto"/>
        </w:pBdr>
        <w:spacing w:before="40" w:after="40"/>
      </w:pPr>
      <w:r w:rsidRPr="00274B7D">
        <w:t xml:space="preserve">Provision for EV charging </w:t>
      </w:r>
    </w:p>
    <w:p w14:paraId="12620A99" w14:textId="25C72C79" w:rsidR="009D3A3F" w:rsidRPr="00274B7D" w:rsidRDefault="009D3A3F" w:rsidP="00104664">
      <w:pPr>
        <w:pStyle w:val="Breakoutbullet"/>
        <w:pBdr>
          <w:bottom w:val="none" w:sz="0" w:space="0" w:color="auto"/>
        </w:pBdr>
        <w:spacing w:before="40" w:after="40"/>
      </w:pPr>
      <w:r w:rsidRPr="00274B7D">
        <w:t>Minimum 40</w:t>
      </w:r>
      <w:r>
        <w:t xml:space="preserve"> per cent</w:t>
      </w:r>
      <w:r w:rsidRPr="00274B7D">
        <w:t xml:space="preserve"> renewables on site</w:t>
      </w:r>
    </w:p>
    <w:p w14:paraId="563D5C3C" w14:textId="14BD7F1E" w:rsidR="009D3A3F" w:rsidRPr="00274B7D" w:rsidRDefault="009D3A3F" w:rsidP="00104664">
      <w:pPr>
        <w:pStyle w:val="Breakoutbullet"/>
        <w:pBdr>
          <w:bottom w:val="none" w:sz="0" w:space="0" w:color="auto"/>
        </w:pBdr>
        <w:spacing w:before="40" w:after="40"/>
      </w:pPr>
      <w:r w:rsidRPr="00274B7D">
        <w:t>95</w:t>
      </w:r>
      <w:r>
        <w:t xml:space="preserve"> per cent</w:t>
      </w:r>
      <w:r w:rsidRPr="00274B7D">
        <w:t xml:space="preserve"> construction waste diversion</w:t>
      </w:r>
    </w:p>
    <w:p w14:paraId="0B083CAC" w14:textId="6D6C1FE4" w:rsidR="009D3A3F" w:rsidRPr="00274B7D" w:rsidRDefault="009D3A3F" w:rsidP="00104664">
      <w:pPr>
        <w:pStyle w:val="Breakoutbullet"/>
        <w:pBdr>
          <w:bottom w:val="none" w:sz="0" w:space="0" w:color="auto"/>
        </w:pBdr>
        <w:spacing w:before="40" w:after="40"/>
      </w:pPr>
      <w:r w:rsidRPr="00274B7D">
        <w:t>35</w:t>
      </w:r>
      <w:r>
        <w:t xml:space="preserve"> per cent</w:t>
      </w:r>
      <w:r w:rsidRPr="00274B7D">
        <w:t xml:space="preserve"> reduction in water demand </w:t>
      </w:r>
    </w:p>
    <w:p w14:paraId="560C41EA" w14:textId="77777777" w:rsidR="009D3A3F" w:rsidRPr="00274B7D" w:rsidRDefault="009D3A3F" w:rsidP="00104664">
      <w:pPr>
        <w:pStyle w:val="Breakoutbullet"/>
        <w:pBdr>
          <w:bottom w:val="none" w:sz="0" w:space="0" w:color="auto"/>
        </w:pBdr>
        <w:spacing w:before="40" w:after="40"/>
      </w:pPr>
      <w:r w:rsidRPr="00274B7D">
        <w:t>Maximise on site water reuse</w:t>
      </w:r>
    </w:p>
    <w:p w14:paraId="2F498706" w14:textId="77777777" w:rsidR="009D3A3F" w:rsidRPr="00274B7D" w:rsidRDefault="009D3A3F" w:rsidP="00104664">
      <w:pPr>
        <w:pStyle w:val="Breakoutbullet"/>
        <w:pBdr>
          <w:bottom w:val="none" w:sz="0" w:space="0" w:color="auto"/>
        </w:pBdr>
        <w:spacing w:before="40" w:after="40"/>
      </w:pPr>
      <w:r w:rsidRPr="00274B7D">
        <w:t>Reduce urban heat island effects on all developments</w:t>
      </w:r>
    </w:p>
    <w:p w14:paraId="32CDC2ED" w14:textId="77777777" w:rsidR="009D3A3F" w:rsidRPr="00274B7D" w:rsidRDefault="009D3A3F" w:rsidP="00104664">
      <w:pPr>
        <w:pStyle w:val="Breakoutbullet"/>
        <w:pBdr>
          <w:bottom w:val="none" w:sz="0" w:space="0" w:color="auto"/>
        </w:pBdr>
        <w:spacing w:before="40" w:after="40"/>
      </w:pPr>
      <w:r w:rsidRPr="00274B7D">
        <w:t>Support market transformation through projects and partnerships</w:t>
      </w:r>
    </w:p>
    <w:p w14:paraId="585A8C1B" w14:textId="77777777" w:rsidR="009D3A3F" w:rsidRDefault="009D3A3F" w:rsidP="00104664">
      <w:pPr>
        <w:pStyle w:val="Breakoutbullet"/>
        <w:pBdr>
          <w:bottom w:val="none" w:sz="0" w:space="0" w:color="auto"/>
        </w:pBdr>
        <w:spacing w:before="40" w:after="40"/>
      </w:pPr>
      <w:r w:rsidRPr="00274B7D">
        <w:t>Sustainable transport plan</w:t>
      </w:r>
    </w:p>
    <w:p w14:paraId="35E5F6FA" w14:textId="5A004B6D" w:rsidR="009D3A3F" w:rsidRDefault="009D3A3F" w:rsidP="00104664">
      <w:pPr>
        <w:pStyle w:val="Breakoutbullet"/>
        <w:pBdr>
          <w:bottom w:val="none" w:sz="0" w:space="0" w:color="auto"/>
        </w:pBdr>
        <w:spacing w:before="40" w:after="40"/>
      </w:pPr>
      <w:r w:rsidRPr="00274B7D">
        <w:t>Biodiversity management plan</w:t>
      </w:r>
    </w:p>
    <w:p w14:paraId="49337CBE" w14:textId="42AD6EF9" w:rsidR="009D3A3F" w:rsidRPr="00274B7D" w:rsidRDefault="009D3A3F" w:rsidP="00104664">
      <w:pPr>
        <w:pStyle w:val="Breakoutbullet"/>
        <w:pBdr>
          <w:bottom w:val="none" w:sz="0" w:space="0" w:color="auto"/>
        </w:pBdr>
        <w:spacing w:before="40" w:after="40"/>
      </w:pPr>
      <w:r w:rsidRPr="00274B7D">
        <w:t>100</w:t>
      </w:r>
      <w:r>
        <w:t xml:space="preserve"> per cent</w:t>
      </w:r>
      <w:r w:rsidRPr="00274B7D">
        <w:t xml:space="preserve"> of public place water from non</w:t>
      </w:r>
      <w:r w:rsidR="00601819">
        <w:noBreakHyphen/>
      </w:r>
      <w:r w:rsidRPr="00274B7D">
        <w:t>potable sources</w:t>
      </w:r>
    </w:p>
    <w:p w14:paraId="574569CD" w14:textId="6E39E786" w:rsidR="009D3A3F" w:rsidRPr="00274B7D" w:rsidRDefault="009D3A3F" w:rsidP="00104664">
      <w:pPr>
        <w:pStyle w:val="Breakoutbullet"/>
        <w:pBdr>
          <w:bottom w:val="none" w:sz="0" w:space="0" w:color="auto"/>
        </w:pBdr>
        <w:spacing w:before="40" w:after="40"/>
      </w:pPr>
      <w:r w:rsidRPr="00274B7D">
        <w:t>Fossil fuel</w:t>
      </w:r>
      <w:r w:rsidR="00486CDF">
        <w:t>-</w:t>
      </w:r>
      <w:r w:rsidRPr="00274B7D">
        <w:t>free development</w:t>
      </w:r>
    </w:p>
    <w:p w14:paraId="1CF8C314" w14:textId="77777777" w:rsidR="009D3A3F" w:rsidRPr="00274B7D" w:rsidRDefault="009D3A3F" w:rsidP="00104664">
      <w:pPr>
        <w:pStyle w:val="Breakoutbullet"/>
        <w:pBdr>
          <w:bottom w:val="none" w:sz="0" w:space="0" w:color="auto"/>
        </w:pBdr>
        <w:spacing w:before="40" w:after="40"/>
      </w:pPr>
      <w:r w:rsidRPr="00274B7D">
        <w:t>Carbon neutral construction</w:t>
      </w:r>
    </w:p>
    <w:p w14:paraId="0E60956F" w14:textId="77777777" w:rsidR="009D3A3F" w:rsidRPr="00274B7D" w:rsidRDefault="009D3A3F" w:rsidP="00104664">
      <w:pPr>
        <w:pStyle w:val="Breakoutbullet"/>
        <w:pBdr>
          <w:bottom w:val="none" w:sz="0" w:space="0" w:color="auto"/>
        </w:pBdr>
        <w:spacing w:before="40" w:after="40"/>
      </w:pPr>
      <w:r w:rsidRPr="00274B7D">
        <w:t xml:space="preserve">Carbon neutral development </w:t>
      </w:r>
    </w:p>
    <w:p w14:paraId="2A517B86" w14:textId="77777777" w:rsidR="009D3A3F" w:rsidRPr="00274B7D" w:rsidRDefault="009D3A3F" w:rsidP="00104664">
      <w:pPr>
        <w:pStyle w:val="Breakoutbullet"/>
        <w:pBdr>
          <w:bottom w:val="none" w:sz="0" w:space="0" w:color="auto"/>
        </w:pBdr>
        <w:spacing w:before="40" w:after="40"/>
      </w:pPr>
      <w:r w:rsidRPr="00274B7D">
        <w:t>Community resilience and climate adaptation plan</w:t>
      </w:r>
    </w:p>
    <w:p w14:paraId="12FC8000" w14:textId="77777777" w:rsidR="009D3A3F" w:rsidRPr="00274B7D" w:rsidRDefault="009D3A3F" w:rsidP="00104664">
      <w:pPr>
        <w:pStyle w:val="Breakoutbullet"/>
        <w:pBdr>
          <w:bottom w:val="none" w:sz="0" w:space="0" w:color="auto"/>
        </w:pBdr>
        <w:spacing w:before="40" w:after="40"/>
      </w:pPr>
      <w:r w:rsidRPr="00274B7D">
        <w:t>Future climate scenarios for design</w:t>
      </w:r>
    </w:p>
    <w:p w14:paraId="7BC73BF0" w14:textId="77777777" w:rsidR="009D3A3F" w:rsidRPr="00274B7D" w:rsidRDefault="009D3A3F" w:rsidP="00104664">
      <w:pPr>
        <w:pStyle w:val="Breakoutbullet"/>
        <w:pBdr>
          <w:bottom w:val="none" w:sz="0" w:space="0" w:color="auto"/>
        </w:pBdr>
        <w:spacing w:before="40" w:after="40"/>
      </w:pPr>
      <w:r w:rsidRPr="00274B7D">
        <w:t>Integration of WELL building principles</w:t>
      </w:r>
    </w:p>
    <w:p w14:paraId="25537261" w14:textId="77777777" w:rsidR="009D3A3F" w:rsidRPr="00274B7D" w:rsidRDefault="009D3A3F" w:rsidP="00104664">
      <w:pPr>
        <w:pStyle w:val="Breakoutbullet"/>
        <w:pBdr>
          <w:bottom w:val="none" w:sz="0" w:space="0" w:color="auto"/>
        </w:pBdr>
        <w:spacing w:before="40" w:after="40"/>
      </w:pPr>
      <w:r w:rsidRPr="00274B7D">
        <w:t>Integration of passive house principles</w:t>
      </w:r>
    </w:p>
    <w:p w14:paraId="7A04B0E1" w14:textId="77777777" w:rsidR="009D3A3F" w:rsidRDefault="009D3A3F" w:rsidP="00104664">
      <w:pPr>
        <w:pStyle w:val="Breakoutbullet"/>
        <w:pBdr>
          <w:bottom w:val="none" w:sz="0" w:space="0" w:color="auto"/>
        </w:pBdr>
        <w:spacing w:before="40" w:after="40"/>
      </w:pPr>
      <w:proofErr w:type="gramStart"/>
      <w:r w:rsidRPr="00274B7D">
        <w:t>6 star</w:t>
      </w:r>
      <w:proofErr w:type="gramEnd"/>
      <w:r w:rsidRPr="00274B7D">
        <w:t xml:space="preserve"> green star communities</w:t>
      </w:r>
    </w:p>
    <w:p w14:paraId="26864C39" w14:textId="46CC8560" w:rsidR="009D3A3F" w:rsidRDefault="009D3A3F" w:rsidP="00104664">
      <w:pPr>
        <w:pStyle w:val="Breakoutbullet"/>
        <w:pBdr>
          <w:bottom w:val="none" w:sz="0" w:space="0" w:color="auto"/>
        </w:pBdr>
        <w:spacing w:before="40" w:after="40"/>
      </w:pPr>
      <w:r w:rsidRPr="00274B7D">
        <w:t xml:space="preserve">Integration of universal design </w:t>
      </w:r>
      <w:r>
        <w:br/>
      </w:r>
      <w:r w:rsidRPr="00274B7D">
        <w:t>principles</w:t>
      </w:r>
    </w:p>
    <w:p w14:paraId="589B435F" w14:textId="4A25C869" w:rsidR="009D3A3F" w:rsidRDefault="009D3A3F" w:rsidP="009D3A3F">
      <w:pPr>
        <w:pStyle w:val="Breakouttext"/>
        <w:sectPr w:rsidR="009D3A3F" w:rsidSect="00D7239D">
          <w:type w:val="continuous"/>
          <w:pgSz w:w="11906" w:h="16838" w:code="9"/>
          <w:pgMar w:top="2160" w:right="1440" w:bottom="1987" w:left="1440" w:header="461" w:footer="576" w:gutter="0"/>
          <w:cols w:num="2" w:space="288"/>
          <w:docGrid w:linePitch="360"/>
        </w:sectPr>
      </w:pPr>
    </w:p>
    <w:p w14:paraId="03D65234" w14:textId="42C50899" w:rsidR="00AD1641" w:rsidRPr="009D3A3F" w:rsidRDefault="00AD1641" w:rsidP="00104664">
      <w:pPr>
        <w:pStyle w:val="Breakouttext"/>
        <w:spacing w:before="0" w:after="0" w:line="240" w:lineRule="auto"/>
        <w:rPr>
          <w:sz w:val="4"/>
        </w:rPr>
      </w:pPr>
    </w:p>
    <w:p w14:paraId="1BE79D5E" w14:textId="77777777" w:rsidR="009D3A3F" w:rsidRDefault="009D3A3F" w:rsidP="00F00708">
      <w:pPr>
        <w:pStyle w:val="Spacer"/>
      </w:pPr>
    </w:p>
    <w:p w14:paraId="6D2E070C" w14:textId="77777777" w:rsidR="00274B7D" w:rsidRPr="006356B7" w:rsidRDefault="00274B7D" w:rsidP="00274B7D">
      <w:pPr>
        <w:pStyle w:val="Heading4numbered"/>
      </w:pPr>
      <w:bookmarkStart w:id="900" w:name="_Ref68684248"/>
      <w:bookmarkStart w:id="901" w:name="_Toc68769289"/>
      <w:r w:rsidRPr="006356B7">
        <w:t>Precautionary principle</w:t>
      </w:r>
      <w:bookmarkEnd w:id="900"/>
      <w:bookmarkEnd w:id="901"/>
    </w:p>
    <w:p w14:paraId="19D15877" w14:textId="560BE554" w:rsidR="00274B7D" w:rsidRPr="007D521D" w:rsidRDefault="00965764" w:rsidP="00274B7D">
      <w:pPr>
        <w:rPr>
          <w:lang w:eastAsia="en-US"/>
        </w:rPr>
      </w:pPr>
      <w:r>
        <w:rPr>
          <w:lang w:eastAsia="en-US"/>
        </w:rPr>
        <w:t xml:space="preserve">While </w:t>
      </w:r>
      <w:r w:rsidR="00274B7D">
        <w:rPr>
          <w:lang w:eastAsia="en-US"/>
        </w:rPr>
        <w:t xml:space="preserve">outcomes should always be evaluated based on the best available information, in some circumstances there is too little information to gauge potential damages, especially where it relates to social and environmental factors. In these cases, the </w:t>
      </w:r>
      <w:r w:rsidR="00486CDF">
        <w:rPr>
          <w:lang w:eastAsia="en-US"/>
        </w:rPr>
        <w:t xml:space="preserve">precautionary principle </w:t>
      </w:r>
      <w:r w:rsidR="00274B7D">
        <w:rPr>
          <w:lang w:eastAsia="en-US"/>
        </w:rPr>
        <w:t>requires the project proponent to demonstrate that the proposed activity or decision will not result in significant harm, especially in the case where conclusive evidence is not yet available. This principle should be applied when significant uncertainty exists around the probability or consequence of adverse outcomes.</w:t>
      </w:r>
    </w:p>
    <w:p w14:paraId="0F3B7F83" w14:textId="14CC32B0" w:rsidR="00274B7D" w:rsidRDefault="00274B7D" w:rsidP="00274B7D">
      <w:pPr>
        <w:pStyle w:val="Heading4numbered"/>
      </w:pPr>
      <w:bookmarkStart w:id="902" w:name="_Toc68769290"/>
      <w:r>
        <w:t>Unacceptable outcomes and disbenefits</w:t>
      </w:r>
      <w:bookmarkEnd w:id="902"/>
    </w:p>
    <w:p w14:paraId="7897737E" w14:textId="77777777" w:rsidR="00274B7D" w:rsidRDefault="00274B7D" w:rsidP="00274B7D">
      <w:pPr>
        <w:pStyle w:val="NormalIndent"/>
        <w:ind w:left="0"/>
        <w:rPr>
          <w:lang w:eastAsia="en-US"/>
        </w:rPr>
      </w:pPr>
      <w:r w:rsidRPr="00AA0AA9">
        <w:rPr>
          <w:lang w:eastAsia="en-US"/>
        </w:rPr>
        <w:t xml:space="preserve">Sustainability considerations </w:t>
      </w:r>
      <w:r>
        <w:rPr>
          <w:lang w:eastAsia="en-US"/>
        </w:rPr>
        <w:t xml:space="preserve">may be used to prevent consideration of certain options, regardless of their financial merit, when these outcomes result in unacceptable environmental or social outcomes. These options should be described </w:t>
      </w:r>
      <w:proofErr w:type="gramStart"/>
      <w:r>
        <w:rPr>
          <w:lang w:eastAsia="en-US"/>
        </w:rPr>
        <w:t>briefly</w:t>
      </w:r>
      <w:proofErr w:type="gramEnd"/>
      <w:r>
        <w:rPr>
          <w:lang w:eastAsia="en-US"/>
        </w:rPr>
        <w:t xml:space="preserve"> and the rationale given as to why they were not further analysed.</w:t>
      </w:r>
    </w:p>
    <w:p w14:paraId="65369DBC" w14:textId="76027D84" w:rsidR="00274B7D" w:rsidRPr="00CD7764" w:rsidRDefault="00274B7D" w:rsidP="00274B7D">
      <w:pPr>
        <w:pStyle w:val="NormalIndent"/>
        <w:ind w:left="0"/>
      </w:pPr>
      <w:r>
        <w:rPr>
          <w:lang w:eastAsia="en-US"/>
        </w:rPr>
        <w:t>The clearest application of this relates to legal requirements or obligations; options that do not meet legal obligations should not be considered. However, it will also apply when a project will result in damage to a site of significant heritage or environmental value.</w:t>
      </w:r>
    </w:p>
    <w:p w14:paraId="7B4E23F6" w14:textId="77777777" w:rsidR="00274B7D" w:rsidRPr="00AA0AA9" w:rsidRDefault="00274B7D" w:rsidP="00274B7D">
      <w:pPr>
        <w:pStyle w:val="Heading4numbered"/>
      </w:pPr>
      <w:bookmarkStart w:id="903" w:name="_Toc64976429"/>
      <w:bookmarkStart w:id="904" w:name="_Toc64977529"/>
      <w:bookmarkStart w:id="905" w:name="_Toc65244492"/>
      <w:bookmarkStart w:id="906" w:name="_Toc65244732"/>
      <w:bookmarkStart w:id="907" w:name="_Toc65505972"/>
      <w:bookmarkStart w:id="908" w:name="_Toc65577379"/>
      <w:bookmarkStart w:id="909" w:name="_Toc65596448"/>
      <w:bookmarkStart w:id="910" w:name="_Toc65597172"/>
      <w:bookmarkStart w:id="911" w:name="_Toc65597398"/>
      <w:bookmarkStart w:id="912" w:name="_Toc66195211"/>
      <w:bookmarkStart w:id="913" w:name="_Toc66460059"/>
      <w:bookmarkStart w:id="914" w:name="_Toc66709406"/>
      <w:bookmarkStart w:id="915" w:name="_Toc66713771"/>
      <w:bookmarkStart w:id="916" w:name="_Toc66806296"/>
      <w:bookmarkStart w:id="917" w:name="_Toc66863744"/>
      <w:bookmarkStart w:id="918" w:name="_Toc66864058"/>
      <w:bookmarkStart w:id="919" w:name="_Toc66866242"/>
      <w:bookmarkStart w:id="920" w:name="_Toc66868026"/>
      <w:bookmarkStart w:id="921" w:name="_Toc67925217"/>
      <w:bookmarkStart w:id="922" w:name="_Toc67926245"/>
      <w:bookmarkStart w:id="923" w:name="_Toc67926884"/>
      <w:bookmarkStart w:id="924" w:name="_Toc68006637"/>
      <w:bookmarkStart w:id="925" w:name="_Toc68006971"/>
      <w:bookmarkStart w:id="926" w:name="_Toc68007305"/>
      <w:bookmarkStart w:id="927" w:name="_Toc68007656"/>
      <w:bookmarkStart w:id="928" w:name="_Toc68007995"/>
      <w:bookmarkStart w:id="929" w:name="_Toc68008329"/>
      <w:bookmarkStart w:id="930" w:name="_Toc68008666"/>
      <w:bookmarkStart w:id="931" w:name="_Toc68071387"/>
      <w:bookmarkStart w:id="932" w:name="_Toc68071721"/>
      <w:bookmarkStart w:id="933" w:name="_Toc68072055"/>
      <w:bookmarkStart w:id="934" w:name="_Toc68074491"/>
      <w:bookmarkStart w:id="935" w:name="_Toc68074831"/>
      <w:bookmarkStart w:id="936" w:name="_Toc68075165"/>
      <w:bookmarkStart w:id="937" w:name="_Toc68075594"/>
      <w:bookmarkStart w:id="938" w:name="_Toc68075928"/>
      <w:bookmarkStart w:id="939" w:name="_Toc68769291"/>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r>
        <w:lastRenderedPageBreak/>
        <w:t>Economic quantification</w:t>
      </w:r>
      <w:bookmarkStart w:id="940" w:name="_Toc53413434"/>
      <w:bookmarkStart w:id="941" w:name="_Toc53415927"/>
      <w:bookmarkStart w:id="942" w:name="_Toc53490272"/>
      <w:bookmarkStart w:id="943" w:name="_Toc53490457"/>
      <w:bookmarkEnd w:id="939"/>
      <w:bookmarkEnd w:id="940"/>
      <w:bookmarkEnd w:id="941"/>
      <w:bookmarkEnd w:id="942"/>
      <w:bookmarkEnd w:id="943"/>
    </w:p>
    <w:p w14:paraId="7FC69F6E" w14:textId="1039E086" w:rsidR="00274B7D" w:rsidRDefault="00274B7D" w:rsidP="00274B7D">
      <w:r>
        <w:t xml:space="preserve">Economic, </w:t>
      </w:r>
      <w:proofErr w:type="gramStart"/>
      <w:r>
        <w:t>financial</w:t>
      </w:r>
      <w:proofErr w:type="gramEnd"/>
      <w:r>
        <w:t xml:space="preserve"> and other integrated analyses are used to provide further information to decision makers. A </w:t>
      </w:r>
      <w:r w:rsidR="00486CDF">
        <w:t>c</w:t>
      </w:r>
      <w:r>
        <w:t>ost</w:t>
      </w:r>
      <w:r w:rsidR="00486CDF">
        <w:t>-b</w:t>
      </w:r>
      <w:r>
        <w:t xml:space="preserve">enefit </w:t>
      </w:r>
      <w:r w:rsidR="00486CDF">
        <w:t xml:space="preserve">analysis </w:t>
      </w:r>
      <w:r>
        <w:t>(</w:t>
      </w:r>
      <w:r w:rsidRPr="00765FB4">
        <w:t>CBA</w:t>
      </w:r>
      <w:r>
        <w:t>)</w:t>
      </w:r>
      <w:r w:rsidRPr="00765FB4">
        <w:t xml:space="preserve"> is the</w:t>
      </w:r>
      <w:r>
        <w:t xml:space="preserve"> preferred method of assessing project options and gaining approval for the business case when all aspects can be robustly valued in dollar terms, as it is consistent with a </w:t>
      </w:r>
      <w:r w:rsidR="00F00708">
        <w:t>‘</w:t>
      </w:r>
      <w:r w:rsidRPr="003569B2">
        <w:t>whole of lifecycle</w:t>
      </w:r>
      <w:r w:rsidR="00F00708">
        <w:t>’</w:t>
      </w:r>
      <w:r>
        <w:t xml:space="preserve"> assessment. </w:t>
      </w:r>
    </w:p>
    <w:p w14:paraId="01DF43F6" w14:textId="546E64D8" w:rsidR="00274B7D" w:rsidRDefault="00274B7D" w:rsidP="00274B7D">
      <w:r w:rsidRPr="00246F52">
        <w:t>Other decision</w:t>
      </w:r>
      <w:r w:rsidR="00601819">
        <w:noBreakHyphen/>
      </w:r>
      <w:r w:rsidRPr="00246F52">
        <w:t xml:space="preserve">making frameworks can be used to compare project options when quantification of key benefits and cost is impractical. This includes </w:t>
      </w:r>
      <w:r w:rsidR="00F00708" w:rsidRPr="00F00708">
        <w:rPr>
          <w:bCs/>
        </w:rPr>
        <w:t>multi</w:t>
      </w:r>
      <w:r w:rsidR="00601819">
        <w:rPr>
          <w:bCs/>
        </w:rPr>
        <w:noBreakHyphen/>
      </w:r>
      <w:r w:rsidR="00F00708" w:rsidRPr="00F00708">
        <w:rPr>
          <w:bCs/>
        </w:rPr>
        <w:t xml:space="preserve">criteria analysis </w:t>
      </w:r>
      <w:r w:rsidRPr="00F00708">
        <w:rPr>
          <w:bCs/>
        </w:rPr>
        <w:t>(MCA),</w:t>
      </w:r>
      <w:r w:rsidRPr="00246F52">
        <w:t xml:space="preserve"> which is described in the</w:t>
      </w:r>
      <w:r w:rsidRPr="00957E29">
        <w:t xml:space="preserve"> </w:t>
      </w:r>
      <w:r>
        <w:t>DTF Investment L</w:t>
      </w:r>
      <w:r w:rsidRPr="00BB35A3">
        <w:t xml:space="preserve">ifecycle </w:t>
      </w:r>
      <w:r>
        <w:t>G</w:t>
      </w:r>
      <w:r w:rsidRPr="00BB35A3">
        <w:t>uidelines</w:t>
      </w:r>
      <w:r>
        <w:t xml:space="preserve"> </w:t>
      </w:r>
      <w:r w:rsidRPr="00246F52">
        <w:t xml:space="preserve">under </w:t>
      </w:r>
      <w:r w:rsidR="00F00708">
        <w:t>‘</w:t>
      </w:r>
      <w:r w:rsidRPr="00246F52">
        <w:t xml:space="preserve">integrated </w:t>
      </w:r>
      <w:proofErr w:type="gramStart"/>
      <w:r w:rsidRPr="00246F52">
        <w:t>analysis</w:t>
      </w:r>
      <w:r w:rsidR="00F00708">
        <w:t>’</w:t>
      </w:r>
      <w:proofErr w:type="gramEnd"/>
      <w:r w:rsidRPr="00246F52">
        <w:t>.</w:t>
      </w:r>
    </w:p>
    <w:p w14:paraId="3F6C115A" w14:textId="17C97F33" w:rsidR="00274B7D" w:rsidRDefault="00274B7D" w:rsidP="00274B7D">
      <w:r>
        <w:t>The DTF Investment Lifecycle provides further guidance on the quantification of sustainability, including environmental and social considerations. It also recognises that some environmental and social aspects may be difficult to monetise (</w:t>
      </w:r>
      <w:proofErr w:type="gramStart"/>
      <w:r>
        <w:t>i.e.</w:t>
      </w:r>
      <w:proofErr w:type="gramEnd"/>
      <w:r>
        <w:t xml:space="preserve"> express in dollar terms) to include in the overall appraisal. ‘</w:t>
      </w:r>
      <w:r w:rsidRPr="00830646">
        <w:t>Economic Evaluation for Business Cases Technical guidelines</w:t>
      </w:r>
      <w:r>
        <w:t>’ propose valuation techniques for non</w:t>
      </w:r>
      <w:r w:rsidR="00601819">
        <w:noBreakHyphen/>
      </w:r>
      <w:r>
        <w:t xml:space="preserve">market values </w:t>
      </w:r>
      <w:proofErr w:type="gramStart"/>
      <w:r>
        <w:t>e.g.</w:t>
      </w:r>
      <w:proofErr w:type="gramEnd"/>
      <w:r>
        <w:t xml:space="preserve"> clean air, noting that:</w:t>
      </w:r>
    </w:p>
    <w:p w14:paraId="2FE270CE" w14:textId="01D91244" w:rsidR="00274B7D" w:rsidRDefault="007A7D7E" w:rsidP="007A7D7E">
      <w:pPr>
        <w:pStyle w:val="Listnum"/>
      </w:pPr>
      <w:r>
        <w:t xml:space="preserve">they </w:t>
      </w:r>
      <w:r w:rsidR="00274B7D">
        <w:t>require specialised economic expertise, as well as time and resources</w:t>
      </w:r>
    </w:p>
    <w:p w14:paraId="1D0E50C6" w14:textId="55862B58" w:rsidR="00274B7D" w:rsidRDefault="007A7D7E" w:rsidP="007A7D7E">
      <w:pPr>
        <w:pStyle w:val="Listnum"/>
      </w:pPr>
      <w:r>
        <w:t xml:space="preserve">monetisation </w:t>
      </w:r>
      <w:r w:rsidR="00274B7D">
        <w:t>should only be attempted where it can be done robustly.</w:t>
      </w:r>
    </w:p>
    <w:p w14:paraId="493D8FC6" w14:textId="153D6557" w:rsidR="00274B7D" w:rsidRDefault="00274B7D" w:rsidP="00274B7D">
      <w:r>
        <w:t xml:space="preserve">Where the project team is not able to determine a monetised value of a sustainability outcome, these considerations should be justified in the business case based on stated </w:t>
      </w:r>
      <w:r w:rsidR="001C79F8">
        <w:t xml:space="preserve">government </w:t>
      </w:r>
      <w:r>
        <w:t xml:space="preserve">policies and priorities, as their inclusion will reduce the project </w:t>
      </w:r>
      <w:r w:rsidR="001C79F8">
        <w:t xml:space="preserve">benefit cost ratio </w:t>
      </w:r>
      <w:r>
        <w:t>through increased costs without a corresponding increase in benefits. This ensures these sustainability requirements are retained and implemented during the delivery phase.</w:t>
      </w:r>
    </w:p>
    <w:p w14:paraId="7408E5FD"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bookmarkStart w:id="944" w:name="_Toc68769292"/>
    </w:p>
    <w:p w14:paraId="0F0EBF41"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7C947389"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24477601"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23E4EFA0"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72288E22"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246575BF" w14:textId="77777777" w:rsidR="001B4FCC" w:rsidRPr="001B4FCC" w:rsidRDefault="001B4FCC" w:rsidP="001B4FCC">
      <w:pPr>
        <w:pStyle w:val="ListParagraph"/>
        <w:keepNext/>
        <w:numPr>
          <w:ilvl w:val="4"/>
          <w:numId w:val="41"/>
        </w:numPr>
        <w:spacing w:before="240"/>
        <w:contextualSpacing w:val="0"/>
        <w:outlineLvl w:val="2"/>
        <w:rPr>
          <w:rFonts w:asciiTheme="majorHAnsi" w:eastAsiaTheme="majorEastAsia" w:hAnsiTheme="majorHAnsi" w:cstheme="majorBidi"/>
          <w:b/>
          <w:bCs/>
          <w:vanish/>
          <w:color w:val="00698F" w:themeColor="accent1"/>
          <w:sz w:val="22"/>
          <w:szCs w:val="22"/>
        </w:rPr>
      </w:pPr>
    </w:p>
    <w:p w14:paraId="4CF6B97B" w14:textId="77777777" w:rsidR="001B4FCC" w:rsidRPr="001B4FCC" w:rsidRDefault="001B4FCC" w:rsidP="001B4FCC">
      <w:pPr>
        <w:pStyle w:val="ListParagraph"/>
        <w:keepNext/>
        <w:numPr>
          <w:ilvl w:val="5"/>
          <w:numId w:val="41"/>
        </w:numPr>
        <w:spacing w:before="200" w:after="0"/>
        <w:contextualSpacing w:val="0"/>
        <w:outlineLvl w:val="3"/>
        <w:rPr>
          <w:rFonts w:asciiTheme="majorHAnsi" w:eastAsiaTheme="majorEastAsia" w:hAnsiTheme="majorHAnsi" w:cstheme="majorBidi"/>
          <w:b/>
          <w:bCs/>
          <w:iCs/>
          <w:vanish/>
          <w:color w:val="53565A"/>
        </w:rPr>
      </w:pPr>
    </w:p>
    <w:p w14:paraId="37183CBB" w14:textId="77777777" w:rsidR="001B4FCC" w:rsidRPr="001B4FCC" w:rsidRDefault="001B4FCC" w:rsidP="001B4FCC">
      <w:pPr>
        <w:pStyle w:val="ListParagraph"/>
        <w:keepNext/>
        <w:numPr>
          <w:ilvl w:val="5"/>
          <w:numId w:val="41"/>
        </w:numPr>
        <w:spacing w:before="200" w:after="0"/>
        <w:contextualSpacing w:val="0"/>
        <w:outlineLvl w:val="3"/>
        <w:rPr>
          <w:rFonts w:asciiTheme="majorHAnsi" w:eastAsiaTheme="majorEastAsia" w:hAnsiTheme="majorHAnsi" w:cstheme="majorBidi"/>
          <w:b/>
          <w:bCs/>
          <w:iCs/>
          <w:vanish/>
          <w:color w:val="53565A"/>
        </w:rPr>
      </w:pPr>
    </w:p>
    <w:p w14:paraId="71AD7C6A" w14:textId="77777777" w:rsidR="001B4FCC" w:rsidRPr="001B4FCC" w:rsidRDefault="001B4FCC" w:rsidP="001B4FCC">
      <w:pPr>
        <w:pStyle w:val="ListParagraph"/>
        <w:keepNext/>
        <w:numPr>
          <w:ilvl w:val="5"/>
          <w:numId w:val="41"/>
        </w:numPr>
        <w:spacing w:before="200" w:after="0"/>
        <w:contextualSpacing w:val="0"/>
        <w:outlineLvl w:val="3"/>
        <w:rPr>
          <w:rFonts w:asciiTheme="majorHAnsi" w:eastAsiaTheme="majorEastAsia" w:hAnsiTheme="majorHAnsi" w:cstheme="majorBidi"/>
          <w:b/>
          <w:bCs/>
          <w:iCs/>
          <w:vanish/>
          <w:color w:val="53565A"/>
        </w:rPr>
      </w:pPr>
    </w:p>
    <w:p w14:paraId="665F101C" w14:textId="37DE9957" w:rsidR="00274B7D" w:rsidRDefault="000047CA" w:rsidP="001B4FCC">
      <w:pPr>
        <w:pStyle w:val="Heading4numbered"/>
      </w:pPr>
      <w:r w:rsidRPr="00AA0AA9">
        <w:t xml:space="preserve">Specific considerations for </w:t>
      </w:r>
      <w:r w:rsidR="00F00708" w:rsidRPr="00AA0AA9">
        <w:t>cost</w:t>
      </w:r>
      <w:r w:rsidR="001C79F8">
        <w:t>-</w:t>
      </w:r>
      <w:r w:rsidR="00F00708" w:rsidRPr="00AA0AA9">
        <w:t>benefit a</w:t>
      </w:r>
      <w:r w:rsidR="00F00708">
        <w:t xml:space="preserve">nalysis </w:t>
      </w:r>
      <w:bookmarkEnd w:id="944"/>
    </w:p>
    <w:p w14:paraId="295329E6" w14:textId="3A8D957B" w:rsidR="000047CA" w:rsidRDefault="000047CA" w:rsidP="000047CA">
      <w:r>
        <w:t xml:space="preserve">The time horizon of the </w:t>
      </w:r>
      <w:r w:rsidR="00F00708" w:rsidRPr="00F00708">
        <w:t>cost</w:t>
      </w:r>
      <w:r w:rsidR="001C79F8">
        <w:t>-</w:t>
      </w:r>
      <w:r w:rsidR="00F00708" w:rsidRPr="00F00708">
        <w:t xml:space="preserve">benefit analysis </w:t>
      </w:r>
      <w:r>
        <w:t>needs to be determined carefully, as sustainability</w:t>
      </w:r>
      <w:r w:rsidR="001C79F8">
        <w:t>-</w:t>
      </w:r>
      <w:r>
        <w:t>related impacts may occur outside of the investment period under consideration, which would potentially exclude some impacts from the analysis. For example, in a context of climate change, a coastal asset may in future be exposed to more frequent storm surges weakening it and increasing risk to users. This may not occur for 20</w:t>
      </w:r>
      <w:r w:rsidR="00F00708">
        <w:rPr>
          <w:rFonts w:ascii="Calibri" w:hAnsi="Calibri" w:cs="Calibri"/>
        </w:rPr>
        <w:t> </w:t>
      </w:r>
      <w:r>
        <w:t xml:space="preserve">years or more after project completion, a timeframe that could conceivably be outside of the horizon of analysis but within the expected service life of the asset. </w:t>
      </w:r>
    </w:p>
    <w:p w14:paraId="767B2682" w14:textId="2B723941" w:rsidR="000047CA" w:rsidRDefault="000047CA" w:rsidP="000047CA">
      <w:r>
        <w:t>This means that the horizon of analysis should carefully consider and justify all key benefits, costs, and stated government policies. In particular, the long</w:t>
      </w:r>
      <w:r w:rsidR="00601819">
        <w:noBreakHyphen/>
      </w:r>
      <w:r>
        <w:t xml:space="preserve">term target of net zero greenhouse gas emissions by 2050 should be considered when this is within the desired life of the investment. </w:t>
      </w:r>
    </w:p>
    <w:p w14:paraId="6D812DC7" w14:textId="6201AA37" w:rsidR="000047CA" w:rsidRDefault="000047CA" w:rsidP="000047CA">
      <w:r>
        <w:lastRenderedPageBreak/>
        <w:t>Chapter 5 of ‘</w:t>
      </w:r>
      <w:r w:rsidRPr="00830646">
        <w:t>Economic Evaluation for Business Cases Technical guidelines</w:t>
      </w:r>
      <w:r>
        <w:t>’</w:t>
      </w:r>
      <w:r w:rsidRPr="004E4511">
        <w:t xml:space="preserve"> </w:t>
      </w:r>
      <w:r>
        <w:t xml:space="preserve">deal with </w:t>
      </w:r>
      <w:r w:rsidR="00F00708">
        <w:t>‘</w:t>
      </w:r>
      <w:r>
        <w:t>Externalities</w:t>
      </w:r>
      <w:r w:rsidR="00F00708">
        <w:t>’</w:t>
      </w:r>
      <w:r>
        <w:t>, with a specific section for carbon dioxide emissions. Business case authors are encouraged to refer to this section of the guideline.</w:t>
      </w:r>
    </w:p>
    <w:p w14:paraId="5228BEFF" w14:textId="77777777" w:rsidR="007A7D7E" w:rsidRPr="007A7D7E" w:rsidRDefault="007A7D7E" w:rsidP="000C20DE">
      <w:pPr>
        <w:pStyle w:val="Breakoutheading2"/>
      </w:pPr>
      <w:r w:rsidRPr="007A7D7E">
        <w:t>Externalities</w:t>
      </w:r>
    </w:p>
    <w:p w14:paraId="003421B8" w14:textId="7AC34E43" w:rsidR="007A7D7E" w:rsidRPr="007A7D7E" w:rsidRDefault="007A7D7E" w:rsidP="009D3A3F">
      <w:pPr>
        <w:pStyle w:val="Breakouttext"/>
      </w:pPr>
      <w:r w:rsidRPr="007A7D7E">
        <w:t xml:space="preserve">‘Externalities are particularly relevant to these guidelines as a lot of adverse social and environmental aspects arising from projects (or human activities) can be categorised as </w:t>
      </w:r>
      <w:r w:rsidR="00F00708">
        <w:t>‘</w:t>
      </w:r>
      <w:r w:rsidRPr="007A7D7E">
        <w:t>externalities</w:t>
      </w:r>
      <w:r w:rsidR="00F00708">
        <w:t>’</w:t>
      </w:r>
      <w:r w:rsidRPr="007A7D7E">
        <w:t xml:space="preserve">, </w:t>
      </w:r>
      <w:proofErr w:type="gramStart"/>
      <w:r w:rsidRPr="007A7D7E">
        <w:t>i.e.</w:t>
      </w:r>
      <w:proofErr w:type="gramEnd"/>
      <w:r w:rsidRPr="007A7D7E">
        <w:t xml:space="preserve"> </w:t>
      </w:r>
      <w:r w:rsidR="00F00708">
        <w:t>‘</w:t>
      </w:r>
      <w:r w:rsidRPr="007A7D7E">
        <w:t>effects borne by third parties who do not directly use the asset or service</w:t>
      </w:r>
      <w:r w:rsidR="00F00708">
        <w:t>’</w:t>
      </w:r>
      <w:r w:rsidRPr="007A7D7E">
        <w:t xml:space="preserve">. </w:t>
      </w:r>
    </w:p>
    <w:p w14:paraId="4F5ABA5B" w14:textId="5442AE09" w:rsidR="000047CA" w:rsidRPr="007A7D7E" w:rsidRDefault="007A7D7E" w:rsidP="009D3A3F">
      <w:pPr>
        <w:pStyle w:val="Breakouttext"/>
      </w:pPr>
      <w:r w:rsidRPr="007A7D7E">
        <w:t>For example, noise made by a neighbour (mowing the grass early on a Sunday morning) is a localised externality. The most prominently discussed externality is greenhouse gases emissions from human activities, that accumulate in the atmosphere and lead to climate change. We are all to a different degree impacted by this global externality</w:t>
      </w:r>
      <w:r w:rsidR="00F00708">
        <w:t xml:space="preserve">. </w:t>
      </w:r>
    </w:p>
    <w:p w14:paraId="06F68EA9" w14:textId="72F9E5E5" w:rsidR="007A7D7E" w:rsidRDefault="007A7D7E" w:rsidP="001B4FCC">
      <w:pPr>
        <w:pStyle w:val="Heading4numbered"/>
      </w:pPr>
      <w:bookmarkStart w:id="945" w:name="_Toc68769293"/>
      <w:r>
        <w:t>Specific considerations for Multicriteria Analysis (MCA)</w:t>
      </w:r>
      <w:bookmarkEnd w:id="945"/>
    </w:p>
    <w:p w14:paraId="59F2824D" w14:textId="3345A05B" w:rsidR="007A7D7E" w:rsidRPr="00AA0AA9" w:rsidRDefault="007A7D7E" w:rsidP="007A7D7E">
      <w:r w:rsidRPr="00AA0AA9">
        <w:t>MCA is very flexible and can be perceived as being less rigorous than</w:t>
      </w:r>
      <w:r w:rsidR="001C79F8">
        <w:t xml:space="preserve"> cost-benefit </w:t>
      </w:r>
      <w:proofErr w:type="gramStart"/>
      <w:r w:rsidR="001C79F8">
        <w:t xml:space="preserve">analysis </w:t>
      </w:r>
      <w:r w:rsidRPr="00AA0AA9">
        <w:t>,</w:t>
      </w:r>
      <w:proofErr w:type="gramEnd"/>
      <w:r w:rsidRPr="00AA0AA9">
        <w:t xml:space="preserve"> as it involves translating value judgments into scores that can be weighted (see section 2.1.4 of </w:t>
      </w:r>
      <w:r w:rsidRPr="00830646">
        <w:t xml:space="preserve"> </w:t>
      </w:r>
      <w:r>
        <w:t>‘</w:t>
      </w:r>
      <w:r w:rsidRPr="00830646">
        <w:t>Economic Evaluation for Business Cases Technical guidelines</w:t>
      </w:r>
      <w:r>
        <w:t>’</w:t>
      </w:r>
      <w:r w:rsidRPr="00AA0AA9">
        <w:t xml:space="preserve"> for more detail).</w:t>
      </w:r>
    </w:p>
    <w:p w14:paraId="477D98CB" w14:textId="44475266" w:rsidR="007A7D7E" w:rsidRPr="00AA0AA9" w:rsidRDefault="007A7D7E" w:rsidP="007A7D7E">
      <w:r w:rsidRPr="00AA0AA9">
        <w:t>MCA is a semi</w:t>
      </w:r>
      <w:r w:rsidR="00601819">
        <w:noBreakHyphen/>
      </w:r>
      <w:r w:rsidRPr="00AA0AA9">
        <w:t>quantitative method to balance various choice criteria</w:t>
      </w:r>
      <w:r>
        <w:t xml:space="preserve"> when comparing project options</w:t>
      </w:r>
      <w:r w:rsidRPr="00AA0AA9">
        <w:t xml:space="preserve">. The key consideration for MCA is to be transparent on the scoring and weighting choices made, as well as underlying assumptions. </w:t>
      </w:r>
    </w:p>
    <w:p w14:paraId="385B6EE6" w14:textId="003BBC8A" w:rsidR="007A7D7E" w:rsidRPr="00AA0AA9" w:rsidRDefault="007A7D7E" w:rsidP="007A7D7E">
      <w:r w:rsidRPr="00AA0AA9">
        <w:t xml:space="preserve">It should also be noted that while it may seem attractive to incorporate </w:t>
      </w:r>
      <w:r>
        <w:t>a lot</w:t>
      </w:r>
      <w:r w:rsidRPr="00AA0AA9">
        <w:t xml:space="preserve"> of criteria into the analysis, doing so may be counter</w:t>
      </w:r>
      <w:r w:rsidR="00601819">
        <w:noBreakHyphen/>
      </w:r>
      <w:r w:rsidRPr="00AA0AA9">
        <w:t>productive as it can offset the main benefit to some degree. For example, an option that deliver</w:t>
      </w:r>
      <w:r>
        <w:t>s</w:t>
      </w:r>
      <w:r w:rsidRPr="00AA0AA9">
        <w:t xml:space="preserve"> on </w:t>
      </w:r>
      <w:proofErr w:type="gramStart"/>
      <w:r w:rsidRPr="00AA0AA9">
        <w:t>a large number of</w:t>
      </w:r>
      <w:proofErr w:type="gramEnd"/>
      <w:r w:rsidRPr="00AA0AA9">
        <w:t xml:space="preserve"> non</w:t>
      </w:r>
      <w:r w:rsidR="00601819">
        <w:noBreakHyphen/>
      </w:r>
      <w:r w:rsidRPr="00AA0AA9">
        <w:t>core benefits but performs poorly on the main objective</w:t>
      </w:r>
      <w:r>
        <w:t>,</w:t>
      </w:r>
      <w:r w:rsidRPr="00AA0AA9">
        <w:t xml:space="preserve"> may look more advantageous than an option that delivers none of </w:t>
      </w:r>
      <w:r>
        <w:t>these non</w:t>
      </w:r>
      <w:r w:rsidR="00601819">
        <w:noBreakHyphen/>
      </w:r>
      <w:r>
        <w:t>core benefits</w:t>
      </w:r>
      <w:r w:rsidRPr="00AA0AA9">
        <w:t xml:space="preserve"> but delivers the best possible result for the main objective (solving the main problem). </w:t>
      </w:r>
    </w:p>
    <w:p w14:paraId="26BA4E84" w14:textId="77777777" w:rsidR="007A7D7E" w:rsidRPr="00AA0AA9" w:rsidRDefault="007A7D7E" w:rsidP="007A7D7E">
      <w:r w:rsidRPr="00AA0AA9">
        <w:t xml:space="preserve">To adequately deal with sustainability issues, </w:t>
      </w:r>
      <w:r>
        <w:t xml:space="preserve">the </w:t>
      </w:r>
      <w:r w:rsidRPr="00AA0AA9">
        <w:t xml:space="preserve">MCA </w:t>
      </w:r>
      <w:r>
        <w:t>should</w:t>
      </w:r>
      <w:r w:rsidRPr="00AA0AA9">
        <w:t>:</w:t>
      </w:r>
    </w:p>
    <w:p w14:paraId="5462D314" w14:textId="2A8D9B89" w:rsidR="007A7D7E" w:rsidRPr="00AA0AA9" w:rsidRDefault="00A16A0B" w:rsidP="007A7D7E">
      <w:pPr>
        <w:pStyle w:val="Bullet1"/>
      </w:pPr>
      <w:r w:rsidRPr="00AA0AA9">
        <w:t xml:space="preserve">ensure </w:t>
      </w:r>
      <w:r w:rsidR="007A7D7E" w:rsidRPr="00AA0AA9">
        <w:t xml:space="preserve">all </w:t>
      </w:r>
      <w:r w:rsidR="007A7D7E" w:rsidRPr="00CC7C14">
        <w:t xml:space="preserve">key </w:t>
      </w:r>
      <w:r w:rsidR="007A7D7E">
        <w:t xml:space="preserve">environmental, </w:t>
      </w:r>
      <w:proofErr w:type="gramStart"/>
      <w:r w:rsidR="007A7D7E">
        <w:t>social</w:t>
      </w:r>
      <w:proofErr w:type="gramEnd"/>
      <w:r w:rsidR="007A7D7E">
        <w:t xml:space="preserve"> and economic </w:t>
      </w:r>
      <w:r w:rsidR="007A7D7E" w:rsidRPr="00CC7C14">
        <w:t>objectives</w:t>
      </w:r>
      <w:r w:rsidR="007A7D7E" w:rsidRPr="00AA0AA9">
        <w:t xml:space="preserve"> are included in the analysis</w:t>
      </w:r>
    </w:p>
    <w:p w14:paraId="6E4877C9" w14:textId="2FCA358D" w:rsidR="007A7D7E" w:rsidRDefault="00A16A0B" w:rsidP="007A7D7E">
      <w:pPr>
        <w:pStyle w:val="Bullet1"/>
      </w:pPr>
      <w:r w:rsidRPr="00AA0AA9">
        <w:t xml:space="preserve">determine </w:t>
      </w:r>
      <w:r w:rsidR="007A7D7E" w:rsidRPr="00AA0AA9">
        <w:t>as objectively as possible (usually by calling on a group of experts and decision makers) the weights to be applied across all objectives, and transparently disclose them</w:t>
      </w:r>
    </w:p>
    <w:p w14:paraId="158C8616" w14:textId="02115EC5" w:rsidR="007A7D7E" w:rsidRPr="00AA0AA9" w:rsidRDefault="00A16A0B" w:rsidP="007A7D7E">
      <w:pPr>
        <w:pStyle w:val="Bullet1"/>
      </w:pPr>
      <w:r w:rsidRPr="00AA0AA9">
        <w:t xml:space="preserve">be </w:t>
      </w:r>
      <w:r w:rsidR="007A7D7E" w:rsidRPr="00AA0AA9">
        <w:t xml:space="preserve">clear about the </w:t>
      </w:r>
      <w:r w:rsidR="00F00708">
        <w:t>‘</w:t>
      </w:r>
      <w:r w:rsidR="007A7D7E" w:rsidRPr="00AA0AA9">
        <w:t>deal</w:t>
      </w:r>
      <w:r w:rsidR="00601819">
        <w:noBreakHyphen/>
      </w:r>
      <w:r w:rsidR="007A7D7E" w:rsidRPr="00AA0AA9">
        <w:t>breakers</w:t>
      </w:r>
      <w:r w:rsidR="00F00708">
        <w:t>’</w:t>
      </w:r>
      <w:r w:rsidR="007A7D7E" w:rsidRPr="00AA0AA9">
        <w:t xml:space="preserve">, </w:t>
      </w:r>
      <w:proofErr w:type="gramStart"/>
      <w:r w:rsidR="007A7D7E" w:rsidRPr="00AA0AA9">
        <w:t>i.e.</w:t>
      </w:r>
      <w:proofErr w:type="gramEnd"/>
      <w:r w:rsidR="007A7D7E" w:rsidRPr="00AA0AA9">
        <w:t xml:space="preserve"> the thresholds that make an option unacceptable, no matter what the benefits are (for example the loss of an endangered species in the area may attract a </w:t>
      </w:r>
      <w:r w:rsidR="00F00708">
        <w:t>‘</w:t>
      </w:r>
      <w:r w:rsidR="007A7D7E" w:rsidRPr="00AA0AA9">
        <w:t>disqualifying</w:t>
      </w:r>
      <w:r w:rsidR="00F00708">
        <w:t>’</w:t>
      </w:r>
      <w:r w:rsidR="007A7D7E" w:rsidRPr="00AA0AA9">
        <w:t xml:space="preserve"> score).</w:t>
      </w:r>
    </w:p>
    <w:p w14:paraId="7DB72393" w14:textId="5102223B" w:rsidR="007A7D7E" w:rsidRDefault="007A7D7E" w:rsidP="001B4FCC">
      <w:pPr>
        <w:pStyle w:val="Heading4numbered"/>
      </w:pPr>
      <w:bookmarkStart w:id="946" w:name="_Toc68769294"/>
      <w:r w:rsidRPr="003A0779">
        <w:lastRenderedPageBreak/>
        <w:t xml:space="preserve">Scope 3 </w:t>
      </w:r>
      <w:r w:rsidRPr="003332BD">
        <w:t>emissions</w:t>
      </w:r>
      <w:bookmarkEnd w:id="946"/>
    </w:p>
    <w:p w14:paraId="0D684CAE" w14:textId="00250C4C" w:rsidR="007A7D7E" w:rsidRDefault="007A7D7E" w:rsidP="007A7D7E">
      <w:pPr>
        <w:rPr>
          <w:lang w:eastAsia="en-US"/>
        </w:rPr>
      </w:pPr>
      <w:r>
        <w:rPr>
          <w:lang w:eastAsia="en-US"/>
        </w:rPr>
        <w:t xml:space="preserve">Under the </w:t>
      </w:r>
      <w:r w:rsidRPr="009B2B67">
        <w:rPr>
          <w:i/>
          <w:iCs/>
          <w:lang w:eastAsia="en-US"/>
        </w:rPr>
        <w:t>Climate Change Act 2017</w:t>
      </w:r>
      <w:r>
        <w:rPr>
          <w:lang w:eastAsia="en-US"/>
        </w:rPr>
        <w:t>, five</w:t>
      </w:r>
      <w:r w:rsidR="009B7222">
        <w:rPr>
          <w:lang w:eastAsia="en-US"/>
        </w:rPr>
        <w:t>-</w:t>
      </w:r>
      <w:r>
        <w:rPr>
          <w:lang w:eastAsia="en-US"/>
        </w:rPr>
        <w:t xml:space="preserve">yearly sector </w:t>
      </w:r>
      <w:r w:rsidRPr="004B0CA5">
        <w:rPr>
          <w:lang w:eastAsia="en-US"/>
        </w:rPr>
        <w:t>pledges</w:t>
      </w:r>
      <w:r>
        <w:rPr>
          <w:lang w:eastAsia="en-US"/>
        </w:rPr>
        <w:t xml:space="preserve"> are developed to describe the actions government will take to reduce Victoria’s emissions. These require consideration and reporting of scope 1 and scope 2 emissions, which are emitted either as a direct result of the activity (scope 1) or indirectly </w:t>
      </w:r>
      <w:proofErr w:type="gramStart"/>
      <w:r>
        <w:rPr>
          <w:lang w:eastAsia="en-US"/>
        </w:rPr>
        <w:t>as a result of</w:t>
      </w:r>
      <w:proofErr w:type="gramEnd"/>
      <w:r>
        <w:rPr>
          <w:lang w:eastAsia="en-US"/>
        </w:rPr>
        <w:t xml:space="preserve"> energy consumed by the investment (scope</w:t>
      </w:r>
      <w:r w:rsidR="00F00708">
        <w:rPr>
          <w:rFonts w:ascii="Calibri" w:hAnsi="Calibri" w:cs="Calibri"/>
          <w:lang w:eastAsia="en-US"/>
        </w:rPr>
        <w:t> </w:t>
      </w:r>
      <w:r>
        <w:rPr>
          <w:lang w:eastAsia="en-US"/>
        </w:rPr>
        <w:t>2).</w:t>
      </w:r>
    </w:p>
    <w:p w14:paraId="755270D8" w14:textId="493F429B" w:rsidR="007A7D7E" w:rsidRDefault="007A7D7E" w:rsidP="007A7D7E">
      <w:pPr>
        <w:rPr>
          <w:lang w:eastAsia="en-US"/>
        </w:rPr>
      </w:pPr>
      <w:r>
        <w:rPr>
          <w:lang w:eastAsia="en-US"/>
        </w:rPr>
        <w:t>Scope 3 emissions refer to emissions generated in the wider economy as an indirect consequence of the investment or activity or embodied within the materials of construction. Mandatory reporting requirements do not apply to Scope 3 emissions. However, if a full assessment of scope 3 emissions is conducted, business case writers may consider reductions in scope 3 emissions as a benefit, which may offset an increase in scope 1 or 2 emissions. For example, increasing the size of the bus fleet would increase scope 1 emissions via diesel combustion, but decrease scope 3 emissions by reducing overall vehicle traffic.</w:t>
      </w:r>
    </w:p>
    <w:p w14:paraId="49FCD3BA" w14:textId="677C1E42" w:rsidR="001B4FCC" w:rsidRDefault="001B4FCC" w:rsidP="001B4FCC">
      <w:pPr>
        <w:pStyle w:val="Heading4numbered"/>
      </w:pPr>
      <w:r>
        <w:t>Public Interest Test</w:t>
      </w:r>
    </w:p>
    <w:p w14:paraId="57C238D2" w14:textId="22B30CC0" w:rsidR="007A7D7E" w:rsidRDefault="007A7D7E" w:rsidP="007A7D7E">
      <w:r>
        <w:t>Agencies</w:t>
      </w:r>
      <w:r w:rsidRPr="0042214E">
        <w:t xml:space="preserve"> are asked to apply the public interest test to all investments that are the subject of a full business case</w:t>
      </w:r>
      <w:r>
        <w:t>. This involves</w:t>
      </w:r>
      <w:r w:rsidRPr="0042214E">
        <w:t xml:space="preserve"> detail</w:t>
      </w:r>
      <w:r>
        <w:t>ing</w:t>
      </w:r>
      <w:r w:rsidRPr="0042214E">
        <w:t xml:space="preserve"> the impact of the project on the eight elements of public interest</w:t>
      </w:r>
      <w:r>
        <w:t xml:space="preserve"> (set out in the example below).</w:t>
      </w:r>
    </w:p>
    <w:p w14:paraId="1AEB0BFA" w14:textId="776EFC90" w:rsidR="007A7D7E" w:rsidRDefault="007A7D7E" w:rsidP="007A7D7E">
      <w:r>
        <w:t xml:space="preserve">Sustainability aspects of a project are very much aligned with public </w:t>
      </w:r>
      <w:r w:rsidDel="007C4D20">
        <w:t xml:space="preserve">interest. </w:t>
      </w:r>
      <w:r>
        <w:t>This test provides an opportunity to articulate how all safeguards have been put in place to protect (or contribute to) public interest.</w:t>
      </w:r>
    </w:p>
    <w:p w14:paraId="77DC295A" w14:textId="0AF078CF" w:rsidR="007A7D7E" w:rsidRPr="00171542" w:rsidRDefault="007A7D7E" w:rsidP="007A7D7E">
      <w:pPr>
        <w:pStyle w:val="Caption"/>
      </w:pPr>
      <w:bookmarkStart w:id="947" w:name="_Toc117258735"/>
      <w:r>
        <w:t xml:space="preserve">Table </w:t>
      </w:r>
      <w:r>
        <w:fldChar w:fldCharType="begin"/>
      </w:r>
      <w:r>
        <w:instrText>SEQ Table \* ARABIC</w:instrText>
      </w:r>
      <w:r>
        <w:fldChar w:fldCharType="separate"/>
      </w:r>
      <w:r w:rsidR="00FC7DAA">
        <w:rPr>
          <w:noProof/>
        </w:rPr>
        <w:t>14</w:t>
      </w:r>
      <w:r>
        <w:fldChar w:fldCharType="end"/>
      </w:r>
      <w:r w:rsidR="00F00708">
        <w:t xml:space="preserve"> – </w:t>
      </w:r>
      <w:r>
        <w:t>Sustainability considerations for the public interest test</w:t>
      </w:r>
      <w:bookmarkEnd w:id="947"/>
    </w:p>
    <w:tbl>
      <w:tblPr>
        <w:tblStyle w:val="Texttable"/>
        <w:tblW w:w="9180" w:type="dxa"/>
        <w:tblLayout w:type="fixed"/>
        <w:tblLook w:val="06A0" w:firstRow="1" w:lastRow="0" w:firstColumn="1" w:lastColumn="0" w:noHBand="1" w:noVBand="1"/>
      </w:tblPr>
      <w:tblGrid>
        <w:gridCol w:w="1980"/>
        <w:gridCol w:w="3140"/>
        <w:gridCol w:w="4060"/>
      </w:tblGrid>
      <w:tr w:rsidR="007A7D7E" w:rsidRPr="00A00582" w14:paraId="169603C4" w14:textId="77777777" w:rsidTr="007A7D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0E535B38" w14:textId="77777777" w:rsidR="007A7D7E" w:rsidRPr="00742AE4" w:rsidRDefault="007A7D7E" w:rsidP="007A7D7E">
            <w:pPr>
              <w:pStyle w:val="Tableheader"/>
            </w:pPr>
            <w:r w:rsidRPr="00742AE4">
              <w:t>Public interest test elements</w:t>
            </w:r>
          </w:p>
        </w:tc>
        <w:tc>
          <w:tcPr>
            <w:tcW w:w="3140" w:type="dxa"/>
          </w:tcPr>
          <w:p w14:paraId="2EDF3069" w14:textId="77777777" w:rsidR="007A7D7E" w:rsidRPr="00786D6B" w:rsidRDefault="007A7D7E" w:rsidP="007A7D7E">
            <w:pPr>
              <w:pStyle w:val="Tableheader"/>
              <w:cnfStyle w:val="100000000000" w:firstRow="1" w:lastRow="0" w:firstColumn="0" w:lastColumn="0" w:oddVBand="0" w:evenVBand="0" w:oddHBand="0" w:evenHBand="0" w:firstRowFirstColumn="0" w:firstRowLastColumn="0" w:lastRowFirstColumn="0" w:lastRowLastColumn="0"/>
            </w:pPr>
            <w:r w:rsidRPr="00786D6B">
              <w:t>Evidence required</w:t>
            </w:r>
          </w:p>
        </w:tc>
        <w:tc>
          <w:tcPr>
            <w:tcW w:w="4060" w:type="dxa"/>
          </w:tcPr>
          <w:p w14:paraId="43510768" w14:textId="24AD634A" w:rsidR="007A7D7E" w:rsidRPr="00786D6B" w:rsidRDefault="007A7D7E" w:rsidP="007A7D7E">
            <w:pPr>
              <w:pStyle w:val="Tableheader"/>
              <w:cnfStyle w:val="100000000000" w:firstRow="1" w:lastRow="0" w:firstColumn="0" w:lastColumn="0" w:oddVBand="0" w:evenVBand="0" w:oddHBand="0" w:evenHBand="0" w:firstRowFirstColumn="0" w:firstRowLastColumn="0" w:lastRowFirstColumn="0" w:lastRowLastColumn="0"/>
            </w:pPr>
            <w:r w:rsidRPr="00786D6B">
              <w:t>Sustainability considerations (examples only)</w:t>
            </w:r>
          </w:p>
        </w:tc>
      </w:tr>
      <w:tr w:rsidR="007A7D7E" w:rsidRPr="00A00582" w14:paraId="22156088"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70CD2D5F" w14:textId="77777777" w:rsidR="007A7D7E" w:rsidRPr="000E16BA" w:rsidRDefault="007A7D7E" w:rsidP="007A7D7E">
            <w:pPr>
              <w:pStyle w:val="Tabletext"/>
            </w:pPr>
            <w:r w:rsidRPr="000E16BA">
              <w:t xml:space="preserve">Effectiveness </w:t>
            </w:r>
          </w:p>
        </w:tc>
        <w:tc>
          <w:tcPr>
            <w:tcW w:w="3140" w:type="dxa"/>
          </w:tcPr>
          <w:p w14:paraId="0A529172"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Is the project effective in meeting government objectives?</w:t>
            </w:r>
          </w:p>
        </w:tc>
        <w:tc>
          <w:tcPr>
            <w:tcW w:w="4060" w:type="dxa"/>
          </w:tcPr>
          <w:p w14:paraId="1CA286A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Demonstrate how the project solution helps to meet agency and government sustainability objectives and sustainability outcomes articulated in the problem statement and option analysis</w:t>
            </w:r>
          </w:p>
        </w:tc>
      </w:tr>
      <w:tr w:rsidR="007A7D7E" w:rsidRPr="00A00582" w14:paraId="795C83E2"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0F25D67A" w14:textId="495D5016" w:rsidR="007A7D7E" w:rsidRPr="000E16BA" w:rsidRDefault="007A7D7E" w:rsidP="007A7D7E">
            <w:pPr>
              <w:pStyle w:val="Tabletext"/>
            </w:pPr>
            <w:r w:rsidRPr="000E16BA">
              <w:t xml:space="preserve">Accountability and transparency </w:t>
            </w:r>
          </w:p>
        </w:tc>
        <w:tc>
          <w:tcPr>
            <w:tcW w:w="3140" w:type="dxa"/>
          </w:tcPr>
          <w:p w14:paraId="39A1BC7F"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 the partnership arrangements ensure that the community can be well informed about the obligations of government</w:t>
            </w:r>
          </w:p>
        </w:tc>
        <w:tc>
          <w:tcPr>
            <w:tcW w:w="4060" w:type="dxa"/>
          </w:tcPr>
          <w:p w14:paraId="0CC91421"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What safeguards and protections will be put in place (</w:t>
            </w:r>
            <w:proofErr w:type="gramStart"/>
            <w:r w:rsidRPr="000E16BA">
              <w:t>e.g.</w:t>
            </w:r>
            <w:proofErr w:type="gramEnd"/>
            <w:r w:rsidRPr="000E16BA">
              <w:t xml:space="preserve"> environmental protections) and how will these be monitored and reported on?</w:t>
            </w:r>
          </w:p>
          <w:p w14:paraId="1915EE1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How will value for money be measured and audited in this investment?</w:t>
            </w:r>
          </w:p>
        </w:tc>
      </w:tr>
      <w:tr w:rsidR="007A7D7E" w:rsidRPr="00A00582" w14:paraId="2E0115F9"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3F902F92" w14:textId="4FD27915" w:rsidR="007A7D7E" w:rsidRPr="000E16BA" w:rsidRDefault="007A7D7E" w:rsidP="007A7D7E">
            <w:pPr>
              <w:pStyle w:val="Tabletext"/>
            </w:pPr>
            <w:r w:rsidRPr="000E16BA">
              <w:t xml:space="preserve">Affected individuals and community </w:t>
            </w:r>
          </w:p>
        </w:tc>
        <w:tc>
          <w:tcPr>
            <w:tcW w:w="3140" w:type="dxa"/>
          </w:tcPr>
          <w:p w14:paraId="197DD2AD"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Have those affected been able to contribute effectively at the planning stages, and are their rights protected?</w:t>
            </w:r>
          </w:p>
        </w:tc>
        <w:tc>
          <w:tcPr>
            <w:tcW w:w="4060" w:type="dxa"/>
          </w:tcPr>
          <w:p w14:paraId="0B07FA23"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Have traditional owners been involved in discussions about cultural heritage? </w:t>
            </w:r>
          </w:p>
          <w:p w14:paraId="4C13C889"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Has the community been able to contribute to planning related to liveability?</w:t>
            </w:r>
          </w:p>
        </w:tc>
      </w:tr>
      <w:tr w:rsidR="007A7D7E" w:rsidRPr="00A00582" w14:paraId="2AC03260"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03838452" w14:textId="77777777" w:rsidR="007A7D7E" w:rsidRPr="000E16BA" w:rsidRDefault="007A7D7E" w:rsidP="007A7D7E">
            <w:pPr>
              <w:pStyle w:val="Tabletext"/>
            </w:pPr>
            <w:r w:rsidRPr="000E16BA">
              <w:lastRenderedPageBreak/>
              <w:t xml:space="preserve">Equity </w:t>
            </w:r>
          </w:p>
        </w:tc>
        <w:tc>
          <w:tcPr>
            <w:tcW w:w="3140" w:type="dxa"/>
          </w:tcPr>
          <w:p w14:paraId="6777FD4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Are there adequate arrangements to ensure that disadvantaged groups can effectively use the infrastructure or access the related service?</w:t>
            </w:r>
          </w:p>
        </w:tc>
        <w:tc>
          <w:tcPr>
            <w:tcW w:w="4060" w:type="dxa"/>
          </w:tcPr>
          <w:p w14:paraId="013B7AB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Have transport, access and connectivity aspects of the proposal given due consideration to the more disadvantaged community groups? </w:t>
            </w:r>
          </w:p>
          <w:p w14:paraId="61DE5DC5"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 the assets mitigate the risk of experiencing energy poverty?</w:t>
            </w:r>
          </w:p>
        </w:tc>
      </w:tr>
      <w:tr w:rsidR="007A7D7E" w:rsidRPr="00A00582" w14:paraId="00DF374E"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3E6DDE34" w14:textId="26438F8D" w:rsidR="007A7D7E" w:rsidRPr="000E16BA" w:rsidRDefault="007A7D7E" w:rsidP="007A7D7E">
            <w:pPr>
              <w:pStyle w:val="Tabletext"/>
            </w:pPr>
            <w:r w:rsidRPr="000E16BA">
              <w:t xml:space="preserve">Consumer rights </w:t>
            </w:r>
          </w:p>
        </w:tc>
        <w:tc>
          <w:tcPr>
            <w:tcW w:w="3140" w:type="dxa"/>
          </w:tcPr>
          <w:p w14:paraId="17F239E0"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sufficient safeguards for consumers?</w:t>
            </w:r>
          </w:p>
        </w:tc>
        <w:tc>
          <w:tcPr>
            <w:tcW w:w="4060" w:type="dxa"/>
          </w:tcPr>
          <w:p w14:paraId="42A2F6B4"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Are sustainability aspects safeguarded in the interest of the community? </w:t>
            </w:r>
          </w:p>
        </w:tc>
      </w:tr>
      <w:tr w:rsidR="007A7D7E" w:rsidRPr="00A00582" w14:paraId="0CD18645"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12B74459" w14:textId="0F3C6810" w:rsidR="007A7D7E" w:rsidRPr="000E16BA" w:rsidRDefault="007A7D7E" w:rsidP="007A7D7E">
            <w:pPr>
              <w:pStyle w:val="Tabletext"/>
            </w:pPr>
            <w:r w:rsidRPr="000E16BA">
              <w:t xml:space="preserve">Public access </w:t>
            </w:r>
          </w:p>
        </w:tc>
        <w:tc>
          <w:tcPr>
            <w:tcW w:w="3140" w:type="dxa"/>
          </w:tcPr>
          <w:p w14:paraId="1BC5B5AE"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Are there safeguards that ensure ongoing public access to essential infrastructure?</w:t>
            </w:r>
          </w:p>
        </w:tc>
        <w:tc>
          <w:tcPr>
            <w:tcW w:w="4060" w:type="dxa"/>
          </w:tcPr>
          <w:p w14:paraId="0AD79DE8"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Have transport, access and connectivity been considered thoroughly?</w:t>
            </w:r>
          </w:p>
        </w:tc>
      </w:tr>
      <w:tr w:rsidR="007A7D7E" w:rsidRPr="00A00582" w14:paraId="5131EC98"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16574629" w14:textId="77777777" w:rsidR="007A7D7E" w:rsidRPr="000E16BA" w:rsidRDefault="007A7D7E" w:rsidP="007A7D7E">
            <w:pPr>
              <w:pStyle w:val="Tabletext"/>
            </w:pPr>
            <w:r w:rsidRPr="000E16BA">
              <w:t xml:space="preserve">Security </w:t>
            </w:r>
          </w:p>
        </w:tc>
        <w:tc>
          <w:tcPr>
            <w:tcW w:w="3140" w:type="dxa"/>
          </w:tcPr>
          <w:p w14:paraId="2D2B5655"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assurance that community health and safety will be secured?</w:t>
            </w:r>
          </w:p>
        </w:tc>
        <w:tc>
          <w:tcPr>
            <w:tcW w:w="4060" w:type="dxa"/>
          </w:tcPr>
          <w:p w14:paraId="729BC0A2"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Does the project protect the health and wellbeing of users and the community, now and into the future? </w:t>
            </w:r>
          </w:p>
          <w:p w14:paraId="5C3A0B2C"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have any impact on security of supply (</w:t>
            </w:r>
            <w:proofErr w:type="gramStart"/>
            <w:r w:rsidRPr="000E16BA">
              <w:t>e.g.</w:t>
            </w:r>
            <w:proofErr w:type="gramEnd"/>
            <w:r w:rsidRPr="000E16BA">
              <w:t xml:space="preserve"> of energy or water)?</w:t>
            </w:r>
          </w:p>
          <w:p w14:paraId="39CB8ECC"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 xml:space="preserve">Does the asset design assist to mitigate the risk of food security issues? </w:t>
            </w:r>
          </w:p>
        </w:tc>
      </w:tr>
      <w:tr w:rsidR="007A7D7E" w:rsidRPr="00A00582" w14:paraId="31DA32EF" w14:textId="77777777" w:rsidTr="007A7D7E">
        <w:tc>
          <w:tcPr>
            <w:cnfStyle w:val="001000000000" w:firstRow="0" w:lastRow="0" w:firstColumn="1" w:lastColumn="0" w:oddVBand="0" w:evenVBand="0" w:oddHBand="0" w:evenHBand="0" w:firstRowFirstColumn="0" w:firstRowLastColumn="0" w:lastRowFirstColumn="0" w:lastRowLastColumn="0"/>
            <w:tcW w:w="1980" w:type="dxa"/>
          </w:tcPr>
          <w:p w14:paraId="707198D3" w14:textId="77777777" w:rsidR="007A7D7E" w:rsidRPr="000E16BA" w:rsidRDefault="007A7D7E" w:rsidP="007A7D7E">
            <w:pPr>
              <w:pStyle w:val="Tabletext"/>
            </w:pPr>
            <w:r w:rsidRPr="000E16BA">
              <w:t>Privacy</w:t>
            </w:r>
          </w:p>
        </w:tc>
        <w:tc>
          <w:tcPr>
            <w:tcW w:w="3140" w:type="dxa"/>
          </w:tcPr>
          <w:p w14:paraId="5100D38F" w14:textId="77777777"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Does the project provide adequate protection of users’ rights to privacy?</w:t>
            </w:r>
          </w:p>
        </w:tc>
        <w:tc>
          <w:tcPr>
            <w:tcW w:w="4060" w:type="dxa"/>
          </w:tcPr>
          <w:p w14:paraId="27C0FDED" w14:textId="3FF2BC00" w:rsidR="007A7D7E" w:rsidRPr="000E16BA" w:rsidRDefault="007A7D7E" w:rsidP="007A7D7E">
            <w:pPr>
              <w:pStyle w:val="Tabletext"/>
              <w:cnfStyle w:val="000000000000" w:firstRow="0" w:lastRow="0" w:firstColumn="0" w:lastColumn="0" w:oddVBand="0" w:evenVBand="0" w:oddHBand="0" w:evenHBand="0" w:firstRowFirstColumn="0" w:firstRowLastColumn="0" w:lastRowFirstColumn="0" w:lastRowLastColumn="0"/>
            </w:pPr>
            <w:r w:rsidRPr="000E16BA">
              <w:t>n/a</w:t>
            </w:r>
          </w:p>
        </w:tc>
      </w:tr>
    </w:tbl>
    <w:p w14:paraId="59E823C6" w14:textId="50098074" w:rsidR="007A7D7E" w:rsidRDefault="007A7D7E" w:rsidP="00A16A0B">
      <w:pPr>
        <w:pStyle w:val="Spacer"/>
      </w:pPr>
    </w:p>
    <w:p w14:paraId="1791BE01" w14:textId="5E503324" w:rsidR="007A7D7E" w:rsidRDefault="007A7D7E" w:rsidP="007A7D7E">
      <w:r>
        <w:t xml:space="preserve">The </w:t>
      </w:r>
      <w:r w:rsidRPr="00C702C8">
        <w:t>Partnerships Victoria</w:t>
      </w:r>
      <w:r w:rsidRPr="0042214E">
        <w:t xml:space="preserve"> </w:t>
      </w:r>
      <w:r>
        <w:t>public interests test template</w:t>
      </w:r>
      <w:r w:rsidRPr="0042214E">
        <w:t xml:space="preserve"> explain</w:t>
      </w:r>
      <w:r>
        <w:t>s</w:t>
      </w:r>
      <w:r w:rsidRPr="0042214E">
        <w:t xml:space="preserve"> public interest issues and how to undertake a public interest test</w:t>
      </w:r>
      <w:r>
        <w:t>.</w:t>
      </w:r>
    </w:p>
    <w:p w14:paraId="45C6C1F2" w14:textId="1C293A44" w:rsidR="007A7D7E" w:rsidRDefault="007A7D7E" w:rsidP="001B4FCC">
      <w:pPr>
        <w:pStyle w:val="Heading4numbered"/>
      </w:pPr>
      <w:bookmarkStart w:id="948" w:name="_Toc68769296"/>
      <w:r>
        <w:t>Risk management</w:t>
      </w:r>
      <w:bookmarkEnd w:id="948"/>
    </w:p>
    <w:p w14:paraId="40F4B807" w14:textId="58A0DDA5" w:rsidR="007A7D7E" w:rsidRDefault="007A7D7E" w:rsidP="007A7D7E">
      <w:r>
        <w:t>The Victorian Government R</w:t>
      </w:r>
      <w:r w:rsidRPr="0002033A">
        <w:t>isk Management Framework (VGRMF) outlines the State’s requirements for risk management based on ISO</w:t>
      </w:r>
      <w:r w:rsidR="00F36640">
        <w:t xml:space="preserve"> </w:t>
      </w:r>
      <w:r w:rsidRPr="0002033A">
        <w:t xml:space="preserve">31000. </w:t>
      </w:r>
      <w:r w:rsidRPr="001700CE">
        <w:t>The Victorian Managed Insurance</w:t>
      </w:r>
      <w:r w:rsidR="00FE0687">
        <w:rPr>
          <w:rFonts w:ascii="Calibri" w:hAnsi="Calibri" w:cs="Calibri"/>
        </w:rPr>
        <w:t> </w:t>
      </w:r>
      <w:r w:rsidRPr="001700CE">
        <w:t xml:space="preserve">Authority (VMIA) acts as the Government’s risk adviser and </w:t>
      </w:r>
      <w:r>
        <w:t>can</w:t>
      </w:r>
      <w:r w:rsidRPr="001700CE">
        <w:t xml:space="preserve"> provide sustainability</w:t>
      </w:r>
      <w:r w:rsidR="00FE0687">
        <w:noBreakHyphen/>
      </w:r>
      <w:r w:rsidRPr="001700CE">
        <w:t>related risk advice</w:t>
      </w:r>
      <w:r w:rsidRPr="0002033A">
        <w:t>.</w:t>
      </w:r>
      <w:r>
        <w:t xml:space="preserve"> The risk identification and assessment processes should be supported using the Victorian Government’s eight </w:t>
      </w:r>
      <w:r w:rsidR="00624172">
        <w:t>Sustainable Investment themes</w:t>
      </w:r>
      <w:r>
        <w:t xml:space="preserve"> to identify and quantify sustainability risks applicable to the project during the business case stage, with the risk register monitored and updated as the project progresses</w:t>
      </w:r>
      <w:r w:rsidRPr="00576F06">
        <w:t>.</w:t>
      </w:r>
    </w:p>
    <w:p w14:paraId="0744BD7D" w14:textId="77777777" w:rsidR="007A7D7E" w:rsidRDefault="007A7D7E" w:rsidP="007A7D7E">
      <w:r>
        <w:t>Sustainability risks should be defined around the achievement of sustainability objectives and individual outcomes, rather than a risk that ratings will not be achieved. This allows for specific targeted risk treatments to be identified.</w:t>
      </w:r>
    </w:p>
    <w:p w14:paraId="732608D3" w14:textId="68CB1F1A" w:rsidR="007A7D7E" w:rsidRDefault="007A7D7E" w:rsidP="007A7D7E">
      <w:pPr>
        <w:rPr>
          <w:lang w:eastAsia="en-US"/>
        </w:rPr>
      </w:pPr>
      <w:r>
        <w:lastRenderedPageBreak/>
        <w:t xml:space="preserve">Climate risk should be determined based on projections issued by </w:t>
      </w:r>
      <w:r w:rsidR="009B7222">
        <w:t xml:space="preserve">the Department of Environment, Land, Water and Planning </w:t>
      </w:r>
      <w:r>
        <w:t xml:space="preserve">over the desired or expected life of the asset. The risk assessment should consider direct risk to the asset and the risk to the benefits expected </w:t>
      </w:r>
      <w:proofErr w:type="gramStart"/>
      <w:r>
        <w:t>as a result of</w:t>
      </w:r>
      <w:proofErr w:type="gramEnd"/>
      <w:r>
        <w:t xml:space="preserve"> changing trends caused by climate change.</w:t>
      </w:r>
    </w:p>
    <w:p w14:paraId="6CD0D9FE" w14:textId="0677941C" w:rsidR="007A7D7E" w:rsidRDefault="007A7D7E" w:rsidP="001B4FCC">
      <w:pPr>
        <w:pStyle w:val="Heading4numbered"/>
      </w:pPr>
      <w:bookmarkStart w:id="949" w:name="_Toc68769297"/>
      <w:r w:rsidRPr="00C16809">
        <w:t xml:space="preserve">Investing under </w:t>
      </w:r>
      <w:r>
        <w:t>u</w:t>
      </w:r>
      <w:r w:rsidRPr="00C16809">
        <w:t>ncertainty</w:t>
      </w:r>
      <w:bookmarkEnd w:id="949"/>
    </w:p>
    <w:p w14:paraId="3C6CBA21" w14:textId="699C22EF" w:rsidR="007A7D7E" w:rsidRDefault="007A7D7E" w:rsidP="007A7D7E">
      <w:r>
        <w:t>The following DTF guidance documents can</w:t>
      </w:r>
      <w:r w:rsidRPr="00C16809">
        <w:t xml:space="preserve"> assist </w:t>
      </w:r>
      <w:r>
        <w:t>project organisations</w:t>
      </w:r>
      <w:r w:rsidRPr="00C16809">
        <w:t xml:space="preserve"> in the consideration and management of the potential effects of uncertainty on infrastructure </w:t>
      </w:r>
      <w:r>
        <w:t>project</w:t>
      </w:r>
      <w:r w:rsidRPr="00C16809">
        <w:t xml:space="preserve"> development and delivery.</w:t>
      </w:r>
    </w:p>
    <w:p w14:paraId="25F526AF" w14:textId="35C5F71E" w:rsidR="007A7D7E" w:rsidRDefault="007A7D7E" w:rsidP="007A7D7E">
      <w:pPr>
        <w:pStyle w:val="Bullet1"/>
      </w:pPr>
      <w:r w:rsidRPr="00FF23B6">
        <w:rPr>
          <w:b/>
          <w:bCs/>
        </w:rPr>
        <w:t>Investment Management Standard</w:t>
      </w:r>
      <w:r w:rsidRPr="009B2B67">
        <w:rPr>
          <w:b/>
          <w:bCs/>
        </w:rPr>
        <w:t xml:space="preserve"> (IMS)</w:t>
      </w:r>
      <w:r>
        <w:t xml:space="preserve"> supports </w:t>
      </w:r>
      <w:r w:rsidR="002D2E70">
        <w:t xml:space="preserve">government </w:t>
      </w:r>
      <w:r>
        <w:t xml:space="preserve">to identify and select the investments that provide the most benefit to society. The IMS sets out a ’line of enquiry’ approach that helps to establish strategic, </w:t>
      </w:r>
      <w:proofErr w:type="gramStart"/>
      <w:r>
        <w:t>innovative</w:t>
      </w:r>
      <w:proofErr w:type="gramEnd"/>
      <w:r>
        <w:t xml:space="preserve"> and feasible solutions. The IMS discusses risk and uncertainty management in public investment, including flexibility to manage infrastructure projects that are significantly affected by uncertainty and the need to make investments that are adaptable over time and better able to meet the community’s evolving needs. </w:t>
      </w:r>
      <w:r w:rsidRPr="00FC136F">
        <w:t>The IMS requires that</w:t>
      </w:r>
      <w:r>
        <w:t xml:space="preserve"> each IMS workshop considers how</w:t>
      </w:r>
      <w:r w:rsidRPr="00FC136F">
        <w:t xml:space="preserve"> investment may be impacted by uncertainty, and how the preferred response might change if assumptions </w:t>
      </w:r>
      <w:r>
        <w:t>do no</w:t>
      </w:r>
      <w:r w:rsidRPr="00FC136F">
        <w:t xml:space="preserve">t </w:t>
      </w:r>
      <w:proofErr w:type="gramStart"/>
      <w:r w:rsidRPr="00FC136F">
        <w:t>hold</w:t>
      </w:r>
      <w:proofErr w:type="gramEnd"/>
      <w:r w:rsidRPr="00FC136F">
        <w:t xml:space="preserve"> or future conditions do not unfold as expected.</w:t>
      </w:r>
    </w:p>
    <w:p w14:paraId="2B2EF0A7" w14:textId="2BD3CD8B" w:rsidR="007A7D7E" w:rsidRDefault="007A7D7E" w:rsidP="007A7D7E">
      <w:pPr>
        <w:pStyle w:val="Bullet1"/>
      </w:pPr>
      <w:r w:rsidRPr="00FF23B6">
        <w:rPr>
          <w:b/>
          <w:bCs/>
        </w:rPr>
        <w:t>Investment Lifecycle and High Value High Risk Guidelines</w:t>
      </w:r>
      <w:r w:rsidRPr="009B2B67">
        <w:rPr>
          <w:b/>
          <w:bCs/>
        </w:rPr>
        <w:t xml:space="preserve"> </w:t>
      </w:r>
      <w:r>
        <w:rPr>
          <w:b/>
          <w:bCs/>
        </w:rPr>
        <w:t xml:space="preserve">(Investment Lifecycle Guidelines) </w:t>
      </w:r>
      <w:r>
        <w:t>suggests a</w:t>
      </w:r>
      <w:r w:rsidRPr="00C648F7">
        <w:t xml:space="preserve">ctions </w:t>
      </w:r>
      <w:r>
        <w:t xml:space="preserve">to </w:t>
      </w:r>
      <w:r w:rsidRPr="00C16809">
        <w:t>address uncertainty</w:t>
      </w:r>
      <w:r w:rsidRPr="00C648F7">
        <w:t xml:space="preserve"> </w:t>
      </w:r>
      <w:r>
        <w:t>across the project lifecycle in the technical supplement ‘</w:t>
      </w:r>
      <w:r w:rsidRPr="009B2B67">
        <w:t>Investing under uncertainty – Real options analysis</w:t>
      </w:r>
      <w:bookmarkStart w:id="950" w:name="_Toc34386882"/>
      <w:bookmarkStart w:id="951" w:name="_Toc34391617"/>
      <w:bookmarkStart w:id="952" w:name="_Toc24621580"/>
      <w:bookmarkStart w:id="953" w:name="_Toc24621886"/>
      <w:bookmarkStart w:id="954" w:name="_Toc24970075"/>
      <w:bookmarkStart w:id="955" w:name="_Toc24970573"/>
      <w:bookmarkStart w:id="956" w:name="_Toc24970729"/>
      <w:bookmarkStart w:id="957" w:name="_Toc24970885"/>
      <w:bookmarkStart w:id="958" w:name="_Toc24971041"/>
      <w:bookmarkStart w:id="959" w:name="_Toc24971668"/>
      <w:bookmarkStart w:id="960" w:name="_Toc24971824"/>
      <w:bookmarkStart w:id="961" w:name="_Toc24972212"/>
      <w:bookmarkStart w:id="962" w:name="_Toc24972368"/>
      <w:bookmarkStart w:id="963" w:name="_Toc24972524"/>
      <w:bookmarkStart w:id="964" w:name="_Toc24972625"/>
      <w:bookmarkStart w:id="965" w:name="_Toc24972781"/>
      <w:bookmarkStart w:id="966" w:name="_Toc24972937"/>
      <w:bookmarkStart w:id="967" w:name="_Toc24973093"/>
      <w:bookmarkStart w:id="968" w:name="_Toc24973255"/>
      <w:bookmarkStart w:id="969" w:name="_Toc24973785"/>
      <w:bookmarkStart w:id="970" w:name="_Toc24973948"/>
      <w:bookmarkStart w:id="971" w:name="_Toc24974731"/>
      <w:bookmarkStart w:id="972" w:name="_Toc24974894"/>
      <w:bookmarkStart w:id="973" w:name="_Toc24975057"/>
      <w:bookmarkStart w:id="974" w:name="_Toc24975253"/>
      <w:bookmarkStart w:id="975" w:name="_Toc24975416"/>
      <w:bookmarkStart w:id="976" w:name="_Toc24975579"/>
      <w:bookmarkStart w:id="977" w:name="_Toc24975742"/>
      <w:bookmarkStart w:id="978" w:name="_Toc24975904"/>
      <w:bookmarkStart w:id="979" w:name="_Toc24977034"/>
      <w:bookmarkStart w:id="980" w:name="_Toc24977198"/>
      <w:bookmarkStart w:id="981" w:name="_Toc24977786"/>
      <w:bookmarkStart w:id="982" w:name="_Toc24977956"/>
      <w:bookmarkStart w:id="983" w:name="_Toc24978114"/>
      <w:bookmarkStart w:id="984" w:name="_Toc24978449"/>
      <w:bookmarkStart w:id="985" w:name="_Toc24978620"/>
      <w:bookmarkStart w:id="986" w:name="_Toc24978735"/>
      <w:bookmarkStart w:id="987" w:name="_Toc24978909"/>
      <w:bookmarkStart w:id="988" w:name="_Toc24979083"/>
      <w:bookmarkStart w:id="989" w:name="_Toc24979347"/>
      <w:bookmarkStart w:id="990" w:name="_Toc24979521"/>
      <w:bookmarkStart w:id="991" w:name="_Toc24979695"/>
      <w:bookmarkStart w:id="992" w:name="_Toc24979783"/>
      <w:bookmarkStart w:id="993" w:name="_Toc24979957"/>
      <w:bookmarkStart w:id="994" w:name="_Toc24980311"/>
      <w:bookmarkStart w:id="995" w:name="_Toc24980473"/>
      <w:bookmarkStart w:id="996" w:name="_Toc24980636"/>
      <w:bookmarkStart w:id="997" w:name="_Toc24980547"/>
      <w:bookmarkStart w:id="998" w:name="_Toc24986411"/>
      <w:bookmarkStart w:id="999" w:name="_Toc24988285"/>
      <w:bookmarkStart w:id="1000" w:name="_Toc25078900"/>
      <w:bookmarkStart w:id="1001" w:name="_Toc25251508"/>
      <w:bookmarkStart w:id="1002" w:name="_Toc25251808"/>
      <w:bookmarkStart w:id="1003" w:name="_Toc23169594"/>
      <w:bookmarkStart w:id="1004" w:name="_Toc23176616"/>
      <w:bookmarkStart w:id="1005" w:name="_Toc23345510"/>
      <w:bookmarkStart w:id="1006" w:name="_Toc23521004"/>
      <w:bookmarkStart w:id="1007" w:name="_Toc23818654"/>
      <w:bookmarkStart w:id="1008" w:name="_Toc23867154"/>
      <w:bookmarkStart w:id="1009" w:name="_Toc23867623"/>
      <w:bookmarkStart w:id="1010" w:name="_Toc24975744"/>
      <w:bookmarkStart w:id="1011" w:name="_Toc24979785"/>
      <w:bookmarkStart w:id="1012" w:name="_Toc24991040"/>
      <w:bookmarkStart w:id="1013" w:name="_Toc24991197"/>
      <w:bookmarkStart w:id="1014" w:name="_Toc25251510"/>
      <w:bookmarkStart w:id="1015" w:name="_Toc30172213"/>
      <w:bookmarkStart w:id="1016" w:name="_Toc30174920"/>
      <w:bookmarkStart w:id="1017" w:name="_Toc24621585"/>
      <w:bookmarkStart w:id="1018" w:name="_Toc24621891"/>
      <w:bookmarkStart w:id="1019" w:name="_Toc24970080"/>
      <w:bookmarkStart w:id="1020" w:name="_Toc24970578"/>
      <w:bookmarkStart w:id="1021" w:name="_Toc24970734"/>
      <w:bookmarkStart w:id="1022" w:name="_Toc24970890"/>
      <w:bookmarkStart w:id="1023" w:name="_Toc24971046"/>
      <w:bookmarkStart w:id="1024" w:name="_Toc24971673"/>
      <w:bookmarkStart w:id="1025" w:name="_Toc24971829"/>
      <w:bookmarkStart w:id="1026" w:name="_Toc24972217"/>
      <w:bookmarkStart w:id="1027" w:name="_Toc24972373"/>
      <w:bookmarkStart w:id="1028" w:name="_Toc24972529"/>
      <w:bookmarkStart w:id="1029" w:name="_Toc24972630"/>
      <w:bookmarkStart w:id="1030" w:name="_Toc24972786"/>
      <w:bookmarkStart w:id="1031" w:name="_Toc24972942"/>
      <w:bookmarkStart w:id="1032" w:name="_Toc24973098"/>
      <w:bookmarkStart w:id="1033" w:name="_Toc24973260"/>
      <w:bookmarkStart w:id="1034" w:name="_Toc24973790"/>
      <w:bookmarkStart w:id="1035" w:name="_Toc24973953"/>
      <w:bookmarkStart w:id="1036" w:name="_Toc24974736"/>
      <w:bookmarkStart w:id="1037" w:name="_Toc24974899"/>
      <w:bookmarkStart w:id="1038" w:name="_Toc24975062"/>
      <w:bookmarkStart w:id="1039" w:name="_Toc24975258"/>
      <w:bookmarkStart w:id="1040" w:name="_Toc24975421"/>
      <w:bookmarkStart w:id="1041" w:name="_Toc24975584"/>
      <w:bookmarkStart w:id="1042" w:name="_Toc24975747"/>
      <w:bookmarkStart w:id="1043" w:name="_Toc24975909"/>
      <w:bookmarkStart w:id="1044" w:name="_Toc24977039"/>
      <w:bookmarkStart w:id="1045" w:name="_Toc24977203"/>
      <w:bookmarkStart w:id="1046" w:name="_Toc24977791"/>
      <w:bookmarkStart w:id="1047" w:name="_Toc24977961"/>
      <w:bookmarkStart w:id="1048" w:name="_Toc24978119"/>
      <w:bookmarkStart w:id="1049" w:name="_Toc24978454"/>
      <w:bookmarkStart w:id="1050" w:name="_Toc24978625"/>
      <w:bookmarkStart w:id="1051" w:name="_Toc24978740"/>
      <w:bookmarkStart w:id="1052" w:name="_Toc24978914"/>
      <w:bookmarkStart w:id="1053" w:name="_Toc24979088"/>
      <w:bookmarkStart w:id="1054" w:name="_Toc24979352"/>
      <w:bookmarkStart w:id="1055" w:name="_Toc24979526"/>
      <w:bookmarkStart w:id="1056" w:name="_Toc24979700"/>
      <w:bookmarkStart w:id="1057" w:name="_Toc24979788"/>
      <w:bookmarkStart w:id="1058" w:name="_Toc24979962"/>
      <w:bookmarkStart w:id="1059" w:name="_Toc24980316"/>
      <w:bookmarkStart w:id="1060" w:name="_Toc24980478"/>
      <w:bookmarkStart w:id="1061" w:name="_Toc24980641"/>
      <w:bookmarkStart w:id="1062" w:name="_Toc24980552"/>
      <w:bookmarkStart w:id="1063" w:name="_Toc24986416"/>
      <w:bookmarkStart w:id="1064" w:name="_Toc24988290"/>
      <w:bookmarkStart w:id="1065" w:name="_Toc25078905"/>
      <w:bookmarkStart w:id="1066" w:name="_Toc25251513"/>
      <w:bookmarkStart w:id="1067" w:name="_Toc25251813"/>
      <w:bookmarkStart w:id="1068" w:name="_Toc23169597"/>
      <w:bookmarkStart w:id="1069" w:name="_Toc23176619"/>
      <w:bookmarkStart w:id="1070" w:name="_Toc23345513"/>
      <w:bookmarkStart w:id="1071" w:name="_Toc23521007"/>
      <w:bookmarkStart w:id="1072" w:name="_Toc23818657"/>
      <w:bookmarkStart w:id="1073" w:name="_Toc23867157"/>
      <w:bookmarkStart w:id="1074" w:name="_Toc23867626"/>
      <w:bookmarkStart w:id="1075" w:name="_Toc24975754"/>
      <w:bookmarkStart w:id="1076" w:name="_Toc24979795"/>
      <w:bookmarkStart w:id="1077" w:name="_Toc24991042"/>
      <w:bookmarkStart w:id="1078" w:name="_Toc24991199"/>
      <w:bookmarkStart w:id="1079" w:name="_Toc25251520"/>
      <w:bookmarkStart w:id="1080" w:name="_Toc30172215"/>
      <w:bookmarkStart w:id="1081" w:name="_Toc30174922"/>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t>’.</w:t>
      </w:r>
    </w:p>
    <w:p w14:paraId="1999E8FC" w14:textId="554BD38B" w:rsidR="007A7D7E" w:rsidRPr="007A7D7E" w:rsidRDefault="007A7D7E" w:rsidP="001B4FCC">
      <w:pPr>
        <w:pStyle w:val="Heading4numbered"/>
      </w:pPr>
      <w:bookmarkStart w:id="1082" w:name="_Toc68769298"/>
      <w:r w:rsidRPr="009F49D0">
        <w:t>Procurement strategy considerations</w:t>
      </w:r>
      <w:bookmarkEnd w:id="1082"/>
    </w:p>
    <w:p w14:paraId="5BD684A9" w14:textId="2BA7B6E2" w:rsidR="00FE18A0" w:rsidRDefault="007A7D7E" w:rsidP="00AF6567">
      <w:r>
        <w:t>As part of the business case, agencies are required to develop a procurement strategy to execute the project. Procurement can play an important role in achieving project objectives. The procurement model should be appropriate for project</w:t>
      </w:r>
      <w:r w:rsidR="009B7222">
        <w:t>-</w:t>
      </w:r>
      <w:r>
        <w:t xml:space="preserve">specific risks, issues, </w:t>
      </w:r>
      <w:proofErr w:type="gramStart"/>
      <w:r>
        <w:t>solutions</w:t>
      </w:r>
      <w:proofErr w:type="gramEnd"/>
      <w:r>
        <w:t xml:space="preserve"> and ambitions and consider the Social Procurement Framework. The model should consider the projects’ s</w:t>
      </w:r>
      <w:r w:rsidRPr="00204234">
        <w:t>ustainable investment target maturity level</w:t>
      </w:r>
      <w:r>
        <w:t>:</w:t>
      </w:r>
    </w:p>
    <w:p w14:paraId="39B96616" w14:textId="3132474B" w:rsidR="007A7D7E" w:rsidRDefault="007A7D7E" w:rsidP="007A7D7E">
      <w:pPr>
        <w:pStyle w:val="Bullet1"/>
      </w:pPr>
      <w:r w:rsidRPr="0022218F">
        <w:rPr>
          <w:b/>
          <w:bCs/>
        </w:rPr>
        <w:t>Commercial incentives</w:t>
      </w:r>
      <w:r>
        <w:t>: For example, private project partners may have a higher cost of capital, which deprioritises long</w:t>
      </w:r>
      <w:r w:rsidR="009B7222">
        <w:t>-</w:t>
      </w:r>
      <w:r>
        <w:t>term sustainability benefits and requires additional contractual incentives to be put in place.</w:t>
      </w:r>
    </w:p>
    <w:p w14:paraId="188E19FC" w14:textId="77777777" w:rsidR="007A7D7E" w:rsidRDefault="007A7D7E" w:rsidP="007A7D7E">
      <w:pPr>
        <w:pStyle w:val="Bullet1"/>
      </w:pPr>
      <w:r w:rsidRPr="0022218F">
        <w:rPr>
          <w:b/>
          <w:bCs/>
        </w:rPr>
        <w:t>Project characteristics</w:t>
      </w:r>
      <w:r>
        <w:rPr>
          <w:b/>
          <w:bCs/>
        </w:rPr>
        <w:t>:</w:t>
      </w:r>
      <w:r>
        <w:t xml:space="preserve"> For example, a decision to use specific recycled materials in the project solution may favour private partners with expertise in their use.</w:t>
      </w:r>
    </w:p>
    <w:p w14:paraId="1E8790AC" w14:textId="77777777" w:rsidR="007A7D7E" w:rsidRDefault="007A7D7E" w:rsidP="007A7D7E">
      <w:pPr>
        <w:pStyle w:val="Bullet1"/>
      </w:pPr>
      <w:r w:rsidRPr="006F6DA4">
        <w:rPr>
          <w:b/>
          <w:bCs/>
        </w:rPr>
        <w:t>Project requirements</w:t>
      </w:r>
      <w:r>
        <w:rPr>
          <w:b/>
          <w:bCs/>
        </w:rPr>
        <w:t>:</w:t>
      </w:r>
      <w:r>
        <w:t xml:space="preserve"> How government and private partners are held accountable for sustainability in construction and operation of the asset.</w:t>
      </w:r>
    </w:p>
    <w:p w14:paraId="51C5CBD5" w14:textId="77777777" w:rsidR="007A7D7E" w:rsidRDefault="007A7D7E" w:rsidP="007A7D7E">
      <w:pPr>
        <w:pStyle w:val="Bullet1"/>
      </w:pPr>
      <w:r w:rsidRPr="00A857AC">
        <w:rPr>
          <w:b/>
          <w:bCs/>
        </w:rPr>
        <w:t>Supplier markets:</w:t>
      </w:r>
      <w:r>
        <w:t xml:space="preserve"> For example, if a project relies on the incorporation of innovative technologies, the procurement option should ensure that such technologies can be procured, </w:t>
      </w:r>
      <w:proofErr w:type="gramStart"/>
      <w:r>
        <w:t>installed</w:t>
      </w:r>
      <w:proofErr w:type="gramEnd"/>
      <w:r>
        <w:t xml:space="preserve"> and maintained.</w:t>
      </w:r>
    </w:p>
    <w:p w14:paraId="2C2990CF" w14:textId="66342193" w:rsidR="007A7D7E" w:rsidRDefault="007A7D7E" w:rsidP="007A7D7E">
      <w:pPr>
        <w:pStyle w:val="Bullet1"/>
      </w:pPr>
      <w:r w:rsidRPr="00A857AC">
        <w:rPr>
          <w:b/>
          <w:bCs/>
        </w:rPr>
        <w:lastRenderedPageBreak/>
        <w:t>Agency capability</w:t>
      </w:r>
      <w:r>
        <w:rPr>
          <w:b/>
          <w:bCs/>
        </w:rPr>
        <w:t>:</w:t>
      </w:r>
      <w:r>
        <w:t xml:space="preserve"> Where the agency has expertise in the sustainability related aspects of the project, this might suggest a procurement model that </w:t>
      </w:r>
      <w:r w:rsidR="00965764">
        <w:t xml:space="preserve">uses </w:t>
      </w:r>
      <w:r>
        <w:t>that expertise.</w:t>
      </w:r>
    </w:p>
    <w:p w14:paraId="51A5144A" w14:textId="77777777" w:rsidR="007A7D7E" w:rsidRDefault="007A7D7E" w:rsidP="007A7D7E">
      <w:pPr>
        <w:pStyle w:val="Bullet1"/>
      </w:pPr>
      <w:r>
        <w:rPr>
          <w:b/>
          <w:bCs/>
        </w:rPr>
        <w:t>Project interfaces:</w:t>
      </w:r>
      <w:r>
        <w:t xml:space="preserve"> Where the project has interdependencies with other works or assets that affect whether sustainability objectives are achieved.</w:t>
      </w:r>
    </w:p>
    <w:p w14:paraId="45083279" w14:textId="066F3891" w:rsidR="007A7D7E" w:rsidRPr="00DA6FB8" w:rsidRDefault="007A7D7E" w:rsidP="007A7D7E">
      <w:pPr>
        <w:pStyle w:val="NormalIndent"/>
        <w:ind w:left="0"/>
        <w:rPr>
          <w:lang w:eastAsia="en-US"/>
        </w:rPr>
      </w:pPr>
      <w:r>
        <w:t>Procurement options assessment should consider sustainability</w:t>
      </w:r>
      <w:r w:rsidR="00601819">
        <w:noBreakHyphen/>
      </w:r>
      <w:r>
        <w:t>related risks and during the procurement stage, project teams should engage with the providers to ensure that those selected understand such risks.</w:t>
      </w:r>
    </w:p>
    <w:p w14:paraId="6310807E" w14:textId="32B79269" w:rsidR="007A7D7E" w:rsidRPr="007A7D7E" w:rsidRDefault="007A7D7E" w:rsidP="00A16A0B">
      <w:pPr>
        <w:pStyle w:val="Breakoutheading"/>
        <w:spacing w:after="60"/>
      </w:pPr>
      <w:bookmarkStart w:id="1083" w:name="_Toc75427324"/>
      <w:r w:rsidRPr="007A7D7E">
        <w:t xml:space="preserve">Case study </w:t>
      </w:r>
      <w:r>
        <w:fldChar w:fldCharType="begin"/>
      </w:r>
      <w:r>
        <w:instrText>SEQ Case_study \* ARABIC</w:instrText>
      </w:r>
      <w:r>
        <w:fldChar w:fldCharType="separate"/>
      </w:r>
      <w:r w:rsidR="00FC7DAA">
        <w:rPr>
          <w:noProof/>
        </w:rPr>
        <w:t>4</w:t>
      </w:r>
      <w:r>
        <w:fldChar w:fldCharType="end"/>
      </w:r>
      <w:r w:rsidR="00F00708">
        <w:t xml:space="preserve"> – </w:t>
      </w:r>
      <w:r w:rsidRPr="007A7D7E">
        <w:t>Greener Government Buildings</w:t>
      </w:r>
      <w:bookmarkEnd w:id="1083"/>
      <w:r w:rsidRPr="007A7D7E">
        <w:t xml:space="preserve"> </w:t>
      </w:r>
    </w:p>
    <w:p w14:paraId="2ECEF053" w14:textId="77777777" w:rsidR="007A7D7E" w:rsidRPr="007A7D7E" w:rsidRDefault="007A7D7E" w:rsidP="00A16A0B">
      <w:pPr>
        <w:pStyle w:val="Breakouttext"/>
        <w:spacing w:before="80" w:after="80"/>
      </w:pPr>
      <w:r w:rsidRPr="007A7D7E">
        <w:t xml:space="preserve">Greener Government Buildings (GGB) is a program that implements energy efficiency and renewable projects across Victorian Government buildings, to reduce operating costs and achieve greenhouse gas abatement. As of June 2020, the program has invested $200m across 35 projects with </w:t>
      </w:r>
      <w:proofErr w:type="gramStart"/>
      <w:r w:rsidRPr="007A7D7E">
        <w:t>the majority of</w:t>
      </w:r>
      <w:proofErr w:type="gramEnd"/>
      <w:r w:rsidRPr="007A7D7E">
        <w:t xml:space="preserve"> the solutions being procured via a process known as Energy Performance Contracting (EPC).</w:t>
      </w:r>
    </w:p>
    <w:p w14:paraId="53E65E91" w14:textId="77777777" w:rsidR="007A7D7E" w:rsidRPr="007A7D7E" w:rsidRDefault="007A7D7E" w:rsidP="00A16A0B">
      <w:pPr>
        <w:pStyle w:val="Breakouttext"/>
        <w:spacing w:before="80" w:after="80"/>
      </w:pPr>
      <w:r w:rsidRPr="007A7D7E">
        <w:t xml:space="preserve">EPC is a process where a contractor is engaged to design, implement, </w:t>
      </w:r>
      <w:proofErr w:type="gramStart"/>
      <w:r w:rsidRPr="007A7D7E">
        <w:t>verify</w:t>
      </w:r>
      <w:proofErr w:type="gramEnd"/>
      <w:r w:rsidRPr="007A7D7E">
        <w:t xml:space="preserve"> and guarantee the savings from an energy efficiency or renewable energy project. Under the GGB program, the EPC is structured to ensure projects pay for themselves with the savings achieved over a certain </w:t>
      </w:r>
      <w:proofErr w:type="gramStart"/>
      <w:r w:rsidRPr="007A7D7E">
        <w:t>period of time</w:t>
      </w:r>
      <w:proofErr w:type="gramEnd"/>
      <w:r w:rsidRPr="007A7D7E">
        <w:t xml:space="preserve"> (currently five years).</w:t>
      </w:r>
    </w:p>
    <w:p w14:paraId="47C6C647" w14:textId="06B7CDCB" w:rsidR="007A7D7E" w:rsidRPr="007A7D7E" w:rsidRDefault="007A7D7E" w:rsidP="00A16A0B">
      <w:pPr>
        <w:pStyle w:val="Breakouttext"/>
        <w:spacing w:before="80" w:after="80"/>
      </w:pPr>
      <w:r w:rsidRPr="007A7D7E">
        <w:t xml:space="preserve">However, EPCs are not suitable for all facilities and are typically only used for large and/or complex buildings, </w:t>
      </w:r>
      <w:proofErr w:type="gramStart"/>
      <w:r w:rsidRPr="007A7D7E">
        <w:t>e.g.</w:t>
      </w:r>
      <w:proofErr w:type="gramEnd"/>
      <w:r w:rsidRPr="007A7D7E">
        <w:t xml:space="preserve"> hospitals, TAFEs, large office buildings, sporting complexes, etc. For smaller sites such as schools, alternative approaches may be preferable. Savings from an EPC can also vary from project to project depending on its assets and can range from 10</w:t>
      </w:r>
      <w:r w:rsidR="00965764" w:rsidRPr="00965764">
        <w:t xml:space="preserve"> </w:t>
      </w:r>
      <w:r w:rsidR="00965764">
        <w:t>per cent</w:t>
      </w:r>
      <w:r w:rsidRPr="007A7D7E">
        <w:t xml:space="preserve"> to 60</w:t>
      </w:r>
      <w:r w:rsidR="00965764" w:rsidRPr="00965764">
        <w:t xml:space="preserve"> </w:t>
      </w:r>
      <w:r w:rsidR="00965764">
        <w:t>per cent</w:t>
      </w:r>
      <w:r w:rsidRPr="007A7D7E">
        <w:t xml:space="preserve"> of the site's annual energy and operational expenditure.</w:t>
      </w:r>
    </w:p>
    <w:p w14:paraId="708ADD1D" w14:textId="59048EE3" w:rsidR="007A7D7E" w:rsidRDefault="007A7D7E" w:rsidP="00A16A0B">
      <w:pPr>
        <w:pStyle w:val="Breakouttext"/>
        <w:spacing w:before="80" w:after="80"/>
      </w:pPr>
      <w:r w:rsidRPr="007A7D7E">
        <w:t>The Gordon Institute of TAFE EPC for example, achieved 34</w:t>
      </w:r>
      <w:r w:rsidR="00965764" w:rsidRPr="00965764">
        <w:t xml:space="preserve"> </w:t>
      </w:r>
      <w:r w:rsidR="00965764">
        <w:t>per cent</w:t>
      </w:r>
      <w:r w:rsidRPr="007A7D7E">
        <w:t xml:space="preserve"> in annual savings and over 900 tonnes of greenhouse gas abatement </w:t>
      </w:r>
      <w:r w:rsidR="00965764">
        <w:t>a year</w:t>
      </w:r>
      <w:r w:rsidRPr="007A7D7E">
        <w:t>.</w:t>
      </w:r>
    </w:p>
    <w:p w14:paraId="495D684C" w14:textId="77777777" w:rsidR="00C74A27" w:rsidRPr="00E940AF" w:rsidRDefault="00C74A27" w:rsidP="001B4FCC">
      <w:pPr>
        <w:pStyle w:val="Heading2numbered"/>
      </w:pPr>
      <w:bookmarkStart w:id="1084" w:name="_Toc68769299"/>
      <w:bookmarkStart w:id="1085" w:name="_Toc117258705"/>
      <w:r w:rsidRPr="00E940AF">
        <w:t>Procurement</w:t>
      </w:r>
      <w:bookmarkEnd w:id="1084"/>
      <w:bookmarkEnd w:id="1085"/>
    </w:p>
    <w:p w14:paraId="1F76F7AA" w14:textId="77777777" w:rsidR="00C74A27" w:rsidRPr="00EC5B5F" w:rsidRDefault="00C74A27" w:rsidP="00ED6C45">
      <w:pPr>
        <w:pStyle w:val="Heading3numbered"/>
        <w:numPr>
          <w:ilvl w:val="4"/>
          <w:numId w:val="48"/>
        </w:numPr>
      </w:pPr>
      <w:bookmarkStart w:id="1086" w:name="_Toc68769300"/>
      <w:r w:rsidRPr="00EC5B5F">
        <w:t>Management and governance</w:t>
      </w:r>
      <w:bookmarkEnd w:id="1086"/>
    </w:p>
    <w:p w14:paraId="3207F63F" w14:textId="05992C13" w:rsidR="00C74A27" w:rsidRDefault="00C74A27" w:rsidP="00C74A27">
      <w:pPr>
        <w:pStyle w:val="NormalIndent"/>
        <w:ind w:left="0"/>
      </w:pPr>
      <w:r w:rsidRPr="00087492">
        <w:t xml:space="preserve">The </w:t>
      </w:r>
      <w:r>
        <w:t xml:space="preserve">DTF </w:t>
      </w:r>
      <w:r w:rsidRPr="00087492">
        <w:t xml:space="preserve">Investment Lifecycle </w:t>
      </w:r>
      <w:r>
        <w:t>provides guidance on</w:t>
      </w:r>
      <w:r w:rsidRPr="00087492">
        <w:t xml:space="preserve"> governance and project management. In establishing</w:t>
      </w:r>
      <w:r>
        <w:t xml:space="preserve"> governance processes for the investment, users should ensure that resources with sustainability expertise have appropriate authority and accountability throughout the decision</w:t>
      </w:r>
      <w:r w:rsidR="00601819">
        <w:noBreakHyphen/>
      </w:r>
      <w:r>
        <w:t>making process, with continuity through to the delivery stage to ensure procurement commitments are realised. This will increase the likelihood of achieving the intended sustainability benefits.</w:t>
      </w:r>
    </w:p>
    <w:p w14:paraId="767E9F48" w14:textId="77777777" w:rsidR="00C74A27" w:rsidRPr="009B2B67" w:rsidRDefault="00C74A27" w:rsidP="001B4FCC">
      <w:pPr>
        <w:pStyle w:val="Heading3numbered"/>
      </w:pPr>
      <w:bookmarkStart w:id="1087" w:name="_Toc68769301"/>
      <w:r w:rsidRPr="009B2B67">
        <w:t>Sustainable investment target maturity level</w:t>
      </w:r>
      <w:bookmarkEnd w:id="1087"/>
    </w:p>
    <w:p w14:paraId="28D363AF" w14:textId="36C8E900" w:rsidR="00C74A27" w:rsidRDefault="00C74A27" w:rsidP="00C74A27">
      <w:r w:rsidRPr="009B1D1E">
        <w:t>Application of the maturity model</w:t>
      </w:r>
      <w:r>
        <w:t xml:space="preserve"> in the procurement stage builds on work undertaken in the business case stage. Activities </w:t>
      </w:r>
      <w:r w:rsidRPr="009B1D1E">
        <w:t>should be fit</w:t>
      </w:r>
      <w:r w:rsidR="00601819">
        <w:noBreakHyphen/>
      </w:r>
      <w:r w:rsidRPr="009B1D1E">
        <w:t>for</w:t>
      </w:r>
      <w:r w:rsidR="00601819">
        <w:noBreakHyphen/>
      </w:r>
      <w:r w:rsidRPr="009B1D1E">
        <w:t xml:space="preserve">purpose </w:t>
      </w:r>
      <w:r>
        <w:t xml:space="preserve">at each maturity level </w:t>
      </w:r>
      <w:r w:rsidRPr="009B1D1E">
        <w:t>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2F51FAEE" w14:textId="7A66F3E2" w:rsidR="00860DB3" w:rsidRDefault="00860DB3" w:rsidP="00860DB3">
      <w:pPr>
        <w:pStyle w:val="Caption"/>
      </w:pPr>
      <w:bookmarkStart w:id="1088" w:name="_Toc117258736"/>
      <w:r>
        <w:lastRenderedPageBreak/>
        <w:t xml:space="preserve">Table </w:t>
      </w:r>
      <w:r>
        <w:fldChar w:fldCharType="begin"/>
      </w:r>
      <w:r>
        <w:instrText>SEQ Table \* ARABIC</w:instrText>
      </w:r>
      <w:r>
        <w:fldChar w:fldCharType="separate"/>
      </w:r>
      <w:r w:rsidR="00FC7DAA">
        <w:rPr>
          <w:noProof/>
        </w:rPr>
        <w:t>15</w:t>
      </w:r>
      <w:r>
        <w:fldChar w:fldCharType="end"/>
      </w:r>
      <w:r w:rsidR="00F00708">
        <w:t xml:space="preserve"> – </w:t>
      </w:r>
      <w:r w:rsidRPr="00DA1214">
        <w:t xml:space="preserve">Maturity </w:t>
      </w:r>
      <w:r>
        <w:t>during refinement and</w:t>
      </w:r>
      <w:r w:rsidRPr="00DA1214">
        <w:t xml:space="preserve"> </w:t>
      </w:r>
      <w:r>
        <w:t>implementation of procurement strategy</w:t>
      </w:r>
      <w:bookmarkEnd w:id="1088"/>
    </w:p>
    <w:tbl>
      <w:tblPr>
        <w:tblStyle w:val="TableGridLight"/>
        <w:tblW w:w="90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605"/>
        <w:gridCol w:w="2490"/>
        <w:gridCol w:w="2490"/>
        <w:gridCol w:w="2490"/>
      </w:tblGrid>
      <w:tr w:rsidR="00860DB3" w:rsidRPr="007B7F61" w14:paraId="13C7688B" w14:textId="77777777" w:rsidTr="00860DB3">
        <w:trPr>
          <w:cantSplit/>
          <w:tblHeader/>
        </w:trPr>
        <w:tc>
          <w:tcPr>
            <w:tcW w:w="1605" w:type="dxa"/>
            <w:shd w:val="clear" w:color="auto" w:fill="auto"/>
          </w:tcPr>
          <w:p w14:paraId="7E4A6A92" w14:textId="77777777" w:rsidR="00860DB3" w:rsidRPr="007B7F61" w:rsidRDefault="00860DB3" w:rsidP="00860DB3">
            <w:pPr>
              <w:pStyle w:val="Tableheader"/>
              <w:rPr>
                <w:b/>
                <w:bCs/>
                <w:noProof/>
              </w:rPr>
            </w:pPr>
          </w:p>
        </w:tc>
        <w:tc>
          <w:tcPr>
            <w:tcW w:w="2490" w:type="dxa"/>
            <w:shd w:val="clear" w:color="auto" w:fill="E75300" w:themeFill="accent5"/>
            <w:vAlign w:val="center"/>
          </w:tcPr>
          <w:p w14:paraId="07E7644B" w14:textId="77777777" w:rsidR="00860DB3" w:rsidRPr="007B7F61" w:rsidRDefault="00860DB3" w:rsidP="00860DB3">
            <w:pPr>
              <w:pStyle w:val="Tableheader"/>
              <w:rPr>
                <w:b/>
                <w:bCs/>
                <w:noProof/>
              </w:rPr>
            </w:pPr>
            <w:r w:rsidRPr="007B7F61">
              <w:rPr>
                <w:b/>
                <w:bCs/>
                <w:noProof/>
              </w:rPr>
              <w:t>DEFINED</w:t>
            </w:r>
          </w:p>
        </w:tc>
        <w:tc>
          <w:tcPr>
            <w:tcW w:w="2490" w:type="dxa"/>
            <w:shd w:val="clear" w:color="auto" w:fill="00AFAA" w:themeFill="accent3"/>
            <w:vAlign w:val="center"/>
          </w:tcPr>
          <w:p w14:paraId="52FF5175" w14:textId="77777777" w:rsidR="00860DB3" w:rsidRPr="007B7F61" w:rsidRDefault="00860DB3" w:rsidP="00860DB3">
            <w:pPr>
              <w:pStyle w:val="Tableheader"/>
              <w:rPr>
                <w:b/>
                <w:bCs/>
                <w:noProof/>
              </w:rPr>
            </w:pPr>
            <w:r w:rsidRPr="007B7F61">
              <w:rPr>
                <w:b/>
                <w:bCs/>
                <w:noProof/>
              </w:rPr>
              <w:t>MANAGED</w:t>
            </w:r>
          </w:p>
        </w:tc>
        <w:tc>
          <w:tcPr>
            <w:tcW w:w="2490" w:type="dxa"/>
            <w:shd w:val="clear" w:color="auto" w:fill="F9BE00" w:themeFill="accent6"/>
            <w:vAlign w:val="center"/>
          </w:tcPr>
          <w:p w14:paraId="27E4E8E5" w14:textId="77777777" w:rsidR="00860DB3" w:rsidRPr="007B7F61" w:rsidRDefault="00860DB3" w:rsidP="00860DB3">
            <w:pPr>
              <w:pStyle w:val="Tableheader"/>
              <w:rPr>
                <w:b/>
                <w:bCs/>
                <w:noProof/>
              </w:rPr>
            </w:pPr>
            <w:r w:rsidRPr="007B7F61">
              <w:rPr>
                <w:b/>
                <w:bCs/>
                <w:noProof/>
              </w:rPr>
              <w:t>OPTIMISED</w:t>
            </w:r>
          </w:p>
        </w:tc>
      </w:tr>
      <w:tr w:rsidR="00860DB3" w:rsidRPr="007E6C2A" w14:paraId="44FEBC96" w14:textId="77777777" w:rsidTr="00860DB3">
        <w:trPr>
          <w:cantSplit/>
          <w:trHeight w:val="433"/>
        </w:trPr>
        <w:tc>
          <w:tcPr>
            <w:tcW w:w="1605" w:type="dxa"/>
            <w:shd w:val="clear" w:color="auto" w:fill="F2F2F2" w:themeFill="background1" w:themeFillShade="F2"/>
          </w:tcPr>
          <w:p w14:paraId="64025DAF" w14:textId="1E917AA4" w:rsidR="00860DB3" w:rsidRPr="009B2B67" w:rsidRDefault="00860DB3" w:rsidP="00860DB3">
            <w:pPr>
              <w:pStyle w:val="Tabletext"/>
            </w:pPr>
            <w:r w:rsidRPr="000C026C">
              <w:t>Sustainable procurement</w:t>
            </w:r>
          </w:p>
        </w:tc>
        <w:tc>
          <w:tcPr>
            <w:tcW w:w="2490" w:type="dxa"/>
            <w:shd w:val="clear" w:color="auto" w:fill="FFDAC7" w:themeFill="accent5" w:themeFillTint="33"/>
          </w:tcPr>
          <w:p w14:paraId="49D0DD76" w14:textId="439F63A7" w:rsidR="00860DB3" w:rsidRPr="009B2B67" w:rsidRDefault="00860DB3" w:rsidP="00860DB3">
            <w:pPr>
              <w:pStyle w:val="Tabletext"/>
            </w:pPr>
            <w:r w:rsidRPr="000C026C">
              <w:t>Use weighted evaluation criteria to favour businesses that support sustainable procurement objectives</w:t>
            </w:r>
          </w:p>
        </w:tc>
        <w:tc>
          <w:tcPr>
            <w:tcW w:w="2490" w:type="dxa"/>
            <w:shd w:val="clear" w:color="auto" w:fill="BCFFFC" w:themeFill="accent3" w:themeFillTint="33"/>
          </w:tcPr>
          <w:p w14:paraId="6CCCDE5E" w14:textId="6D0A7A93" w:rsidR="00860DB3" w:rsidRPr="009B2B67" w:rsidRDefault="00860DB3" w:rsidP="00860DB3">
            <w:pPr>
              <w:pStyle w:val="Tabletext"/>
            </w:pPr>
          </w:p>
        </w:tc>
        <w:tc>
          <w:tcPr>
            <w:tcW w:w="2490" w:type="dxa"/>
            <w:shd w:val="clear" w:color="auto" w:fill="FFF2CA" w:themeFill="accent6" w:themeFillTint="33"/>
          </w:tcPr>
          <w:p w14:paraId="0A7BA893" w14:textId="54BEC6AF" w:rsidR="00860DB3" w:rsidRPr="009B2B67" w:rsidRDefault="00860DB3" w:rsidP="00860DB3">
            <w:pPr>
              <w:pStyle w:val="Tabletext"/>
            </w:pPr>
            <w:r w:rsidRPr="000C026C">
              <w:t>Contract negotiation team authorised and capable of balancing sustainability objectives against other project objectives</w:t>
            </w:r>
          </w:p>
        </w:tc>
      </w:tr>
      <w:tr w:rsidR="00860DB3" w:rsidRPr="007E6C2A" w14:paraId="7D8CCB5C" w14:textId="77777777" w:rsidTr="00860DB3">
        <w:trPr>
          <w:cantSplit/>
          <w:trHeight w:val="433"/>
        </w:trPr>
        <w:tc>
          <w:tcPr>
            <w:tcW w:w="1605" w:type="dxa"/>
            <w:shd w:val="clear" w:color="auto" w:fill="F2F2F2" w:themeFill="background1" w:themeFillShade="F2"/>
          </w:tcPr>
          <w:p w14:paraId="7A4BAF8B" w14:textId="77777777" w:rsidR="00860DB3" w:rsidRPr="000C026C" w:rsidRDefault="00860DB3" w:rsidP="00860DB3">
            <w:pPr>
              <w:pStyle w:val="Tabletext"/>
            </w:pPr>
          </w:p>
        </w:tc>
        <w:tc>
          <w:tcPr>
            <w:tcW w:w="2490" w:type="dxa"/>
            <w:shd w:val="clear" w:color="auto" w:fill="FFDAC7" w:themeFill="accent5" w:themeFillTint="33"/>
          </w:tcPr>
          <w:p w14:paraId="449A52B8" w14:textId="1D627D8A" w:rsidR="00860DB3" w:rsidRPr="000C026C" w:rsidRDefault="00860DB3" w:rsidP="00860DB3">
            <w:pPr>
              <w:pStyle w:val="Tabletext"/>
            </w:pPr>
            <w:r w:rsidRPr="000C026C">
              <w:t>Procurement team capable of assessing the ability of tenderer to meet sustainability objectives</w:t>
            </w:r>
          </w:p>
        </w:tc>
        <w:tc>
          <w:tcPr>
            <w:tcW w:w="2490" w:type="dxa"/>
            <w:shd w:val="clear" w:color="auto" w:fill="BCFFFC" w:themeFill="accent3" w:themeFillTint="33"/>
          </w:tcPr>
          <w:p w14:paraId="6F6433FC" w14:textId="77777777" w:rsidR="00860DB3" w:rsidRPr="009B2B67" w:rsidRDefault="00860DB3" w:rsidP="00860DB3">
            <w:pPr>
              <w:pStyle w:val="Tabletext"/>
            </w:pPr>
          </w:p>
        </w:tc>
        <w:tc>
          <w:tcPr>
            <w:tcW w:w="2490" w:type="dxa"/>
            <w:shd w:val="clear" w:color="auto" w:fill="FFF2CA" w:themeFill="accent6" w:themeFillTint="33"/>
          </w:tcPr>
          <w:p w14:paraId="722B2DE6" w14:textId="77777777" w:rsidR="00860DB3" w:rsidRPr="000C026C" w:rsidRDefault="00860DB3" w:rsidP="00860DB3">
            <w:pPr>
              <w:pStyle w:val="Tabletext"/>
            </w:pPr>
          </w:p>
        </w:tc>
      </w:tr>
      <w:tr w:rsidR="00860DB3" w:rsidRPr="007E6C2A" w14:paraId="24EAFD25" w14:textId="77777777" w:rsidTr="00860DB3">
        <w:trPr>
          <w:cantSplit/>
          <w:trHeight w:val="433"/>
        </w:trPr>
        <w:tc>
          <w:tcPr>
            <w:tcW w:w="1605" w:type="dxa"/>
            <w:shd w:val="clear" w:color="auto" w:fill="F2F2F2" w:themeFill="background1" w:themeFillShade="F2"/>
          </w:tcPr>
          <w:p w14:paraId="162EFA38" w14:textId="65FE4C2E" w:rsidR="00860DB3" w:rsidRPr="000C026C" w:rsidRDefault="00860DB3" w:rsidP="00860DB3">
            <w:pPr>
              <w:pStyle w:val="Tabletext"/>
            </w:pPr>
            <w:r w:rsidRPr="000C026C">
              <w:t>Contracts</w:t>
            </w:r>
          </w:p>
        </w:tc>
        <w:tc>
          <w:tcPr>
            <w:tcW w:w="2490" w:type="dxa"/>
            <w:shd w:val="clear" w:color="auto" w:fill="FFDAC7" w:themeFill="accent5" w:themeFillTint="33"/>
          </w:tcPr>
          <w:p w14:paraId="2341F5CF" w14:textId="77777777" w:rsidR="00860DB3" w:rsidRPr="000C026C" w:rsidRDefault="00860DB3" w:rsidP="00860DB3">
            <w:pPr>
              <w:pStyle w:val="Tabletext"/>
            </w:pPr>
          </w:p>
        </w:tc>
        <w:tc>
          <w:tcPr>
            <w:tcW w:w="2490" w:type="dxa"/>
            <w:shd w:val="clear" w:color="auto" w:fill="BCFFFC" w:themeFill="accent3" w:themeFillTint="33"/>
          </w:tcPr>
          <w:p w14:paraId="347FDA45" w14:textId="67BD7572" w:rsidR="00860DB3" w:rsidRPr="009B2B67" w:rsidRDefault="00860DB3" w:rsidP="00860DB3">
            <w:pPr>
              <w:pStyle w:val="Tabletext"/>
            </w:pPr>
            <w:r w:rsidRPr="000C026C">
              <w:t>Sustainability objectives in contract align with long term sustainability outcomes during operation</w:t>
            </w:r>
          </w:p>
        </w:tc>
        <w:tc>
          <w:tcPr>
            <w:tcW w:w="2490" w:type="dxa"/>
            <w:shd w:val="clear" w:color="auto" w:fill="FFF2CA" w:themeFill="accent6" w:themeFillTint="33"/>
          </w:tcPr>
          <w:p w14:paraId="27E55B44" w14:textId="6A4F9677" w:rsidR="00860DB3" w:rsidRPr="000C026C" w:rsidRDefault="00860DB3" w:rsidP="00860DB3">
            <w:pPr>
              <w:pStyle w:val="Tabletext"/>
            </w:pPr>
            <w:r w:rsidRPr="000C026C">
              <w:t>Approach incentivises tenderers to exceed contractual requirements for sustainability outcomes</w:t>
            </w:r>
          </w:p>
        </w:tc>
      </w:tr>
      <w:tr w:rsidR="00860DB3" w:rsidRPr="007E6C2A" w14:paraId="2DFB16E0" w14:textId="77777777" w:rsidTr="00860DB3">
        <w:trPr>
          <w:cantSplit/>
          <w:trHeight w:val="433"/>
        </w:trPr>
        <w:tc>
          <w:tcPr>
            <w:tcW w:w="1605" w:type="dxa"/>
            <w:shd w:val="clear" w:color="auto" w:fill="F2F2F2" w:themeFill="background1" w:themeFillShade="F2"/>
          </w:tcPr>
          <w:p w14:paraId="283DE778" w14:textId="77777777" w:rsidR="00860DB3" w:rsidRPr="000C026C" w:rsidRDefault="00860DB3" w:rsidP="00860DB3">
            <w:pPr>
              <w:pStyle w:val="Tabletext"/>
            </w:pPr>
          </w:p>
        </w:tc>
        <w:tc>
          <w:tcPr>
            <w:tcW w:w="2490" w:type="dxa"/>
            <w:shd w:val="clear" w:color="auto" w:fill="FFDAC7" w:themeFill="accent5" w:themeFillTint="33"/>
          </w:tcPr>
          <w:p w14:paraId="69E59D5D" w14:textId="77777777" w:rsidR="00860DB3" w:rsidRPr="000C026C" w:rsidRDefault="00860DB3" w:rsidP="00860DB3">
            <w:pPr>
              <w:pStyle w:val="Tabletext"/>
            </w:pPr>
          </w:p>
        </w:tc>
        <w:tc>
          <w:tcPr>
            <w:tcW w:w="2490" w:type="dxa"/>
            <w:shd w:val="clear" w:color="auto" w:fill="BCFFFC" w:themeFill="accent3" w:themeFillTint="33"/>
          </w:tcPr>
          <w:p w14:paraId="28D2F086" w14:textId="14A959A2" w:rsidR="00860DB3" w:rsidRPr="000C026C" w:rsidRDefault="00860DB3" w:rsidP="00860DB3">
            <w:pPr>
              <w:pStyle w:val="Tabletext"/>
            </w:pPr>
            <w:r w:rsidRPr="000C026C">
              <w:t>Include contractual requirements on tenderers to achieve sustainable procurement objectives</w:t>
            </w:r>
          </w:p>
        </w:tc>
        <w:tc>
          <w:tcPr>
            <w:tcW w:w="2490" w:type="dxa"/>
            <w:shd w:val="clear" w:color="auto" w:fill="FFF2CA" w:themeFill="accent6" w:themeFillTint="33"/>
          </w:tcPr>
          <w:p w14:paraId="3F620232" w14:textId="77777777" w:rsidR="00860DB3" w:rsidRPr="000C026C" w:rsidRDefault="00860DB3" w:rsidP="00860DB3">
            <w:pPr>
              <w:pStyle w:val="Tabletext"/>
            </w:pPr>
          </w:p>
        </w:tc>
      </w:tr>
      <w:tr w:rsidR="00860DB3" w:rsidRPr="007E6C2A" w14:paraId="665639A5" w14:textId="77777777" w:rsidTr="00860DB3">
        <w:trPr>
          <w:cantSplit/>
          <w:trHeight w:val="433"/>
        </w:trPr>
        <w:tc>
          <w:tcPr>
            <w:tcW w:w="1605" w:type="dxa"/>
            <w:shd w:val="clear" w:color="auto" w:fill="F2F2F2" w:themeFill="background1" w:themeFillShade="F2"/>
          </w:tcPr>
          <w:p w14:paraId="0EC26463" w14:textId="02E75320" w:rsidR="00860DB3" w:rsidRPr="000C026C" w:rsidRDefault="00860DB3" w:rsidP="00860DB3">
            <w:pPr>
              <w:pStyle w:val="Tabletext"/>
            </w:pPr>
            <w:r w:rsidRPr="000C026C">
              <w:t>Rating tools</w:t>
            </w:r>
          </w:p>
        </w:tc>
        <w:tc>
          <w:tcPr>
            <w:tcW w:w="2490" w:type="dxa"/>
            <w:shd w:val="clear" w:color="auto" w:fill="FFDAC7" w:themeFill="accent5" w:themeFillTint="33"/>
          </w:tcPr>
          <w:p w14:paraId="5291DE7D" w14:textId="166A9B50" w:rsidR="00860DB3" w:rsidRPr="000C026C" w:rsidRDefault="00860DB3" w:rsidP="00860DB3">
            <w:pPr>
              <w:pStyle w:val="Tabletext"/>
            </w:pPr>
            <w:r w:rsidRPr="000C026C">
              <w:t>Sustainability rating tools are selected based on agency requirements</w:t>
            </w:r>
          </w:p>
        </w:tc>
        <w:tc>
          <w:tcPr>
            <w:tcW w:w="2490" w:type="dxa"/>
            <w:shd w:val="clear" w:color="auto" w:fill="BCFFFC" w:themeFill="accent3" w:themeFillTint="33"/>
          </w:tcPr>
          <w:p w14:paraId="411147EA" w14:textId="12D4FA72" w:rsidR="00860DB3" w:rsidRPr="000C026C" w:rsidRDefault="00860DB3" w:rsidP="00860DB3">
            <w:pPr>
              <w:pStyle w:val="Tabletext"/>
            </w:pPr>
            <w:r w:rsidRPr="000C026C">
              <w:t>The use of a sustainability rating tool and appropriate targets are based on the specific sustainability outcomes applicable to the project context</w:t>
            </w:r>
          </w:p>
        </w:tc>
        <w:tc>
          <w:tcPr>
            <w:tcW w:w="2490" w:type="dxa"/>
            <w:shd w:val="clear" w:color="auto" w:fill="FFF2CA" w:themeFill="accent6" w:themeFillTint="33"/>
          </w:tcPr>
          <w:p w14:paraId="4F00A211" w14:textId="77777777" w:rsidR="00860DB3" w:rsidRPr="000C026C" w:rsidRDefault="00860DB3" w:rsidP="00860DB3">
            <w:pPr>
              <w:pStyle w:val="Tabletext"/>
            </w:pPr>
          </w:p>
        </w:tc>
      </w:tr>
    </w:tbl>
    <w:p w14:paraId="0A74A060" w14:textId="77777777" w:rsidR="00860DB3" w:rsidRPr="009B2B67" w:rsidRDefault="00860DB3" w:rsidP="001B4FCC">
      <w:pPr>
        <w:pStyle w:val="Heading3numbered"/>
      </w:pPr>
      <w:bookmarkStart w:id="1089" w:name="_Ref53594070"/>
      <w:bookmarkStart w:id="1090" w:name="_Toc68769302"/>
      <w:r w:rsidRPr="009B2B67">
        <w:t>Performance and benefits reporting</w:t>
      </w:r>
      <w:bookmarkEnd w:id="1089"/>
      <w:bookmarkEnd w:id="1090"/>
    </w:p>
    <w:p w14:paraId="37392FC2" w14:textId="2AFAE5DF" w:rsidR="00860DB3" w:rsidRDefault="00860DB3" w:rsidP="00860DB3">
      <w:pPr>
        <w:pStyle w:val="NormalIndent"/>
        <w:ind w:left="0"/>
        <w:rPr>
          <w:lang w:eastAsia="en-US"/>
        </w:rPr>
      </w:pPr>
      <w:r>
        <w:rPr>
          <w:lang w:eastAsia="en-US"/>
        </w:rPr>
        <w:t xml:space="preserve">It is a requirement under the Social Procurement Framework (SPF) for departments and agencies to monitor and report against social and sustainability outcomes. The project sustainability metrics that apply to each contractor should be shaped to align with the project team’s reporting requirements to simplify monitoring and reporting and support the overall reporting by the department or agency. </w:t>
      </w:r>
    </w:p>
    <w:p w14:paraId="27E9F7C0" w14:textId="77777777" w:rsidR="00860DB3" w:rsidRDefault="00860DB3" w:rsidP="00860DB3">
      <w:pPr>
        <w:pStyle w:val="NormalIndent"/>
        <w:ind w:left="0"/>
        <w:rPr>
          <w:lang w:eastAsia="en-US"/>
        </w:rPr>
      </w:pPr>
      <w:r>
        <w:rPr>
          <w:lang w:eastAsia="en-US"/>
        </w:rPr>
        <w:t xml:space="preserve">Investment </w:t>
      </w:r>
      <w:r w:rsidRPr="00D22F02">
        <w:rPr>
          <w:lang w:eastAsia="en-US"/>
        </w:rPr>
        <w:t xml:space="preserve">success </w:t>
      </w:r>
      <w:r>
        <w:rPr>
          <w:lang w:eastAsia="en-US"/>
        </w:rPr>
        <w:t xml:space="preserve">should be determined on </w:t>
      </w:r>
      <w:r w:rsidRPr="00D22F02">
        <w:rPr>
          <w:lang w:eastAsia="en-US"/>
        </w:rPr>
        <w:t xml:space="preserve">whole of life operational considerations to ensure the asset </w:t>
      </w:r>
      <w:r>
        <w:rPr>
          <w:lang w:eastAsia="en-US"/>
        </w:rPr>
        <w:t xml:space="preserve">represents value for money, </w:t>
      </w:r>
      <w:r w:rsidRPr="00D22F02">
        <w:rPr>
          <w:lang w:eastAsia="en-US"/>
        </w:rPr>
        <w:t>meets evolving community service demand, is resilient to climate change and other environmental changes, and continues to meet changing delivery requirements.</w:t>
      </w:r>
    </w:p>
    <w:p w14:paraId="55D24529" w14:textId="77777777" w:rsidR="00860DB3" w:rsidRDefault="00860DB3" w:rsidP="00860DB3">
      <w:pPr>
        <w:pStyle w:val="NormalIndent"/>
        <w:ind w:left="0"/>
        <w:rPr>
          <w:lang w:eastAsia="en-US"/>
        </w:rPr>
      </w:pPr>
      <w:r>
        <w:rPr>
          <w:lang w:eastAsia="en-US"/>
        </w:rPr>
        <w:lastRenderedPageBreak/>
        <w:t>Because many operational sustainability outcomes cannot be directly measured during project delivery, teams should give consideration as to which measurable parameters will provide an indication as to how the project will achieve its desired sustainability outcomes. These should be included (as appropriate) in supplier contracts and monitored by the project team on an ongoing basis through the project lifecycle, to support agency monitoring and reporting.</w:t>
      </w:r>
    </w:p>
    <w:p w14:paraId="7EB40983" w14:textId="77777777" w:rsidR="00860DB3" w:rsidRPr="00EC5B5F" w:rsidRDefault="00860DB3" w:rsidP="001B4FCC">
      <w:pPr>
        <w:pStyle w:val="Heading3numbered"/>
      </w:pPr>
      <w:bookmarkStart w:id="1091" w:name="_Toc64976449"/>
      <w:bookmarkStart w:id="1092" w:name="_Toc64977549"/>
      <w:bookmarkStart w:id="1093" w:name="_Toc65244558"/>
      <w:bookmarkStart w:id="1094" w:name="_Toc65244798"/>
      <w:bookmarkStart w:id="1095" w:name="_Toc65506038"/>
      <w:bookmarkStart w:id="1096" w:name="_Toc65577445"/>
      <w:bookmarkStart w:id="1097" w:name="_Toc65596514"/>
      <w:bookmarkStart w:id="1098" w:name="_Toc65597238"/>
      <w:bookmarkStart w:id="1099" w:name="_Toc65597464"/>
      <w:bookmarkStart w:id="1100" w:name="_Toc66195278"/>
      <w:bookmarkStart w:id="1101" w:name="_Toc66460126"/>
      <w:bookmarkStart w:id="1102" w:name="_Toc66709473"/>
      <w:bookmarkStart w:id="1103" w:name="_Toc66713838"/>
      <w:bookmarkStart w:id="1104" w:name="_Toc66806389"/>
      <w:bookmarkStart w:id="1105" w:name="_Toc66863837"/>
      <w:bookmarkStart w:id="1106" w:name="_Toc66864151"/>
      <w:bookmarkStart w:id="1107" w:name="_Toc66866335"/>
      <w:bookmarkStart w:id="1108" w:name="_Toc66868119"/>
      <w:bookmarkStart w:id="1109" w:name="_Toc67925313"/>
      <w:bookmarkStart w:id="1110" w:name="_Toc67926341"/>
      <w:bookmarkStart w:id="1111" w:name="_Toc67926980"/>
      <w:bookmarkStart w:id="1112" w:name="_Toc68006733"/>
      <w:bookmarkStart w:id="1113" w:name="_Toc68007067"/>
      <w:bookmarkStart w:id="1114" w:name="_Toc68007401"/>
      <w:bookmarkStart w:id="1115" w:name="_Toc68007752"/>
      <w:bookmarkStart w:id="1116" w:name="_Toc68008091"/>
      <w:bookmarkStart w:id="1117" w:name="_Toc68008425"/>
      <w:bookmarkStart w:id="1118" w:name="_Toc68008762"/>
      <w:bookmarkStart w:id="1119" w:name="_Toc68071483"/>
      <w:bookmarkStart w:id="1120" w:name="_Toc68071817"/>
      <w:bookmarkStart w:id="1121" w:name="_Toc68072151"/>
      <w:bookmarkStart w:id="1122" w:name="_Toc68074587"/>
      <w:bookmarkStart w:id="1123" w:name="_Toc68074927"/>
      <w:bookmarkStart w:id="1124" w:name="_Toc68075261"/>
      <w:bookmarkStart w:id="1125" w:name="_Toc68075690"/>
      <w:bookmarkStart w:id="1126" w:name="_Toc68076024"/>
      <w:bookmarkStart w:id="1127" w:name="_Toc6876930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9B2B67">
        <w:t>Tender p</w:t>
      </w:r>
      <w:r w:rsidRPr="00EC5B5F">
        <w:t>rocess</w:t>
      </w:r>
      <w:bookmarkEnd w:id="1127"/>
    </w:p>
    <w:p w14:paraId="5BDDDBB4" w14:textId="77777777" w:rsidR="00860DB3" w:rsidRPr="009B2B67" w:rsidRDefault="00860DB3" w:rsidP="001B4FCC">
      <w:pPr>
        <w:pStyle w:val="Heading4numbered"/>
      </w:pPr>
      <w:bookmarkStart w:id="1128" w:name="_Toc68769304"/>
      <w:r w:rsidRPr="00865BA7">
        <w:t>Tender</w:t>
      </w:r>
      <w:r w:rsidRPr="009B2B67">
        <w:t xml:space="preserve"> development</w:t>
      </w:r>
      <w:bookmarkEnd w:id="1128"/>
    </w:p>
    <w:p w14:paraId="69425EA2" w14:textId="77777777" w:rsidR="00860DB3" w:rsidRDefault="00860DB3" w:rsidP="00860DB3">
      <w:pPr>
        <w:pStyle w:val="NormalIndent"/>
        <w:ind w:left="0"/>
      </w:pPr>
      <w:r>
        <w:t>The procurement team should include a suitably qualified and experienced sustainability professional to ensure the tender is structured to trigger appropriate design responses from tenderers, through the inclusion of specific sustainability specifications or requirements. This may include performance targets placed on the contractor that can be measured using a rating scheme, or quantifiable outcomes that the contractor is required to deliver.</w:t>
      </w:r>
    </w:p>
    <w:p w14:paraId="32354950" w14:textId="586C3283" w:rsidR="00860DB3" w:rsidRDefault="00860DB3" w:rsidP="00860DB3">
      <w:r>
        <w:t>Sustainability objectives should be defined using the SMART principle; Specific, Measurable, Achievable, Relevant, and Time</w:t>
      </w:r>
      <w:r w:rsidR="00601819">
        <w:noBreakHyphen/>
      </w:r>
      <w:r>
        <w:t xml:space="preserve">bound. The </w:t>
      </w:r>
      <w:r w:rsidRPr="00EA27BD">
        <w:t xml:space="preserve">Sustainable Investment themes </w:t>
      </w:r>
      <w:r>
        <w:t>will set the focus of these objectives.</w:t>
      </w:r>
      <w:r w:rsidRPr="00EA27BD">
        <w:t xml:space="preserve"> </w:t>
      </w:r>
      <w:r>
        <w:t>A fictional example of a SMART objective is as follows:</w:t>
      </w:r>
    </w:p>
    <w:p w14:paraId="414A6172" w14:textId="77777777" w:rsidR="00860DB3" w:rsidRPr="004B038D" w:rsidRDefault="00860DB3" w:rsidP="00A16A0B">
      <w:pPr>
        <w:pStyle w:val="NormalIndent"/>
        <w:ind w:left="450"/>
      </w:pPr>
      <w:r w:rsidRPr="004B038D">
        <w:rPr>
          <w:b/>
          <w:bCs/>
        </w:rPr>
        <w:t>Example project:</w:t>
      </w:r>
      <w:r>
        <w:t xml:space="preserve"> </w:t>
      </w:r>
      <w:r w:rsidRPr="004B038D">
        <w:t>A concrete bridge</w:t>
      </w:r>
      <w:r>
        <w:t xml:space="preserve">. It has been determined that the material sustainable investment themes include </w:t>
      </w:r>
      <w:r w:rsidRPr="009E78D3">
        <w:t>circular economy</w:t>
      </w:r>
      <w:r>
        <w:t xml:space="preserve"> and</w:t>
      </w:r>
      <w:r w:rsidRPr="009E78D3">
        <w:t xml:space="preserve"> carbon emissions</w:t>
      </w:r>
      <w:r>
        <w:t>.</w:t>
      </w:r>
    </w:p>
    <w:p w14:paraId="5D893505" w14:textId="37D3E733" w:rsidR="00860DB3" w:rsidRDefault="00860DB3" w:rsidP="00A16A0B">
      <w:pPr>
        <w:pStyle w:val="NormalIndent"/>
        <w:ind w:left="450"/>
      </w:pPr>
      <w:r w:rsidRPr="004B038D">
        <w:rPr>
          <w:b/>
          <w:bCs/>
        </w:rPr>
        <w:t>Example objective</w:t>
      </w:r>
      <w:r>
        <w:t xml:space="preserve">: The </w:t>
      </w:r>
      <w:r w:rsidRPr="004B038D">
        <w:t xml:space="preserve">project is to </w:t>
      </w:r>
      <w:r>
        <w:t>achieve a</w:t>
      </w:r>
      <w:r w:rsidRPr="004B038D">
        <w:t xml:space="preserve"> 20</w:t>
      </w:r>
      <w:r w:rsidR="00DF5EF0" w:rsidRPr="00DF5EF0">
        <w:t xml:space="preserve"> </w:t>
      </w:r>
      <w:r w:rsidR="00DF5EF0">
        <w:t>per cent</w:t>
      </w:r>
      <w:r w:rsidRPr="004B038D">
        <w:t xml:space="preserve"> reduction in embodied carbon relative to the tender reference design, </w:t>
      </w:r>
      <w:r>
        <w:t xml:space="preserve">to be </w:t>
      </w:r>
      <w:r w:rsidRPr="004B038D">
        <w:t>measured using the ISCA materials calculator V2.0</w:t>
      </w:r>
      <w:r>
        <w:t xml:space="preserve"> </w:t>
      </w:r>
      <w:r w:rsidR="00965764">
        <w:t>before</w:t>
      </w:r>
      <w:r>
        <w:t xml:space="preserve"> the </w:t>
      </w:r>
      <w:r w:rsidR="00965764">
        <w:t xml:space="preserve">start </w:t>
      </w:r>
      <w:r>
        <w:t xml:space="preserve">of construction. </w:t>
      </w:r>
    </w:p>
    <w:p w14:paraId="73C3DC27" w14:textId="77777777" w:rsidR="00860DB3" w:rsidRDefault="00860DB3" w:rsidP="00860DB3">
      <w:r>
        <w:t>Note that if the decision is taken to adopt a sustainability rating tool for the investment, the scoring system of the rating tool can form a useful basis for SMART targets.</w:t>
      </w:r>
    </w:p>
    <w:p w14:paraId="6517B900" w14:textId="3BE1AE1E" w:rsidR="00860DB3" w:rsidRPr="00860DB3" w:rsidRDefault="00860DB3" w:rsidP="00A16A0B">
      <w:pPr>
        <w:keepNext/>
      </w:pPr>
      <w:r>
        <w:t>The elements of this example that satisfy the SMART requirements are discussed in the following table:</w:t>
      </w:r>
    </w:p>
    <w:p w14:paraId="513FABEA" w14:textId="205541EC" w:rsidR="00860DB3" w:rsidRDefault="00860DB3" w:rsidP="00860DB3">
      <w:pPr>
        <w:pStyle w:val="Caption"/>
      </w:pPr>
      <w:bookmarkStart w:id="1129" w:name="_Toc117258737"/>
      <w:r>
        <w:t xml:space="preserve">Table </w:t>
      </w:r>
      <w:r>
        <w:fldChar w:fldCharType="begin"/>
      </w:r>
      <w:r>
        <w:instrText>SEQ Table \* ARABIC</w:instrText>
      </w:r>
      <w:r>
        <w:fldChar w:fldCharType="separate"/>
      </w:r>
      <w:r w:rsidR="00FC7DAA">
        <w:rPr>
          <w:noProof/>
        </w:rPr>
        <w:t>16</w:t>
      </w:r>
      <w:r>
        <w:fldChar w:fldCharType="end"/>
      </w:r>
      <w:r w:rsidR="00F00708">
        <w:t xml:space="preserve"> – </w:t>
      </w:r>
      <w:r>
        <w:t>Example use of SMART sustainability targets</w:t>
      </w:r>
      <w:bookmarkEnd w:id="1129"/>
    </w:p>
    <w:tbl>
      <w:tblPr>
        <w:tblStyle w:val="Texttable"/>
        <w:tblW w:w="9000" w:type="dxa"/>
        <w:tblLayout w:type="fixed"/>
        <w:tblLook w:val="06A0" w:firstRow="1" w:lastRow="0" w:firstColumn="1" w:lastColumn="0" w:noHBand="1" w:noVBand="1"/>
      </w:tblPr>
      <w:tblGrid>
        <w:gridCol w:w="1418"/>
        <w:gridCol w:w="7582"/>
      </w:tblGrid>
      <w:tr w:rsidR="00860DB3" w:rsidRPr="007E6C2A" w14:paraId="00E1089C" w14:textId="77777777" w:rsidTr="00860D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45904DE1" w14:textId="77777777" w:rsidR="00860DB3" w:rsidRPr="009B2B67" w:rsidRDefault="00860DB3" w:rsidP="00860DB3">
            <w:pPr>
              <w:pStyle w:val="Tableheader"/>
            </w:pPr>
          </w:p>
        </w:tc>
        <w:tc>
          <w:tcPr>
            <w:tcW w:w="7582" w:type="dxa"/>
          </w:tcPr>
          <w:p w14:paraId="4C0898F7" w14:textId="77777777" w:rsidR="00860DB3" w:rsidRPr="009B2B67" w:rsidRDefault="00860DB3" w:rsidP="00860DB3">
            <w:pPr>
              <w:pStyle w:val="Tableheader"/>
              <w:cnfStyle w:val="100000000000" w:firstRow="1" w:lastRow="0" w:firstColumn="0" w:lastColumn="0" w:oddVBand="0" w:evenVBand="0" w:oddHBand="0" w:evenHBand="0" w:firstRowFirstColumn="0" w:firstRowLastColumn="0" w:lastRowFirstColumn="0" w:lastRowLastColumn="0"/>
            </w:pPr>
            <w:r w:rsidRPr="00C9120D">
              <w:t>Example outcomes</w:t>
            </w:r>
          </w:p>
        </w:tc>
      </w:tr>
      <w:tr w:rsidR="00860DB3" w:rsidRPr="007E6C2A" w14:paraId="18308FD7"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54140A15" w14:textId="77777777" w:rsidR="00860DB3" w:rsidRPr="000C4C77" w:rsidRDefault="00860DB3" w:rsidP="00860DB3">
            <w:pPr>
              <w:pStyle w:val="Tabletext"/>
            </w:pPr>
            <w:r w:rsidRPr="000C4C77">
              <w:t>Specific</w:t>
            </w:r>
          </w:p>
        </w:tc>
        <w:tc>
          <w:tcPr>
            <w:tcW w:w="7582" w:type="dxa"/>
          </w:tcPr>
          <w:p w14:paraId="1FD3B76D" w14:textId="2BC08D92"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The project is to achieve a 20</w:t>
            </w:r>
            <w:r w:rsidR="00DF5EF0">
              <w:t xml:space="preserve"> per cent</w:t>
            </w:r>
            <w:r w:rsidR="00860DB3" w:rsidRPr="000C4C77">
              <w:t xml:space="preserve"> reduction in embodied carbon relative to the tender reference design</w:t>
            </w:r>
            <w:r>
              <w:t>’</w:t>
            </w:r>
          </w:p>
        </w:tc>
      </w:tr>
      <w:tr w:rsidR="00860DB3" w:rsidRPr="007E6C2A" w14:paraId="7BC4D7CD"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1A0AEA46" w14:textId="77777777" w:rsidR="00860DB3" w:rsidRPr="000C4C77" w:rsidRDefault="00860DB3" w:rsidP="00860DB3">
            <w:pPr>
              <w:pStyle w:val="Tabletext"/>
            </w:pPr>
            <w:r w:rsidRPr="000C4C77">
              <w:t>Measurable</w:t>
            </w:r>
          </w:p>
        </w:tc>
        <w:tc>
          <w:tcPr>
            <w:tcW w:w="7582" w:type="dxa"/>
          </w:tcPr>
          <w:p w14:paraId="2FCA37A1" w14:textId="11ED65F3"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…measured using the ISCA materials calculator V2.0</w:t>
            </w:r>
            <w:r>
              <w:t>’</w:t>
            </w:r>
          </w:p>
        </w:tc>
      </w:tr>
      <w:tr w:rsidR="00860DB3" w:rsidRPr="007E6C2A" w14:paraId="3178365A"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4997DC24" w14:textId="77777777" w:rsidR="00860DB3" w:rsidRPr="000C4C77" w:rsidRDefault="00860DB3" w:rsidP="00860DB3">
            <w:pPr>
              <w:pStyle w:val="Tabletext"/>
            </w:pPr>
            <w:r w:rsidRPr="000C4C77">
              <w:t>Achievable</w:t>
            </w:r>
          </w:p>
        </w:tc>
        <w:tc>
          <w:tcPr>
            <w:tcW w:w="7582" w:type="dxa"/>
          </w:tcPr>
          <w:p w14:paraId="61E536E7" w14:textId="6E74D2C5" w:rsidR="00860DB3" w:rsidRPr="000C4C77" w:rsidRDefault="00860DB3" w:rsidP="00860DB3">
            <w:pPr>
              <w:pStyle w:val="Tabletext"/>
              <w:cnfStyle w:val="000000000000" w:firstRow="0" w:lastRow="0" w:firstColumn="0" w:lastColumn="0" w:oddVBand="0" w:evenVBand="0" w:oddHBand="0" w:evenHBand="0" w:firstRowFirstColumn="0" w:firstRowLastColumn="0" w:lastRowFirstColumn="0" w:lastRowLastColumn="0"/>
            </w:pPr>
            <w:r w:rsidRPr="000C4C77">
              <w:t>The tender team will have researched this objective in advance and will have established that it is achievable in this context. For example, for concrete construction, this objective can be achieved through the inclusion of 30</w:t>
            </w:r>
            <w:r w:rsidR="00DF5EF0">
              <w:t xml:space="preserve"> per cent</w:t>
            </w:r>
            <w:r w:rsidRPr="000C4C77">
              <w:t xml:space="preserve"> supplementary cementitious material (SCM).</w:t>
            </w:r>
          </w:p>
        </w:tc>
      </w:tr>
      <w:tr w:rsidR="00860DB3" w:rsidRPr="007E6C2A" w14:paraId="40178098" w14:textId="77777777" w:rsidTr="00860DB3">
        <w:trPr>
          <w:trHeight w:val="85"/>
        </w:trPr>
        <w:tc>
          <w:tcPr>
            <w:cnfStyle w:val="001000000000" w:firstRow="0" w:lastRow="0" w:firstColumn="1" w:lastColumn="0" w:oddVBand="0" w:evenVBand="0" w:oddHBand="0" w:evenHBand="0" w:firstRowFirstColumn="0" w:firstRowLastColumn="0" w:lastRowFirstColumn="0" w:lastRowLastColumn="0"/>
            <w:tcW w:w="1418" w:type="dxa"/>
          </w:tcPr>
          <w:p w14:paraId="6BC9ECE4" w14:textId="77777777" w:rsidR="00860DB3" w:rsidRPr="000C4C77" w:rsidRDefault="00860DB3" w:rsidP="00860DB3">
            <w:pPr>
              <w:pStyle w:val="Tabletext"/>
            </w:pPr>
            <w:r w:rsidRPr="000C4C77">
              <w:t>Relevant</w:t>
            </w:r>
          </w:p>
        </w:tc>
        <w:tc>
          <w:tcPr>
            <w:tcW w:w="7582" w:type="dxa"/>
          </w:tcPr>
          <w:p w14:paraId="3C91CAA2" w14:textId="77777777" w:rsidR="00860DB3" w:rsidRPr="000C4C77" w:rsidRDefault="00860DB3" w:rsidP="00860DB3">
            <w:pPr>
              <w:pStyle w:val="Tabletext"/>
              <w:cnfStyle w:val="000000000000" w:firstRow="0" w:lastRow="0" w:firstColumn="0" w:lastColumn="0" w:oddVBand="0" w:evenVBand="0" w:oddHBand="0" w:evenHBand="0" w:firstRowFirstColumn="0" w:firstRowLastColumn="0" w:lastRowFirstColumn="0" w:lastRowLastColumn="0"/>
            </w:pPr>
            <w:r w:rsidRPr="000C4C77">
              <w:t>This objective relates directly to the identified key sustainable investment themes: circular economy and carbon emissions.</w:t>
            </w:r>
          </w:p>
        </w:tc>
      </w:tr>
      <w:tr w:rsidR="00860DB3" w:rsidRPr="007E6C2A" w14:paraId="1C474B62" w14:textId="77777777" w:rsidTr="00860DB3">
        <w:tc>
          <w:tcPr>
            <w:cnfStyle w:val="001000000000" w:firstRow="0" w:lastRow="0" w:firstColumn="1" w:lastColumn="0" w:oddVBand="0" w:evenVBand="0" w:oddHBand="0" w:evenHBand="0" w:firstRowFirstColumn="0" w:firstRowLastColumn="0" w:lastRowFirstColumn="0" w:lastRowLastColumn="0"/>
            <w:tcW w:w="1418" w:type="dxa"/>
          </w:tcPr>
          <w:p w14:paraId="60AD1598" w14:textId="673999E7" w:rsidR="00860DB3" w:rsidRPr="000C4C77" w:rsidRDefault="00860DB3" w:rsidP="00860DB3">
            <w:pPr>
              <w:pStyle w:val="Tabletext"/>
            </w:pPr>
            <w:r w:rsidRPr="000C4C77">
              <w:t>Time</w:t>
            </w:r>
            <w:r w:rsidR="00601819">
              <w:noBreakHyphen/>
            </w:r>
            <w:r w:rsidRPr="000C4C77">
              <w:t>bound</w:t>
            </w:r>
          </w:p>
        </w:tc>
        <w:tc>
          <w:tcPr>
            <w:tcW w:w="7582" w:type="dxa"/>
          </w:tcPr>
          <w:p w14:paraId="6B2241E8" w14:textId="25A20D31" w:rsidR="00860DB3" w:rsidRPr="000C4C77" w:rsidRDefault="00F00708" w:rsidP="00860DB3">
            <w:pPr>
              <w:pStyle w:val="Tabletext"/>
              <w:cnfStyle w:val="000000000000" w:firstRow="0" w:lastRow="0" w:firstColumn="0" w:lastColumn="0" w:oddVBand="0" w:evenVBand="0" w:oddHBand="0" w:evenHBand="0" w:firstRowFirstColumn="0" w:firstRowLastColumn="0" w:lastRowFirstColumn="0" w:lastRowLastColumn="0"/>
            </w:pPr>
            <w:r>
              <w:t>‘</w:t>
            </w:r>
            <w:r w:rsidR="00860DB3" w:rsidRPr="000C4C77">
              <w:t>…</w:t>
            </w:r>
            <w:r w:rsidR="00965764">
              <w:t>before</w:t>
            </w:r>
            <w:r w:rsidR="00860DB3" w:rsidRPr="000C4C77">
              <w:t xml:space="preserve"> the </w:t>
            </w:r>
            <w:r w:rsidR="00965764">
              <w:t>start</w:t>
            </w:r>
            <w:r w:rsidR="00965764" w:rsidRPr="000C4C77">
              <w:t xml:space="preserve"> </w:t>
            </w:r>
            <w:r w:rsidR="00860DB3" w:rsidRPr="000C4C77">
              <w:t>of construction.</w:t>
            </w:r>
            <w:r>
              <w:t>’</w:t>
            </w:r>
          </w:p>
        </w:tc>
      </w:tr>
    </w:tbl>
    <w:p w14:paraId="64F90727" w14:textId="77777777" w:rsidR="00860DB3" w:rsidRDefault="00860DB3" w:rsidP="00A16A0B">
      <w:pPr>
        <w:pStyle w:val="Spacer"/>
      </w:pPr>
    </w:p>
    <w:p w14:paraId="3E875BCE" w14:textId="77777777" w:rsidR="00860DB3" w:rsidRPr="009B2B67" w:rsidRDefault="00860DB3" w:rsidP="001B4FCC">
      <w:pPr>
        <w:pStyle w:val="Heading3numbered"/>
      </w:pPr>
      <w:bookmarkStart w:id="1130" w:name="_Toc68769305"/>
      <w:bookmarkStart w:id="1131" w:name="_Ref53144560"/>
      <w:r w:rsidRPr="009B2B67">
        <w:t>Rating tool considerations</w:t>
      </w:r>
      <w:bookmarkEnd w:id="1130"/>
    </w:p>
    <w:p w14:paraId="69D9CF17" w14:textId="6D47E0FF" w:rsidR="00860DB3" w:rsidRDefault="00860DB3" w:rsidP="00860DB3">
      <w:pPr>
        <w:rPr>
          <w:lang w:eastAsia="en-US"/>
        </w:rPr>
      </w:pPr>
      <w:r>
        <w:rPr>
          <w:lang w:eastAsia="en-US"/>
        </w:rPr>
        <w:t xml:space="preserve">Where a sustainability rating tool has been proposed, there may be a need for the project to transition from a </w:t>
      </w:r>
      <w:r w:rsidR="00F00708">
        <w:rPr>
          <w:lang w:eastAsia="en-US"/>
        </w:rPr>
        <w:t>‘</w:t>
      </w:r>
      <w:r>
        <w:rPr>
          <w:lang w:eastAsia="en-US"/>
        </w:rPr>
        <w:t>planning</w:t>
      </w:r>
      <w:r w:rsidR="00F00708">
        <w:rPr>
          <w:lang w:eastAsia="en-US"/>
        </w:rPr>
        <w:t>’</w:t>
      </w:r>
      <w:r>
        <w:rPr>
          <w:lang w:eastAsia="en-US"/>
        </w:rPr>
        <w:t xml:space="preserve"> rating to an </w:t>
      </w:r>
      <w:r w:rsidR="00F00708">
        <w:rPr>
          <w:lang w:eastAsia="en-US"/>
        </w:rPr>
        <w:t>‘</w:t>
      </w:r>
      <w:r>
        <w:rPr>
          <w:lang w:eastAsia="en-US"/>
        </w:rPr>
        <w:t>as built</w:t>
      </w:r>
      <w:r w:rsidR="00F00708">
        <w:rPr>
          <w:lang w:eastAsia="en-US"/>
        </w:rPr>
        <w:t>’</w:t>
      </w:r>
      <w:r>
        <w:rPr>
          <w:lang w:eastAsia="en-US"/>
        </w:rPr>
        <w:t xml:space="preserve"> rating, or equivalent. This should be set out in the contract, with the project team independently monitoring the contractor’s compliance with the required tool or standard.</w:t>
      </w:r>
    </w:p>
    <w:p w14:paraId="63EA9CB7" w14:textId="3173F49F" w:rsidR="00860DB3" w:rsidRDefault="00860DB3" w:rsidP="00860DB3">
      <w:pPr>
        <w:rPr>
          <w:lang w:eastAsia="en-US"/>
        </w:rPr>
      </w:pPr>
      <w:r>
        <w:rPr>
          <w:lang w:eastAsia="en-US"/>
        </w:rPr>
        <w:t>Where a rating is based on the operational performance of the asset (</w:t>
      </w:r>
      <w:proofErr w:type="gramStart"/>
      <w:r>
        <w:rPr>
          <w:lang w:eastAsia="en-US"/>
        </w:rPr>
        <w:t>i.e.</w:t>
      </w:r>
      <w:proofErr w:type="gramEnd"/>
      <w:r>
        <w:rPr>
          <w:lang w:eastAsia="en-US"/>
        </w:rPr>
        <w:t xml:space="preserve"> building efficiency), the contract should require performance based on the </w:t>
      </w:r>
      <w:r w:rsidR="00F00708">
        <w:rPr>
          <w:lang w:eastAsia="en-US"/>
        </w:rPr>
        <w:t>‘</w:t>
      </w:r>
      <w:r>
        <w:rPr>
          <w:lang w:eastAsia="en-US"/>
        </w:rPr>
        <w:t>as built</w:t>
      </w:r>
      <w:r w:rsidR="00F00708">
        <w:rPr>
          <w:lang w:eastAsia="en-US"/>
        </w:rPr>
        <w:t>’</w:t>
      </w:r>
      <w:r>
        <w:rPr>
          <w:lang w:eastAsia="en-US"/>
        </w:rPr>
        <w:t xml:space="preserve"> rating where practical. This ensures responsibility for the asset meeting the rating specification resides with the contractor(s).</w:t>
      </w:r>
    </w:p>
    <w:p w14:paraId="3A8AFFE2" w14:textId="77777777" w:rsidR="00860DB3" w:rsidRPr="008C06DA" w:rsidRDefault="00860DB3" w:rsidP="001B4FCC">
      <w:pPr>
        <w:pStyle w:val="Heading4numbered"/>
      </w:pPr>
      <w:bookmarkStart w:id="1132" w:name="_Toc68769306"/>
      <w:r w:rsidRPr="008C06DA">
        <w:t>Social Procurement Framework</w:t>
      </w:r>
      <w:bookmarkEnd w:id="1131"/>
      <w:bookmarkEnd w:id="1132"/>
    </w:p>
    <w:p w14:paraId="01874E0F" w14:textId="43036056" w:rsidR="00860DB3" w:rsidRDefault="00860DB3" w:rsidP="00860DB3">
      <w:r>
        <w:t>The Social Procurement Framework (SPF) requires teams to consider opportunities to advance sustainability objectives, with projects with an expenditure over $20M required to complete a Social Procurement Plan as part of the procurement planning process. It requires departments and agencies to develop organisation</w:t>
      </w:r>
      <w:r w:rsidR="00601819">
        <w:noBreakHyphen/>
      </w:r>
      <w:r>
        <w:t>wide social procurement strategies.</w:t>
      </w:r>
    </w:p>
    <w:p w14:paraId="3ECA3778" w14:textId="77777777" w:rsidR="00860DB3" w:rsidRDefault="00860DB3" w:rsidP="00860DB3">
      <w:r>
        <w:t>The SPF identifies key steps in the sourcing and contract management phases of the procurement process for individual procurement activities which are important to incorporate social and sustainable procurement objectives.</w:t>
      </w:r>
    </w:p>
    <w:p w14:paraId="6EBEBBE7" w14:textId="77777777" w:rsidR="00860DB3" w:rsidRPr="00AF3EA5" w:rsidRDefault="00860DB3" w:rsidP="00A16A0B">
      <w:pPr>
        <w:keepNext/>
      </w:pPr>
      <w:r>
        <w:t>The SPF include seven objectives related to social outcomes and three related to environmental outcomes.</w:t>
      </w:r>
    </w:p>
    <w:p w14:paraId="263B72E6" w14:textId="42BC12DE" w:rsidR="00860DB3" w:rsidRPr="00FE0687" w:rsidRDefault="00860DB3" w:rsidP="00FE0687">
      <w:pPr>
        <w:keepNext/>
        <w:rPr>
          <w:b/>
          <w:bCs/>
        </w:rPr>
      </w:pPr>
      <w:r w:rsidRPr="00FE0687">
        <w:rPr>
          <w:b/>
          <w:bCs/>
        </w:rPr>
        <w:t>Social objectives</w:t>
      </w:r>
    </w:p>
    <w:p w14:paraId="51B39D46" w14:textId="77777777" w:rsidR="00860DB3" w:rsidRPr="002A1343" w:rsidRDefault="00860DB3" w:rsidP="00860DB3">
      <w:pPr>
        <w:pStyle w:val="Bullet1"/>
        <w:rPr>
          <w:rFonts w:cstheme="minorHAnsi"/>
        </w:rPr>
      </w:pPr>
      <w:r w:rsidRPr="002A1343">
        <w:rPr>
          <w:rFonts w:cstheme="minorHAnsi"/>
        </w:rPr>
        <w:t>Supporting safe and fair workplaces</w:t>
      </w:r>
    </w:p>
    <w:p w14:paraId="72A55759" w14:textId="77777777" w:rsidR="00860DB3" w:rsidRPr="002A1343" w:rsidRDefault="00860DB3" w:rsidP="00860DB3">
      <w:pPr>
        <w:pStyle w:val="Bullet1"/>
        <w:rPr>
          <w:rFonts w:cstheme="minorHAnsi"/>
        </w:rPr>
      </w:pPr>
      <w:r w:rsidRPr="002A1343">
        <w:rPr>
          <w:rFonts w:cstheme="minorHAnsi"/>
        </w:rPr>
        <w:t>Opportunities for Victorian Aboriginal people</w:t>
      </w:r>
    </w:p>
    <w:p w14:paraId="4C14F821" w14:textId="77777777" w:rsidR="00860DB3" w:rsidRPr="002A1343" w:rsidRDefault="00860DB3" w:rsidP="00860DB3">
      <w:pPr>
        <w:pStyle w:val="Bullet1"/>
        <w:rPr>
          <w:rFonts w:cstheme="minorHAnsi"/>
        </w:rPr>
      </w:pPr>
      <w:r w:rsidRPr="002A1343">
        <w:rPr>
          <w:rFonts w:cstheme="minorHAnsi"/>
        </w:rPr>
        <w:t>Opportunities for Victorians with disability</w:t>
      </w:r>
    </w:p>
    <w:p w14:paraId="5B7FDB22" w14:textId="77777777" w:rsidR="00860DB3" w:rsidRPr="002A1343" w:rsidRDefault="00860DB3" w:rsidP="00860DB3">
      <w:pPr>
        <w:pStyle w:val="Bullet1"/>
        <w:rPr>
          <w:rFonts w:cstheme="minorHAnsi"/>
        </w:rPr>
      </w:pPr>
      <w:r w:rsidRPr="002A1343">
        <w:rPr>
          <w:rFonts w:cstheme="minorHAnsi"/>
        </w:rPr>
        <w:t xml:space="preserve">Women’s equality and safety </w:t>
      </w:r>
    </w:p>
    <w:p w14:paraId="53069CB0" w14:textId="77777777" w:rsidR="00860DB3" w:rsidRPr="002A1343" w:rsidRDefault="00860DB3" w:rsidP="00860DB3">
      <w:pPr>
        <w:pStyle w:val="Bullet1"/>
        <w:rPr>
          <w:rFonts w:cstheme="minorHAnsi"/>
        </w:rPr>
      </w:pPr>
      <w:r w:rsidRPr="002A1343">
        <w:rPr>
          <w:rFonts w:cstheme="minorHAnsi"/>
        </w:rPr>
        <w:t>Opportunities for disadvantaged Victorians</w:t>
      </w:r>
    </w:p>
    <w:p w14:paraId="3FB5F703" w14:textId="77777777" w:rsidR="00860DB3" w:rsidRDefault="00860DB3" w:rsidP="00860DB3">
      <w:pPr>
        <w:pStyle w:val="Bullet1"/>
        <w:rPr>
          <w:rFonts w:cstheme="minorHAnsi"/>
        </w:rPr>
      </w:pPr>
      <w:r w:rsidRPr="002A1343">
        <w:rPr>
          <w:rFonts w:cstheme="minorHAnsi"/>
        </w:rPr>
        <w:t>Sustainable Victorian social enterprise and Aboriginal business sectors</w:t>
      </w:r>
    </w:p>
    <w:p w14:paraId="42D1F738" w14:textId="77777777" w:rsidR="00860DB3" w:rsidRDefault="00860DB3" w:rsidP="00860DB3">
      <w:pPr>
        <w:pStyle w:val="Bullet1"/>
      </w:pPr>
      <w:r w:rsidRPr="002A1343">
        <w:t>Sustainable Victorian regions</w:t>
      </w:r>
    </w:p>
    <w:p w14:paraId="0C0603FA" w14:textId="71BDC3F5" w:rsidR="00860DB3" w:rsidRPr="00FE0687" w:rsidRDefault="00860DB3" w:rsidP="00860DB3">
      <w:pPr>
        <w:rPr>
          <w:b/>
          <w:bCs/>
        </w:rPr>
      </w:pPr>
      <w:r w:rsidRPr="00FE0687">
        <w:rPr>
          <w:b/>
          <w:bCs/>
        </w:rPr>
        <w:t>Environmental objectives</w:t>
      </w:r>
    </w:p>
    <w:p w14:paraId="5DD33F1F" w14:textId="77777777" w:rsidR="00860DB3" w:rsidRPr="009526A1" w:rsidRDefault="00860DB3" w:rsidP="00860DB3">
      <w:pPr>
        <w:pStyle w:val="Bullet1"/>
      </w:pPr>
      <w:r>
        <w:t>E</w:t>
      </w:r>
      <w:r w:rsidRPr="009526A1">
        <w:t>nvironmentally sustainable outputs</w:t>
      </w:r>
    </w:p>
    <w:p w14:paraId="0C297609" w14:textId="77777777" w:rsidR="00860DB3" w:rsidRPr="003E494B" w:rsidRDefault="00860DB3" w:rsidP="00860DB3">
      <w:pPr>
        <w:pStyle w:val="Bullet1"/>
      </w:pPr>
      <w:r>
        <w:t>E</w:t>
      </w:r>
      <w:r w:rsidRPr="00DA0C44">
        <w:t>nvironmentally sustainable business practice</w:t>
      </w:r>
      <w:r w:rsidRPr="003E494B">
        <w:t>s</w:t>
      </w:r>
    </w:p>
    <w:p w14:paraId="2DA1EEB8" w14:textId="77777777" w:rsidR="00860DB3" w:rsidRPr="006F0A7D" w:rsidRDefault="00860DB3" w:rsidP="00860DB3">
      <w:pPr>
        <w:pStyle w:val="Bullet1"/>
      </w:pPr>
      <w:r w:rsidRPr="006F0A7D">
        <w:t>Implementation of the Climate Change Policy objectives</w:t>
      </w:r>
    </w:p>
    <w:p w14:paraId="384FCC35" w14:textId="187B23E1" w:rsidR="00860DB3" w:rsidRPr="009B2E0C" w:rsidRDefault="00860DB3" w:rsidP="00860DB3">
      <w:r w:rsidRPr="006F0A7D">
        <w:lastRenderedPageBreak/>
        <w:t>Environmentally sustainable business practices in construction includes increased use of non</w:t>
      </w:r>
      <w:r w:rsidR="00601819">
        <w:noBreakHyphen/>
      </w:r>
      <w:r w:rsidRPr="006F0A7D">
        <w:t>virgin materials, construction methodologies that minimise disturbance to surrounding areas and people, minimisation and treatment/reuse of waste including spoil.</w:t>
      </w:r>
    </w:p>
    <w:p w14:paraId="6859CC0B" w14:textId="77777777" w:rsidR="00860DB3" w:rsidRDefault="00860DB3" w:rsidP="00860DB3">
      <w:r>
        <w:t>The SPF encourages the use of best practice sourcing tactics depending on the size, expenditure category, level of opportunity, and risk in a project. This may include techniques such as bundling or unbundling a procurement to match the supply market capacity. Further recommendations of how this may be implemented are provided within the SPF.</w:t>
      </w:r>
    </w:p>
    <w:p w14:paraId="62B7810C" w14:textId="77777777" w:rsidR="00860DB3" w:rsidRDefault="00860DB3" w:rsidP="00860DB3">
      <w:r>
        <w:t>Reporting against the framework and delivery against the outcomes is required for both individual contracts and at the department or agency level. It is important that sustainability reporting requirements are negotiated or clarified with the contractor and included within the contract.</w:t>
      </w:r>
    </w:p>
    <w:p w14:paraId="34DE91CF" w14:textId="77777777" w:rsidR="00860DB3" w:rsidRPr="008C06DA" w:rsidRDefault="00860DB3" w:rsidP="001B4FCC">
      <w:pPr>
        <w:pStyle w:val="Heading4numbered"/>
      </w:pPr>
      <w:bookmarkStart w:id="1133" w:name="_Toc68769307"/>
      <w:r w:rsidRPr="008C06DA">
        <w:t>Specific project requirements</w:t>
      </w:r>
      <w:bookmarkEnd w:id="1133"/>
    </w:p>
    <w:p w14:paraId="598C93FB" w14:textId="6B0DBEA8" w:rsidR="00860DB3" w:rsidRPr="006E1652" w:rsidRDefault="00860DB3" w:rsidP="00860DB3">
      <w:pPr>
        <w:rPr>
          <w:lang w:eastAsia="en-US"/>
        </w:rPr>
      </w:pPr>
      <w:r w:rsidRPr="006E1652">
        <w:rPr>
          <w:lang w:eastAsia="en-US"/>
        </w:rPr>
        <w:t xml:space="preserve">Generally, sustainability requirements articulated in </w:t>
      </w:r>
      <w:r w:rsidR="000171C8">
        <w:rPr>
          <w:lang w:eastAsia="en-US"/>
        </w:rPr>
        <w:t>g</w:t>
      </w:r>
      <w:r w:rsidR="000171C8" w:rsidRPr="006E1652">
        <w:rPr>
          <w:lang w:eastAsia="en-US"/>
        </w:rPr>
        <w:t xml:space="preserve">overnment </w:t>
      </w:r>
      <w:r w:rsidRPr="006E1652">
        <w:rPr>
          <w:lang w:eastAsia="en-US"/>
        </w:rPr>
        <w:t>policy or legislation should be identified in tender documentation and reflected in the project contract documentation. This includes minimum standards and data functional requirements aligned to the Victorian Digital Asset Strategy and Digital Build Policy.</w:t>
      </w:r>
    </w:p>
    <w:p w14:paraId="0115DF9A" w14:textId="77777777" w:rsidR="00860DB3" w:rsidRPr="006E1652" w:rsidRDefault="00860DB3" w:rsidP="00860DB3">
      <w:r w:rsidRPr="006E1652">
        <w:rPr>
          <w:lang w:eastAsia="en-US"/>
        </w:rPr>
        <w:t>Project specific requirements</w:t>
      </w:r>
      <w:r w:rsidRPr="006E1652">
        <w:t xml:space="preserve"> should be set out in the tender documents and contract(s), including:</w:t>
      </w:r>
    </w:p>
    <w:p w14:paraId="3F2FBB23" w14:textId="77777777" w:rsidR="00860DB3" w:rsidRPr="006E1652" w:rsidRDefault="00860DB3" w:rsidP="00D7784A">
      <w:pPr>
        <w:pStyle w:val="Bullet1"/>
      </w:pPr>
      <w:r w:rsidRPr="006E1652">
        <w:t>Sustainable investment objectives and/or approved solution</w:t>
      </w:r>
    </w:p>
    <w:p w14:paraId="252AFD4B" w14:textId="77777777" w:rsidR="00860DB3" w:rsidRPr="006E1652" w:rsidRDefault="00860DB3" w:rsidP="00D7784A">
      <w:pPr>
        <w:pStyle w:val="Bullet1"/>
      </w:pPr>
      <w:r w:rsidRPr="006E1652">
        <w:t xml:space="preserve">Requirements to satisfy the target sustainable investment maturity level (including innovation and environmental, </w:t>
      </w:r>
      <w:proofErr w:type="gramStart"/>
      <w:r w:rsidRPr="006E1652">
        <w:t>social</w:t>
      </w:r>
      <w:proofErr w:type="gramEnd"/>
      <w:r w:rsidRPr="006E1652">
        <w:t xml:space="preserve"> and economic impact)</w:t>
      </w:r>
    </w:p>
    <w:p w14:paraId="7D43E170" w14:textId="4425BD44" w:rsidR="00860DB3" w:rsidRDefault="00860DB3" w:rsidP="00D7784A">
      <w:pPr>
        <w:pStyle w:val="Bullet1"/>
      </w:pPr>
      <w:r w:rsidRPr="006E1652">
        <w:t xml:space="preserve">Rating tool requirements, including whether performance </w:t>
      </w:r>
      <w:r>
        <w:t xml:space="preserve">will be </w:t>
      </w:r>
      <w:r w:rsidRPr="006E1652">
        <w:t xml:space="preserve">based on the </w:t>
      </w:r>
      <w:r w:rsidR="00F00708">
        <w:t>‘</w:t>
      </w:r>
      <w:r w:rsidRPr="006E1652">
        <w:t>as built</w:t>
      </w:r>
      <w:r w:rsidR="00F00708">
        <w:t>’</w:t>
      </w:r>
      <w:r w:rsidRPr="006E1652">
        <w:t xml:space="preserve"> rating, responsibilities within the rating certification process and that the responsibility for the asset to meet the rating specification resides with the contractor(s)</w:t>
      </w:r>
    </w:p>
    <w:p w14:paraId="302C728F" w14:textId="2C2A13AA" w:rsidR="00860DB3" w:rsidRDefault="00860DB3" w:rsidP="00D7784A">
      <w:pPr>
        <w:pStyle w:val="Bullet1"/>
      </w:pPr>
      <w:r>
        <w:t>Any need for attestation/validation that materials/supply chain/production processes is as expected</w:t>
      </w:r>
    </w:p>
    <w:p w14:paraId="3433AEF1" w14:textId="790A4CD9" w:rsidR="00860DB3" w:rsidRPr="00D75AFB" w:rsidRDefault="00860DB3" w:rsidP="00D7784A">
      <w:pPr>
        <w:pStyle w:val="Bullet1"/>
      </w:pPr>
      <w:r>
        <w:t>Any areas in which ‘non</w:t>
      </w:r>
      <w:r w:rsidR="00601819">
        <w:noBreakHyphen/>
      </w:r>
      <w:r>
        <w:t>conforming’ bids (that propose supplier lead solutions such as alternative materials and methods that offer and sustainability benefits) may be considered.</w:t>
      </w:r>
    </w:p>
    <w:p w14:paraId="3DCB28F8" w14:textId="77777777" w:rsidR="00860DB3" w:rsidRPr="009B2B67" w:rsidRDefault="00860DB3" w:rsidP="001B4FCC">
      <w:pPr>
        <w:pStyle w:val="Heading4numbered"/>
      </w:pPr>
      <w:bookmarkStart w:id="1134" w:name="_Toc64976453"/>
      <w:bookmarkStart w:id="1135" w:name="_Toc64977553"/>
      <w:bookmarkStart w:id="1136" w:name="_Toc65244562"/>
      <w:bookmarkStart w:id="1137" w:name="_Toc65244802"/>
      <w:bookmarkStart w:id="1138" w:name="_Toc65506042"/>
      <w:bookmarkStart w:id="1139" w:name="_Toc65577449"/>
      <w:bookmarkStart w:id="1140" w:name="_Toc65596519"/>
      <w:bookmarkStart w:id="1141" w:name="_Toc65597243"/>
      <w:bookmarkStart w:id="1142" w:name="_Toc65597469"/>
      <w:bookmarkStart w:id="1143" w:name="_Toc66195284"/>
      <w:bookmarkStart w:id="1144" w:name="_Toc66460132"/>
      <w:bookmarkStart w:id="1145" w:name="_Toc66709479"/>
      <w:bookmarkStart w:id="1146" w:name="_Toc66713844"/>
      <w:bookmarkStart w:id="1147" w:name="_Toc66806395"/>
      <w:bookmarkStart w:id="1148" w:name="_Toc66863843"/>
      <w:bookmarkStart w:id="1149" w:name="_Toc66864157"/>
      <w:bookmarkStart w:id="1150" w:name="_Toc66866341"/>
      <w:bookmarkStart w:id="1151" w:name="_Toc66868125"/>
      <w:bookmarkStart w:id="1152" w:name="_Toc67925319"/>
      <w:bookmarkStart w:id="1153" w:name="_Toc67926347"/>
      <w:bookmarkStart w:id="1154" w:name="_Toc67926986"/>
      <w:bookmarkStart w:id="1155" w:name="_Toc68006739"/>
      <w:bookmarkStart w:id="1156" w:name="_Toc68007073"/>
      <w:bookmarkStart w:id="1157" w:name="_Toc68007407"/>
      <w:bookmarkStart w:id="1158" w:name="_Toc68007758"/>
      <w:bookmarkStart w:id="1159" w:name="_Toc68008097"/>
      <w:bookmarkStart w:id="1160" w:name="_Toc68008431"/>
      <w:bookmarkStart w:id="1161" w:name="_Toc68008768"/>
      <w:bookmarkStart w:id="1162" w:name="_Toc68071489"/>
      <w:bookmarkStart w:id="1163" w:name="_Toc68071823"/>
      <w:bookmarkStart w:id="1164" w:name="_Toc68072157"/>
      <w:bookmarkStart w:id="1165" w:name="_Toc68074593"/>
      <w:bookmarkStart w:id="1166" w:name="_Toc68074933"/>
      <w:bookmarkStart w:id="1167" w:name="_Toc68075267"/>
      <w:bookmarkStart w:id="1168" w:name="_Toc68075696"/>
      <w:bookmarkStart w:id="1169" w:name="_Toc68076030"/>
      <w:bookmarkStart w:id="1170" w:name="_Toc68769308"/>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Pr="009B2B67">
        <w:t>Tender evaluation and selection</w:t>
      </w:r>
      <w:bookmarkEnd w:id="1170"/>
    </w:p>
    <w:p w14:paraId="35EF8EA2" w14:textId="77777777" w:rsidR="00860DB3" w:rsidRDefault="00860DB3" w:rsidP="00860DB3">
      <w:pPr>
        <w:pStyle w:val="NormalIndent"/>
        <w:ind w:left="0"/>
        <w:rPr>
          <w:lang w:eastAsia="en-US"/>
        </w:rPr>
      </w:pPr>
      <w:r>
        <w:rPr>
          <w:lang w:eastAsia="en-US"/>
        </w:rPr>
        <w:t xml:space="preserve">The procurement team </w:t>
      </w:r>
      <w:r w:rsidRPr="009C44C7">
        <w:rPr>
          <w:lang w:eastAsia="en-US"/>
        </w:rPr>
        <w:t>should hold the expertise required to determine</w:t>
      </w:r>
      <w:r>
        <w:rPr>
          <w:lang w:eastAsia="en-US"/>
        </w:rPr>
        <w:t xml:space="preserve"> whether tender responses can realistically achieve the stated performance. This will include knowledge of the rating tool </w:t>
      </w:r>
      <w:proofErr w:type="gramStart"/>
      <w:r>
        <w:rPr>
          <w:lang w:eastAsia="en-US"/>
        </w:rPr>
        <w:t>proposed, if</w:t>
      </w:r>
      <w:proofErr w:type="gramEnd"/>
      <w:r>
        <w:rPr>
          <w:lang w:eastAsia="en-US"/>
        </w:rPr>
        <w:t xml:space="preserve"> one is to be used.</w:t>
      </w:r>
    </w:p>
    <w:p w14:paraId="423F9CD7" w14:textId="77777777" w:rsidR="00860DB3" w:rsidRDefault="00860DB3" w:rsidP="00860DB3">
      <w:pPr>
        <w:pStyle w:val="NormalIndent"/>
        <w:ind w:left="0"/>
        <w:rPr>
          <w:lang w:eastAsia="en-US"/>
        </w:rPr>
      </w:pPr>
      <w:r>
        <w:rPr>
          <w:lang w:eastAsia="en-US"/>
        </w:rPr>
        <w:t>The Social Procurement Framework provides guidance on where sustainability outcomes should be considered as weighted criteria for tender evaluation. These should be set based on agency priorities and specific project requirements.</w:t>
      </w:r>
    </w:p>
    <w:p w14:paraId="3455E1B8" w14:textId="291F111F" w:rsidR="007A7D7E" w:rsidRPr="00860DB3" w:rsidRDefault="00860DB3" w:rsidP="009D3A3F">
      <w:pPr>
        <w:pStyle w:val="Breakoutheading"/>
      </w:pPr>
      <w:bookmarkStart w:id="1171" w:name="_Toc75427325"/>
      <w:r w:rsidRPr="00860DB3">
        <w:lastRenderedPageBreak/>
        <w:t xml:space="preserve">Case study </w:t>
      </w:r>
      <w:r w:rsidR="000C20DE">
        <w:t>5</w:t>
      </w:r>
      <w:r w:rsidR="00F00708">
        <w:t xml:space="preserve"> – </w:t>
      </w:r>
      <w:r w:rsidRPr="00860DB3">
        <w:t>CO</w:t>
      </w:r>
      <w:r w:rsidRPr="00FE0687">
        <w:rPr>
          <w:vertAlign w:val="subscript"/>
        </w:rPr>
        <w:t>2</w:t>
      </w:r>
      <w:r w:rsidRPr="00860DB3">
        <w:t xml:space="preserve"> Performance Ladder, Netherlands</w:t>
      </w:r>
      <w:bookmarkEnd w:id="1171"/>
    </w:p>
    <w:p w14:paraId="1AFFEB0F" w14:textId="6BDD513D" w:rsidR="00860DB3" w:rsidRPr="00860DB3" w:rsidRDefault="00860DB3" w:rsidP="009D3A3F">
      <w:pPr>
        <w:pStyle w:val="Breakouttext"/>
      </w:pPr>
      <w:r w:rsidRPr="00860DB3">
        <w:t>The CO</w:t>
      </w:r>
      <w:r w:rsidRPr="00FE0687">
        <w:rPr>
          <w:b/>
          <w:bCs/>
          <w:sz w:val="20"/>
          <w:vertAlign w:val="subscript"/>
        </w:rPr>
        <w:t>2</w:t>
      </w:r>
      <w:r w:rsidRPr="00860DB3">
        <w:t xml:space="preserve"> Performance Ladder is a sustainability standard originating in the Netherlands. The standard helps companies reduce their carbon emissions in company processes, projects and supply chain </w:t>
      </w:r>
      <w:r w:rsidR="00965764">
        <w:t>while</w:t>
      </w:r>
      <w:r w:rsidR="00965764" w:rsidRPr="00860DB3">
        <w:t xml:space="preserve"> </w:t>
      </w:r>
      <w:r w:rsidRPr="00860DB3">
        <w:t>giving a procurement advantage to those companies achieving higher ratings.</w:t>
      </w:r>
    </w:p>
    <w:p w14:paraId="66E97032" w14:textId="3AAD6FCF" w:rsidR="00860DB3" w:rsidRPr="00860DB3" w:rsidRDefault="00860DB3" w:rsidP="009D3A3F">
      <w:pPr>
        <w:pStyle w:val="Breakouttext"/>
      </w:pPr>
      <w:r w:rsidRPr="00860DB3">
        <w:t>The ‘Ladder’ stimulates energy efficiency, efficient use of materials and the use of renewable energy.</w:t>
      </w:r>
      <w:r w:rsidR="00A16A0B">
        <w:rPr>
          <w:rFonts w:ascii="Calibri" w:hAnsi="Calibri"/>
        </w:rPr>
        <w:t> </w:t>
      </w:r>
      <w:r w:rsidRPr="00860DB3">
        <w:t>Companies who get themselves certified on the CO</w:t>
      </w:r>
      <w:r w:rsidRPr="00FE0687">
        <w:rPr>
          <w:b/>
          <w:bCs/>
          <w:sz w:val="20"/>
          <w:vertAlign w:val="subscript"/>
        </w:rPr>
        <w:t>2</w:t>
      </w:r>
      <w:r w:rsidRPr="00860DB3">
        <w:t xml:space="preserve"> Performance Ladder will experience this as an investment with immediate returns in terms of lower energy costs, material savings and innovation gain. </w:t>
      </w:r>
    </w:p>
    <w:p w14:paraId="24820E86" w14:textId="1BF31651" w:rsidR="00860DB3" w:rsidRPr="00860DB3" w:rsidRDefault="00860DB3" w:rsidP="009D3A3F">
      <w:pPr>
        <w:pStyle w:val="Breakouttext"/>
      </w:pPr>
      <w:r w:rsidRPr="00860DB3">
        <w:t>The CO</w:t>
      </w:r>
      <w:r w:rsidRPr="00FE0687">
        <w:rPr>
          <w:b/>
          <w:bCs/>
          <w:sz w:val="20"/>
          <w:vertAlign w:val="subscript"/>
        </w:rPr>
        <w:t>2</w:t>
      </w:r>
      <w:r w:rsidRPr="00860DB3">
        <w:t xml:space="preserve"> Performance Ladder is used as a Green Public Procurement Instrument by </w:t>
      </w:r>
      <w:r w:rsidR="000171C8">
        <w:t>g</w:t>
      </w:r>
      <w:r w:rsidR="000171C8" w:rsidRPr="00860DB3">
        <w:t xml:space="preserve">overnment </w:t>
      </w:r>
      <w:r w:rsidRPr="00860DB3">
        <w:t>bodies and private organisations. With the use of the instrument in tenders they can stimulate organisations to reduce CO</w:t>
      </w:r>
      <w:r w:rsidRPr="001C18B5">
        <w:rPr>
          <w:vertAlign w:val="subscript"/>
        </w:rPr>
        <w:t>2</w:t>
      </w:r>
      <w:r w:rsidRPr="00860DB3">
        <w:t>. The level that a company has reached on the CO</w:t>
      </w:r>
      <w:r w:rsidRPr="001C18B5">
        <w:rPr>
          <w:vertAlign w:val="subscript"/>
        </w:rPr>
        <w:t>2</w:t>
      </w:r>
      <w:r w:rsidRPr="00860DB3">
        <w:t xml:space="preserve"> Performance Ladder is translated into a so called ‘award advantage’. The higher the level on the CO</w:t>
      </w:r>
      <w:r w:rsidRPr="001C18B5">
        <w:rPr>
          <w:vertAlign w:val="subscript"/>
        </w:rPr>
        <w:t>2</w:t>
      </w:r>
      <w:r w:rsidRPr="00860DB3">
        <w:t xml:space="preserve"> Performance Ladder, the higher the advantage for the company in the tender. The commissioning party decides on the size of the discount to be applied.</w:t>
      </w:r>
    </w:p>
    <w:p w14:paraId="2C73F4C9" w14:textId="77777777" w:rsidR="00860DB3" w:rsidRPr="00860DB3" w:rsidRDefault="00860DB3" w:rsidP="009D3A3F">
      <w:pPr>
        <w:pStyle w:val="Breakouttext"/>
      </w:pPr>
      <w:r w:rsidRPr="00860DB3">
        <w:t>The CO</w:t>
      </w:r>
      <w:r w:rsidRPr="001C18B5">
        <w:rPr>
          <w:vertAlign w:val="subscript"/>
        </w:rPr>
        <w:t>2</w:t>
      </w:r>
      <w:r w:rsidRPr="00860DB3">
        <w:t xml:space="preserve"> Performance Ladder is one example of a sustainable investment approach that values the sustainability credentials of tenderers. Although there is no such tool for the whole of Victorian Government, agencies may wish to consider how their own policies and processes could support a similar discounting approach in procurement.</w:t>
      </w:r>
    </w:p>
    <w:p w14:paraId="7E79D76A" w14:textId="14FCEBD8" w:rsidR="00860DB3" w:rsidRDefault="00860DB3" w:rsidP="009D3A3F">
      <w:pPr>
        <w:pStyle w:val="Spacer"/>
      </w:pPr>
    </w:p>
    <w:p w14:paraId="62CB9858" w14:textId="77777777" w:rsidR="00860DB3" w:rsidRPr="00EC5B5F" w:rsidRDefault="00860DB3" w:rsidP="001B4FCC">
      <w:pPr>
        <w:pStyle w:val="Heading4numbered"/>
      </w:pPr>
      <w:bookmarkStart w:id="1172" w:name="_Toc68769309"/>
      <w:r w:rsidRPr="00865BA7">
        <w:t xml:space="preserve">Tender </w:t>
      </w:r>
      <w:r w:rsidRPr="009B2B67">
        <w:t>negotiation</w:t>
      </w:r>
      <w:bookmarkEnd w:id="1172"/>
    </w:p>
    <w:p w14:paraId="37A04FBF" w14:textId="77777777" w:rsidR="00860DB3" w:rsidRDefault="00860DB3" w:rsidP="00860DB3">
      <w:pPr>
        <w:pStyle w:val="NormalIndent"/>
        <w:ind w:left="0"/>
        <w:rPr>
          <w:lang w:eastAsia="en-US"/>
        </w:rPr>
      </w:pPr>
      <w:r w:rsidRPr="00296370">
        <w:rPr>
          <w:lang w:eastAsia="en-US"/>
        </w:rPr>
        <w:t xml:space="preserve">The </w:t>
      </w:r>
      <w:r>
        <w:rPr>
          <w:lang w:eastAsia="en-US"/>
        </w:rPr>
        <w:t xml:space="preserve">DTF </w:t>
      </w:r>
      <w:r w:rsidRPr="00296370">
        <w:rPr>
          <w:lang w:eastAsia="en-US"/>
        </w:rPr>
        <w:t>Investment Lifecycle Guidelines</w:t>
      </w:r>
      <w:r w:rsidRPr="00646C46">
        <w:rPr>
          <w:lang w:eastAsia="en-US"/>
        </w:rPr>
        <w:t xml:space="preserve"> </w:t>
      </w:r>
      <w:r w:rsidRPr="003904DA">
        <w:rPr>
          <w:lang w:eastAsia="en-US"/>
        </w:rPr>
        <w:t>provide</w:t>
      </w:r>
      <w:r>
        <w:rPr>
          <w:lang w:eastAsia="en-US"/>
        </w:rPr>
        <w:t xml:space="preserve"> direction on best practice for tender negotiations. From a sustainability perspective, the negotiating team should be sufficiently skilled to balance sustainability objectives against other project objectives and broader project </w:t>
      </w:r>
      <w:proofErr w:type="gramStart"/>
      <w:r>
        <w:rPr>
          <w:lang w:eastAsia="en-US"/>
        </w:rPr>
        <w:t>realities, and</w:t>
      </w:r>
      <w:proofErr w:type="gramEnd"/>
      <w:r>
        <w:rPr>
          <w:lang w:eastAsia="en-US"/>
        </w:rPr>
        <w:t xml:space="preserve"> authorised to compromise on objectives or accept improved solutions where appropriate.</w:t>
      </w:r>
    </w:p>
    <w:p w14:paraId="1C201BD2" w14:textId="709BC3D9" w:rsidR="00860DB3" w:rsidRPr="006F0A7D" w:rsidRDefault="00860DB3" w:rsidP="00860DB3">
      <w:pPr>
        <w:pStyle w:val="NormalIndent"/>
        <w:ind w:left="0"/>
      </w:pPr>
      <w:r>
        <w:t xml:space="preserve">Where tenderers propose alternative designs, </w:t>
      </w:r>
      <w:proofErr w:type="gramStart"/>
      <w:r>
        <w:t>materials</w:t>
      </w:r>
      <w:proofErr w:type="gramEnd"/>
      <w:r>
        <w:t xml:space="preserve"> or methods to those specified in the tender documentation, the onus of demonstrating that the proposed solution will result in equivalent or superior performance should be placed on the </w:t>
      </w:r>
      <w:r w:rsidRPr="006F0A7D">
        <w:t>tenderer. As a general principle, alternative rating tools should only be considered where the proposed solution means the nominated rating tool is unsuitable, such as if a new material is used that is not suitably represented by the rating tool</w:t>
      </w:r>
      <w:r>
        <w:t xml:space="preserve"> and the process involved in incorporating the new material in the rating tool is impractical given the project schedule.</w:t>
      </w:r>
    </w:p>
    <w:p w14:paraId="0B286E24" w14:textId="77777777" w:rsidR="00860DB3" w:rsidRDefault="00860DB3" w:rsidP="001B4FCC">
      <w:pPr>
        <w:pStyle w:val="Heading2numbered"/>
      </w:pPr>
      <w:bookmarkStart w:id="1173" w:name="_Toc68769310"/>
      <w:bookmarkStart w:id="1174" w:name="_Toc117258706"/>
      <w:r>
        <w:lastRenderedPageBreak/>
        <w:t>Delivery</w:t>
      </w:r>
      <w:bookmarkEnd w:id="1173"/>
      <w:bookmarkEnd w:id="1174"/>
    </w:p>
    <w:p w14:paraId="2915FFA5" w14:textId="77777777" w:rsidR="00860DB3" w:rsidRPr="00EC5B5F" w:rsidRDefault="00860DB3" w:rsidP="005C1C74">
      <w:pPr>
        <w:pStyle w:val="Heading3numbered"/>
        <w:numPr>
          <w:ilvl w:val="4"/>
          <w:numId w:val="49"/>
        </w:numPr>
      </w:pPr>
      <w:bookmarkStart w:id="1175" w:name="_Toc68769311"/>
      <w:r>
        <w:t>Management and governance</w:t>
      </w:r>
      <w:bookmarkEnd w:id="1175"/>
    </w:p>
    <w:p w14:paraId="4BFD28FE" w14:textId="77777777" w:rsidR="00860DB3" w:rsidRDefault="00860DB3" w:rsidP="00860DB3">
      <w:pPr>
        <w:pStyle w:val="Listnum"/>
        <w:numPr>
          <w:ilvl w:val="0"/>
          <w:numId w:val="0"/>
        </w:numPr>
      </w:pPr>
      <w:r>
        <w:t xml:space="preserve">As a general principle, accountability for achieving sustainability objectives resides with the project owners. Incorporating sustainability in project </w:t>
      </w:r>
      <w:r w:rsidRPr="00E44F25">
        <w:t>decision making</w:t>
      </w:r>
      <w:r>
        <w:t xml:space="preserve"> requires support at the leadership level to ensure it is effectively considered as a core element of the project</w:t>
      </w:r>
      <w:r w:rsidRPr="00E44F25">
        <w:t xml:space="preserve">. </w:t>
      </w:r>
      <w:r>
        <w:t xml:space="preserve">On this basis, </w:t>
      </w:r>
      <w:r w:rsidRPr="00E44F25">
        <w:t>it is useful to have a functional champion to coordinate or allocate responsibility of sustainability outcomes throughout the project</w:t>
      </w:r>
      <w:r>
        <w:t>, including the delivery stage</w:t>
      </w:r>
      <w:r w:rsidRPr="00E44F25">
        <w:t>.</w:t>
      </w:r>
    </w:p>
    <w:p w14:paraId="4A1A8020" w14:textId="77777777" w:rsidR="00860DB3" w:rsidRDefault="00860DB3" w:rsidP="00860DB3">
      <w:pPr>
        <w:pStyle w:val="Listnum"/>
        <w:numPr>
          <w:ilvl w:val="0"/>
          <w:numId w:val="0"/>
        </w:numPr>
      </w:pPr>
      <w:r>
        <w:t xml:space="preserve">The responsibility for achieving sustainability objectives and outcomes should flow down to key decision makers in roles with specific areas of influence across project activities such as procurement, design, and construction. These responsibilities should be explicitly identified in the project governance structure and </w:t>
      </w:r>
      <w:r w:rsidRPr="004B0CA5">
        <w:t xml:space="preserve">maximise continuity of personnel </w:t>
      </w:r>
      <w:r w:rsidRPr="00D20E51">
        <w:t>and</w:t>
      </w:r>
      <w:r>
        <w:t xml:space="preserve"> responsibilities from the Procurement stage.</w:t>
      </w:r>
    </w:p>
    <w:p w14:paraId="75B21C05" w14:textId="1BACE199" w:rsidR="00860DB3" w:rsidRPr="00A13F8E" w:rsidRDefault="00860DB3" w:rsidP="001B4FCC">
      <w:pPr>
        <w:pStyle w:val="Heading3numbered"/>
      </w:pPr>
      <w:bookmarkStart w:id="1176" w:name="_Toc68769312"/>
      <w:r w:rsidRPr="00A13F8E">
        <w:t>Sustainable investment target maturity level</w:t>
      </w:r>
      <w:bookmarkEnd w:id="1176"/>
    </w:p>
    <w:p w14:paraId="45F07FA1" w14:textId="286D2980" w:rsidR="00860DB3" w:rsidRDefault="00860DB3" w:rsidP="00860DB3">
      <w:r w:rsidRPr="009B1D1E">
        <w:t>Application of the maturity model</w:t>
      </w:r>
      <w:r>
        <w:t xml:space="preserve"> in the delivery stage builds on work undertaken in the business case and procurement stages. Activities </w:t>
      </w:r>
      <w:r w:rsidRPr="009B1D1E">
        <w:t>should be fit</w:t>
      </w:r>
      <w:r w:rsidR="00601819">
        <w:noBreakHyphen/>
      </w:r>
      <w:r w:rsidRPr="009B1D1E">
        <w:t>for</w:t>
      </w:r>
      <w:r w:rsidR="00601819">
        <w:noBreakHyphen/>
      </w:r>
      <w:r w:rsidRPr="009B1D1E">
        <w:t xml:space="preserve">purpose </w:t>
      </w:r>
      <w:r>
        <w:t xml:space="preserve">at each maturity level </w:t>
      </w:r>
      <w:r w:rsidRPr="009B1D1E">
        <w:t>and allow for efficient</w:t>
      </w:r>
      <w:r>
        <w:t xml:space="preserve"> </w:t>
      </w:r>
      <w:r w:rsidRPr="009B1D1E">
        <w:t xml:space="preserve">delivery with the aim of </w:t>
      </w:r>
      <w:r>
        <w:t xml:space="preserve">achieving the optimal outcomes </w:t>
      </w:r>
      <w:r w:rsidRPr="009B1D1E">
        <w:t xml:space="preserve">within </w:t>
      </w:r>
      <w:r>
        <w:t xml:space="preserve">project </w:t>
      </w:r>
      <w:r w:rsidRPr="009B1D1E">
        <w:t>constraints.</w:t>
      </w:r>
    </w:p>
    <w:p w14:paraId="77861363" w14:textId="457943FA" w:rsidR="00860DB3" w:rsidRDefault="00860DB3" w:rsidP="00860DB3">
      <w:pPr>
        <w:pStyle w:val="Caption"/>
      </w:pPr>
      <w:bookmarkStart w:id="1177" w:name="_Toc117258738"/>
      <w:r>
        <w:t xml:space="preserve">Table </w:t>
      </w:r>
      <w:r>
        <w:fldChar w:fldCharType="begin"/>
      </w:r>
      <w:r>
        <w:instrText>SEQ Table \* ARABIC</w:instrText>
      </w:r>
      <w:r>
        <w:fldChar w:fldCharType="separate"/>
      </w:r>
      <w:r w:rsidR="00FC7DAA">
        <w:rPr>
          <w:noProof/>
        </w:rPr>
        <w:t>17</w:t>
      </w:r>
      <w:r>
        <w:fldChar w:fldCharType="end"/>
      </w:r>
      <w:r w:rsidR="00F00708">
        <w:t xml:space="preserve"> – </w:t>
      </w:r>
      <w:r w:rsidRPr="00DA1214">
        <w:t xml:space="preserve">Maturity </w:t>
      </w:r>
      <w:r>
        <w:t>during project delivery</w:t>
      </w:r>
      <w:bookmarkEnd w:id="1177"/>
    </w:p>
    <w:tbl>
      <w:tblPr>
        <w:tblStyle w:val="TableGridLight"/>
        <w:tblW w:w="92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8" w:type="dxa"/>
          <w:bottom w:w="28" w:type="dxa"/>
          <w:right w:w="58" w:type="dxa"/>
        </w:tblCellMar>
        <w:tblLook w:val="04A0" w:firstRow="1" w:lastRow="0" w:firstColumn="1" w:lastColumn="0" w:noHBand="0" w:noVBand="1"/>
      </w:tblPr>
      <w:tblGrid>
        <w:gridCol w:w="1515"/>
        <w:gridCol w:w="2610"/>
        <w:gridCol w:w="2370"/>
        <w:gridCol w:w="2760"/>
      </w:tblGrid>
      <w:tr w:rsidR="00D7784A" w:rsidRPr="007B7F61" w14:paraId="3CF1C30E" w14:textId="77777777" w:rsidTr="00A16A0B">
        <w:trPr>
          <w:cantSplit/>
          <w:tblHeader/>
        </w:trPr>
        <w:tc>
          <w:tcPr>
            <w:tcW w:w="1515" w:type="dxa"/>
            <w:shd w:val="clear" w:color="auto" w:fill="auto"/>
          </w:tcPr>
          <w:p w14:paraId="0A7BDEA9" w14:textId="77777777" w:rsidR="00D7784A" w:rsidRPr="007B7F61" w:rsidRDefault="00D7784A" w:rsidP="00F00708">
            <w:pPr>
              <w:pStyle w:val="Tableheader"/>
              <w:rPr>
                <w:b/>
                <w:bCs/>
                <w:noProof/>
              </w:rPr>
            </w:pPr>
          </w:p>
        </w:tc>
        <w:tc>
          <w:tcPr>
            <w:tcW w:w="2610" w:type="dxa"/>
            <w:shd w:val="clear" w:color="auto" w:fill="E75300" w:themeFill="accent5"/>
            <w:vAlign w:val="center"/>
          </w:tcPr>
          <w:p w14:paraId="4D19A0A8" w14:textId="77777777" w:rsidR="00D7784A" w:rsidRPr="007B7F61" w:rsidRDefault="00D7784A" w:rsidP="00F00708">
            <w:pPr>
              <w:pStyle w:val="Tableheader"/>
              <w:rPr>
                <w:b/>
                <w:bCs/>
                <w:noProof/>
              </w:rPr>
            </w:pPr>
            <w:r w:rsidRPr="007B7F61">
              <w:rPr>
                <w:b/>
                <w:bCs/>
                <w:noProof/>
              </w:rPr>
              <w:t>DEFINED</w:t>
            </w:r>
          </w:p>
        </w:tc>
        <w:tc>
          <w:tcPr>
            <w:tcW w:w="2370" w:type="dxa"/>
            <w:shd w:val="clear" w:color="auto" w:fill="00AFAA" w:themeFill="accent3"/>
            <w:vAlign w:val="center"/>
          </w:tcPr>
          <w:p w14:paraId="6B352DC3" w14:textId="77777777" w:rsidR="00D7784A" w:rsidRPr="007B7F61" w:rsidRDefault="00D7784A" w:rsidP="00F00708">
            <w:pPr>
              <w:pStyle w:val="Tableheader"/>
              <w:rPr>
                <w:b/>
                <w:bCs/>
                <w:noProof/>
              </w:rPr>
            </w:pPr>
            <w:r w:rsidRPr="007B7F61">
              <w:rPr>
                <w:b/>
                <w:bCs/>
                <w:noProof/>
              </w:rPr>
              <w:t>MANAGED</w:t>
            </w:r>
          </w:p>
        </w:tc>
        <w:tc>
          <w:tcPr>
            <w:tcW w:w="2760" w:type="dxa"/>
            <w:shd w:val="clear" w:color="auto" w:fill="F9BE00" w:themeFill="accent6"/>
            <w:vAlign w:val="center"/>
          </w:tcPr>
          <w:p w14:paraId="72297EC8" w14:textId="77777777" w:rsidR="00D7784A" w:rsidRPr="007B7F61" w:rsidRDefault="00D7784A" w:rsidP="00F00708">
            <w:pPr>
              <w:pStyle w:val="Tableheader"/>
              <w:rPr>
                <w:b/>
                <w:bCs/>
                <w:noProof/>
              </w:rPr>
            </w:pPr>
            <w:r w:rsidRPr="007B7F61">
              <w:rPr>
                <w:b/>
                <w:bCs/>
                <w:noProof/>
              </w:rPr>
              <w:t>OPTIMISED</w:t>
            </w:r>
          </w:p>
        </w:tc>
      </w:tr>
      <w:tr w:rsidR="00D7784A" w:rsidRPr="007E6C2A" w14:paraId="43DD90AD" w14:textId="77777777" w:rsidTr="00A16A0B">
        <w:trPr>
          <w:cantSplit/>
          <w:trHeight w:val="433"/>
        </w:trPr>
        <w:tc>
          <w:tcPr>
            <w:tcW w:w="1515" w:type="dxa"/>
            <w:shd w:val="clear" w:color="auto" w:fill="F2F2F2" w:themeFill="background1" w:themeFillShade="F2"/>
          </w:tcPr>
          <w:p w14:paraId="21D4C86E" w14:textId="5471D175" w:rsidR="00D7784A" w:rsidRPr="009B2B67" w:rsidRDefault="00D7784A" w:rsidP="00D7784A">
            <w:pPr>
              <w:pStyle w:val="Tabletext"/>
            </w:pPr>
            <w:r w:rsidRPr="00452969">
              <w:t>Accountability</w:t>
            </w:r>
          </w:p>
        </w:tc>
        <w:tc>
          <w:tcPr>
            <w:tcW w:w="2610" w:type="dxa"/>
            <w:shd w:val="clear" w:color="auto" w:fill="FFDAC7" w:themeFill="accent5" w:themeFillTint="33"/>
          </w:tcPr>
          <w:p w14:paraId="7B19DD5A" w14:textId="2D7D4AA0" w:rsidR="00D7784A" w:rsidRPr="009B2B67" w:rsidRDefault="00D7784A" w:rsidP="00D7784A">
            <w:pPr>
              <w:pStyle w:val="Tabletext"/>
            </w:pPr>
            <w:r w:rsidRPr="00452969">
              <w:t>Project owners ensure project team has responsibility for sustainability outcomes</w:t>
            </w:r>
          </w:p>
        </w:tc>
        <w:tc>
          <w:tcPr>
            <w:tcW w:w="2370" w:type="dxa"/>
            <w:shd w:val="clear" w:color="auto" w:fill="BCFFFC" w:themeFill="accent3" w:themeFillTint="33"/>
          </w:tcPr>
          <w:p w14:paraId="2A4DCB25" w14:textId="3AA49CCA" w:rsidR="00D7784A" w:rsidRPr="009B2B67" w:rsidRDefault="00D7784A" w:rsidP="00D7784A">
            <w:pPr>
              <w:pStyle w:val="Tabletext"/>
            </w:pPr>
            <w:r w:rsidRPr="00452969">
              <w:t>Project governance structure identifies responsibility for sustainability outcomes</w:t>
            </w:r>
          </w:p>
        </w:tc>
        <w:tc>
          <w:tcPr>
            <w:tcW w:w="2760" w:type="dxa"/>
            <w:shd w:val="clear" w:color="auto" w:fill="FFF2CA" w:themeFill="accent6" w:themeFillTint="33"/>
          </w:tcPr>
          <w:p w14:paraId="05771141" w14:textId="581FC1DB" w:rsidR="00D7784A" w:rsidRPr="009B2B67" w:rsidRDefault="00D7784A" w:rsidP="00D7784A">
            <w:pPr>
              <w:pStyle w:val="Tabletext"/>
            </w:pPr>
            <w:r w:rsidRPr="00452969">
              <w:t>Personnel that defined sustainability outcomes in the Procurement stage are responsible for implementation</w:t>
            </w:r>
          </w:p>
        </w:tc>
      </w:tr>
      <w:tr w:rsidR="00D7784A" w:rsidRPr="007E6C2A" w14:paraId="7BBC8F05" w14:textId="77777777" w:rsidTr="00A16A0B">
        <w:trPr>
          <w:cantSplit/>
          <w:trHeight w:val="433"/>
        </w:trPr>
        <w:tc>
          <w:tcPr>
            <w:tcW w:w="1515" w:type="dxa"/>
            <w:shd w:val="clear" w:color="auto" w:fill="F2F2F2" w:themeFill="background1" w:themeFillShade="F2"/>
          </w:tcPr>
          <w:p w14:paraId="0BD8499F" w14:textId="0BC7A7A2" w:rsidR="00D7784A" w:rsidRPr="00452969" w:rsidRDefault="00D7784A" w:rsidP="00D7784A">
            <w:pPr>
              <w:pStyle w:val="Tabletext"/>
            </w:pPr>
            <w:r w:rsidRPr="00452969">
              <w:t>Design and engineering</w:t>
            </w:r>
          </w:p>
        </w:tc>
        <w:tc>
          <w:tcPr>
            <w:tcW w:w="2610" w:type="dxa"/>
            <w:shd w:val="clear" w:color="auto" w:fill="FFDAC7" w:themeFill="accent5" w:themeFillTint="33"/>
          </w:tcPr>
          <w:p w14:paraId="038D1D53" w14:textId="26E24D1D" w:rsidR="00D7784A" w:rsidRPr="00452969" w:rsidRDefault="00D7784A" w:rsidP="00D7784A">
            <w:pPr>
              <w:pStyle w:val="Tabletext"/>
            </w:pPr>
            <w:r w:rsidRPr="00452969">
              <w:t>Appropriate multi</w:t>
            </w:r>
            <w:r w:rsidR="00601819">
              <w:noBreakHyphen/>
            </w:r>
            <w:r w:rsidRPr="00452969">
              <w:t>disciplinary team with SIT solution expertise engaged early</w:t>
            </w:r>
          </w:p>
        </w:tc>
        <w:tc>
          <w:tcPr>
            <w:tcW w:w="2370" w:type="dxa"/>
            <w:shd w:val="clear" w:color="auto" w:fill="BCFFFC" w:themeFill="accent3" w:themeFillTint="33"/>
          </w:tcPr>
          <w:p w14:paraId="57AAB458" w14:textId="77777777" w:rsidR="00D7784A" w:rsidRPr="00452969" w:rsidRDefault="00D7784A" w:rsidP="00D7784A">
            <w:pPr>
              <w:pStyle w:val="Tabletext"/>
            </w:pPr>
          </w:p>
        </w:tc>
        <w:tc>
          <w:tcPr>
            <w:tcW w:w="2760" w:type="dxa"/>
            <w:shd w:val="clear" w:color="auto" w:fill="FFF2CA" w:themeFill="accent6" w:themeFillTint="33"/>
          </w:tcPr>
          <w:p w14:paraId="4AD580D7" w14:textId="77777777" w:rsidR="00D7784A" w:rsidRPr="00452969" w:rsidRDefault="00D7784A" w:rsidP="00D7784A">
            <w:pPr>
              <w:pStyle w:val="Tabletext"/>
            </w:pPr>
          </w:p>
        </w:tc>
      </w:tr>
      <w:tr w:rsidR="00D7784A" w:rsidRPr="007E6C2A" w14:paraId="7BD06A6D" w14:textId="77777777" w:rsidTr="00A16A0B">
        <w:trPr>
          <w:cantSplit/>
          <w:trHeight w:val="433"/>
        </w:trPr>
        <w:tc>
          <w:tcPr>
            <w:tcW w:w="1515" w:type="dxa"/>
            <w:shd w:val="clear" w:color="auto" w:fill="F2F2F2" w:themeFill="background1" w:themeFillShade="F2"/>
          </w:tcPr>
          <w:p w14:paraId="4574BF2A" w14:textId="77777777" w:rsidR="00D7784A" w:rsidRPr="00452969" w:rsidRDefault="00D7784A" w:rsidP="00D7784A">
            <w:pPr>
              <w:pStyle w:val="Tabletext"/>
            </w:pPr>
          </w:p>
        </w:tc>
        <w:tc>
          <w:tcPr>
            <w:tcW w:w="2610" w:type="dxa"/>
            <w:shd w:val="clear" w:color="auto" w:fill="FFDAC7" w:themeFill="accent5" w:themeFillTint="33"/>
          </w:tcPr>
          <w:p w14:paraId="2AD67BA9" w14:textId="058FDE53" w:rsidR="00D7784A" w:rsidRPr="00452969" w:rsidRDefault="00D7784A" w:rsidP="00D7784A">
            <w:pPr>
              <w:pStyle w:val="Tabletext"/>
            </w:pPr>
            <w:r w:rsidRPr="00452969">
              <w:t>Design and construction addresses sustainability problems and solutions identified in the approved business case option</w:t>
            </w:r>
          </w:p>
        </w:tc>
        <w:tc>
          <w:tcPr>
            <w:tcW w:w="2370" w:type="dxa"/>
            <w:shd w:val="clear" w:color="auto" w:fill="BCFFFC" w:themeFill="accent3" w:themeFillTint="33"/>
          </w:tcPr>
          <w:p w14:paraId="0152CE3A" w14:textId="77777777" w:rsidR="00D7784A" w:rsidRPr="00452969" w:rsidRDefault="00D7784A" w:rsidP="00D7784A">
            <w:pPr>
              <w:pStyle w:val="Tabletext"/>
            </w:pPr>
          </w:p>
        </w:tc>
        <w:tc>
          <w:tcPr>
            <w:tcW w:w="2760" w:type="dxa"/>
            <w:shd w:val="clear" w:color="auto" w:fill="FFF2CA" w:themeFill="accent6" w:themeFillTint="33"/>
          </w:tcPr>
          <w:p w14:paraId="60BE33A7" w14:textId="3DBA147A" w:rsidR="00D7784A" w:rsidRPr="00452969" w:rsidRDefault="00D7784A" w:rsidP="00D7784A">
            <w:pPr>
              <w:pStyle w:val="Tabletext"/>
            </w:pPr>
            <w:r w:rsidRPr="00452969">
              <w:t>Innovation in design, which may include new standards/benchmarks in non</w:t>
            </w:r>
            <w:r w:rsidR="00601819">
              <w:noBreakHyphen/>
            </w:r>
            <w:r w:rsidRPr="00452969">
              <w:t>virgin materials use, waste avoidance and off</w:t>
            </w:r>
            <w:r w:rsidR="00601819">
              <w:noBreakHyphen/>
            </w:r>
            <w:r w:rsidRPr="00452969">
              <w:t>site construction.</w:t>
            </w:r>
          </w:p>
        </w:tc>
      </w:tr>
      <w:tr w:rsidR="00D7784A" w:rsidRPr="007E6C2A" w14:paraId="79C5E102" w14:textId="77777777" w:rsidTr="00A16A0B">
        <w:trPr>
          <w:cantSplit/>
          <w:trHeight w:val="433"/>
        </w:trPr>
        <w:tc>
          <w:tcPr>
            <w:tcW w:w="1515" w:type="dxa"/>
            <w:shd w:val="clear" w:color="auto" w:fill="F2F2F2" w:themeFill="background1" w:themeFillShade="F2"/>
          </w:tcPr>
          <w:p w14:paraId="7B291EEB" w14:textId="77777777" w:rsidR="00D7784A" w:rsidRPr="00452969" w:rsidRDefault="00D7784A" w:rsidP="00D7784A">
            <w:pPr>
              <w:pStyle w:val="Tabletext"/>
            </w:pPr>
          </w:p>
        </w:tc>
        <w:tc>
          <w:tcPr>
            <w:tcW w:w="2610" w:type="dxa"/>
            <w:shd w:val="clear" w:color="auto" w:fill="FFDAC7" w:themeFill="accent5" w:themeFillTint="33"/>
          </w:tcPr>
          <w:p w14:paraId="73941794" w14:textId="37560549" w:rsidR="00D7784A" w:rsidRPr="00452969" w:rsidRDefault="00D7784A" w:rsidP="00D7784A">
            <w:pPr>
              <w:pStyle w:val="Tabletext"/>
            </w:pPr>
            <w:r w:rsidRPr="00452969">
              <w:t>Sustainability performance requirements have been accurately incorporated into concept and detailed designs and specifications</w:t>
            </w:r>
          </w:p>
        </w:tc>
        <w:tc>
          <w:tcPr>
            <w:tcW w:w="2370" w:type="dxa"/>
            <w:shd w:val="clear" w:color="auto" w:fill="BCFFFC" w:themeFill="accent3" w:themeFillTint="33"/>
          </w:tcPr>
          <w:p w14:paraId="13596C80" w14:textId="77777777" w:rsidR="00D7784A" w:rsidRPr="00452969" w:rsidRDefault="00D7784A" w:rsidP="00D7784A">
            <w:pPr>
              <w:pStyle w:val="Tabletext"/>
            </w:pPr>
          </w:p>
        </w:tc>
        <w:tc>
          <w:tcPr>
            <w:tcW w:w="2760" w:type="dxa"/>
            <w:shd w:val="clear" w:color="auto" w:fill="FFF2CA" w:themeFill="accent6" w:themeFillTint="33"/>
          </w:tcPr>
          <w:p w14:paraId="68A414FB" w14:textId="77777777" w:rsidR="00D7784A" w:rsidRPr="00452969" w:rsidRDefault="00D7784A" w:rsidP="00D7784A">
            <w:pPr>
              <w:pStyle w:val="Tabletext"/>
            </w:pPr>
          </w:p>
        </w:tc>
      </w:tr>
      <w:tr w:rsidR="00D7784A" w:rsidRPr="007E6C2A" w14:paraId="0FE1DE36" w14:textId="77777777" w:rsidTr="00A16A0B">
        <w:trPr>
          <w:cantSplit/>
          <w:trHeight w:val="433"/>
        </w:trPr>
        <w:tc>
          <w:tcPr>
            <w:tcW w:w="1515" w:type="dxa"/>
            <w:shd w:val="clear" w:color="auto" w:fill="F2F2F2" w:themeFill="background1" w:themeFillShade="F2"/>
          </w:tcPr>
          <w:p w14:paraId="72EE9182" w14:textId="6716859F" w:rsidR="00D7784A" w:rsidRPr="00452969" w:rsidRDefault="00D7784A" w:rsidP="00D7784A">
            <w:pPr>
              <w:pStyle w:val="Tabletext"/>
            </w:pPr>
            <w:r w:rsidRPr="00452969">
              <w:t>Construction</w:t>
            </w:r>
          </w:p>
        </w:tc>
        <w:tc>
          <w:tcPr>
            <w:tcW w:w="2610" w:type="dxa"/>
            <w:shd w:val="clear" w:color="auto" w:fill="FFDAC7" w:themeFill="accent5" w:themeFillTint="33"/>
          </w:tcPr>
          <w:p w14:paraId="455119D1" w14:textId="661113F4" w:rsidR="00D7784A" w:rsidRPr="00452969" w:rsidRDefault="00D7784A" w:rsidP="00D7784A">
            <w:pPr>
              <w:pStyle w:val="Tabletext"/>
            </w:pPr>
            <w:r w:rsidRPr="00452969">
              <w:t>Change control mitigates risk of trading off sustainability</w:t>
            </w:r>
            <w:r>
              <w:t xml:space="preserve"> related scope</w:t>
            </w:r>
            <w:r w:rsidRPr="00452969">
              <w:t xml:space="preserve"> to address </w:t>
            </w:r>
            <w:r>
              <w:t xml:space="preserve">unforeseen </w:t>
            </w:r>
            <w:r w:rsidRPr="00452969">
              <w:t>issues such as latent conditions.</w:t>
            </w:r>
          </w:p>
        </w:tc>
        <w:tc>
          <w:tcPr>
            <w:tcW w:w="2370" w:type="dxa"/>
            <w:shd w:val="clear" w:color="auto" w:fill="BCFFFC" w:themeFill="accent3" w:themeFillTint="33"/>
          </w:tcPr>
          <w:p w14:paraId="53584EDA" w14:textId="77777777" w:rsidR="00D7784A" w:rsidRPr="00452969" w:rsidRDefault="00D7784A" w:rsidP="00D7784A">
            <w:pPr>
              <w:pStyle w:val="Tabletext"/>
            </w:pPr>
          </w:p>
        </w:tc>
        <w:tc>
          <w:tcPr>
            <w:tcW w:w="2760" w:type="dxa"/>
            <w:shd w:val="clear" w:color="auto" w:fill="FFF2CA" w:themeFill="accent6" w:themeFillTint="33"/>
          </w:tcPr>
          <w:p w14:paraId="7DD5D88F" w14:textId="1B2F5C49" w:rsidR="00D7784A" w:rsidRPr="00452969" w:rsidRDefault="00D7784A" w:rsidP="00D7784A">
            <w:pPr>
              <w:pStyle w:val="Tabletext"/>
            </w:pPr>
            <w:r w:rsidRPr="00452969">
              <w:t>Innovation in construction, which may include new construction techniques, field trials, increased non</w:t>
            </w:r>
            <w:r w:rsidR="00601819">
              <w:noBreakHyphen/>
            </w:r>
            <w:r w:rsidRPr="00452969">
              <w:t>virgin materials use, waste avoidance and off</w:t>
            </w:r>
            <w:r w:rsidR="00601819">
              <w:noBreakHyphen/>
            </w:r>
            <w:r w:rsidRPr="00452969">
              <w:t>site construction.</w:t>
            </w:r>
          </w:p>
        </w:tc>
      </w:tr>
      <w:tr w:rsidR="00D7784A" w:rsidRPr="007E6C2A" w14:paraId="2F2B4683" w14:textId="77777777" w:rsidTr="00A16A0B">
        <w:trPr>
          <w:cantSplit/>
          <w:trHeight w:val="433"/>
        </w:trPr>
        <w:tc>
          <w:tcPr>
            <w:tcW w:w="1515" w:type="dxa"/>
            <w:shd w:val="clear" w:color="auto" w:fill="F2F2F2" w:themeFill="background1" w:themeFillShade="F2"/>
          </w:tcPr>
          <w:p w14:paraId="7674F14D" w14:textId="77777777" w:rsidR="00D7784A" w:rsidRPr="00452969" w:rsidRDefault="00D7784A" w:rsidP="00D7784A">
            <w:pPr>
              <w:pStyle w:val="Tabletext"/>
            </w:pPr>
          </w:p>
        </w:tc>
        <w:tc>
          <w:tcPr>
            <w:tcW w:w="2610" w:type="dxa"/>
            <w:shd w:val="clear" w:color="auto" w:fill="FFDAC7" w:themeFill="accent5" w:themeFillTint="33"/>
          </w:tcPr>
          <w:p w14:paraId="7F5A191F" w14:textId="2A3CEF20" w:rsidR="00D7784A" w:rsidRPr="00452969" w:rsidRDefault="00D7784A" w:rsidP="00D7784A">
            <w:pPr>
              <w:pStyle w:val="Tabletext"/>
            </w:pPr>
            <w:r w:rsidRPr="00452969">
              <w:t>Construction practices incorporate sustainable approaches</w:t>
            </w:r>
          </w:p>
        </w:tc>
        <w:tc>
          <w:tcPr>
            <w:tcW w:w="2370" w:type="dxa"/>
            <w:shd w:val="clear" w:color="auto" w:fill="BCFFFC" w:themeFill="accent3" w:themeFillTint="33"/>
          </w:tcPr>
          <w:p w14:paraId="3E82A7BB" w14:textId="77777777" w:rsidR="00D7784A" w:rsidRPr="00452969" w:rsidRDefault="00D7784A" w:rsidP="00D7784A">
            <w:pPr>
              <w:pStyle w:val="Tabletext"/>
            </w:pPr>
          </w:p>
        </w:tc>
        <w:tc>
          <w:tcPr>
            <w:tcW w:w="2760" w:type="dxa"/>
            <w:shd w:val="clear" w:color="auto" w:fill="FFF2CA" w:themeFill="accent6" w:themeFillTint="33"/>
          </w:tcPr>
          <w:p w14:paraId="3569994F" w14:textId="77777777" w:rsidR="00D7784A" w:rsidRPr="00452969" w:rsidRDefault="00D7784A" w:rsidP="00D7784A">
            <w:pPr>
              <w:pStyle w:val="Tabletext"/>
            </w:pPr>
          </w:p>
        </w:tc>
      </w:tr>
      <w:tr w:rsidR="00D7784A" w:rsidRPr="007E6C2A" w14:paraId="310513AC" w14:textId="77777777" w:rsidTr="00A16A0B">
        <w:trPr>
          <w:cantSplit/>
          <w:trHeight w:val="433"/>
        </w:trPr>
        <w:tc>
          <w:tcPr>
            <w:tcW w:w="1515" w:type="dxa"/>
            <w:shd w:val="clear" w:color="auto" w:fill="F2F2F2" w:themeFill="background1" w:themeFillShade="F2"/>
          </w:tcPr>
          <w:p w14:paraId="36931E9F" w14:textId="2AD08C58" w:rsidR="00D7784A" w:rsidRPr="00452969" w:rsidRDefault="00D7784A" w:rsidP="00D7784A">
            <w:pPr>
              <w:pStyle w:val="Tabletext"/>
            </w:pPr>
            <w:r w:rsidRPr="00452969">
              <w:t>Monitoring and reporting</w:t>
            </w:r>
          </w:p>
        </w:tc>
        <w:tc>
          <w:tcPr>
            <w:tcW w:w="2610" w:type="dxa"/>
            <w:shd w:val="clear" w:color="auto" w:fill="FFDAC7" w:themeFill="accent5" w:themeFillTint="33"/>
          </w:tcPr>
          <w:p w14:paraId="450A8FEE" w14:textId="1DA4E429" w:rsidR="00D7784A" w:rsidRPr="00452969" w:rsidRDefault="00D7784A" w:rsidP="00D7784A">
            <w:pPr>
              <w:pStyle w:val="Tabletext"/>
            </w:pPr>
            <w:r w:rsidRPr="00452969">
              <w:t>Sustainability measures and outcomes are tracked and reported</w:t>
            </w:r>
          </w:p>
        </w:tc>
        <w:tc>
          <w:tcPr>
            <w:tcW w:w="2370" w:type="dxa"/>
            <w:shd w:val="clear" w:color="auto" w:fill="BCFFFC" w:themeFill="accent3" w:themeFillTint="33"/>
          </w:tcPr>
          <w:p w14:paraId="414072F4" w14:textId="59D1CAB7" w:rsidR="00D7784A" w:rsidRPr="00452969" w:rsidRDefault="00D7784A" w:rsidP="00D7784A">
            <w:pPr>
              <w:pStyle w:val="Tabletext"/>
            </w:pPr>
            <w:r w:rsidRPr="00452969">
              <w:t>Projected operational sustainability performance of the asset is monitored throughout project delivery (including detailed design)</w:t>
            </w:r>
          </w:p>
        </w:tc>
        <w:tc>
          <w:tcPr>
            <w:tcW w:w="2760" w:type="dxa"/>
            <w:shd w:val="clear" w:color="auto" w:fill="FFF2CA" w:themeFill="accent6" w:themeFillTint="33"/>
          </w:tcPr>
          <w:p w14:paraId="6086DE25" w14:textId="605AB5CE" w:rsidR="00D7784A" w:rsidRPr="00452969" w:rsidRDefault="00D7784A" w:rsidP="00D7784A">
            <w:pPr>
              <w:pStyle w:val="Tabletext"/>
            </w:pPr>
            <w:r w:rsidRPr="00452969">
              <w:t>Ongoing oversight of contractor includes sustainability metrics in reporting, including innovative/above minimum specification outcomes</w:t>
            </w:r>
          </w:p>
        </w:tc>
      </w:tr>
      <w:tr w:rsidR="00D7784A" w:rsidRPr="007E6C2A" w14:paraId="0685D1A9" w14:textId="77777777" w:rsidTr="00A16A0B">
        <w:trPr>
          <w:cantSplit/>
          <w:trHeight w:val="433"/>
        </w:trPr>
        <w:tc>
          <w:tcPr>
            <w:tcW w:w="1515" w:type="dxa"/>
            <w:shd w:val="clear" w:color="auto" w:fill="F2F2F2" w:themeFill="background1" w:themeFillShade="F2"/>
          </w:tcPr>
          <w:p w14:paraId="46890C27" w14:textId="56C9027B" w:rsidR="00D7784A" w:rsidRPr="00452969" w:rsidRDefault="00D7784A" w:rsidP="00D7784A">
            <w:pPr>
              <w:pStyle w:val="Tabletext"/>
            </w:pPr>
            <w:r w:rsidRPr="00452969">
              <w:t>Handover</w:t>
            </w:r>
          </w:p>
        </w:tc>
        <w:tc>
          <w:tcPr>
            <w:tcW w:w="2610" w:type="dxa"/>
            <w:shd w:val="clear" w:color="auto" w:fill="FFDAC7" w:themeFill="accent5" w:themeFillTint="33"/>
          </w:tcPr>
          <w:p w14:paraId="12A413EE" w14:textId="78710A76" w:rsidR="00D7784A" w:rsidRPr="00452969" w:rsidRDefault="00D7784A" w:rsidP="00D7784A">
            <w:pPr>
              <w:pStyle w:val="Tabletext"/>
            </w:pPr>
            <w:r w:rsidRPr="00452969">
              <w:t>Operational requirements relevant to sustainability are documented in the handover with new accountabilities established</w:t>
            </w:r>
          </w:p>
        </w:tc>
        <w:tc>
          <w:tcPr>
            <w:tcW w:w="2370" w:type="dxa"/>
            <w:shd w:val="clear" w:color="auto" w:fill="BCFFFC" w:themeFill="accent3" w:themeFillTint="33"/>
          </w:tcPr>
          <w:p w14:paraId="3B9D4A2F" w14:textId="23AB52A5" w:rsidR="00D7784A" w:rsidRPr="00452969" w:rsidRDefault="00D7784A" w:rsidP="00D7784A">
            <w:pPr>
              <w:pStyle w:val="Tabletext"/>
            </w:pPr>
            <w:r w:rsidRPr="00452969">
              <w:t>Rating tool certification is managed and achieved</w:t>
            </w:r>
          </w:p>
        </w:tc>
        <w:tc>
          <w:tcPr>
            <w:tcW w:w="2760" w:type="dxa"/>
            <w:shd w:val="clear" w:color="auto" w:fill="FFF2CA" w:themeFill="accent6" w:themeFillTint="33"/>
          </w:tcPr>
          <w:p w14:paraId="1C33B3CF" w14:textId="77777777" w:rsidR="00D7784A" w:rsidRPr="00452969" w:rsidRDefault="00D7784A" w:rsidP="00D7784A">
            <w:pPr>
              <w:pStyle w:val="Tabletext"/>
            </w:pPr>
          </w:p>
        </w:tc>
      </w:tr>
    </w:tbl>
    <w:p w14:paraId="7F5BEC3C" w14:textId="77777777" w:rsidR="00D7784A" w:rsidRPr="009B2B67" w:rsidRDefault="00D7784A" w:rsidP="001B4FCC">
      <w:pPr>
        <w:pStyle w:val="Heading4numbered"/>
      </w:pPr>
      <w:bookmarkStart w:id="1178" w:name="_Toc68769313"/>
      <w:r w:rsidRPr="009B2B67">
        <w:t>Performance monitoring and benefits management</w:t>
      </w:r>
      <w:bookmarkEnd w:id="1178"/>
    </w:p>
    <w:p w14:paraId="0482BEE0" w14:textId="77777777" w:rsidR="00D7784A" w:rsidRDefault="00D7784A" w:rsidP="00D7784A">
      <w:pPr>
        <w:pStyle w:val="NormalIndent"/>
        <w:ind w:left="0"/>
        <w:rPr>
          <w:lang w:eastAsia="en-US"/>
        </w:rPr>
      </w:pPr>
      <w:r>
        <w:rPr>
          <w:lang w:eastAsia="en-US"/>
        </w:rPr>
        <w:t>Sustainability benefits that have been quantified and monetised should be tracked and managed as defined in the Benefits Management Plan, which should ideally be linked to reporting requirements placed on the contractor(s). These benefits can be considered as general project benefits.</w:t>
      </w:r>
    </w:p>
    <w:p w14:paraId="26E13B44" w14:textId="2FBD3B4F" w:rsidR="00D7784A" w:rsidRPr="00470684" w:rsidRDefault="00D7784A" w:rsidP="00D7784A">
      <w:pPr>
        <w:pStyle w:val="NormalIndent"/>
        <w:ind w:left="0"/>
        <w:rPr>
          <w:lang w:eastAsia="en-US"/>
        </w:rPr>
      </w:pPr>
      <w:r>
        <w:rPr>
          <w:lang w:eastAsia="en-US"/>
        </w:rPr>
        <w:t xml:space="preserve">Sustainability benefits identified in the business case but deemed to be infeasible to monetise should be linked to stated </w:t>
      </w:r>
      <w:r w:rsidR="00190F02">
        <w:rPr>
          <w:lang w:eastAsia="en-US"/>
        </w:rPr>
        <w:t>g</w:t>
      </w:r>
      <w:r w:rsidR="00190F02" w:rsidRPr="00470684">
        <w:rPr>
          <w:lang w:eastAsia="en-US"/>
        </w:rPr>
        <w:t xml:space="preserve">overnment </w:t>
      </w:r>
      <w:r w:rsidRPr="00470684">
        <w:rPr>
          <w:lang w:eastAsia="en-US"/>
        </w:rPr>
        <w:t>policies and priorities. These should be articulated in the Benefits Management Plan, to ensure that these are not unintentionally traded</w:t>
      </w:r>
      <w:r w:rsidR="00601819">
        <w:rPr>
          <w:lang w:eastAsia="en-US"/>
        </w:rPr>
        <w:noBreakHyphen/>
      </w:r>
      <w:r w:rsidRPr="00470684">
        <w:rPr>
          <w:lang w:eastAsia="en-US"/>
        </w:rPr>
        <w:t xml:space="preserve">off to manage time, </w:t>
      </w:r>
      <w:proofErr w:type="gramStart"/>
      <w:r w:rsidRPr="00470684">
        <w:rPr>
          <w:lang w:eastAsia="en-US"/>
        </w:rPr>
        <w:t>resource</w:t>
      </w:r>
      <w:proofErr w:type="gramEnd"/>
      <w:r w:rsidRPr="00470684">
        <w:rPr>
          <w:lang w:eastAsia="en-US"/>
        </w:rPr>
        <w:t xml:space="preserve"> or cost pressures.</w:t>
      </w:r>
    </w:p>
    <w:p w14:paraId="29AB79C5" w14:textId="7E6F670E" w:rsidR="00D7784A" w:rsidRPr="00470684" w:rsidRDefault="00D7784A" w:rsidP="00D7784A">
      <w:pPr>
        <w:rPr>
          <w:lang w:eastAsia="en-US"/>
        </w:rPr>
      </w:pPr>
      <w:r w:rsidRPr="00470684">
        <w:rPr>
          <w:lang w:eastAsia="en-US"/>
        </w:rPr>
        <w:t xml:space="preserve">Where a sustainability rating tool has been adopted, there may be a need for the project to transition from a </w:t>
      </w:r>
      <w:r w:rsidR="00F00708">
        <w:rPr>
          <w:lang w:eastAsia="en-US"/>
        </w:rPr>
        <w:t>‘</w:t>
      </w:r>
      <w:r w:rsidRPr="00470684">
        <w:rPr>
          <w:lang w:eastAsia="en-US"/>
        </w:rPr>
        <w:t>planning</w:t>
      </w:r>
      <w:r w:rsidR="00F00708">
        <w:rPr>
          <w:lang w:eastAsia="en-US"/>
        </w:rPr>
        <w:t>’</w:t>
      </w:r>
      <w:r w:rsidRPr="00470684">
        <w:rPr>
          <w:lang w:eastAsia="en-US"/>
        </w:rPr>
        <w:t xml:space="preserve"> rating to an </w:t>
      </w:r>
      <w:r w:rsidR="00F00708">
        <w:rPr>
          <w:lang w:eastAsia="en-US"/>
        </w:rPr>
        <w:t>‘</w:t>
      </w:r>
      <w:r w:rsidRPr="00470684">
        <w:rPr>
          <w:lang w:eastAsia="en-US"/>
        </w:rPr>
        <w:t>as built</w:t>
      </w:r>
      <w:r w:rsidR="00F00708">
        <w:rPr>
          <w:lang w:eastAsia="en-US"/>
        </w:rPr>
        <w:t>’</w:t>
      </w:r>
      <w:r w:rsidRPr="00470684">
        <w:rPr>
          <w:lang w:eastAsia="en-US"/>
        </w:rPr>
        <w:t xml:space="preserve"> rating, or equivalent. This should be set out in the contract, with the project team independently monitoring the contractor’s compliance with the required tool or standard.</w:t>
      </w:r>
    </w:p>
    <w:p w14:paraId="326B3AC8" w14:textId="5479EC14" w:rsidR="00D7784A" w:rsidRDefault="00D7784A" w:rsidP="00D7784A">
      <w:pPr>
        <w:rPr>
          <w:lang w:eastAsia="en-US"/>
        </w:rPr>
      </w:pPr>
      <w:r w:rsidRPr="00470684">
        <w:rPr>
          <w:lang w:eastAsia="en-US"/>
        </w:rPr>
        <w:lastRenderedPageBreak/>
        <w:t>Where a rating is based on the operational performance of the asset (</w:t>
      </w:r>
      <w:proofErr w:type="gramStart"/>
      <w:r w:rsidRPr="00470684">
        <w:rPr>
          <w:lang w:eastAsia="en-US"/>
        </w:rPr>
        <w:t>i.e.</w:t>
      </w:r>
      <w:proofErr w:type="gramEnd"/>
      <w:r w:rsidRPr="00470684">
        <w:rPr>
          <w:lang w:eastAsia="en-US"/>
        </w:rPr>
        <w:t xml:space="preserve"> building efficiency), the contract should require performance based on the </w:t>
      </w:r>
      <w:r w:rsidR="00F00708">
        <w:rPr>
          <w:lang w:eastAsia="en-US"/>
        </w:rPr>
        <w:t>‘</w:t>
      </w:r>
      <w:r w:rsidRPr="00470684">
        <w:rPr>
          <w:lang w:eastAsia="en-US"/>
        </w:rPr>
        <w:t>as built</w:t>
      </w:r>
      <w:r w:rsidR="00F00708">
        <w:rPr>
          <w:lang w:eastAsia="en-US"/>
        </w:rPr>
        <w:t>’</w:t>
      </w:r>
      <w:r w:rsidRPr="00470684">
        <w:rPr>
          <w:lang w:eastAsia="en-US"/>
        </w:rPr>
        <w:t xml:space="preserve"> rating where practical. This ensures responsibility for the asset meeting the rating specification resides with the contractor(s).</w:t>
      </w:r>
    </w:p>
    <w:p w14:paraId="56BAD7AE" w14:textId="77777777" w:rsidR="00D7784A" w:rsidRPr="009B2B67" w:rsidRDefault="00D7784A" w:rsidP="001B4FCC">
      <w:pPr>
        <w:pStyle w:val="Heading4numbered"/>
      </w:pPr>
      <w:bookmarkStart w:id="1179" w:name="_Toc64976488"/>
      <w:bookmarkStart w:id="1180" w:name="_Toc64977588"/>
      <w:bookmarkStart w:id="1181" w:name="_Toc65244597"/>
      <w:bookmarkStart w:id="1182" w:name="_Toc65244837"/>
      <w:bookmarkStart w:id="1183" w:name="_Toc65506077"/>
      <w:bookmarkStart w:id="1184" w:name="_Toc65577484"/>
      <w:bookmarkStart w:id="1185" w:name="_Toc65596554"/>
      <w:bookmarkStart w:id="1186" w:name="_Toc65597278"/>
      <w:bookmarkStart w:id="1187" w:name="_Toc65597504"/>
      <w:bookmarkStart w:id="1188" w:name="_Toc66195319"/>
      <w:bookmarkStart w:id="1189" w:name="_Toc66460168"/>
      <w:bookmarkStart w:id="1190" w:name="_Toc66709515"/>
      <w:bookmarkStart w:id="1191" w:name="_Toc66713880"/>
      <w:bookmarkStart w:id="1192" w:name="_Toc66806431"/>
      <w:bookmarkStart w:id="1193" w:name="_Toc66863879"/>
      <w:bookmarkStart w:id="1194" w:name="_Toc66864193"/>
      <w:bookmarkStart w:id="1195" w:name="_Toc66866377"/>
      <w:bookmarkStart w:id="1196" w:name="_Toc66868161"/>
      <w:bookmarkStart w:id="1197" w:name="_Toc67925355"/>
      <w:bookmarkStart w:id="1198" w:name="_Toc67926383"/>
      <w:bookmarkStart w:id="1199" w:name="_Toc67927022"/>
      <w:bookmarkStart w:id="1200" w:name="_Toc68006775"/>
      <w:bookmarkStart w:id="1201" w:name="_Toc68007109"/>
      <w:bookmarkStart w:id="1202" w:name="_Toc68007443"/>
      <w:bookmarkStart w:id="1203" w:name="_Toc68007794"/>
      <w:bookmarkStart w:id="1204" w:name="_Toc68008133"/>
      <w:bookmarkStart w:id="1205" w:name="_Toc68008467"/>
      <w:bookmarkStart w:id="1206" w:name="_Toc68008804"/>
      <w:bookmarkStart w:id="1207" w:name="_Toc68071525"/>
      <w:bookmarkStart w:id="1208" w:name="_Toc68071859"/>
      <w:bookmarkStart w:id="1209" w:name="_Toc68072193"/>
      <w:bookmarkStart w:id="1210" w:name="_Toc68074629"/>
      <w:bookmarkStart w:id="1211" w:name="_Toc68074969"/>
      <w:bookmarkStart w:id="1212" w:name="_Toc68075303"/>
      <w:bookmarkStart w:id="1213" w:name="_Toc68075732"/>
      <w:bookmarkStart w:id="1214" w:name="_Toc68076066"/>
      <w:bookmarkStart w:id="1215" w:name="_Toc68769314"/>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9B2B67">
        <w:t>Management plans</w:t>
      </w:r>
      <w:bookmarkEnd w:id="1215"/>
    </w:p>
    <w:p w14:paraId="58F123EC" w14:textId="77777777" w:rsidR="00D7784A" w:rsidRDefault="00D7784A" w:rsidP="00D7784A">
      <w:pPr>
        <w:pStyle w:val="Listnum"/>
        <w:numPr>
          <w:ilvl w:val="0"/>
          <w:numId w:val="0"/>
        </w:numPr>
      </w:pPr>
      <w:r>
        <w:t>Management plans should be informed by d</w:t>
      </w:r>
      <w:r w:rsidRPr="003E1EE8">
        <w:t>ue diligence planning and development activities includ</w:t>
      </w:r>
      <w:r>
        <w:t>ing</w:t>
      </w:r>
      <w:r w:rsidRPr="003E1EE8">
        <w:t xml:space="preserve"> site investigation and documentation, analysis and research, production of design and development proposals and reports of sufficient quality, </w:t>
      </w:r>
      <w:proofErr w:type="gramStart"/>
      <w:r w:rsidRPr="003E1EE8">
        <w:t>breadth</w:t>
      </w:r>
      <w:proofErr w:type="gramEnd"/>
      <w:r w:rsidRPr="003E1EE8">
        <w:t xml:space="preserve"> and depth to clearly define project scope, risks and critical requirements to facilitate detailed design, effective procurement, delivery and successful operation.</w:t>
      </w:r>
    </w:p>
    <w:p w14:paraId="35FBFC49" w14:textId="7BF7640A" w:rsidR="00D7784A" w:rsidRDefault="00D7784A" w:rsidP="00D7784A">
      <w:pPr>
        <w:pStyle w:val="Listnum"/>
        <w:numPr>
          <w:ilvl w:val="0"/>
          <w:numId w:val="0"/>
        </w:numPr>
        <w:rPr>
          <w:lang w:eastAsia="en-US"/>
        </w:rPr>
      </w:pPr>
      <w:r>
        <w:t xml:space="preserve">It is important that management plans incorporate sustainability and that concept design, detailed design and </w:t>
      </w:r>
      <w:r w:rsidRPr="00656800">
        <w:t>emergent issues are managed to ensure that the objectives of the investment are achieved and that sustainability considerations are not unduly traded</w:t>
      </w:r>
      <w:r w:rsidR="00601819">
        <w:noBreakHyphen/>
      </w:r>
      <w:r w:rsidRPr="00656800">
        <w:t>off</w:t>
      </w:r>
      <w:r>
        <w:t xml:space="preserve"> as the project progresses</w:t>
      </w:r>
      <w:r w:rsidRPr="00656800">
        <w:t>. Application of tools such as the Victorian Government Risk Management Framework</w:t>
      </w:r>
      <w:r>
        <w:t xml:space="preserve">, </w:t>
      </w:r>
      <w:r w:rsidRPr="00656800">
        <w:rPr>
          <w:lang w:eastAsia="en-US"/>
        </w:rPr>
        <w:t>precautionary principle (</w:t>
      </w:r>
      <w:r w:rsidRPr="00656800">
        <w:rPr>
          <w:lang w:eastAsia="en-US"/>
        </w:rPr>
        <w:fldChar w:fldCharType="begin"/>
      </w:r>
      <w:r w:rsidRPr="00656800">
        <w:rPr>
          <w:lang w:eastAsia="en-US"/>
        </w:rPr>
        <w:instrText xml:space="preserve"> REF _Ref68684248 \r \h </w:instrText>
      </w:r>
      <w:r>
        <w:rPr>
          <w:lang w:eastAsia="en-US"/>
        </w:rPr>
        <w:instrText xml:space="preserve"> \* MERGEFORMAT </w:instrText>
      </w:r>
      <w:r w:rsidRPr="00656800">
        <w:rPr>
          <w:lang w:eastAsia="en-US"/>
        </w:rPr>
      </w:r>
      <w:r w:rsidRPr="00656800">
        <w:rPr>
          <w:lang w:eastAsia="en-US"/>
        </w:rPr>
        <w:fldChar w:fldCharType="separate"/>
      </w:r>
      <w:r w:rsidR="00FC7DAA" w:rsidRPr="00FC7DAA">
        <w:rPr>
          <w:b/>
          <w:bCs/>
          <w:lang w:val="en-US" w:eastAsia="en-US"/>
        </w:rPr>
        <w:t>(c)</w:t>
      </w:r>
      <w:r w:rsidR="00FC7DAA">
        <w:rPr>
          <w:lang w:eastAsia="en-US"/>
        </w:rPr>
        <w:t>3.1.7.1</w:t>
      </w:r>
      <w:r w:rsidRPr="00656800">
        <w:rPr>
          <w:lang w:eastAsia="en-US"/>
        </w:rPr>
        <w:fldChar w:fldCharType="end"/>
      </w:r>
      <w:r w:rsidRPr="00656800">
        <w:rPr>
          <w:lang w:eastAsia="en-US"/>
        </w:rPr>
        <w:t>), DTF’s Risk Time Cost and Contingency (RTCC)</w:t>
      </w:r>
      <w:r>
        <w:rPr>
          <w:lang w:eastAsia="en-US"/>
        </w:rPr>
        <w:t xml:space="preserve"> G</w:t>
      </w:r>
      <w:r w:rsidRPr="00656800">
        <w:rPr>
          <w:lang w:eastAsia="en-US"/>
        </w:rPr>
        <w:t>uidelines</w:t>
      </w:r>
      <w:r>
        <w:rPr>
          <w:lang w:eastAsia="en-US"/>
        </w:rPr>
        <w:t>, change control processes</w:t>
      </w:r>
      <w:r w:rsidRPr="00656800">
        <w:rPr>
          <w:lang w:eastAsia="en-US"/>
        </w:rPr>
        <w:t xml:space="preserve"> and Environmental Management Plan guidelines</w:t>
      </w:r>
      <w:r>
        <w:rPr>
          <w:lang w:eastAsia="en-US"/>
        </w:rPr>
        <w:t xml:space="preserve"> </w:t>
      </w:r>
      <w:r w:rsidRPr="00656800">
        <w:rPr>
          <w:lang w:eastAsia="en-US"/>
        </w:rPr>
        <w:t>(</w:t>
      </w:r>
      <w:hyperlink r:id="rId56" w:history="1">
        <w:r w:rsidR="00A16A0B">
          <w:rPr>
            <w:rStyle w:val="Hyperlink"/>
          </w:rPr>
          <w:t>https://www.environment.gov.au/epbc/publications/ environmental</w:t>
        </w:r>
        <w:r w:rsidR="00A16A0B">
          <w:rPr>
            <w:rStyle w:val="Hyperlink"/>
          </w:rPr>
          <w:noBreakHyphen/>
          <w:t>management</w:t>
        </w:r>
        <w:r w:rsidR="00A16A0B">
          <w:rPr>
            <w:rStyle w:val="Hyperlink"/>
          </w:rPr>
          <w:noBreakHyphen/>
          <w:t>plan</w:t>
        </w:r>
        <w:r w:rsidR="00A16A0B">
          <w:rPr>
            <w:rStyle w:val="Hyperlink"/>
          </w:rPr>
          <w:noBreakHyphen/>
          <w:t>guidelines</w:t>
        </w:r>
      </w:hyperlink>
      <w:r w:rsidRPr="00656800">
        <w:rPr>
          <w:lang w:eastAsia="en-US"/>
        </w:rPr>
        <w:t xml:space="preserve">) should be used to </w:t>
      </w:r>
      <w:r>
        <w:rPr>
          <w:lang w:eastAsia="en-US"/>
        </w:rPr>
        <w:t xml:space="preserve">effectively </w:t>
      </w:r>
      <w:r w:rsidRPr="00656800">
        <w:rPr>
          <w:lang w:eastAsia="en-US"/>
        </w:rPr>
        <w:t>identify</w:t>
      </w:r>
      <w:r>
        <w:rPr>
          <w:lang w:eastAsia="en-US"/>
        </w:rPr>
        <w:t xml:space="preserve"> and manage sustainable investment opportunities, risks and issues throughout the investment lifecycle. </w:t>
      </w:r>
    </w:p>
    <w:p w14:paraId="1F0A5769" w14:textId="212954E7" w:rsidR="00D7784A" w:rsidRDefault="00D7784A" w:rsidP="00D7784A">
      <w:pPr>
        <w:rPr>
          <w:lang w:eastAsia="en-US"/>
        </w:rPr>
      </w:pPr>
      <w:r w:rsidRPr="00656800">
        <w:rPr>
          <w:lang w:eastAsia="en-US"/>
        </w:rPr>
        <w:t>Some sustainability risks may be difficult to manage as they commonly relate to performance of the asset, which is not measured until the asset is delivered and operation starts. Therefore, where possible sustainability</w:t>
      </w:r>
      <w:r w:rsidR="00190F02">
        <w:rPr>
          <w:lang w:eastAsia="en-US"/>
        </w:rPr>
        <w:t>-</w:t>
      </w:r>
      <w:r w:rsidRPr="00656800">
        <w:rPr>
          <w:lang w:eastAsia="en-US"/>
        </w:rPr>
        <w:t>related risks should be updated and defined based on the sustainability metrics defined for the delivery stage. This results in more timely treatment of risk and minimises impact on the project budget by implementing changes early.</w:t>
      </w:r>
    </w:p>
    <w:p w14:paraId="6AC81748" w14:textId="77777777" w:rsidR="00D7784A" w:rsidRPr="009B2B67" w:rsidRDefault="00D7784A" w:rsidP="001B4FCC">
      <w:pPr>
        <w:pStyle w:val="Heading3numbered"/>
      </w:pPr>
      <w:bookmarkStart w:id="1216" w:name="_Toc68769315"/>
      <w:r w:rsidRPr="00EC5B5F">
        <w:t>Design and</w:t>
      </w:r>
      <w:r w:rsidRPr="00865BA7">
        <w:t xml:space="preserve"> engineering</w:t>
      </w:r>
      <w:bookmarkEnd w:id="1216"/>
    </w:p>
    <w:p w14:paraId="01DCF237" w14:textId="089E08F9" w:rsidR="00D7784A" w:rsidRDefault="00D7784A" w:rsidP="00D7784A">
      <w:r>
        <w:t xml:space="preserve">Government departments and agencies develop design practices and bodies of knowledge specific to their infrastructure types. For example, </w:t>
      </w:r>
      <w:r w:rsidRPr="00A22B7A">
        <w:t xml:space="preserve">The Victorian Government Office Accommodation Guidelines provides accommodation </w:t>
      </w:r>
      <w:r w:rsidRPr="004E156A">
        <w:t>benchmarks and principles that must be used in the planning, leasing, fit</w:t>
      </w:r>
      <w:r w:rsidR="00601819">
        <w:noBreakHyphen/>
      </w:r>
      <w:r w:rsidRPr="004E156A">
        <w:t>out and management of the Victorian Government’s office accommodation</w:t>
      </w:r>
      <w:r w:rsidR="00190F02">
        <w:t>,</w:t>
      </w:r>
      <w:r w:rsidRPr="004E156A">
        <w:t xml:space="preserve"> to achieve well</w:t>
      </w:r>
      <w:r w:rsidR="00601819">
        <w:noBreakHyphen/>
      </w:r>
      <w:r w:rsidRPr="004E156A">
        <w:t xml:space="preserve">designed workspaces that deliver quality, value for money and environmentally sustainable outcomes. </w:t>
      </w:r>
      <w:r w:rsidRPr="004E156A">
        <w:fldChar w:fldCharType="begin"/>
      </w:r>
      <w:r w:rsidRPr="004E156A">
        <w:instrText xml:space="preserve"> REF _Ref68769507 \h  \* MERGEFORMAT </w:instrText>
      </w:r>
      <w:r w:rsidRPr="004E156A">
        <w:fldChar w:fldCharType="separate"/>
      </w:r>
      <w:r w:rsidR="00FC7DAA">
        <w:t xml:space="preserve">Table </w:t>
      </w:r>
      <w:r w:rsidR="00FC7DAA">
        <w:rPr>
          <w:noProof/>
        </w:rPr>
        <w:t>18</w:t>
      </w:r>
      <w:r w:rsidRPr="004E156A">
        <w:fldChar w:fldCharType="end"/>
      </w:r>
      <w:r w:rsidRPr="004E156A">
        <w:t xml:space="preserve"> outlines examples of design and engineering solutions relevant to each SIT. In each case, the detailed design and </w:t>
      </w:r>
      <w:r>
        <w:t xml:space="preserve">documentation </w:t>
      </w:r>
      <w:r w:rsidRPr="004E156A">
        <w:t>process should maintain and enhance design intent and objectives (across all SITs) developed in the concept design/business case stage.</w:t>
      </w:r>
    </w:p>
    <w:p w14:paraId="7A263FF7" w14:textId="6D469ABC" w:rsidR="00D7784A" w:rsidRDefault="00D7784A" w:rsidP="00D7784A">
      <w:pPr>
        <w:pStyle w:val="Caption"/>
      </w:pPr>
      <w:bookmarkStart w:id="1217" w:name="_Ref68769507"/>
      <w:bookmarkStart w:id="1218" w:name="_Ref68769502"/>
      <w:bookmarkStart w:id="1219" w:name="_Toc117258739"/>
      <w:r>
        <w:lastRenderedPageBreak/>
        <w:t xml:space="preserve">Table </w:t>
      </w:r>
      <w:r>
        <w:fldChar w:fldCharType="begin"/>
      </w:r>
      <w:r>
        <w:instrText>SEQ Table \* ARABIC</w:instrText>
      </w:r>
      <w:r>
        <w:fldChar w:fldCharType="separate"/>
      </w:r>
      <w:r w:rsidR="00FC7DAA">
        <w:rPr>
          <w:noProof/>
        </w:rPr>
        <w:t>18</w:t>
      </w:r>
      <w:r>
        <w:fldChar w:fldCharType="end"/>
      </w:r>
      <w:bookmarkEnd w:id="1217"/>
      <w:r w:rsidR="00F00708">
        <w:t xml:space="preserve"> – </w:t>
      </w:r>
      <w:r>
        <w:t>Sustainable design and engineering examples</w:t>
      </w:r>
      <w:bookmarkEnd w:id="1218"/>
      <w:bookmarkEnd w:id="1219"/>
    </w:p>
    <w:tbl>
      <w:tblPr>
        <w:tblStyle w:val="Texttable"/>
        <w:tblW w:w="9090" w:type="dxa"/>
        <w:tblLook w:val="06A0" w:firstRow="1" w:lastRow="0" w:firstColumn="1" w:lastColumn="0" w:noHBand="1" w:noVBand="1"/>
      </w:tblPr>
      <w:tblGrid>
        <w:gridCol w:w="1853"/>
        <w:gridCol w:w="7237"/>
      </w:tblGrid>
      <w:tr w:rsidR="00D7784A" w:rsidRPr="005B12C5" w14:paraId="442240B6" w14:textId="77777777" w:rsidTr="00D7784A">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53" w:type="dxa"/>
            <w:hideMark/>
          </w:tcPr>
          <w:p w14:paraId="7DCED186" w14:textId="77777777" w:rsidR="00D7784A" w:rsidRPr="003F606D" w:rsidRDefault="00D7784A" w:rsidP="00D7784A">
            <w:pPr>
              <w:pStyle w:val="Tableheader"/>
              <w:rPr>
                <w:b w:val="0"/>
                <w:bCs/>
              </w:rPr>
            </w:pPr>
            <w:r w:rsidRPr="003F606D">
              <w:t>SIT</w:t>
            </w:r>
          </w:p>
        </w:tc>
        <w:tc>
          <w:tcPr>
            <w:tcW w:w="7237" w:type="dxa"/>
          </w:tcPr>
          <w:p w14:paraId="0248F66C" w14:textId="4F3CDF47" w:rsidR="00D7784A" w:rsidRPr="003F606D" w:rsidRDefault="00D7784A" w:rsidP="00D7784A">
            <w:pPr>
              <w:pStyle w:val="Tableheader"/>
              <w:cnfStyle w:val="100000000000" w:firstRow="1" w:lastRow="0" w:firstColumn="0" w:lastColumn="0" w:oddVBand="0" w:evenVBand="0" w:oddHBand="0" w:evenHBand="0" w:firstRowFirstColumn="0" w:firstRowLastColumn="0" w:lastRowFirstColumn="0" w:lastRowLastColumn="0"/>
              <w:rPr>
                <w:b w:val="0"/>
                <w:bCs/>
              </w:rPr>
            </w:pPr>
            <w:r w:rsidRPr="003F606D">
              <w:t xml:space="preserve">Sustainable </w:t>
            </w:r>
            <w:r>
              <w:t>design and engineering</w:t>
            </w:r>
          </w:p>
        </w:tc>
      </w:tr>
      <w:tr w:rsidR="00D7784A" w:rsidRPr="005B12C5" w14:paraId="4EDB2774" w14:textId="77777777" w:rsidTr="00D7784A">
        <w:trPr>
          <w:trHeight w:val="1207"/>
        </w:trPr>
        <w:tc>
          <w:tcPr>
            <w:cnfStyle w:val="001000000000" w:firstRow="0" w:lastRow="0" w:firstColumn="1" w:lastColumn="0" w:oddVBand="0" w:evenVBand="0" w:oddHBand="0" w:evenHBand="0" w:firstRowFirstColumn="0" w:firstRowLastColumn="0" w:lastRowFirstColumn="0" w:lastRowLastColumn="0"/>
            <w:tcW w:w="1853" w:type="dxa"/>
            <w:hideMark/>
          </w:tcPr>
          <w:p w14:paraId="711957CA" w14:textId="7B5F6380" w:rsidR="00D7784A" w:rsidRPr="0082789E" w:rsidRDefault="00D7784A" w:rsidP="00D7784A">
            <w:pPr>
              <w:pStyle w:val="Tabletext"/>
            </w:pPr>
            <w:r w:rsidRPr="0082789E">
              <w:t>Cultural heritage</w:t>
            </w:r>
          </w:p>
        </w:tc>
        <w:tc>
          <w:tcPr>
            <w:tcW w:w="7237" w:type="dxa"/>
          </w:tcPr>
          <w:p w14:paraId="7449D0C6" w14:textId="2B9D2D9B"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 xml:space="preserve">Site investigation and community engagement (including </w:t>
            </w:r>
            <w:r w:rsidR="00190F02">
              <w:rPr>
                <w:szCs w:val="17"/>
              </w:rPr>
              <w:t>I</w:t>
            </w:r>
            <w:r w:rsidR="00190F02" w:rsidRPr="00B43C19">
              <w:rPr>
                <w:szCs w:val="17"/>
              </w:rPr>
              <w:t xml:space="preserve">ndigenous </w:t>
            </w:r>
            <w:r w:rsidRPr="00B43C19">
              <w:rPr>
                <w:szCs w:val="17"/>
              </w:rPr>
              <w:t xml:space="preserve">and heritage groups) inform concept design, option development and detail designs. Checks should be undertaken on completeness of information to ensure that designs do not inadvertently damage or degrade significant areas and objects and that proposed options are culturally appropriate. For example, in the event of planning stormwater discharge into a creek, early engagement should be undertaken to ensure that </w:t>
            </w:r>
            <w:r>
              <w:rPr>
                <w:szCs w:val="17"/>
              </w:rPr>
              <w:t xml:space="preserve">historical </w:t>
            </w:r>
            <w:r w:rsidRPr="00B43C19">
              <w:rPr>
                <w:szCs w:val="17"/>
              </w:rPr>
              <w:t xml:space="preserve">shelter and midden disturbance during excavation and construction works is appropriately planned and managed. </w:t>
            </w:r>
          </w:p>
        </w:tc>
      </w:tr>
      <w:tr w:rsidR="00D7784A" w:rsidRPr="005B12C5" w14:paraId="0AA8EB94" w14:textId="77777777" w:rsidTr="00D7784A">
        <w:trPr>
          <w:trHeight w:val="2272"/>
        </w:trPr>
        <w:tc>
          <w:tcPr>
            <w:cnfStyle w:val="001000000000" w:firstRow="0" w:lastRow="0" w:firstColumn="1" w:lastColumn="0" w:oddVBand="0" w:evenVBand="0" w:oddHBand="0" w:evenHBand="0" w:firstRowFirstColumn="0" w:firstRowLastColumn="0" w:lastRowFirstColumn="0" w:lastRowLastColumn="0"/>
            <w:tcW w:w="1853" w:type="dxa"/>
            <w:hideMark/>
          </w:tcPr>
          <w:p w14:paraId="488559CB" w14:textId="77777777" w:rsidR="00D7784A" w:rsidRPr="0082789E" w:rsidRDefault="00D7784A" w:rsidP="00D7784A">
            <w:pPr>
              <w:pStyle w:val="Tabletext"/>
            </w:pPr>
            <w:r w:rsidRPr="0082789E">
              <w:t>Liveability</w:t>
            </w:r>
          </w:p>
        </w:tc>
        <w:tc>
          <w:tcPr>
            <w:tcW w:w="7237" w:type="dxa"/>
          </w:tcPr>
          <w:p w14:paraId="3ED2939E" w14:textId="61F14D70"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43C19">
              <w:t>Consider sourcing strategies/supply chain to enhance social and economic outcomes arising from construction activity, including the development of capability and capacity. For example, projects can be used to field test alternatives and/or develop scale in specific non</w:t>
            </w:r>
            <w:r w:rsidR="00601819">
              <w:noBreakHyphen/>
            </w:r>
            <w:r w:rsidRPr="00B43C19">
              <w:t>virgin materials and resource generation/use to support commercialisation and growth of new sustainable industries.</w:t>
            </w:r>
          </w:p>
          <w:p w14:paraId="2F75EA31"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Incorporation of greenspaces and recreational areas into designs, such as landscaped shared pathways and gardens within hospital and school footprints significantly influences liveability through the following mechanisms:</w:t>
            </w:r>
          </w:p>
          <w:p w14:paraId="59A632D0" w14:textId="26E1019A" w:rsidR="00D7784A"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 xml:space="preserve">the immediate health benefits of usage by the community </w:t>
            </w:r>
          </w:p>
          <w:p w14:paraId="57F84DAC" w14:textId="67455739" w:rsidR="00D7784A"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 xml:space="preserve">providing environments to support flora and fauna </w:t>
            </w:r>
          </w:p>
          <w:p w14:paraId="6BC89FD7" w14:textId="54F8E179" w:rsidR="00D7784A" w:rsidRPr="00B43C1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t>improvement in heat sinks and reduction of paved water run</w:t>
            </w:r>
            <w:r w:rsidR="006E1EA2">
              <w:t>-</w:t>
            </w:r>
            <w:r>
              <w:t xml:space="preserve">off areas within urbanised areas. </w:t>
            </w:r>
          </w:p>
        </w:tc>
      </w:tr>
      <w:tr w:rsidR="00D7784A" w:rsidRPr="005B12C5" w14:paraId="1F997B75" w14:textId="77777777" w:rsidTr="00D7784A">
        <w:trPr>
          <w:trHeight w:val="991"/>
        </w:trPr>
        <w:tc>
          <w:tcPr>
            <w:cnfStyle w:val="001000000000" w:firstRow="0" w:lastRow="0" w:firstColumn="1" w:lastColumn="0" w:oddVBand="0" w:evenVBand="0" w:oddHBand="0" w:evenHBand="0" w:firstRowFirstColumn="0" w:firstRowLastColumn="0" w:lastRowFirstColumn="0" w:lastRowLastColumn="0"/>
            <w:tcW w:w="1853" w:type="dxa"/>
            <w:hideMark/>
          </w:tcPr>
          <w:p w14:paraId="0D62329C" w14:textId="77777777" w:rsidR="00D7784A" w:rsidRPr="0082789E" w:rsidRDefault="00D7784A" w:rsidP="00D7784A">
            <w:pPr>
              <w:pStyle w:val="Tabletext"/>
            </w:pPr>
            <w:r w:rsidRPr="0082789E">
              <w:t>Transport, access, and connectivity</w:t>
            </w:r>
          </w:p>
        </w:tc>
        <w:tc>
          <w:tcPr>
            <w:tcW w:w="7237" w:type="dxa"/>
          </w:tcPr>
          <w:p w14:paraId="0B3C33BC" w14:textId="76FF299E"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 xml:space="preserve">Urban planning across communities and geographical areas can support the integrated and holistic development of sustainable solutions, by ensuring accessibility and connectivity across modes of transport. Accessibility should consider social aspects such as individual mobility constraints (wheelchairs, prams, </w:t>
            </w:r>
            <w:proofErr w:type="gramStart"/>
            <w:r w:rsidRPr="00B43C19">
              <w:rPr>
                <w:szCs w:val="17"/>
              </w:rPr>
              <w:t>crutches</w:t>
            </w:r>
            <w:proofErr w:type="gramEnd"/>
            <w:r w:rsidRPr="00B43C19">
              <w:rPr>
                <w:szCs w:val="17"/>
              </w:rPr>
              <w:t xml:space="preserve"> and walkers) and passive transport options such as shared pathways and user</w:t>
            </w:r>
            <w:r w:rsidR="00601819">
              <w:rPr>
                <w:szCs w:val="17"/>
              </w:rPr>
              <w:noBreakHyphen/>
            </w:r>
            <w:r w:rsidRPr="00B43C19">
              <w:rPr>
                <w:szCs w:val="17"/>
              </w:rPr>
              <w:t>friendly gradients.</w:t>
            </w:r>
          </w:p>
        </w:tc>
      </w:tr>
      <w:tr w:rsidR="00D7784A" w:rsidRPr="005B12C5" w14:paraId="16131231" w14:textId="77777777" w:rsidTr="00D7784A">
        <w:trPr>
          <w:trHeight w:val="2015"/>
        </w:trPr>
        <w:tc>
          <w:tcPr>
            <w:cnfStyle w:val="001000000000" w:firstRow="0" w:lastRow="0" w:firstColumn="1" w:lastColumn="0" w:oddVBand="0" w:evenVBand="0" w:oddHBand="0" w:evenHBand="0" w:firstRowFirstColumn="0" w:firstRowLastColumn="0" w:lastRowFirstColumn="0" w:lastRowLastColumn="0"/>
            <w:tcW w:w="1853" w:type="dxa"/>
          </w:tcPr>
          <w:p w14:paraId="5E21E7E8" w14:textId="77777777" w:rsidR="00D7784A" w:rsidRPr="0082789E" w:rsidRDefault="00D7784A" w:rsidP="00D7784A">
            <w:pPr>
              <w:pStyle w:val="Tabletext"/>
            </w:pPr>
            <w:r>
              <w:t>Climate resilience</w:t>
            </w:r>
          </w:p>
        </w:tc>
        <w:tc>
          <w:tcPr>
            <w:tcW w:w="7237" w:type="dxa"/>
          </w:tcPr>
          <w:p w14:paraId="55CA9628" w14:textId="52670644"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43C19">
              <w:rPr>
                <w:szCs w:val="17"/>
              </w:rPr>
              <w:t>Develop designs that anticipate and can absorb, accommodate, or recover from the effects of a hazardous event arising from climate change and extreme weather events. Design features may include choice of foundation or elevation to address trends in extreme wet weather events, infrastructure that incorporates hazard monitoring and early warning systems, and multi</w:t>
            </w:r>
            <w:r w:rsidR="00601819">
              <w:rPr>
                <w:szCs w:val="17"/>
              </w:rPr>
              <w:noBreakHyphen/>
            </w:r>
            <w:r w:rsidRPr="00B43C19">
              <w:rPr>
                <w:szCs w:val="17"/>
              </w:rPr>
              <w:t>purpose structures that can better provide emergency protection for communities.</w:t>
            </w:r>
          </w:p>
          <w:p w14:paraId="57EF656E" w14:textId="24FCD8A4" w:rsidR="00D7784A" w:rsidRPr="00B43C19"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B43C19">
              <w:rPr>
                <w:rFonts w:eastAsia="Times New Roman" w:cs="Calibri"/>
                <w:bCs/>
                <w:color w:val="000000" w:themeColor="text1"/>
                <w:szCs w:val="17"/>
              </w:rPr>
              <w:t>Design and as</w:t>
            </w:r>
            <w:r w:rsidR="00601819">
              <w:rPr>
                <w:rFonts w:eastAsia="Times New Roman" w:cs="Calibri"/>
                <w:bCs/>
                <w:color w:val="000000" w:themeColor="text1"/>
                <w:szCs w:val="17"/>
              </w:rPr>
              <w:noBreakHyphen/>
            </w:r>
            <w:r w:rsidRPr="00B43C19">
              <w:rPr>
                <w:rFonts w:eastAsia="Times New Roman" w:cs="Calibri"/>
                <w:bCs/>
                <w:color w:val="000000" w:themeColor="text1"/>
                <w:szCs w:val="17"/>
              </w:rPr>
              <w:t>built documentation that meets minimum standards and data functional requirements aligned to the Victorian Digital Asset Strategy and Digital Build Policy supports efficiency and sustainability in cross</w:t>
            </w:r>
            <w:r w:rsidR="00601819">
              <w:rPr>
                <w:rFonts w:eastAsia="Times New Roman" w:cs="Calibri"/>
                <w:bCs/>
                <w:color w:val="000000" w:themeColor="text1"/>
                <w:szCs w:val="17"/>
              </w:rPr>
              <w:noBreakHyphen/>
            </w:r>
            <w:r w:rsidRPr="00B43C19">
              <w:rPr>
                <w:rFonts w:eastAsia="Times New Roman" w:cs="Calibri"/>
                <w:bCs/>
                <w:color w:val="000000" w:themeColor="text1"/>
                <w:szCs w:val="17"/>
              </w:rPr>
              <w:t>disciplinary design coordination, asset transition to operations and future maintenance and modifications (including those arising from climate change)</w:t>
            </w:r>
            <w:r w:rsidR="006E1EA2">
              <w:rPr>
                <w:rFonts w:eastAsia="Times New Roman" w:cs="Calibri"/>
                <w:bCs/>
                <w:color w:val="000000" w:themeColor="text1"/>
                <w:szCs w:val="17"/>
              </w:rPr>
              <w:t>.</w:t>
            </w:r>
          </w:p>
        </w:tc>
      </w:tr>
      <w:tr w:rsidR="00D7784A" w:rsidRPr="005B12C5" w14:paraId="5D4BF075" w14:textId="77777777" w:rsidTr="00D7784A">
        <w:trPr>
          <w:trHeight w:val="3351"/>
        </w:trPr>
        <w:tc>
          <w:tcPr>
            <w:cnfStyle w:val="001000000000" w:firstRow="0" w:lastRow="0" w:firstColumn="1" w:lastColumn="0" w:oddVBand="0" w:evenVBand="0" w:oddHBand="0" w:evenHBand="0" w:firstRowFirstColumn="0" w:firstRowLastColumn="0" w:lastRowFirstColumn="0" w:lastRowLastColumn="0"/>
            <w:tcW w:w="1853" w:type="dxa"/>
            <w:hideMark/>
          </w:tcPr>
          <w:p w14:paraId="74ADA47C" w14:textId="77777777" w:rsidR="00D7784A" w:rsidRPr="0082789E" w:rsidRDefault="00D7784A" w:rsidP="00D7784A">
            <w:pPr>
              <w:pStyle w:val="Tabletext"/>
            </w:pPr>
            <w:r w:rsidRPr="0082789E">
              <w:lastRenderedPageBreak/>
              <w:t>Material use and circular economy</w:t>
            </w:r>
          </w:p>
        </w:tc>
        <w:tc>
          <w:tcPr>
            <w:tcW w:w="7237" w:type="dxa"/>
          </w:tcPr>
          <w:p w14:paraId="448C1C36" w14:textId="5314451A" w:rsidR="00D7784A" w:rsidRPr="00B514FC"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B514FC">
              <w:rPr>
                <w:szCs w:val="17"/>
              </w:rPr>
              <w:t>Develop designs that consider intensity of material usage, use non</w:t>
            </w:r>
            <w:r w:rsidR="00601819">
              <w:rPr>
                <w:szCs w:val="17"/>
              </w:rPr>
              <w:noBreakHyphen/>
            </w:r>
            <w:r w:rsidRPr="00B514FC">
              <w:rPr>
                <w:szCs w:val="17"/>
              </w:rPr>
              <w:t>virgin materials efficiently</w:t>
            </w:r>
            <w:r>
              <w:rPr>
                <w:szCs w:val="17"/>
              </w:rPr>
              <w:t xml:space="preserve"> (per the</w:t>
            </w:r>
            <w:r w:rsidRPr="006B434B">
              <w:rPr>
                <w:szCs w:val="17"/>
              </w:rPr>
              <w:t xml:space="preserve"> Recycled First policy</w:t>
            </w:r>
            <w:r>
              <w:rPr>
                <w:szCs w:val="17"/>
              </w:rPr>
              <w:t>)</w:t>
            </w:r>
            <w:r w:rsidRPr="00B514FC">
              <w:rPr>
                <w:szCs w:val="17"/>
              </w:rPr>
              <w:t>, avoid hazardous materials and waste (through minimisation and recycling to drive a more circular economy)</w:t>
            </w:r>
            <w:r w:rsidR="006E1EA2">
              <w:rPr>
                <w:szCs w:val="17"/>
              </w:rPr>
              <w:t>.</w:t>
            </w:r>
            <w:r w:rsidRPr="00B514FC">
              <w:rPr>
                <w:szCs w:val="17"/>
              </w:rPr>
              <w:t xml:space="preserve"> </w:t>
            </w:r>
          </w:p>
          <w:p w14:paraId="4E232480" w14:textId="705AE26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ED1591">
              <w:rPr>
                <w:rFonts w:eastAsia="Times New Roman" w:cs="Calibri"/>
                <w:bCs/>
                <w:color w:val="000000" w:themeColor="text1"/>
                <w:szCs w:val="17"/>
              </w:rPr>
              <w:t xml:space="preserve">Projects that sit within the more mature sustainable investment target levels should aim to pursue innovation and support capacity building/commercialisation of sustainable materials, </w:t>
            </w:r>
            <w:proofErr w:type="gramStart"/>
            <w:r w:rsidRPr="00ED1591">
              <w:rPr>
                <w:rFonts w:eastAsia="Times New Roman" w:cs="Calibri"/>
                <w:bCs/>
                <w:color w:val="000000" w:themeColor="text1"/>
                <w:szCs w:val="17"/>
              </w:rPr>
              <w:t>processes</w:t>
            </w:r>
            <w:proofErr w:type="gramEnd"/>
            <w:r w:rsidRPr="00ED1591">
              <w:rPr>
                <w:rFonts w:eastAsia="Times New Roman" w:cs="Calibri"/>
                <w:bCs/>
                <w:color w:val="000000" w:themeColor="text1"/>
                <w:szCs w:val="17"/>
              </w:rPr>
              <w:t xml:space="preserve"> and products/waste. </w:t>
            </w:r>
            <w:r>
              <w:rPr>
                <w:rFonts w:eastAsia="Times New Roman" w:cs="Calibri"/>
                <w:bCs/>
                <w:color w:val="000000" w:themeColor="text1"/>
                <w:szCs w:val="17"/>
              </w:rPr>
              <w:t>For example, traditionally noise barriers have usually been constructed from concrete, timber, steel, vegetation and earthworks, however non</w:t>
            </w:r>
            <w:r w:rsidR="00601819">
              <w:rPr>
                <w:rFonts w:eastAsia="Times New Roman" w:cs="Calibri"/>
                <w:bCs/>
                <w:color w:val="000000" w:themeColor="text1"/>
                <w:szCs w:val="17"/>
              </w:rPr>
              <w:noBreakHyphen/>
            </w:r>
            <w:r>
              <w:rPr>
                <w:rFonts w:eastAsia="Times New Roman" w:cs="Calibri"/>
                <w:bCs/>
                <w:color w:val="000000" w:themeColor="text1"/>
                <w:szCs w:val="17"/>
              </w:rPr>
              <w:t>virgin materials such as rubber, plastic and glass can be used as an alternative material in both vertical barriers and as fill within earthen noise barrier mounds and landscaping.</w:t>
            </w:r>
          </w:p>
          <w:p w14:paraId="353C1705" w14:textId="37A6CE3F" w:rsidR="00D7784A" w:rsidRPr="00ED1591" w:rsidRDefault="00D7784A" w:rsidP="00D7784A">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bCs/>
                <w:color w:val="000000" w:themeColor="text1"/>
                <w:szCs w:val="17"/>
              </w:rPr>
            </w:pPr>
            <w:r w:rsidRPr="00ED1591">
              <w:rPr>
                <w:rFonts w:eastAsia="Times New Roman" w:cs="Calibri"/>
                <w:bCs/>
                <w:color w:val="000000" w:themeColor="text1"/>
                <w:szCs w:val="17"/>
              </w:rPr>
              <w:t>Victorian government infrastructure investment can significantly impact demand through design, specification, proven field trials and volume demand reliability to give suppliers confidence to invest into producing/improving products such as non</w:t>
            </w:r>
            <w:r w:rsidR="00601819">
              <w:rPr>
                <w:rFonts w:eastAsia="Times New Roman" w:cs="Calibri"/>
                <w:bCs/>
                <w:color w:val="000000" w:themeColor="text1"/>
                <w:szCs w:val="17"/>
              </w:rPr>
              <w:noBreakHyphen/>
            </w:r>
            <w:r w:rsidRPr="00ED1591">
              <w:rPr>
                <w:rFonts w:eastAsia="Times New Roman" w:cs="Calibri"/>
                <w:bCs/>
                <w:color w:val="000000" w:themeColor="text1"/>
                <w:szCs w:val="17"/>
              </w:rPr>
              <w:t>virgin material</w:t>
            </w:r>
            <w:r w:rsidR="00F00708">
              <w:rPr>
                <w:rFonts w:eastAsia="Times New Roman" w:cs="Calibri"/>
                <w:bCs/>
                <w:color w:val="000000" w:themeColor="text1"/>
                <w:szCs w:val="17"/>
              </w:rPr>
              <w:t xml:space="preserve">. </w:t>
            </w:r>
            <w:r w:rsidRPr="00ED1591">
              <w:rPr>
                <w:rFonts w:eastAsia="Times New Roman" w:cs="Calibri"/>
                <w:bCs/>
                <w:color w:val="000000" w:themeColor="text1"/>
                <w:szCs w:val="17"/>
              </w:rPr>
              <w:t>Creating scale in demand for sustainability in materials usage will support longer</w:t>
            </w:r>
            <w:r w:rsidR="006E1EA2">
              <w:rPr>
                <w:rFonts w:eastAsia="Times New Roman" w:cs="Calibri"/>
                <w:bCs/>
                <w:color w:val="000000" w:themeColor="text1"/>
                <w:szCs w:val="17"/>
              </w:rPr>
              <w:t>-</w:t>
            </w:r>
            <w:r w:rsidRPr="00ED1591">
              <w:rPr>
                <w:rFonts w:eastAsia="Times New Roman" w:cs="Calibri"/>
                <w:bCs/>
                <w:color w:val="000000" w:themeColor="text1"/>
                <w:szCs w:val="17"/>
              </w:rPr>
              <w:t xml:space="preserve">term pricing benefits and contractor experience in use of alternative materials and construction techniques. Flagship project innovation can be also used to drive evolution in design and construction standards. </w:t>
            </w:r>
          </w:p>
        </w:tc>
      </w:tr>
      <w:tr w:rsidR="00D7784A" w:rsidRPr="005B12C5" w14:paraId="4D92B787" w14:textId="77777777" w:rsidTr="00D7784A">
        <w:trPr>
          <w:trHeight w:val="547"/>
        </w:trPr>
        <w:tc>
          <w:tcPr>
            <w:cnfStyle w:val="001000000000" w:firstRow="0" w:lastRow="0" w:firstColumn="1" w:lastColumn="0" w:oddVBand="0" w:evenVBand="0" w:oddHBand="0" w:evenHBand="0" w:firstRowFirstColumn="0" w:firstRowLastColumn="0" w:lastRowFirstColumn="0" w:lastRowLastColumn="0"/>
            <w:tcW w:w="1853" w:type="dxa"/>
            <w:hideMark/>
          </w:tcPr>
          <w:p w14:paraId="4554A9F2" w14:textId="77777777" w:rsidR="00D7784A" w:rsidRPr="0082789E" w:rsidRDefault="00D7784A" w:rsidP="00D7784A">
            <w:pPr>
              <w:pStyle w:val="Tabletext"/>
            </w:pPr>
            <w:r w:rsidRPr="0082789E">
              <w:t>Energy productivity and carbon emissions</w:t>
            </w:r>
          </w:p>
        </w:tc>
        <w:tc>
          <w:tcPr>
            <w:tcW w:w="7237" w:type="dxa"/>
          </w:tcPr>
          <w:p w14:paraId="5C0882E7" w14:textId="20469F79" w:rsidR="00D7784A" w:rsidRPr="00ED1591"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ED1591">
              <w:rPr>
                <w:szCs w:val="17"/>
              </w:rPr>
              <w:t>Develop designs that incorporate energy generation and use efficiency (for example trigeneration and illuminated signage powered by photovoltaic cells) and material intensity to reduce whole of life carbon emissions and energy consumption</w:t>
            </w:r>
            <w:r w:rsidR="006E1EA2">
              <w:rPr>
                <w:szCs w:val="17"/>
              </w:rPr>
              <w:t>.</w:t>
            </w:r>
          </w:p>
        </w:tc>
      </w:tr>
      <w:tr w:rsidR="00D7784A" w:rsidRPr="005B12C5" w14:paraId="0DC46401" w14:textId="77777777" w:rsidTr="00D7784A">
        <w:trPr>
          <w:trHeight w:val="628"/>
        </w:trPr>
        <w:tc>
          <w:tcPr>
            <w:cnfStyle w:val="001000000000" w:firstRow="0" w:lastRow="0" w:firstColumn="1" w:lastColumn="0" w:oddVBand="0" w:evenVBand="0" w:oddHBand="0" w:evenHBand="0" w:firstRowFirstColumn="0" w:firstRowLastColumn="0" w:lastRowFirstColumn="0" w:lastRowLastColumn="0"/>
            <w:tcW w:w="1853" w:type="dxa"/>
            <w:hideMark/>
          </w:tcPr>
          <w:p w14:paraId="10978732" w14:textId="77777777" w:rsidR="00D7784A" w:rsidRPr="0082789E" w:rsidRDefault="00D7784A" w:rsidP="00D7784A">
            <w:pPr>
              <w:pStyle w:val="Tabletext"/>
            </w:pPr>
            <w:r w:rsidRPr="0082789E">
              <w:t>Integrated water management</w:t>
            </w:r>
          </w:p>
        </w:tc>
        <w:tc>
          <w:tcPr>
            <w:tcW w:w="7237" w:type="dxa"/>
          </w:tcPr>
          <w:p w14:paraId="202A31C7" w14:textId="021D7DA6" w:rsidR="00D7784A" w:rsidRPr="001F0CE2" w:rsidRDefault="00D7784A" w:rsidP="00D7784A">
            <w:pPr>
              <w:pStyle w:val="Tabletext"/>
              <w:cnfStyle w:val="000000000000" w:firstRow="0" w:lastRow="0" w:firstColumn="0" w:lastColumn="0" w:oddVBand="0" w:evenVBand="0" w:oddHBand="0" w:evenHBand="0" w:firstRowFirstColumn="0" w:firstRowLastColumn="0" w:lastRowFirstColumn="0" w:lastRowLastColumn="0"/>
              <w:rPr>
                <w:szCs w:val="17"/>
              </w:rPr>
            </w:pPr>
            <w:r w:rsidRPr="001F0CE2">
              <w:rPr>
                <w:szCs w:val="17"/>
              </w:rPr>
              <w:t>Incorporate rainwater capture and use into designs which use non</w:t>
            </w:r>
            <w:r w:rsidR="00601819">
              <w:rPr>
                <w:szCs w:val="17"/>
              </w:rPr>
              <w:noBreakHyphen/>
            </w:r>
            <w:r w:rsidRPr="001F0CE2">
              <w:rPr>
                <w:szCs w:val="17"/>
              </w:rPr>
              <w:t>potable water for appropriate purposes and capture/manage water run</w:t>
            </w:r>
            <w:r w:rsidR="00601819">
              <w:rPr>
                <w:szCs w:val="17"/>
              </w:rPr>
              <w:noBreakHyphen/>
            </w:r>
            <w:r w:rsidRPr="001F0CE2">
              <w:rPr>
                <w:szCs w:val="17"/>
              </w:rPr>
              <w:t>off from the asset (including management of pollutants such as petrochemicals in roadway water run</w:t>
            </w:r>
            <w:r w:rsidR="006E1EA2">
              <w:rPr>
                <w:szCs w:val="17"/>
              </w:rPr>
              <w:t>-</w:t>
            </w:r>
            <w:r w:rsidRPr="001F0CE2">
              <w:rPr>
                <w:szCs w:val="17"/>
              </w:rPr>
              <w:t xml:space="preserve">off). </w:t>
            </w:r>
          </w:p>
        </w:tc>
      </w:tr>
      <w:tr w:rsidR="00D7784A" w:rsidRPr="005B12C5" w14:paraId="669BD01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53" w:type="dxa"/>
            <w:hideMark/>
          </w:tcPr>
          <w:p w14:paraId="423D437E" w14:textId="77777777" w:rsidR="00D7784A" w:rsidRPr="0082789E" w:rsidRDefault="00D7784A" w:rsidP="00F00708">
            <w:r w:rsidRPr="0082789E">
              <w:t>Environmental protection and enhancement</w:t>
            </w:r>
          </w:p>
        </w:tc>
        <w:tc>
          <w:tcPr>
            <w:tcW w:w="7237" w:type="dxa"/>
          </w:tcPr>
          <w:p w14:paraId="43531D67" w14:textId="77777777" w:rsidR="00D7784A" w:rsidRPr="001F0CE2" w:rsidRDefault="00D7784A" w:rsidP="00F00708">
            <w:pPr>
              <w:spacing w:after="60"/>
              <w:cnfStyle w:val="000000000000" w:firstRow="0" w:lastRow="0" w:firstColumn="0" w:lastColumn="0" w:oddVBand="0" w:evenVBand="0" w:oddHBand="0" w:evenHBand="0" w:firstRowFirstColumn="0" w:firstRowLastColumn="0" w:lastRowFirstColumn="0" w:lastRowLastColumn="0"/>
              <w:rPr>
                <w:szCs w:val="17"/>
              </w:rPr>
            </w:pPr>
            <w:r w:rsidRPr="001F0CE2">
              <w:rPr>
                <w:szCs w:val="17"/>
              </w:rPr>
              <w:t>Design and engineering can protect and enhance the environment in a vast range of ways. For example, the inclusion of native animal pathways to cross major road networks can significantly impact biodiversity and sustainability of indigenous populations. Capture/direction of rainwater towards gardens and parklands can reduce demand for potable water and support the growth of vegetation. Due diligence and design of assets such as roadways and inground infrastructure should consider environmental aspects such as remnant riparian woodlands and ecosystems (such as seasonal wetlands) required to support</w:t>
            </w:r>
            <w:r>
              <w:rPr>
                <w:szCs w:val="17"/>
              </w:rPr>
              <w:t xml:space="preserve"> the survival of</w:t>
            </w:r>
            <w:r w:rsidRPr="001F0CE2">
              <w:rPr>
                <w:szCs w:val="17"/>
              </w:rPr>
              <w:t xml:space="preserve"> migratory species.</w:t>
            </w:r>
          </w:p>
        </w:tc>
      </w:tr>
    </w:tbl>
    <w:p w14:paraId="48FC56E0" w14:textId="77777777" w:rsidR="00D7784A" w:rsidRPr="00EC5B5F" w:rsidRDefault="00D7784A" w:rsidP="001B4FCC">
      <w:pPr>
        <w:pStyle w:val="Heading3numbered"/>
      </w:pPr>
      <w:bookmarkStart w:id="1220" w:name="_Toc68769316"/>
      <w:r w:rsidRPr="00EC5B5F">
        <w:t>Construction</w:t>
      </w:r>
      <w:bookmarkEnd w:id="1220"/>
    </w:p>
    <w:p w14:paraId="70D689E1" w14:textId="51DD26E4" w:rsidR="00860DB3" w:rsidRDefault="00D7784A" w:rsidP="00D7784A">
      <w:pPr>
        <w:rPr>
          <w:lang w:eastAsia="en-US"/>
        </w:rPr>
      </w:pPr>
      <w:r w:rsidRPr="005E4813">
        <w:rPr>
          <w:lang w:eastAsia="en-US"/>
        </w:rPr>
        <w:t xml:space="preserve">Sustainable construction practices are often considered in terms of environmental impact. The SITs can be used to also promote social and economic sustainability arising from construction, as shown in </w:t>
      </w:r>
      <w:r w:rsidRPr="005E4813">
        <w:rPr>
          <w:lang w:eastAsia="en-US"/>
        </w:rPr>
        <w:fldChar w:fldCharType="begin"/>
      </w:r>
      <w:r w:rsidRPr="005E4813">
        <w:rPr>
          <w:lang w:eastAsia="en-US"/>
        </w:rPr>
        <w:instrText xml:space="preserve"> REF _Ref68619029 \h </w:instrText>
      </w:r>
      <w:r>
        <w:rPr>
          <w:lang w:eastAsia="en-US"/>
        </w:rPr>
        <w:instrText xml:space="preserve"> \* MERGEFORMAT </w:instrText>
      </w:r>
      <w:r w:rsidRPr="005E4813">
        <w:rPr>
          <w:lang w:eastAsia="en-US"/>
        </w:rPr>
      </w:r>
      <w:r w:rsidRPr="005E4813">
        <w:rPr>
          <w:lang w:eastAsia="en-US"/>
        </w:rPr>
        <w:fldChar w:fldCharType="separate"/>
      </w:r>
      <w:r w:rsidR="00FC7DAA">
        <w:t xml:space="preserve">Table </w:t>
      </w:r>
      <w:r w:rsidR="00FC7DAA">
        <w:rPr>
          <w:noProof/>
        </w:rPr>
        <w:t>19</w:t>
      </w:r>
      <w:r w:rsidRPr="005E4813">
        <w:rPr>
          <w:lang w:eastAsia="en-US"/>
        </w:rPr>
        <w:fldChar w:fldCharType="end"/>
      </w:r>
      <w:r w:rsidRPr="005E4813">
        <w:rPr>
          <w:lang w:eastAsia="en-US"/>
        </w:rPr>
        <w:t>.</w:t>
      </w:r>
    </w:p>
    <w:p w14:paraId="228B8390" w14:textId="0C1C30B2" w:rsidR="00D7784A" w:rsidRDefault="00D7784A" w:rsidP="00D7784A">
      <w:pPr>
        <w:pStyle w:val="Caption"/>
        <w:rPr>
          <w:lang w:eastAsia="en-US"/>
        </w:rPr>
      </w:pPr>
      <w:bookmarkStart w:id="1221" w:name="_Ref68619029"/>
      <w:bookmarkStart w:id="1222" w:name="_Ref68619021"/>
      <w:bookmarkStart w:id="1223" w:name="_Toc117258740"/>
      <w:r>
        <w:lastRenderedPageBreak/>
        <w:t xml:space="preserve">Table </w:t>
      </w:r>
      <w:r>
        <w:fldChar w:fldCharType="begin"/>
      </w:r>
      <w:r>
        <w:instrText>SEQ Table \* ARABIC</w:instrText>
      </w:r>
      <w:r>
        <w:fldChar w:fldCharType="separate"/>
      </w:r>
      <w:r w:rsidR="00FC7DAA">
        <w:rPr>
          <w:noProof/>
        </w:rPr>
        <w:t>19</w:t>
      </w:r>
      <w:r>
        <w:fldChar w:fldCharType="end"/>
      </w:r>
      <w:bookmarkEnd w:id="1221"/>
      <w:r w:rsidR="00F00708">
        <w:t xml:space="preserve"> – </w:t>
      </w:r>
      <w:r>
        <w:t>Sustainable construction examples</w:t>
      </w:r>
      <w:bookmarkEnd w:id="1222"/>
      <w:bookmarkEnd w:id="1223"/>
    </w:p>
    <w:tbl>
      <w:tblPr>
        <w:tblStyle w:val="Texttable"/>
        <w:tblW w:w="9090" w:type="dxa"/>
        <w:tblLook w:val="06A0" w:firstRow="1" w:lastRow="0" w:firstColumn="1" w:lastColumn="0" w:noHBand="1" w:noVBand="1"/>
      </w:tblPr>
      <w:tblGrid>
        <w:gridCol w:w="1853"/>
        <w:gridCol w:w="7237"/>
      </w:tblGrid>
      <w:tr w:rsidR="00D7784A" w:rsidRPr="005B12C5" w14:paraId="7EC531C0" w14:textId="77777777" w:rsidTr="00D7784A">
        <w:trPr>
          <w:cnfStyle w:val="100000000000" w:firstRow="1" w:lastRow="0" w:firstColumn="0" w:lastColumn="0" w:oddVBand="0" w:evenVBand="0" w:oddHBand="0" w:evenHBand="0" w:firstRowFirstColumn="0" w:firstRowLastColumn="0" w:lastRowFirstColumn="0" w:lastRowLastColumn="0"/>
          <w:trHeight w:val="371"/>
        </w:trPr>
        <w:tc>
          <w:tcPr>
            <w:cnfStyle w:val="001000000100" w:firstRow="0" w:lastRow="0" w:firstColumn="1" w:lastColumn="0" w:oddVBand="0" w:evenVBand="0" w:oddHBand="0" w:evenHBand="0" w:firstRowFirstColumn="1" w:firstRowLastColumn="0" w:lastRowFirstColumn="0" w:lastRowLastColumn="0"/>
            <w:tcW w:w="1853" w:type="dxa"/>
            <w:hideMark/>
          </w:tcPr>
          <w:p w14:paraId="4008D261" w14:textId="77777777" w:rsidR="00D7784A" w:rsidRPr="003F606D" w:rsidRDefault="00D7784A" w:rsidP="00D7784A">
            <w:pPr>
              <w:pStyle w:val="Tableheader"/>
            </w:pPr>
            <w:r w:rsidRPr="003F606D">
              <w:t>SIT</w:t>
            </w:r>
          </w:p>
        </w:tc>
        <w:tc>
          <w:tcPr>
            <w:tcW w:w="7237" w:type="dxa"/>
          </w:tcPr>
          <w:p w14:paraId="2D7BBB17" w14:textId="77777777" w:rsidR="00D7784A" w:rsidRPr="003F606D"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3F606D">
              <w:t xml:space="preserve">Sustainable Construction </w:t>
            </w:r>
          </w:p>
        </w:tc>
      </w:tr>
      <w:tr w:rsidR="00D7784A" w:rsidRPr="005B12C5" w14:paraId="68ECFA1A" w14:textId="77777777" w:rsidTr="00D7784A">
        <w:trPr>
          <w:trHeight w:val="460"/>
        </w:trPr>
        <w:tc>
          <w:tcPr>
            <w:cnfStyle w:val="001000000000" w:firstRow="0" w:lastRow="0" w:firstColumn="1" w:lastColumn="0" w:oddVBand="0" w:evenVBand="0" w:oddHBand="0" w:evenHBand="0" w:firstRowFirstColumn="0" w:firstRowLastColumn="0" w:lastRowFirstColumn="0" w:lastRowLastColumn="0"/>
            <w:tcW w:w="1853" w:type="dxa"/>
            <w:hideMark/>
          </w:tcPr>
          <w:p w14:paraId="6E128F21" w14:textId="488BE029" w:rsidR="00D7784A" w:rsidRPr="0082789E" w:rsidRDefault="00D7784A" w:rsidP="00D7784A">
            <w:pPr>
              <w:pStyle w:val="Tabletext"/>
            </w:pPr>
            <w:r w:rsidRPr="0082789E">
              <w:t>Cultural heritage</w:t>
            </w:r>
          </w:p>
        </w:tc>
        <w:tc>
          <w:tcPr>
            <w:tcW w:w="7237" w:type="dxa"/>
          </w:tcPr>
          <w:p w14:paraId="5909D2E8" w14:textId="77777777"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 xml:space="preserve">Cordon off areas and manage impacts to protect sites of significant heritage value </w:t>
            </w:r>
          </w:p>
        </w:tc>
      </w:tr>
      <w:tr w:rsidR="00D7784A" w:rsidRPr="005B12C5" w14:paraId="4D4C3191" w14:textId="77777777" w:rsidTr="00D7784A">
        <w:trPr>
          <w:trHeight w:val="460"/>
        </w:trPr>
        <w:tc>
          <w:tcPr>
            <w:cnfStyle w:val="001000000000" w:firstRow="0" w:lastRow="0" w:firstColumn="1" w:lastColumn="0" w:oddVBand="0" w:evenVBand="0" w:oddHBand="0" w:evenHBand="0" w:firstRowFirstColumn="0" w:firstRowLastColumn="0" w:lastRowFirstColumn="0" w:lastRowLastColumn="0"/>
            <w:tcW w:w="1853" w:type="dxa"/>
            <w:hideMark/>
          </w:tcPr>
          <w:p w14:paraId="66439FE5" w14:textId="77777777" w:rsidR="00D7784A" w:rsidRPr="0082789E" w:rsidRDefault="00D7784A" w:rsidP="00D7784A">
            <w:pPr>
              <w:pStyle w:val="Tabletext"/>
            </w:pPr>
            <w:r w:rsidRPr="0082789E">
              <w:t>Liveability</w:t>
            </w:r>
          </w:p>
        </w:tc>
        <w:tc>
          <w:tcPr>
            <w:tcW w:w="7237" w:type="dxa"/>
          </w:tcPr>
          <w:p w14:paraId="4B59F5F9" w14:textId="16BAC939"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Offsite/modularised construction can assist in maintaining amenity and health of the community by minimis</w:t>
            </w:r>
            <w:r>
              <w:t>ing</w:t>
            </w:r>
            <w:r w:rsidRPr="0082789E">
              <w:t xml:space="preserve"> construction related noise, dust, </w:t>
            </w:r>
            <w:proofErr w:type="gramStart"/>
            <w:r w:rsidRPr="0082789E">
              <w:t>pollution</w:t>
            </w:r>
            <w:proofErr w:type="gramEnd"/>
            <w:r w:rsidRPr="0082789E">
              <w:t xml:space="preserve"> and movements to/from site</w:t>
            </w:r>
            <w:r w:rsidR="00F00708">
              <w:t xml:space="preserve">. </w:t>
            </w:r>
            <w:r w:rsidRPr="008660E2">
              <w:t>Benefits can also include waste reduction, inclement weather impact on schedule, and quality control.</w:t>
            </w:r>
          </w:p>
          <w:p w14:paraId="553E2CDE" w14:textId="78069B52"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Consider sourcing strategies/supply chain to enhance social and economic outcomes arising from construction activity, including the development of capability and capacity</w:t>
            </w:r>
            <w:r w:rsidR="006E1EA2">
              <w:t>.</w:t>
            </w:r>
          </w:p>
        </w:tc>
      </w:tr>
      <w:tr w:rsidR="00D7784A" w:rsidRPr="005B12C5" w14:paraId="7632E691" w14:textId="77777777" w:rsidTr="00D7784A">
        <w:trPr>
          <w:trHeight w:val="485"/>
        </w:trPr>
        <w:tc>
          <w:tcPr>
            <w:cnfStyle w:val="001000000000" w:firstRow="0" w:lastRow="0" w:firstColumn="1" w:lastColumn="0" w:oddVBand="0" w:evenVBand="0" w:oddHBand="0" w:evenHBand="0" w:firstRowFirstColumn="0" w:firstRowLastColumn="0" w:lastRowFirstColumn="0" w:lastRowLastColumn="0"/>
            <w:tcW w:w="1853" w:type="dxa"/>
            <w:hideMark/>
          </w:tcPr>
          <w:p w14:paraId="7F16573F" w14:textId="77777777" w:rsidR="00D7784A" w:rsidRPr="0082789E" w:rsidRDefault="00D7784A" w:rsidP="00D7784A">
            <w:pPr>
              <w:pStyle w:val="Tabletext"/>
            </w:pPr>
            <w:r w:rsidRPr="0082789E">
              <w:t>Transport, access, and connectivity</w:t>
            </w:r>
          </w:p>
        </w:tc>
        <w:tc>
          <w:tcPr>
            <w:tcW w:w="7237" w:type="dxa"/>
          </w:tcPr>
          <w:p w14:paraId="171E0858" w14:textId="77777777"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Plan and provide suitable alternative transport. access and connectivity for the community during construction.</w:t>
            </w:r>
          </w:p>
        </w:tc>
      </w:tr>
      <w:tr w:rsidR="00D7784A" w:rsidRPr="005B12C5" w14:paraId="04FBAE3B" w14:textId="77777777" w:rsidTr="00D7784A">
        <w:trPr>
          <w:trHeight w:val="491"/>
        </w:trPr>
        <w:tc>
          <w:tcPr>
            <w:cnfStyle w:val="001000000000" w:firstRow="0" w:lastRow="0" w:firstColumn="1" w:lastColumn="0" w:oddVBand="0" w:evenVBand="0" w:oddHBand="0" w:evenHBand="0" w:firstRowFirstColumn="0" w:firstRowLastColumn="0" w:lastRowFirstColumn="0" w:lastRowLastColumn="0"/>
            <w:tcW w:w="1853" w:type="dxa"/>
            <w:hideMark/>
          </w:tcPr>
          <w:p w14:paraId="19C43746" w14:textId="77777777" w:rsidR="00D7784A" w:rsidRPr="0082789E" w:rsidRDefault="00D7784A" w:rsidP="00D7784A">
            <w:pPr>
              <w:pStyle w:val="Tabletext"/>
            </w:pPr>
            <w:r w:rsidRPr="0082789E">
              <w:t>Material use and circular economy</w:t>
            </w:r>
          </w:p>
        </w:tc>
        <w:tc>
          <w:tcPr>
            <w:tcW w:w="7237" w:type="dxa"/>
          </w:tcPr>
          <w:p w14:paraId="17892FCE" w14:textId="3370F5ED"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non</w:t>
            </w:r>
            <w:r w:rsidR="00601819">
              <w:noBreakHyphen/>
            </w:r>
            <w:r w:rsidRPr="0082789E">
              <w:t>virgin materials efficiently, avoid hazardous materials and waste (through minimisation and recycling to drive a more circular economy)</w:t>
            </w:r>
            <w:r w:rsidR="006E1EA2">
              <w:t>.</w:t>
            </w:r>
            <w:r w:rsidRPr="0082789E">
              <w:t xml:space="preserve"> </w:t>
            </w:r>
          </w:p>
        </w:tc>
      </w:tr>
      <w:tr w:rsidR="00D7784A" w:rsidRPr="005B12C5" w14:paraId="11A73E4C" w14:textId="77777777" w:rsidTr="00D7784A">
        <w:trPr>
          <w:trHeight w:val="547"/>
        </w:trPr>
        <w:tc>
          <w:tcPr>
            <w:cnfStyle w:val="001000000000" w:firstRow="0" w:lastRow="0" w:firstColumn="1" w:lastColumn="0" w:oddVBand="0" w:evenVBand="0" w:oddHBand="0" w:evenHBand="0" w:firstRowFirstColumn="0" w:firstRowLastColumn="0" w:lastRowFirstColumn="0" w:lastRowLastColumn="0"/>
            <w:tcW w:w="1853" w:type="dxa"/>
            <w:hideMark/>
          </w:tcPr>
          <w:p w14:paraId="4657D058" w14:textId="77777777" w:rsidR="00D7784A" w:rsidRPr="0082789E" w:rsidRDefault="00D7784A" w:rsidP="00D7784A">
            <w:pPr>
              <w:pStyle w:val="Tabletext"/>
            </w:pPr>
            <w:r w:rsidRPr="0082789E">
              <w:t>Energy productivity and carbon emissions</w:t>
            </w:r>
          </w:p>
        </w:tc>
        <w:tc>
          <w:tcPr>
            <w:tcW w:w="7237" w:type="dxa"/>
          </w:tcPr>
          <w:p w14:paraId="31E0A1AD" w14:textId="111D4FB0"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materials and construction methods that result in reduced whole of life carbon emissions and energy consumption</w:t>
            </w:r>
            <w:r w:rsidR="006E1EA2">
              <w:t>.</w:t>
            </w:r>
          </w:p>
        </w:tc>
      </w:tr>
      <w:tr w:rsidR="00D7784A" w:rsidRPr="005B12C5" w14:paraId="77EC7F6F" w14:textId="77777777" w:rsidTr="00D7784A">
        <w:trPr>
          <w:trHeight w:val="628"/>
        </w:trPr>
        <w:tc>
          <w:tcPr>
            <w:cnfStyle w:val="001000000000" w:firstRow="0" w:lastRow="0" w:firstColumn="1" w:lastColumn="0" w:oddVBand="0" w:evenVBand="0" w:oddHBand="0" w:evenHBand="0" w:firstRowFirstColumn="0" w:firstRowLastColumn="0" w:lastRowFirstColumn="0" w:lastRowLastColumn="0"/>
            <w:tcW w:w="1853" w:type="dxa"/>
            <w:hideMark/>
          </w:tcPr>
          <w:p w14:paraId="580D91EB" w14:textId="77777777" w:rsidR="00D7784A" w:rsidRPr="0082789E" w:rsidRDefault="00D7784A" w:rsidP="00D7784A">
            <w:pPr>
              <w:pStyle w:val="Tabletext"/>
            </w:pPr>
            <w:r w:rsidRPr="0082789E">
              <w:t>Integrated water management</w:t>
            </w:r>
          </w:p>
        </w:tc>
        <w:tc>
          <w:tcPr>
            <w:tcW w:w="7237" w:type="dxa"/>
          </w:tcPr>
          <w:p w14:paraId="1BA3D9F0" w14:textId="0BC225E3"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Use non</w:t>
            </w:r>
            <w:r w:rsidR="00601819">
              <w:noBreakHyphen/>
            </w:r>
            <w:r w:rsidRPr="0082789E">
              <w:t>potable water for appropriate site and construction purposes and capture/manage water run</w:t>
            </w:r>
            <w:r w:rsidR="00601819">
              <w:noBreakHyphen/>
            </w:r>
            <w:r w:rsidRPr="0082789E">
              <w:t xml:space="preserve">off and resultant potential erosion. </w:t>
            </w:r>
          </w:p>
        </w:tc>
      </w:tr>
      <w:tr w:rsidR="00D7784A" w:rsidRPr="005B12C5" w14:paraId="4469D24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53" w:type="dxa"/>
            <w:hideMark/>
          </w:tcPr>
          <w:p w14:paraId="46E1CED1" w14:textId="77777777" w:rsidR="00D7784A" w:rsidRPr="0082789E" w:rsidRDefault="00D7784A" w:rsidP="00D7784A">
            <w:pPr>
              <w:pStyle w:val="Tabletext"/>
            </w:pPr>
            <w:r w:rsidRPr="0082789E">
              <w:t>Environmental protection and enhancement</w:t>
            </w:r>
          </w:p>
        </w:tc>
        <w:tc>
          <w:tcPr>
            <w:tcW w:w="7237" w:type="dxa"/>
          </w:tcPr>
          <w:p w14:paraId="5FC80DC0" w14:textId="232D4453"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Minimise construction</w:t>
            </w:r>
            <w:r w:rsidR="006E1EA2">
              <w:t>-</w:t>
            </w:r>
            <w:r w:rsidRPr="0082789E">
              <w:t>related noise, dust, pollution, and harm to ecosystems</w:t>
            </w:r>
            <w:r w:rsidR="006E1EA2">
              <w:t>.</w:t>
            </w:r>
          </w:p>
          <w:p w14:paraId="18C4792F" w14:textId="7178E9EA" w:rsidR="00D7784A" w:rsidRPr="0082789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2789E">
              <w:t>Spoil management plan should include waste minimisation and treatment/reuse of waste including spoil (including on</w:t>
            </w:r>
            <w:r w:rsidR="00601819">
              <w:noBreakHyphen/>
            </w:r>
            <w:r w:rsidRPr="0082789E">
              <w:t>site treatment options).</w:t>
            </w:r>
          </w:p>
        </w:tc>
      </w:tr>
    </w:tbl>
    <w:p w14:paraId="43C591AA" w14:textId="77777777" w:rsidR="00D7784A" w:rsidRPr="00EC5B5F" w:rsidRDefault="00D7784A" w:rsidP="001B4FCC">
      <w:pPr>
        <w:pStyle w:val="Heading3numbered"/>
      </w:pPr>
      <w:bookmarkStart w:id="1224" w:name="_Toc68769317"/>
      <w:r w:rsidRPr="00EC5B5F">
        <w:t>Commissioning and h</w:t>
      </w:r>
      <w:r w:rsidRPr="009B2B67">
        <w:t>andover</w:t>
      </w:r>
      <w:bookmarkEnd w:id="1224"/>
    </w:p>
    <w:p w14:paraId="0D71F3B6" w14:textId="77777777" w:rsidR="00D7784A" w:rsidRDefault="00D7784A" w:rsidP="00D7784A">
      <w:pPr>
        <w:rPr>
          <w:lang w:eastAsia="en-US"/>
        </w:rPr>
      </w:pPr>
      <w:r>
        <w:rPr>
          <w:lang w:eastAsia="en-US"/>
        </w:rPr>
        <w:t xml:space="preserve">Inadequate and/or incomplete handover of sustainability related data has been identified as a key risk for benefit realisation associated with sustainability initiatives as sustainability features have ongoing operational or maintenance requirements. </w:t>
      </w:r>
    </w:p>
    <w:p w14:paraId="679F557F" w14:textId="77777777" w:rsidR="00D7784A" w:rsidRDefault="00D7784A" w:rsidP="00D7784A">
      <w:pPr>
        <w:rPr>
          <w:lang w:eastAsia="en-US"/>
        </w:rPr>
      </w:pPr>
      <w:r>
        <w:rPr>
          <w:lang w:eastAsia="en-US"/>
        </w:rPr>
        <w:t xml:space="preserve">The project team must include all relevant information in the handover manual and digital asset information to enable operational, warranty, </w:t>
      </w:r>
      <w:proofErr w:type="gramStart"/>
      <w:r>
        <w:rPr>
          <w:lang w:eastAsia="en-US"/>
        </w:rPr>
        <w:t>maintenance</w:t>
      </w:r>
      <w:proofErr w:type="gramEnd"/>
      <w:r>
        <w:rPr>
          <w:lang w:eastAsia="en-US"/>
        </w:rPr>
        <w:t xml:space="preserve"> and future modification </w:t>
      </w:r>
      <w:r w:rsidRPr="00E461B8">
        <w:rPr>
          <w:lang w:eastAsia="en-US"/>
        </w:rPr>
        <w:t xml:space="preserve">requirements </w:t>
      </w:r>
      <w:r>
        <w:rPr>
          <w:lang w:eastAsia="en-US"/>
        </w:rPr>
        <w:t>to be managed sustainably and efficiently. R</w:t>
      </w:r>
      <w:r w:rsidRPr="00AA0AA9">
        <w:rPr>
          <w:lang w:eastAsia="en-US"/>
        </w:rPr>
        <w:t xml:space="preserve">elevant rating tool information and </w:t>
      </w:r>
      <w:r>
        <w:rPr>
          <w:lang w:eastAsia="en-US"/>
        </w:rPr>
        <w:t xml:space="preserve">asset performance monitoring and </w:t>
      </w:r>
      <w:r w:rsidRPr="00AA0AA9">
        <w:rPr>
          <w:lang w:eastAsia="en-US"/>
        </w:rPr>
        <w:t xml:space="preserve">reporting requirements against targets </w:t>
      </w:r>
      <w:r>
        <w:rPr>
          <w:lang w:eastAsia="en-US"/>
        </w:rPr>
        <w:t xml:space="preserve">in the </w:t>
      </w:r>
      <w:r w:rsidRPr="00E461B8">
        <w:rPr>
          <w:lang w:eastAsia="en-US"/>
        </w:rPr>
        <w:t>benefits management plan</w:t>
      </w:r>
      <w:r>
        <w:rPr>
          <w:lang w:eastAsia="en-US"/>
        </w:rPr>
        <w:t xml:space="preserve"> must be included in the information </w:t>
      </w:r>
      <w:r w:rsidRPr="00AA0AA9">
        <w:rPr>
          <w:lang w:eastAsia="en-US"/>
        </w:rPr>
        <w:t>transferred to the operator.</w:t>
      </w:r>
    </w:p>
    <w:p w14:paraId="669FD4CF" w14:textId="73532B72" w:rsidR="00D7784A" w:rsidRDefault="00D7784A" w:rsidP="00D7784A">
      <w:pPr>
        <w:rPr>
          <w:lang w:eastAsia="en-US"/>
        </w:rPr>
      </w:pPr>
      <w:r w:rsidRPr="00E13309">
        <w:rPr>
          <w:lang w:eastAsia="en-US"/>
        </w:rPr>
        <w:lastRenderedPageBreak/>
        <w:t xml:space="preserve">Progressive defects management, testing and acceptance processes can be particularly useful where an </w:t>
      </w:r>
      <w:r w:rsidR="00F00708">
        <w:rPr>
          <w:lang w:eastAsia="en-US"/>
        </w:rPr>
        <w:t>‘</w:t>
      </w:r>
      <w:r w:rsidRPr="00E13309">
        <w:rPr>
          <w:lang w:eastAsia="en-US"/>
        </w:rPr>
        <w:t>as built</w:t>
      </w:r>
      <w:r w:rsidR="00F00708">
        <w:rPr>
          <w:lang w:eastAsia="en-US"/>
        </w:rPr>
        <w:t>’</w:t>
      </w:r>
      <w:r w:rsidRPr="00E13309">
        <w:rPr>
          <w:lang w:eastAsia="en-US"/>
        </w:rPr>
        <w:t xml:space="preserve"> environmental rating is being pursued. Responsibilities within the rating certification process should be articulated </w:t>
      </w:r>
      <w:r w:rsidR="00965764">
        <w:rPr>
          <w:lang w:eastAsia="en-US"/>
        </w:rPr>
        <w:t>before</w:t>
      </w:r>
      <w:r w:rsidRPr="00E13309">
        <w:rPr>
          <w:lang w:eastAsia="en-US"/>
        </w:rPr>
        <w:t xml:space="preserve"> formal handover, and best endeavours undertaken to work towards certification even though responsibility for the asset to meet the rating specification resides with the contractor(s).</w:t>
      </w:r>
      <w:r>
        <w:rPr>
          <w:lang w:eastAsia="en-US"/>
        </w:rPr>
        <w:t xml:space="preserve"> It is important that parties understand and resolve any sustainability performance issues that may arise if post</w:t>
      </w:r>
      <w:r w:rsidR="00601819">
        <w:rPr>
          <w:lang w:eastAsia="en-US"/>
        </w:rPr>
        <w:noBreakHyphen/>
      </w:r>
      <w:r>
        <w:rPr>
          <w:lang w:eastAsia="en-US"/>
        </w:rPr>
        <w:t xml:space="preserve">construction practices seek to vary the intended use of assets (including those that align with the </w:t>
      </w:r>
      <w:r w:rsidR="006E1EA2" w:rsidRPr="00494844">
        <w:t>Asset Management Accountability Framework</w:t>
      </w:r>
      <w:r>
        <w:rPr>
          <w:lang w:eastAsia="en-US"/>
        </w:rPr>
        <w:t>), for example:</w:t>
      </w:r>
    </w:p>
    <w:p w14:paraId="1CB3E3B7" w14:textId="77777777" w:rsidR="00D7784A" w:rsidRDefault="00D7784A" w:rsidP="00D7784A">
      <w:pPr>
        <w:numPr>
          <w:ilvl w:val="0"/>
          <w:numId w:val="4"/>
        </w:numPr>
      </w:pPr>
      <w:r>
        <w:t>Converting part of an office floor to accommodate a new computer server room will impact electricity usage associated with both the equipment and the additional cooling required.</w:t>
      </w:r>
    </w:p>
    <w:p w14:paraId="3C33A724" w14:textId="77777777" w:rsidR="00D7784A" w:rsidRPr="005D58D2" w:rsidRDefault="00D7784A" w:rsidP="00D7784A">
      <w:pPr>
        <w:numPr>
          <w:ilvl w:val="0"/>
          <w:numId w:val="4"/>
        </w:numPr>
      </w:pPr>
      <w:r>
        <w:t>Extending a building to provide a new indoor recreational area may result in the partial removal of a landscaped park and pathways, thereby reducing accessibility and liveability.</w:t>
      </w:r>
      <w:bookmarkStart w:id="1225" w:name="_Toc66195326"/>
      <w:bookmarkStart w:id="1226" w:name="_Toc66460175"/>
      <w:bookmarkStart w:id="1227" w:name="_Toc66709522"/>
      <w:bookmarkStart w:id="1228" w:name="_Toc66713887"/>
      <w:bookmarkStart w:id="1229" w:name="_Toc66806438"/>
      <w:bookmarkStart w:id="1230" w:name="_Toc66863886"/>
      <w:bookmarkStart w:id="1231" w:name="_Toc66864200"/>
      <w:bookmarkStart w:id="1232" w:name="_Toc66866384"/>
      <w:bookmarkStart w:id="1233" w:name="_Toc66868168"/>
      <w:bookmarkStart w:id="1234" w:name="_Toc67925362"/>
      <w:bookmarkStart w:id="1235" w:name="_Toc67926390"/>
      <w:bookmarkStart w:id="1236" w:name="_Toc67927029"/>
      <w:bookmarkStart w:id="1237" w:name="_Toc68006782"/>
      <w:bookmarkStart w:id="1238" w:name="_Toc68007116"/>
      <w:bookmarkStart w:id="1239" w:name="_Toc68007450"/>
      <w:bookmarkStart w:id="1240" w:name="_Toc68007801"/>
      <w:bookmarkStart w:id="1241" w:name="_Toc68008140"/>
      <w:bookmarkStart w:id="1242" w:name="_Toc68008474"/>
      <w:bookmarkStart w:id="1243" w:name="_Toc68008811"/>
      <w:bookmarkStart w:id="1244" w:name="_Toc68071532"/>
      <w:bookmarkStart w:id="1245" w:name="_Toc68071866"/>
      <w:bookmarkStart w:id="1246" w:name="_Toc68072200"/>
      <w:bookmarkStart w:id="1247" w:name="_Toc68074636"/>
      <w:bookmarkStart w:id="1248" w:name="_Toc68074976"/>
      <w:bookmarkStart w:id="1249" w:name="_Toc68075310"/>
      <w:bookmarkStart w:id="1250" w:name="_Toc68075739"/>
      <w:bookmarkStart w:id="1251" w:name="_Toc68076073"/>
      <w:bookmarkStart w:id="1252" w:name="_Toc66195327"/>
      <w:bookmarkStart w:id="1253" w:name="_Toc66460176"/>
      <w:bookmarkStart w:id="1254" w:name="_Toc66709523"/>
      <w:bookmarkStart w:id="1255" w:name="_Toc66713888"/>
      <w:bookmarkStart w:id="1256" w:name="_Toc66806439"/>
      <w:bookmarkStart w:id="1257" w:name="_Toc66863887"/>
      <w:bookmarkStart w:id="1258" w:name="_Toc66864201"/>
      <w:bookmarkStart w:id="1259" w:name="_Toc66866385"/>
      <w:bookmarkStart w:id="1260" w:name="_Toc66868169"/>
      <w:bookmarkStart w:id="1261" w:name="_Toc67925363"/>
      <w:bookmarkStart w:id="1262" w:name="_Toc67926391"/>
      <w:bookmarkStart w:id="1263" w:name="_Toc67927030"/>
      <w:bookmarkStart w:id="1264" w:name="_Toc68006783"/>
      <w:bookmarkStart w:id="1265" w:name="_Toc68007117"/>
      <w:bookmarkStart w:id="1266" w:name="_Toc68007451"/>
      <w:bookmarkStart w:id="1267" w:name="_Toc68007802"/>
      <w:bookmarkStart w:id="1268" w:name="_Toc68008141"/>
      <w:bookmarkStart w:id="1269" w:name="_Toc68008475"/>
      <w:bookmarkStart w:id="1270" w:name="_Toc68008812"/>
      <w:bookmarkStart w:id="1271" w:name="_Toc68071533"/>
      <w:bookmarkStart w:id="1272" w:name="_Toc68071867"/>
      <w:bookmarkStart w:id="1273" w:name="_Toc68072201"/>
      <w:bookmarkStart w:id="1274" w:name="_Toc68074637"/>
      <w:bookmarkStart w:id="1275" w:name="_Toc68074977"/>
      <w:bookmarkStart w:id="1276" w:name="_Toc68075311"/>
      <w:bookmarkStart w:id="1277" w:name="_Toc68075740"/>
      <w:bookmarkStart w:id="1278" w:name="_Toc68076074"/>
      <w:bookmarkStart w:id="1279" w:name="_Toc66195328"/>
      <w:bookmarkStart w:id="1280" w:name="_Toc66460177"/>
      <w:bookmarkStart w:id="1281" w:name="_Toc66709524"/>
      <w:bookmarkStart w:id="1282" w:name="_Toc66713889"/>
      <w:bookmarkStart w:id="1283" w:name="_Toc66806440"/>
      <w:bookmarkStart w:id="1284" w:name="_Toc66863888"/>
      <w:bookmarkStart w:id="1285" w:name="_Toc66864202"/>
      <w:bookmarkStart w:id="1286" w:name="_Toc66866386"/>
      <w:bookmarkStart w:id="1287" w:name="_Toc66868170"/>
      <w:bookmarkStart w:id="1288" w:name="_Toc67925364"/>
      <w:bookmarkStart w:id="1289" w:name="_Toc67926392"/>
      <w:bookmarkStart w:id="1290" w:name="_Toc67927031"/>
      <w:bookmarkStart w:id="1291" w:name="_Toc68006784"/>
      <w:bookmarkStart w:id="1292" w:name="_Toc68007118"/>
      <w:bookmarkStart w:id="1293" w:name="_Toc68007452"/>
      <w:bookmarkStart w:id="1294" w:name="_Toc68007803"/>
      <w:bookmarkStart w:id="1295" w:name="_Toc68008142"/>
      <w:bookmarkStart w:id="1296" w:name="_Toc68008476"/>
      <w:bookmarkStart w:id="1297" w:name="_Toc68008813"/>
      <w:bookmarkStart w:id="1298" w:name="_Toc68071534"/>
      <w:bookmarkStart w:id="1299" w:name="_Toc68071868"/>
      <w:bookmarkStart w:id="1300" w:name="_Toc68072202"/>
      <w:bookmarkStart w:id="1301" w:name="_Toc68074638"/>
      <w:bookmarkStart w:id="1302" w:name="_Toc68074978"/>
      <w:bookmarkStart w:id="1303" w:name="_Toc68075312"/>
      <w:bookmarkStart w:id="1304" w:name="_Toc68075741"/>
      <w:bookmarkStart w:id="1305" w:name="_Toc68076075"/>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t xml:space="preserve"> </w:t>
      </w:r>
    </w:p>
    <w:p w14:paraId="5A43B72A" w14:textId="674F219B" w:rsidR="00D7784A" w:rsidRDefault="00D7784A" w:rsidP="00D7784A">
      <w:pPr>
        <w:pStyle w:val="Heading1"/>
      </w:pPr>
      <w:bookmarkStart w:id="1306" w:name="_Toc68769318"/>
      <w:bookmarkStart w:id="1307" w:name="_Toc117258707"/>
      <w:r>
        <w:t>References</w:t>
      </w:r>
      <w:bookmarkEnd w:id="1306"/>
      <w:bookmarkEnd w:id="1307"/>
    </w:p>
    <w:p w14:paraId="7E4FBC0D" w14:textId="77777777" w:rsidR="00D7784A" w:rsidRPr="009B2B67" w:rsidRDefault="00D7784A" w:rsidP="00D7784A">
      <w:pPr>
        <w:rPr>
          <w:lang w:eastAsia="en-US"/>
        </w:rPr>
      </w:pPr>
      <w:r>
        <w:rPr>
          <w:lang w:eastAsia="en-US"/>
        </w:rPr>
        <w:t>This reference list includes papers and research used to inform the development of these guidelines. Details of selected Victorian Government investment policies, guidelines and tools are provided in the Glossary; and appendices summarise a range of sustainability rating tools and l</w:t>
      </w:r>
      <w:r w:rsidRPr="009B2B67">
        <w:rPr>
          <w:lang w:eastAsia="en-US"/>
        </w:rPr>
        <w:t xml:space="preserve">egislation and policies </w:t>
      </w:r>
      <w:r>
        <w:rPr>
          <w:lang w:eastAsia="en-US"/>
        </w:rPr>
        <w:t>that support</w:t>
      </w:r>
      <w:r w:rsidRPr="009B2B67">
        <w:rPr>
          <w:lang w:eastAsia="en-US"/>
        </w:rPr>
        <w:t xml:space="preserve"> </w:t>
      </w:r>
      <w:r>
        <w:rPr>
          <w:lang w:eastAsia="en-US"/>
        </w:rPr>
        <w:t>SITs.</w:t>
      </w:r>
      <w:r w:rsidRPr="00A77447">
        <w:t xml:space="preserve"> </w:t>
      </w:r>
    </w:p>
    <w:p w14:paraId="53EE3E53" w14:textId="77777777" w:rsidR="00D7784A" w:rsidRDefault="00D7784A" w:rsidP="00D7784A">
      <w:r w:rsidRPr="00A56685">
        <w:rPr>
          <w:i/>
          <w:iCs/>
        </w:rPr>
        <w:t>National Strategy for Ecologically Sustainable Development</w:t>
      </w:r>
      <w:r>
        <w:t xml:space="preserve"> Prepared by the Ecologically Sustainable Development Steering Committee, Endorsed by the Council of Australian Governments </w:t>
      </w:r>
      <w:proofErr w:type="gramStart"/>
      <w:r>
        <w:t>December,</w:t>
      </w:r>
      <w:proofErr w:type="gramEnd"/>
      <w:r>
        <w:t xml:space="preserve"> 1992</w:t>
      </w:r>
    </w:p>
    <w:p w14:paraId="6C36EABD" w14:textId="4B1E833B" w:rsidR="00A16A0B" w:rsidRDefault="00D7784A" w:rsidP="00D7784A">
      <w:r>
        <w:t xml:space="preserve">CIBSE. (2015). The </w:t>
      </w:r>
      <w:proofErr w:type="gramStart"/>
      <w:r>
        <w:t>Soft Landing</w:t>
      </w:r>
      <w:proofErr w:type="gramEnd"/>
      <w:r>
        <w:t xml:space="preserve"> Framework</w:t>
      </w:r>
      <w:r w:rsidR="00F00708">
        <w:t xml:space="preserve"> – </w:t>
      </w:r>
      <w:r>
        <w:t xml:space="preserve">Australia &amp; New Zealand. Retrieved from </w:t>
      </w:r>
      <w:hyperlink r:id="rId57" w:history="1">
        <w:r w:rsidR="00A16A0B" w:rsidRPr="00EA217F">
          <w:rPr>
            <w:rStyle w:val="Hyperlink"/>
          </w:rPr>
          <w:t>https://www.cibse.org/networks/regions/australia-new-zealand/anz-regional-news/anz-regional-news-archive/the-soft-landing-framework-australia-new-zealand-m</w:t>
        </w:r>
      </w:hyperlink>
      <w:r w:rsidR="00A16A0B">
        <w:t xml:space="preserve"> </w:t>
      </w:r>
    </w:p>
    <w:p w14:paraId="41FB7EB4" w14:textId="499E1C30" w:rsidR="00D7784A" w:rsidRDefault="00D7784A" w:rsidP="00D7784A">
      <w:proofErr w:type="spellStart"/>
      <w:r>
        <w:t>ClimateWorks</w:t>
      </w:r>
      <w:proofErr w:type="spellEnd"/>
      <w:r>
        <w:t xml:space="preserve"> Australia. (2020, March). Reshaping Infrastructure for a Net Zero Emissions Future. Retrieved from </w:t>
      </w:r>
      <w:proofErr w:type="spellStart"/>
      <w:r>
        <w:t>ClimateWorks</w:t>
      </w:r>
      <w:proofErr w:type="spellEnd"/>
      <w:r>
        <w:t xml:space="preserve"> Australia: </w:t>
      </w:r>
      <w:r w:rsidRPr="00A16A0B">
        <w:rPr>
          <w:rStyle w:val="Hyperlink"/>
        </w:rPr>
        <w:t>https://www.cefc.com.au/media/402347/reshaping</w:t>
      </w:r>
      <w:r w:rsidR="00601819" w:rsidRPr="00A16A0B">
        <w:rPr>
          <w:rStyle w:val="Hyperlink"/>
        </w:rPr>
        <w:noBreakHyphen/>
      </w:r>
      <w:r w:rsidRPr="00A16A0B">
        <w:rPr>
          <w:rStyle w:val="Hyperlink"/>
        </w:rPr>
        <w:t>infrastructure</w:t>
      </w:r>
      <w:r w:rsidR="00601819" w:rsidRPr="00A16A0B">
        <w:rPr>
          <w:rStyle w:val="Hyperlink"/>
        </w:rPr>
        <w:noBreakHyphen/>
      </w:r>
      <w:r w:rsidRPr="00A16A0B">
        <w:rPr>
          <w:rStyle w:val="Hyperlink"/>
        </w:rPr>
        <w:t>to</w:t>
      </w:r>
      <w:r w:rsidR="00601819" w:rsidRPr="00A16A0B">
        <w:rPr>
          <w:rStyle w:val="Hyperlink"/>
        </w:rPr>
        <w:noBreakHyphen/>
      </w:r>
      <w:r w:rsidRPr="00A16A0B">
        <w:rPr>
          <w:rStyle w:val="Hyperlink"/>
        </w:rPr>
        <w:t>lower</w:t>
      </w:r>
      <w:r w:rsidR="00601819" w:rsidRPr="00A16A0B">
        <w:rPr>
          <w:rStyle w:val="Hyperlink"/>
        </w:rPr>
        <w:noBreakHyphen/>
      </w:r>
      <w:r w:rsidRPr="00A16A0B">
        <w:rPr>
          <w:rStyle w:val="Hyperlink"/>
        </w:rPr>
        <w:t>emissions</w:t>
      </w:r>
      <w:r w:rsidR="00601819" w:rsidRPr="00A16A0B">
        <w:rPr>
          <w:rStyle w:val="Hyperlink"/>
        </w:rPr>
        <w:noBreakHyphen/>
      </w:r>
      <w:r w:rsidRPr="00A16A0B">
        <w:rPr>
          <w:rStyle w:val="Hyperlink"/>
        </w:rPr>
        <w:t>march</w:t>
      </w:r>
      <w:r w:rsidR="00601819" w:rsidRPr="00A16A0B">
        <w:rPr>
          <w:rStyle w:val="Hyperlink"/>
        </w:rPr>
        <w:noBreakHyphen/>
      </w:r>
      <w:r w:rsidRPr="00A16A0B">
        <w:rPr>
          <w:rStyle w:val="Hyperlink"/>
        </w:rPr>
        <w:t>2020.pdf</w:t>
      </w:r>
    </w:p>
    <w:p w14:paraId="683886A5" w14:textId="583BA02B" w:rsidR="00D7784A" w:rsidRDefault="00D7784A" w:rsidP="00D7784A">
      <w:r>
        <w:t xml:space="preserve">Commissioner for Environmental Sustainability Act. (2003). </w:t>
      </w:r>
      <w:r w:rsidRPr="001C18B5">
        <w:rPr>
          <w:i/>
          <w:iCs/>
        </w:rPr>
        <w:t>Commissioner for Environmental Sustainability Act 2003</w:t>
      </w:r>
      <w:r>
        <w:t xml:space="preserve">. Retrieved from </w:t>
      </w:r>
      <w:r w:rsidRPr="00A16A0B">
        <w:rPr>
          <w:rStyle w:val="Hyperlink"/>
        </w:rPr>
        <w:t>https://www.ces.vic.gov.au/sites/default/files/publication</w:t>
      </w:r>
      <w:r w:rsidR="00601819" w:rsidRPr="00A16A0B">
        <w:rPr>
          <w:rStyle w:val="Hyperlink"/>
        </w:rPr>
        <w:noBreakHyphen/>
      </w:r>
      <w:r w:rsidRPr="00A16A0B">
        <w:rPr>
          <w:rStyle w:val="Hyperlink"/>
        </w:rPr>
        <w:t>documents/CES%20Act_1%20December%202017%20V012.pdf</w:t>
      </w:r>
    </w:p>
    <w:p w14:paraId="5B925E2D" w14:textId="2DFA4AF3" w:rsidR="00D7784A" w:rsidRDefault="00D7784A" w:rsidP="00D7784A">
      <w:r>
        <w:lastRenderedPageBreak/>
        <w:t>Inter</w:t>
      </w:r>
      <w:r w:rsidR="00601819">
        <w:noBreakHyphen/>
      </w:r>
      <w:r>
        <w:t>American Development Bank. (2018). What is Sustainable Infrastructure? Retrieved from Inter</w:t>
      </w:r>
      <w:r w:rsidR="00601819">
        <w:noBreakHyphen/>
      </w:r>
      <w:r>
        <w:t xml:space="preserve">American Development Bank: </w:t>
      </w:r>
      <w:r w:rsidRPr="00A16A0B">
        <w:rPr>
          <w:rStyle w:val="Hyperlink"/>
        </w:rPr>
        <w:t>https://publications.iadb.org/publications/english/document/What_is_Sustainable_Infrastructure__A_Framework_to_Guide_Sustainability_Across_the_Project_Cycle.pdf</w:t>
      </w:r>
    </w:p>
    <w:p w14:paraId="1933D651" w14:textId="35640598" w:rsidR="00D7784A" w:rsidRDefault="00D7784A" w:rsidP="00D7784A">
      <w:r>
        <w:t xml:space="preserve">ISCA. (2020). IS RATING SCHEME: RETURN ON INVESTMENT STUDY. Retrieved from </w:t>
      </w:r>
      <w:r w:rsidRPr="00A16A0B">
        <w:rPr>
          <w:rStyle w:val="Hyperlink"/>
        </w:rPr>
        <w:t>https://www.isca.org.au/getmedia/a1ef6f82</w:t>
      </w:r>
      <w:r w:rsidR="00601819" w:rsidRPr="00A16A0B">
        <w:rPr>
          <w:rStyle w:val="Hyperlink"/>
        </w:rPr>
        <w:noBreakHyphen/>
      </w:r>
      <w:r w:rsidRPr="00A16A0B">
        <w:rPr>
          <w:rStyle w:val="Hyperlink"/>
        </w:rPr>
        <w:t>6eb6</w:t>
      </w:r>
      <w:r w:rsidR="00601819" w:rsidRPr="00A16A0B">
        <w:rPr>
          <w:rStyle w:val="Hyperlink"/>
        </w:rPr>
        <w:noBreakHyphen/>
      </w:r>
      <w:r w:rsidRPr="00A16A0B">
        <w:rPr>
          <w:rStyle w:val="Hyperlink"/>
        </w:rPr>
        <w:t>4905</w:t>
      </w:r>
      <w:r w:rsidR="00601819" w:rsidRPr="00A16A0B">
        <w:rPr>
          <w:rStyle w:val="Hyperlink"/>
        </w:rPr>
        <w:noBreakHyphen/>
      </w:r>
      <w:r w:rsidRPr="00A16A0B">
        <w:rPr>
          <w:rStyle w:val="Hyperlink"/>
        </w:rPr>
        <w:t>9d55</w:t>
      </w:r>
      <w:r w:rsidR="00601819" w:rsidRPr="00A16A0B">
        <w:rPr>
          <w:rStyle w:val="Hyperlink"/>
        </w:rPr>
        <w:noBreakHyphen/>
      </w:r>
      <w:r w:rsidRPr="00A16A0B">
        <w:rPr>
          <w:rStyle w:val="Hyperlink"/>
        </w:rPr>
        <w:t>7c1ef4d3feda/ISCA_Exec_Summary_F3.pdf.aspx</w:t>
      </w:r>
    </w:p>
    <w:p w14:paraId="74B19F77" w14:textId="77777777" w:rsidR="00D7784A" w:rsidRDefault="00D7784A" w:rsidP="00D7784A">
      <w:r>
        <w:t xml:space="preserve">ISO. (2017). ISO 20400, </w:t>
      </w:r>
      <w:r w:rsidRPr="001C18B5">
        <w:rPr>
          <w:i/>
          <w:iCs/>
        </w:rPr>
        <w:t>Sustainable Procurement Guidance</w:t>
      </w:r>
      <w:r>
        <w:t>. Switzerland: ISO.</w:t>
      </w:r>
    </w:p>
    <w:p w14:paraId="5D3F815A" w14:textId="01E9AE4F" w:rsidR="00D7784A" w:rsidRDefault="00D7784A" w:rsidP="00D7784A">
      <w:r>
        <w:t xml:space="preserve">World Commission on Environment and Development. (1987). </w:t>
      </w:r>
      <w:r w:rsidRPr="001C18B5">
        <w:rPr>
          <w:i/>
          <w:iCs/>
        </w:rPr>
        <w:t>Our Common Future.</w:t>
      </w:r>
      <w:r>
        <w:t xml:space="preserve"> Retrieved from </w:t>
      </w:r>
      <w:r w:rsidRPr="00A16A0B">
        <w:rPr>
          <w:rStyle w:val="Hyperlink"/>
        </w:rPr>
        <w:t>http://www.un</w:t>
      </w:r>
      <w:r w:rsidR="00601819" w:rsidRPr="00A16A0B">
        <w:rPr>
          <w:rStyle w:val="Hyperlink"/>
        </w:rPr>
        <w:noBreakHyphen/>
      </w:r>
      <w:r w:rsidRPr="00A16A0B">
        <w:rPr>
          <w:rStyle w:val="Hyperlink"/>
        </w:rPr>
        <w:t>documents.net/our</w:t>
      </w:r>
      <w:r w:rsidR="00601819" w:rsidRPr="00A16A0B">
        <w:rPr>
          <w:rStyle w:val="Hyperlink"/>
        </w:rPr>
        <w:noBreakHyphen/>
      </w:r>
      <w:r w:rsidRPr="00A16A0B">
        <w:rPr>
          <w:rStyle w:val="Hyperlink"/>
        </w:rPr>
        <w:t>common</w:t>
      </w:r>
      <w:r w:rsidR="00601819" w:rsidRPr="00A16A0B">
        <w:rPr>
          <w:rStyle w:val="Hyperlink"/>
        </w:rPr>
        <w:noBreakHyphen/>
      </w:r>
      <w:r w:rsidRPr="00A16A0B">
        <w:rPr>
          <w:rStyle w:val="Hyperlink"/>
        </w:rPr>
        <w:t>future.pdf</w:t>
      </w:r>
    </w:p>
    <w:p w14:paraId="685253E7" w14:textId="77C22427" w:rsidR="00D7784A" w:rsidRDefault="00D7784A" w:rsidP="00D7784A">
      <w:r>
        <w:t xml:space="preserve">World Green Building Council. (2013). The Business Case for Green Building. Retrieved from </w:t>
      </w:r>
      <w:r w:rsidRPr="00A16A0B">
        <w:rPr>
          <w:rStyle w:val="Hyperlink"/>
        </w:rPr>
        <w:t>https://www.worldgbc.org/sites/default/files/Business_Case_For_Green_Building_Report_WEB_2013</w:t>
      </w:r>
      <w:r w:rsidR="00601819" w:rsidRPr="00A16A0B">
        <w:rPr>
          <w:rStyle w:val="Hyperlink"/>
        </w:rPr>
        <w:noBreakHyphen/>
      </w:r>
      <w:r w:rsidRPr="00A16A0B">
        <w:rPr>
          <w:rStyle w:val="Hyperlink"/>
        </w:rPr>
        <w:t>04</w:t>
      </w:r>
      <w:r w:rsidR="00601819" w:rsidRPr="00A16A0B">
        <w:rPr>
          <w:rStyle w:val="Hyperlink"/>
        </w:rPr>
        <w:noBreakHyphen/>
      </w:r>
      <w:r w:rsidRPr="00A16A0B">
        <w:rPr>
          <w:rStyle w:val="Hyperlink"/>
        </w:rPr>
        <w:t>11</w:t>
      </w:r>
      <w:r w:rsidR="00601819" w:rsidRPr="00A16A0B">
        <w:rPr>
          <w:rStyle w:val="Hyperlink"/>
        </w:rPr>
        <w:noBreakHyphen/>
      </w:r>
      <w:r w:rsidRPr="00A16A0B">
        <w:rPr>
          <w:rStyle w:val="Hyperlink"/>
        </w:rPr>
        <w:t>2.pdf</w:t>
      </w:r>
    </w:p>
    <w:p w14:paraId="3969A893" w14:textId="278AA570" w:rsidR="00D7784A" w:rsidRPr="009508BF" w:rsidRDefault="00D7784A" w:rsidP="00D7784A">
      <w:r w:rsidRPr="009508BF">
        <w:t xml:space="preserve">WWF. (2019, December). VISIONING </w:t>
      </w:r>
      <w:proofErr w:type="gramStart"/>
      <w:r w:rsidRPr="009508BF">
        <w:t>FUTURES;</w:t>
      </w:r>
      <w:proofErr w:type="gramEnd"/>
      <w:r w:rsidRPr="009508BF">
        <w:t xml:space="preserve"> Improving infrastructure planning to harness nature’s benefits in a warming world. Retrieved from WWF USA: </w:t>
      </w:r>
      <w:hyperlink r:id="rId58" w:history="1">
        <w:r w:rsidRPr="00A16A0B">
          <w:rPr>
            <w:rStyle w:val="Hyperlink"/>
          </w:rPr>
          <w:t>https://www.worldwildlife.org/publications/visioning</w:t>
        </w:r>
        <w:r w:rsidR="00601819" w:rsidRPr="00A16A0B">
          <w:rPr>
            <w:rStyle w:val="Hyperlink"/>
          </w:rPr>
          <w:noBreakHyphen/>
        </w:r>
        <w:r w:rsidRPr="00A16A0B">
          <w:rPr>
            <w:rStyle w:val="Hyperlink"/>
          </w:rPr>
          <w:t>futures</w:t>
        </w:r>
        <w:r w:rsidR="00601819" w:rsidRPr="00A16A0B">
          <w:rPr>
            <w:rStyle w:val="Hyperlink"/>
          </w:rPr>
          <w:noBreakHyphen/>
        </w:r>
        <w:r w:rsidRPr="00A16A0B">
          <w:rPr>
            <w:rStyle w:val="Hyperlink"/>
          </w:rPr>
          <w:t>improving</w:t>
        </w:r>
        <w:r w:rsidR="00601819" w:rsidRPr="00A16A0B">
          <w:rPr>
            <w:rStyle w:val="Hyperlink"/>
          </w:rPr>
          <w:noBreakHyphen/>
        </w:r>
        <w:r w:rsidRPr="00A16A0B">
          <w:rPr>
            <w:rStyle w:val="Hyperlink"/>
          </w:rPr>
          <w:t>infrastructure</w:t>
        </w:r>
        <w:r w:rsidR="00601819" w:rsidRPr="00A16A0B">
          <w:rPr>
            <w:rStyle w:val="Hyperlink"/>
          </w:rPr>
          <w:noBreakHyphen/>
        </w:r>
        <w:r w:rsidRPr="00A16A0B">
          <w:rPr>
            <w:rStyle w:val="Hyperlink"/>
          </w:rPr>
          <w:t>planning</w:t>
        </w:r>
        <w:r w:rsidR="00601819" w:rsidRPr="00A16A0B">
          <w:rPr>
            <w:rStyle w:val="Hyperlink"/>
          </w:rPr>
          <w:noBreakHyphen/>
        </w:r>
        <w:r w:rsidRPr="00A16A0B">
          <w:rPr>
            <w:rStyle w:val="Hyperlink"/>
          </w:rPr>
          <w:t>to</w:t>
        </w:r>
        <w:r w:rsidR="00601819" w:rsidRPr="00A16A0B">
          <w:rPr>
            <w:rStyle w:val="Hyperlink"/>
          </w:rPr>
          <w:noBreakHyphen/>
        </w:r>
        <w:r w:rsidRPr="00A16A0B">
          <w:rPr>
            <w:rStyle w:val="Hyperlink"/>
          </w:rPr>
          <w:t>harness</w:t>
        </w:r>
        <w:r w:rsidR="00601819" w:rsidRPr="00A16A0B">
          <w:rPr>
            <w:rStyle w:val="Hyperlink"/>
          </w:rPr>
          <w:noBreakHyphen/>
        </w:r>
        <w:r w:rsidRPr="00A16A0B">
          <w:rPr>
            <w:rStyle w:val="Hyperlink"/>
          </w:rPr>
          <w:t>nature</w:t>
        </w:r>
        <w:r w:rsidR="00601819" w:rsidRPr="00A16A0B">
          <w:rPr>
            <w:rStyle w:val="Hyperlink"/>
          </w:rPr>
          <w:noBreakHyphen/>
        </w:r>
        <w:r w:rsidRPr="00A16A0B">
          <w:rPr>
            <w:rStyle w:val="Hyperlink"/>
          </w:rPr>
          <w:t>s</w:t>
        </w:r>
        <w:r w:rsidR="00601819" w:rsidRPr="00A16A0B">
          <w:rPr>
            <w:rStyle w:val="Hyperlink"/>
          </w:rPr>
          <w:noBreakHyphen/>
        </w:r>
        <w:r w:rsidRPr="00A16A0B">
          <w:rPr>
            <w:rStyle w:val="Hyperlink"/>
          </w:rPr>
          <w:t>benefits</w:t>
        </w:r>
        <w:r w:rsidR="00601819" w:rsidRPr="00A16A0B">
          <w:rPr>
            <w:rStyle w:val="Hyperlink"/>
          </w:rPr>
          <w:noBreakHyphen/>
        </w:r>
        <w:r w:rsidRPr="00A16A0B">
          <w:rPr>
            <w:rStyle w:val="Hyperlink"/>
          </w:rPr>
          <w:t>in</w:t>
        </w:r>
        <w:r w:rsidR="00601819" w:rsidRPr="00A16A0B">
          <w:rPr>
            <w:rStyle w:val="Hyperlink"/>
          </w:rPr>
          <w:noBreakHyphen/>
        </w:r>
        <w:r w:rsidRPr="00A16A0B">
          <w:rPr>
            <w:rStyle w:val="Hyperlink"/>
          </w:rPr>
          <w:t>a</w:t>
        </w:r>
        <w:r w:rsidR="00601819" w:rsidRPr="00A16A0B">
          <w:rPr>
            <w:rStyle w:val="Hyperlink"/>
          </w:rPr>
          <w:noBreakHyphen/>
        </w:r>
        <w:r w:rsidRPr="00A16A0B">
          <w:rPr>
            <w:rStyle w:val="Hyperlink"/>
          </w:rPr>
          <w:t>warming</w:t>
        </w:r>
        <w:r w:rsidR="00601819" w:rsidRPr="00A16A0B">
          <w:rPr>
            <w:rStyle w:val="Hyperlink"/>
          </w:rPr>
          <w:noBreakHyphen/>
        </w:r>
        <w:r w:rsidRPr="00A16A0B">
          <w:rPr>
            <w:rStyle w:val="Hyperlink"/>
          </w:rPr>
          <w:t>world</w:t>
        </w:r>
        <w:r w:rsidR="00601819" w:rsidRPr="00A16A0B">
          <w:rPr>
            <w:rStyle w:val="Hyperlink"/>
          </w:rPr>
          <w:noBreakHyphen/>
        </w:r>
        <w:r w:rsidRPr="00A16A0B">
          <w:rPr>
            <w:rStyle w:val="Hyperlink"/>
          </w:rPr>
          <w:t>lo</w:t>
        </w:r>
        <w:r w:rsidR="00601819" w:rsidRPr="00A16A0B">
          <w:rPr>
            <w:rStyle w:val="Hyperlink"/>
          </w:rPr>
          <w:noBreakHyphen/>
        </w:r>
        <w:r w:rsidRPr="00A16A0B">
          <w:rPr>
            <w:rStyle w:val="Hyperlink"/>
          </w:rPr>
          <w:t>res</w:t>
        </w:r>
      </w:hyperlink>
      <w:r w:rsidRPr="00A16A0B">
        <w:rPr>
          <w:rStyle w:val="Hyperlink"/>
        </w:rPr>
        <w:t xml:space="preserve"> </w:t>
      </w:r>
    </w:p>
    <w:p w14:paraId="11E8E40A" w14:textId="77777777" w:rsidR="00D7784A" w:rsidRPr="009B2B67" w:rsidRDefault="00D7784A" w:rsidP="00A16A0B">
      <w:pPr>
        <w:pStyle w:val="Heading1"/>
        <w:pageBreakBefore/>
        <w:rPr>
          <w:b w:val="0"/>
        </w:rPr>
      </w:pPr>
      <w:bookmarkStart w:id="1308" w:name="_Ref68765036"/>
      <w:bookmarkStart w:id="1309" w:name="_Toc68769319"/>
      <w:bookmarkStart w:id="1310" w:name="_Toc117258708"/>
      <w:r w:rsidRPr="009B2B67">
        <w:lastRenderedPageBreak/>
        <w:t>Glossary</w:t>
      </w:r>
      <w:bookmarkEnd w:id="1308"/>
      <w:bookmarkEnd w:id="1309"/>
      <w:bookmarkEnd w:id="1310"/>
    </w:p>
    <w:p w14:paraId="61C9381C" w14:textId="475DC24E" w:rsidR="00D7784A" w:rsidRDefault="00D7784A" w:rsidP="00D7784A">
      <w:r>
        <w:t>DTF’s ‘</w:t>
      </w:r>
      <w:r w:rsidRPr="000C5BE4">
        <w:t>Overview</w:t>
      </w:r>
      <w:r w:rsidR="00F00708">
        <w:t xml:space="preserve"> – </w:t>
      </w:r>
      <w:r w:rsidRPr="000C5BE4">
        <w:t>Investment Lifecycle and High Value High Risk Guidelines</w:t>
      </w:r>
      <w:r>
        <w:t xml:space="preserve">’ provides a broad glossary of investment </w:t>
      </w:r>
      <w:proofErr w:type="gramStart"/>
      <w:r>
        <w:t>terminology;</w:t>
      </w:r>
      <w:proofErr w:type="gramEnd"/>
      <w:r>
        <w:t xml:space="preserve"> including terms such as disbenefit, enabling asset, optimism bias and whole of life costs.</w:t>
      </w:r>
    </w:p>
    <w:tbl>
      <w:tblPr>
        <w:tblStyle w:val="Texttable"/>
        <w:tblW w:w="9180" w:type="dxa"/>
        <w:tblLayout w:type="fixed"/>
        <w:tblLook w:val="06A0" w:firstRow="1" w:lastRow="0" w:firstColumn="1" w:lastColumn="0" w:noHBand="1" w:noVBand="1"/>
      </w:tblPr>
      <w:tblGrid>
        <w:gridCol w:w="2160"/>
        <w:gridCol w:w="7020"/>
      </w:tblGrid>
      <w:tr w:rsidR="00D7784A" w14:paraId="52FD81BD" w14:textId="77777777" w:rsidTr="00A16A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0" w:type="dxa"/>
          </w:tcPr>
          <w:p w14:paraId="295D79E9" w14:textId="77777777" w:rsidR="00D7784A" w:rsidRDefault="00D7784A" w:rsidP="00D7784A">
            <w:pPr>
              <w:pStyle w:val="Tableheader"/>
            </w:pPr>
            <w:r>
              <w:t>Term</w:t>
            </w:r>
          </w:p>
        </w:tc>
        <w:tc>
          <w:tcPr>
            <w:tcW w:w="7020" w:type="dxa"/>
          </w:tcPr>
          <w:p w14:paraId="021AA375" w14:textId="77777777" w:rsidR="00D7784A"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t>Description</w:t>
            </w:r>
          </w:p>
        </w:tc>
      </w:tr>
      <w:tr w:rsidR="00D7784A" w14:paraId="0D01C2B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2671F61" w14:textId="77777777" w:rsidR="00D7784A" w:rsidRPr="00D073B7" w:rsidRDefault="00D7784A" w:rsidP="00D7784A">
            <w:pPr>
              <w:pStyle w:val="Tabletext"/>
            </w:pPr>
            <w:r w:rsidRPr="00D073B7">
              <w:t>Asset Management Accountability Framework (AMAF)</w:t>
            </w:r>
          </w:p>
        </w:tc>
        <w:tc>
          <w:tcPr>
            <w:tcW w:w="7020" w:type="dxa"/>
          </w:tcPr>
          <w:p w14:paraId="292BB66A" w14:textId="2CC7A4E7" w:rsidR="00D7784A" w:rsidRPr="00954D92"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54D92">
              <w:t xml:space="preserve">The Asset Management Accountability Framework assists Victorian </w:t>
            </w:r>
            <w:r w:rsidR="00AC383B">
              <w:t>p</w:t>
            </w:r>
            <w:r w:rsidR="00AC383B" w:rsidRPr="00954D92">
              <w:t xml:space="preserve">ublic </w:t>
            </w:r>
            <w:r w:rsidR="00AC383B">
              <w:t>s</w:t>
            </w:r>
            <w:r w:rsidR="00AC383B" w:rsidRPr="00954D92">
              <w:t xml:space="preserve">ector </w:t>
            </w:r>
            <w:r w:rsidRPr="00954D92">
              <w:t>agencies to manage their asset portfolios and provide better services for Victorians.</w:t>
            </w:r>
          </w:p>
        </w:tc>
      </w:tr>
      <w:tr w:rsidR="00D7784A" w14:paraId="1E40577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798E2BF" w14:textId="77777777" w:rsidR="00D7784A" w:rsidRDefault="00D7784A" w:rsidP="00D7784A">
            <w:pPr>
              <w:pStyle w:val="Tabletext"/>
            </w:pPr>
            <w:r>
              <w:t>Base case</w:t>
            </w:r>
          </w:p>
        </w:tc>
        <w:tc>
          <w:tcPr>
            <w:tcW w:w="7020" w:type="dxa"/>
          </w:tcPr>
          <w:p w14:paraId="5F3F6631" w14:textId="77777777" w:rsidR="00D7784A" w:rsidRPr="00954D92"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54D92">
              <w:t>The ‘base case’ is the first response option defining what will occur if continuing under the current policy settings. The base case is a realistic option that could be used for future service delivery.</w:t>
            </w:r>
          </w:p>
        </w:tc>
      </w:tr>
      <w:tr w:rsidR="00D7784A" w:rsidRPr="00490AF5" w14:paraId="5C1E3A4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5685F20" w14:textId="77777777" w:rsidR="00D7784A" w:rsidRDefault="00D7784A" w:rsidP="00D7784A">
            <w:pPr>
              <w:pStyle w:val="Tabletext"/>
            </w:pPr>
            <w:r>
              <w:t>Benefit cost ratio (BCR)</w:t>
            </w:r>
          </w:p>
        </w:tc>
        <w:tc>
          <w:tcPr>
            <w:tcW w:w="7020" w:type="dxa"/>
          </w:tcPr>
          <w:p w14:paraId="301621DF"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Benefit cost ratio is the net benefit expected for each dollar of investment.</w:t>
            </w:r>
          </w:p>
        </w:tc>
      </w:tr>
      <w:tr w:rsidR="00D7784A" w:rsidRPr="00490AF5" w14:paraId="77C9306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EAEC6EF" w14:textId="77777777" w:rsidR="00D7784A" w:rsidRDefault="00D7784A" w:rsidP="00D7784A">
            <w:pPr>
              <w:pStyle w:val="Tabletext"/>
            </w:pPr>
            <w:r w:rsidRPr="004E4511">
              <w:t>Benefit management plan</w:t>
            </w:r>
          </w:p>
        </w:tc>
        <w:tc>
          <w:tcPr>
            <w:tcW w:w="7020" w:type="dxa"/>
          </w:tcPr>
          <w:p w14:paraId="62126C14" w14:textId="209461A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A benefit management plan specifies the benefits an investment will need to deliver to successfully address an identified problem and the measures to be used as evidence. It defines key dates, who is responsible for delivery and how the benefits will be reported.</w:t>
            </w:r>
            <w:r w:rsidRPr="00D7784A">
              <w:rPr>
                <w:rStyle w:val="Hyperlink"/>
              </w:rPr>
              <w:t xml:space="preserve"> </w:t>
            </w:r>
            <w:hyperlink r:id="rId59" w:history="1">
              <w:r w:rsidRPr="00D7784A">
                <w:rPr>
                  <w:rStyle w:val="Hyperlink"/>
                </w:rPr>
                <w:t>Benefit delivery | Department of Treasury and Finance Victoria (dtf.vic.gov.au)</w:t>
              </w:r>
            </w:hyperlink>
          </w:p>
        </w:tc>
      </w:tr>
      <w:tr w:rsidR="00D7784A" w14:paraId="1F6086C1" w14:textId="77777777" w:rsidTr="00A16A0B">
        <w:trPr>
          <w:trHeight w:val="812"/>
        </w:trPr>
        <w:tc>
          <w:tcPr>
            <w:cnfStyle w:val="001000000000" w:firstRow="0" w:lastRow="0" w:firstColumn="1" w:lastColumn="0" w:oddVBand="0" w:evenVBand="0" w:oddHBand="0" w:evenHBand="0" w:firstRowFirstColumn="0" w:firstRowLastColumn="0" w:lastRowFirstColumn="0" w:lastRowLastColumn="0"/>
            <w:tcW w:w="2160" w:type="dxa"/>
          </w:tcPr>
          <w:p w14:paraId="7C51CF67" w14:textId="77777777" w:rsidR="00D7784A" w:rsidRDefault="00D7784A" w:rsidP="00D7784A">
            <w:pPr>
              <w:pStyle w:val="Tabletext"/>
            </w:pPr>
            <w:r>
              <w:t>Building Information Modelling (BIM)</w:t>
            </w:r>
          </w:p>
        </w:tc>
        <w:tc>
          <w:tcPr>
            <w:tcW w:w="7020" w:type="dxa"/>
          </w:tcPr>
          <w:p w14:paraId="698E9E6C" w14:textId="37352350" w:rsidR="00D7784A" w:rsidRPr="002F7F7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1F3D3A">
              <w:t>Bui</w:t>
            </w:r>
            <w:r w:rsidRPr="008358EF">
              <w:t>lding</w:t>
            </w:r>
            <w:r w:rsidRPr="003F1AB3">
              <w:t xml:space="preserve"> Information Modelling is defined by ISO 29481</w:t>
            </w:r>
            <w:r w:rsidR="00601819">
              <w:noBreakHyphen/>
            </w:r>
            <w:r w:rsidRPr="003F1AB3">
              <w:t xml:space="preserve">1:2016 as the use of </w:t>
            </w:r>
            <w:r w:rsidRPr="007B0E20">
              <w:t>a shared digital representation of a built or to</w:t>
            </w:r>
            <w:r w:rsidR="00575255">
              <w:t>-</w:t>
            </w:r>
            <w:r w:rsidRPr="007B0E20">
              <w:t>be</w:t>
            </w:r>
            <w:r w:rsidR="00575255">
              <w:t>-</w:t>
            </w:r>
            <w:r w:rsidRPr="007B0E20">
              <w:t xml:space="preserve">built asset to </w:t>
            </w:r>
            <w:r w:rsidRPr="00056E9F">
              <w:t xml:space="preserve">facilitate design, </w:t>
            </w:r>
            <w:proofErr w:type="gramStart"/>
            <w:r w:rsidRPr="00056E9F">
              <w:t>construction</w:t>
            </w:r>
            <w:proofErr w:type="gramEnd"/>
            <w:r w:rsidRPr="00056E9F">
              <w:t xml:space="preserve"> and operation processes to form a reliable</w:t>
            </w:r>
            <w:r w:rsidRPr="004A651E">
              <w:t xml:space="preserve"> </w:t>
            </w:r>
            <w:r w:rsidRPr="0030152B">
              <w:t>basis for decisions.</w:t>
            </w:r>
          </w:p>
        </w:tc>
      </w:tr>
      <w:tr w:rsidR="00D7784A" w14:paraId="4CB23F0C"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551E54B5" w14:textId="77777777" w:rsidR="00D7784A" w:rsidRPr="008358EF" w:rsidRDefault="00D7784A" w:rsidP="00D7784A">
            <w:pPr>
              <w:pStyle w:val="Tabletext"/>
            </w:pPr>
            <w:r w:rsidRPr="004E4511">
              <w:t xml:space="preserve">Circular </w:t>
            </w:r>
            <w:r w:rsidRPr="001F3D3A">
              <w:t>economy</w:t>
            </w:r>
          </w:p>
        </w:tc>
        <w:tc>
          <w:tcPr>
            <w:tcW w:w="7020" w:type="dxa"/>
          </w:tcPr>
          <w:p w14:paraId="07A47F3F" w14:textId="4D298B36" w:rsidR="00D7784A" w:rsidRPr="0032027F"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32027F">
              <w:t xml:space="preserve">A circular economy </w:t>
            </w:r>
            <w:r w:rsidRPr="009B2B67">
              <w:t>recognises the finite availability of many natural resources</w:t>
            </w:r>
            <w:r w:rsidR="00575255">
              <w:t>,</w:t>
            </w:r>
            <w:r w:rsidRPr="009B2B67">
              <w:t xml:space="preserve"> and within a closed loop system, aims to</w:t>
            </w:r>
            <w:r w:rsidRPr="0032027F">
              <w:t xml:space="preserve"> eliminat</w:t>
            </w:r>
            <w:r w:rsidRPr="009B2B67">
              <w:t>e</w:t>
            </w:r>
            <w:r w:rsidRPr="0032027F">
              <w:t xml:space="preserve"> waste </w:t>
            </w:r>
            <w:r w:rsidRPr="009B2B67">
              <w:t xml:space="preserve">and pollution </w:t>
            </w:r>
            <w:r w:rsidRPr="0032027F">
              <w:t>and</w:t>
            </w:r>
            <w:r w:rsidRPr="009B2B67">
              <w:t xml:space="preserve"> promote</w:t>
            </w:r>
            <w:r w:rsidRPr="0032027F">
              <w:t xml:space="preserve"> the </w:t>
            </w:r>
            <w:r w:rsidRPr="009B2B67">
              <w:t xml:space="preserve">ongoing </w:t>
            </w:r>
            <w:r w:rsidRPr="0032027F">
              <w:t>safe use of natural resources. This can be achieved by using waste in other processes/products and reusing/recycling products at the end of their life to allow continued use.</w:t>
            </w:r>
          </w:p>
        </w:tc>
      </w:tr>
      <w:tr w:rsidR="00D7784A" w14:paraId="5CF982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D297ACF" w14:textId="77777777" w:rsidR="00D7784A" w:rsidRPr="004E4511" w:rsidRDefault="00D7784A" w:rsidP="00D7784A">
            <w:pPr>
              <w:pStyle w:val="Tabletext"/>
            </w:pPr>
            <w:r>
              <w:t>Climate Bonds Initiative (CBI)</w:t>
            </w:r>
          </w:p>
        </w:tc>
        <w:tc>
          <w:tcPr>
            <w:tcW w:w="7020" w:type="dxa"/>
          </w:tcPr>
          <w:p w14:paraId="6B595407" w14:textId="41ED0B7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D7784A">
              <w:t>The Climate Bonds Initiative (CBI) promotes large</w:t>
            </w:r>
            <w:r w:rsidR="00601819">
              <w:noBreakHyphen/>
            </w:r>
            <w:r w:rsidRPr="00D7784A">
              <w:t>scale investments that will deliver a global low</w:t>
            </w:r>
            <w:r w:rsidR="00601819">
              <w:noBreakHyphen/>
            </w:r>
            <w:r w:rsidRPr="00D7784A">
              <w:t xml:space="preserve">carbon economy. CBI scrutinises the investments/assets for which </w:t>
            </w:r>
            <w:r w:rsidR="00575255">
              <w:t>G</w:t>
            </w:r>
            <w:r w:rsidR="00575255" w:rsidRPr="00D7784A">
              <w:t xml:space="preserve">reen </w:t>
            </w:r>
            <w:r w:rsidR="00575255">
              <w:t>B</w:t>
            </w:r>
            <w:r w:rsidR="00575255" w:rsidRPr="00D7784A">
              <w:t xml:space="preserve">onds </w:t>
            </w:r>
            <w:r w:rsidRPr="00D7784A">
              <w:t xml:space="preserve">proceeds are to be </w:t>
            </w:r>
            <w:proofErr w:type="gramStart"/>
            <w:r w:rsidRPr="00D7784A">
              <w:t>used, and</w:t>
            </w:r>
            <w:proofErr w:type="gramEnd"/>
            <w:r w:rsidRPr="00D7784A">
              <w:t xml:space="preserve"> gives an independent certification that the use is consistent with their standards as being ‘green’. </w:t>
            </w:r>
            <w:hyperlink r:id="rId60" w:history="1">
              <w:r w:rsidRPr="00D7784A">
                <w:rPr>
                  <w:rStyle w:val="Hyperlink"/>
                </w:rPr>
                <w:t>Climate Bonds Initiative | Mobilizing debt capital markets for climate change solutions</w:t>
              </w:r>
            </w:hyperlink>
          </w:p>
        </w:tc>
      </w:tr>
      <w:tr w:rsidR="00D7784A" w14:paraId="496849A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AFF5A7B" w14:textId="77777777" w:rsidR="00D7784A" w:rsidRPr="001F3D3A" w:rsidRDefault="00D7784A" w:rsidP="00D7784A">
            <w:pPr>
              <w:pStyle w:val="Tabletext"/>
            </w:pPr>
            <w:r w:rsidRPr="004E4511">
              <w:t>Clima</w:t>
            </w:r>
            <w:r w:rsidRPr="001F3D3A">
              <w:t xml:space="preserve">te </w:t>
            </w:r>
            <w:r>
              <w:t>p</w:t>
            </w:r>
            <w:r w:rsidRPr="004E4511">
              <w:t>ledge</w:t>
            </w:r>
          </w:p>
        </w:tc>
        <w:tc>
          <w:tcPr>
            <w:tcW w:w="7020" w:type="dxa"/>
          </w:tcPr>
          <w:p w14:paraId="613F0323" w14:textId="4C8F600D"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1C18B5">
              <w:rPr>
                <w:i/>
                <w:iCs/>
              </w:rPr>
              <w:t>Victoria’s Climate Change Act 2017</w:t>
            </w:r>
            <w:r w:rsidRPr="00C533C7">
              <w:t xml:space="preserve"> requires development of five</w:t>
            </w:r>
            <w:r w:rsidR="00575255">
              <w:t>-</w:t>
            </w:r>
            <w:r w:rsidRPr="00C533C7">
              <w:t>yearly sector pledges which describe the actions government will take to reduce Victoria’s emissions.</w:t>
            </w:r>
          </w:p>
        </w:tc>
      </w:tr>
      <w:tr w:rsidR="00D7784A" w14:paraId="00241FF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0DD7F41" w14:textId="77777777" w:rsidR="00D7784A" w:rsidRPr="003F1AB3" w:rsidRDefault="00D7784A" w:rsidP="00D7784A">
            <w:pPr>
              <w:pStyle w:val="Tabletext"/>
            </w:pPr>
            <w:r w:rsidRPr="004E4511">
              <w:t>Clima</w:t>
            </w:r>
            <w:r w:rsidRPr="001F3D3A">
              <w:t>te risk guid</w:t>
            </w:r>
            <w:r w:rsidRPr="008358EF">
              <w:t>ance</w:t>
            </w:r>
          </w:p>
        </w:tc>
        <w:tc>
          <w:tcPr>
            <w:tcW w:w="7020" w:type="dxa"/>
          </w:tcPr>
          <w:p w14:paraId="0C67AB52" w14:textId="0989E84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Climate risk guidance resources have been published by </w:t>
            </w:r>
            <w:r w:rsidRPr="00D7784A">
              <w:rPr>
                <w:rFonts w:ascii="Arial" w:hAnsi="Arial" w:cs="Arial"/>
                <w:color w:val="000000"/>
              </w:rPr>
              <w:t>VMIA</w:t>
            </w:r>
            <w:r w:rsidRPr="00D7784A">
              <w:t>. These resources aim to help stakeholders assess climate change risks.</w:t>
            </w:r>
            <w:r w:rsidRPr="00D7784A">
              <w:rPr>
                <w:rFonts w:ascii="Arial" w:hAnsi="Arial" w:cs="Arial"/>
                <w:color w:val="000000"/>
                <w:spacing w:val="-3"/>
              </w:rPr>
              <w:t xml:space="preserve"> </w:t>
            </w:r>
            <w:hyperlink r:id="rId61" w:history="1">
              <w:r w:rsidRPr="00D7784A">
                <w:rPr>
                  <w:rStyle w:val="Hyperlink"/>
                </w:rPr>
                <w:t>Climate Change Risk Management service | Victorian Managed Insurance Authority (vmia.vic.gov.au)</w:t>
              </w:r>
            </w:hyperlink>
          </w:p>
        </w:tc>
      </w:tr>
      <w:tr w:rsidR="00D7784A" w14:paraId="2A9E513D"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4EA080B" w14:textId="23D56ED3" w:rsidR="00D7784A" w:rsidRPr="00830646" w:rsidRDefault="00D7784A" w:rsidP="00D7784A">
            <w:pPr>
              <w:pStyle w:val="Tabletext"/>
            </w:pPr>
            <w:r w:rsidRPr="00830646">
              <w:lastRenderedPageBreak/>
              <w:t>Cost</w:t>
            </w:r>
            <w:r w:rsidR="001C79F8">
              <w:t>-b</w:t>
            </w:r>
            <w:r w:rsidRPr="00830646">
              <w:t xml:space="preserve">enefit </w:t>
            </w:r>
            <w:r w:rsidR="001C79F8">
              <w:t>a</w:t>
            </w:r>
            <w:r w:rsidRPr="00830646">
              <w:t>nalysis (CBA)</w:t>
            </w:r>
          </w:p>
        </w:tc>
        <w:tc>
          <w:tcPr>
            <w:tcW w:w="7020" w:type="dxa"/>
          </w:tcPr>
          <w:p w14:paraId="214336E9" w14:textId="7522178B"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D7784A">
              <w:t>Cost</w:t>
            </w:r>
            <w:r w:rsidR="001C79F8">
              <w:t>-b</w:t>
            </w:r>
            <w:r w:rsidRPr="00D7784A">
              <w:t xml:space="preserve">enefit </w:t>
            </w:r>
            <w:r w:rsidR="001C79F8">
              <w:t>a</w:t>
            </w:r>
            <w:r w:rsidR="001C79F8" w:rsidRPr="00D7784A">
              <w:t xml:space="preserve">nalysis </w:t>
            </w:r>
            <w:r w:rsidRPr="00D7784A">
              <w:t xml:space="preserve">is a systematic approach to comparing the cost and benefits of project options in monetary terms, this includes seeking to ascribe a monetary value to intangible benefits. </w:t>
            </w:r>
            <w:hyperlink r:id="rId62" w:history="1">
              <w:r w:rsidRPr="00D7784A">
                <w:rPr>
                  <w:rStyle w:val="Hyperlink"/>
                </w:rPr>
                <w:t>Moving</w:t>
              </w:r>
              <w:r w:rsidR="00601819">
                <w:rPr>
                  <w:rStyle w:val="Hyperlink"/>
                </w:rPr>
                <w:noBreakHyphen/>
              </w:r>
              <w:r w:rsidRPr="00D7784A">
                <w:rPr>
                  <w:rStyle w:val="Hyperlink"/>
                </w:rPr>
                <w:t>from</w:t>
              </w:r>
              <w:r w:rsidR="00601819">
                <w:rPr>
                  <w:rStyle w:val="Hyperlink"/>
                </w:rPr>
                <w:noBreakHyphen/>
              </w:r>
              <w:r w:rsidRPr="00D7784A">
                <w:rPr>
                  <w:rStyle w:val="Hyperlink"/>
                </w:rPr>
                <w:t>evaluation</w:t>
              </w:r>
              <w:r w:rsidR="00601819">
                <w:rPr>
                  <w:rStyle w:val="Hyperlink"/>
                </w:rPr>
                <w:noBreakHyphen/>
              </w:r>
              <w:r w:rsidRPr="00D7784A">
                <w:rPr>
                  <w:rStyle w:val="Hyperlink"/>
                </w:rPr>
                <w:t>to</w:t>
              </w:r>
              <w:r w:rsidR="00601819">
                <w:rPr>
                  <w:rStyle w:val="Hyperlink"/>
                </w:rPr>
                <w:noBreakHyphen/>
              </w:r>
              <w:r w:rsidRPr="00D7784A">
                <w:rPr>
                  <w:rStyle w:val="Hyperlink"/>
                </w:rPr>
                <w:t>valuation.pdf (infrastructurevictoria.com.au)</w:t>
              </w:r>
            </w:hyperlink>
          </w:p>
        </w:tc>
      </w:tr>
      <w:tr w:rsidR="00D7784A" w14:paraId="2E5743B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69F547C" w14:textId="77777777" w:rsidR="00D7784A" w:rsidRPr="003F1AB3" w:rsidRDefault="00D7784A" w:rsidP="00D7784A">
            <w:pPr>
              <w:pStyle w:val="Tabletext"/>
            </w:pPr>
            <w:r w:rsidRPr="004E4511">
              <w:t>Department of Environment, Land, Water and Planning</w:t>
            </w:r>
            <w:r w:rsidRPr="001F3D3A">
              <w:t xml:space="preserve"> </w:t>
            </w:r>
            <w:r w:rsidRPr="008358EF">
              <w:t>(</w:t>
            </w:r>
            <w:r w:rsidRPr="003F1AB3">
              <w:t>DELWP)</w:t>
            </w:r>
          </w:p>
        </w:tc>
        <w:tc>
          <w:tcPr>
            <w:tcW w:w="7020" w:type="dxa"/>
          </w:tcPr>
          <w:p w14:paraId="7978E788" w14:textId="77777777" w:rsidR="00D7784A" w:rsidRPr="0030152B"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7B0E20">
              <w:t>The Department of Environment, Land, Water and Planning</w:t>
            </w:r>
            <w:r w:rsidRPr="00056E9F">
              <w:t xml:space="preserve"> </w:t>
            </w:r>
            <w:r w:rsidRPr="004A651E">
              <w:t>works in partnership with a range of agencies and stakeholders to protect and preserve Victoria’s native landscape through a range of biodiversity, wildlife, sustainability, climate change and community programs.</w:t>
            </w:r>
          </w:p>
        </w:tc>
      </w:tr>
      <w:tr w:rsidR="00D7784A" w14:paraId="44E6197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CE2DC8" w14:textId="77777777" w:rsidR="00D7784A" w:rsidRPr="003F1AB3" w:rsidRDefault="00D7784A" w:rsidP="00D7784A">
            <w:pPr>
              <w:pStyle w:val="Tabletext"/>
            </w:pPr>
            <w:r w:rsidRPr="004E4511">
              <w:t xml:space="preserve">Department of Treasury and </w:t>
            </w:r>
            <w:r w:rsidRPr="001F3D3A">
              <w:t>F</w:t>
            </w:r>
            <w:r w:rsidRPr="008358EF">
              <w:t>inance (DTF)</w:t>
            </w:r>
          </w:p>
        </w:tc>
        <w:tc>
          <w:tcPr>
            <w:tcW w:w="7020" w:type="dxa"/>
          </w:tcPr>
          <w:p w14:paraId="54BF2B1F" w14:textId="77777777"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The Department of Treasury and Finance provides economic, financial and resource management advice to help the Victorian Government deliver its policies, including through infrastructure investment projects.</w:t>
            </w:r>
          </w:p>
        </w:tc>
      </w:tr>
      <w:tr w:rsidR="00D7784A" w14:paraId="3122B58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A6B6523" w14:textId="77777777" w:rsidR="00D7784A" w:rsidRPr="004E4511" w:rsidRDefault="00D7784A" w:rsidP="00D7784A">
            <w:pPr>
              <w:pStyle w:val="Tabletext"/>
            </w:pPr>
            <w:r w:rsidRPr="00830646">
              <w:t>Economic Evaluation for Business Cases Technical guidelines</w:t>
            </w:r>
          </w:p>
        </w:tc>
        <w:tc>
          <w:tcPr>
            <w:tcW w:w="7020" w:type="dxa"/>
          </w:tcPr>
          <w:p w14:paraId="1513BC12" w14:textId="77777777"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‘Economic Evaluation for Business Cases Technical guidelines’ is a supplement to optimal outcomes.</w:t>
            </w:r>
          </w:p>
        </w:tc>
      </w:tr>
      <w:tr w:rsidR="00D7784A" w14:paraId="6B3C8F35"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1B9B2F0D" w14:textId="77777777" w:rsidR="00D7784A" w:rsidRPr="009B2B67" w:rsidRDefault="00D7784A" w:rsidP="00D7784A">
            <w:pPr>
              <w:pStyle w:val="Tabletext"/>
            </w:pPr>
            <w:r w:rsidRPr="009B2B67">
              <w:t>Environmental impact in procurement – goods and services procurement guide</w:t>
            </w:r>
          </w:p>
        </w:tc>
        <w:tc>
          <w:tcPr>
            <w:tcW w:w="7020" w:type="dxa"/>
          </w:tcPr>
          <w:p w14:paraId="2B68B6E1" w14:textId="6F337959"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 xml:space="preserve">‘Buying for Victoria’ provides guidelines on how to consider environmental factors when making decisions for goods and services procurement: </w:t>
            </w:r>
            <w:hyperlink r:id="rId63" w:history="1">
              <w:r w:rsidRPr="00D7784A">
                <w:rPr>
                  <w:rStyle w:val="Hyperlink"/>
                </w:rPr>
                <w:t>Environmental impact in procurement – goods and services procurement guide | Buying for Victoria</w:t>
              </w:r>
            </w:hyperlink>
          </w:p>
        </w:tc>
      </w:tr>
      <w:tr w:rsidR="00D7784A" w14:paraId="6DC2B1A2"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0D4ECA4F" w14:textId="39BCCBEE" w:rsidR="00D7784A" w:rsidRPr="00C07260" w:rsidRDefault="00D7784A" w:rsidP="00D7784A">
            <w:pPr>
              <w:pStyle w:val="Tabletext"/>
            </w:pPr>
            <w:r>
              <w:t xml:space="preserve">Green </w:t>
            </w:r>
            <w:r w:rsidR="001C79F8">
              <w:t>Bonds</w:t>
            </w:r>
          </w:p>
        </w:tc>
        <w:tc>
          <w:tcPr>
            <w:tcW w:w="7020" w:type="dxa"/>
          </w:tcPr>
          <w:p w14:paraId="22B3FB76" w14:textId="24C331E9"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rPr>
                <w:rStyle w:val="Hyperlink"/>
                <w:color w:val="000000" w:themeColor="text1"/>
              </w:rPr>
            </w:pPr>
            <w:r w:rsidRPr="00295C69">
              <w:t>Green Bonds (also known as climate bonds) are bonds that are used to finance new</w:t>
            </w:r>
            <w:r w:rsidRPr="00295C69">
              <w:rPr>
                <w:rFonts w:ascii="Calibri" w:hAnsi="Calibri" w:cs="Calibri"/>
              </w:rPr>
              <w:t> </w:t>
            </w:r>
            <w:r w:rsidRPr="00295C69">
              <w:t>and existing projects that offer climate change and</w:t>
            </w:r>
            <w:r w:rsidRPr="00295C69">
              <w:rPr>
                <w:rFonts w:ascii="Calibri" w:hAnsi="Calibri" w:cs="Calibri"/>
              </w:rPr>
              <w:t> </w:t>
            </w:r>
            <w:r w:rsidRPr="00295C69">
              <w:t>environmental benefits.</w:t>
            </w:r>
            <w:r w:rsidRPr="00295C69">
              <w:rPr>
                <w:rStyle w:val="Hyperlink"/>
                <w:color w:val="000000" w:themeColor="text1"/>
              </w:rPr>
              <w:t xml:space="preserve"> </w:t>
            </w:r>
            <w:hyperlink r:id="rId64" w:history="1">
              <w:r w:rsidRPr="00D7784A">
                <w:rPr>
                  <w:rStyle w:val="Hyperlink"/>
                </w:rPr>
                <w:t>Green Bonds | Department of Treasury and Finance Victoria (dtf.vic.gov.au)</w:t>
              </w:r>
            </w:hyperlink>
          </w:p>
        </w:tc>
      </w:tr>
      <w:tr w:rsidR="00D7784A" w14:paraId="3FD11048"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612596E6" w14:textId="3642C518" w:rsidR="00D7784A" w:rsidRPr="004A651E" w:rsidRDefault="00D7784A" w:rsidP="00D7784A">
            <w:pPr>
              <w:pStyle w:val="Tabletext"/>
            </w:pPr>
            <w:r>
              <w:t>High</w:t>
            </w:r>
            <w:r w:rsidR="00575255">
              <w:t xml:space="preserve"> </w:t>
            </w:r>
            <w:r>
              <w:t>value high risk (HVHR)</w:t>
            </w:r>
          </w:p>
        </w:tc>
        <w:tc>
          <w:tcPr>
            <w:tcW w:w="7020" w:type="dxa"/>
          </w:tcPr>
          <w:p w14:paraId="7A1AE9EA" w14:textId="5AD45755" w:rsidR="00D7784A" w:rsidRPr="00295C69"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95C69">
              <w:t>A project will be classified as HVHR if it is a budget</w:t>
            </w:r>
            <w:r w:rsidR="00601819">
              <w:noBreakHyphen/>
            </w:r>
            <w:r w:rsidRPr="00295C69">
              <w:t>funded project that is:</w:t>
            </w:r>
          </w:p>
          <w:p w14:paraId="758CB994" w14:textId="5827860C"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high risk using an updated PPM</w:t>
            </w:r>
          </w:p>
          <w:p w14:paraId="32B86178" w14:textId="5871261D"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medium risk using an updated PPM and has a total estimated investment (TEI) of between $100 million and $250 million</w:t>
            </w:r>
          </w:p>
          <w:p w14:paraId="6680186D" w14:textId="4DF530F2"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considered low risk using an updated PPM, but has a TEI over $250 million or</w:t>
            </w:r>
          </w:p>
          <w:p w14:paraId="5B35F3A6" w14:textId="77777777" w:rsidR="00D7784A" w:rsidRPr="00295C69"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295C69">
              <w:t>identified by Government as warranting the rigour applied to HVHR investments.</w:t>
            </w:r>
          </w:p>
        </w:tc>
      </w:tr>
      <w:tr w:rsidR="00D7784A" w14:paraId="25DD7249" w14:textId="77777777" w:rsidTr="00A16A0B">
        <w:trPr>
          <w:trHeight w:val="961"/>
        </w:trPr>
        <w:tc>
          <w:tcPr>
            <w:cnfStyle w:val="001000000000" w:firstRow="0" w:lastRow="0" w:firstColumn="1" w:lastColumn="0" w:oddVBand="0" w:evenVBand="0" w:oddHBand="0" w:evenHBand="0" w:firstRowFirstColumn="0" w:firstRowLastColumn="0" w:lastRowFirstColumn="0" w:lastRowLastColumn="0"/>
            <w:tcW w:w="2160" w:type="dxa"/>
          </w:tcPr>
          <w:p w14:paraId="526A5FFD" w14:textId="77777777" w:rsidR="00D7784A" w:rsidRDefault="00D7784A" w:rsidP="00D7784A">
            <w:pPr>
              <w:pStyle w:val="Tabletext"/>
            </w:pPr>
            <w:r w:rsidRPr="00260D11">
              <w:t>International Capital Markets Association (ICMA)</w:t>
            </w:r>
          </w:p>
        </w:tc>
        <w:tc>
          <w:tcPr>
            <w:tcW w:w="7020" w:type="dxa"/>
          </w:tcPr>
          <w:p w14:paraId="55F151D6" w14:textId="4BCBDE50"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A55081">
              <w:t xml:space="preserve"> International Capital Markets Association (ICMA)</w:t>
            </w:r>
            <w:r>
              <w:t xml:space="preserve"> promotes</w:t>
            </w:r>
            <w:r w:rsidRPr="00F378F6">
              <w:t xml:space="preserve"> resilient well</w:t>
            </w:r>
            <w:r w:rsidR="00601819">
              <w:noBreakHyphen/>
            </w:r>
            <w:r w:rsidRPr="00F378F6">
              <w:t>functioning international and globally coherent cross</w:t>
            </w:r>
            <w:r w:rsidR="00601819">
              <w:noBreakHyphen/>
            </w:r>
            <w:r w:rsidRPr="00F378F6">
              <w:t>border debt securities markets, which are essential to fund sustainable economic growth and development.</w:t>
            </w:r>
          </w:p>
        </w:tc>
      </w:tr>
      <w:tr w:rsidR="00D7784A" w14:paraId="6AC2D4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B761171" w14:textId="77777777" w:rsidR="00D7784A" w:rsidRPr="00DC4188" w:rsidRDefault="00D7784A" w:rsidP="00D7784A">
            <w:pPr>
              <w:pStyle w:val="Tabletext"/>
            </w:pPr>
            <w:r w:rsidRPr="009B2B67">
              <w:t>Investment Lifecycle and High Value High Risk Guidelines</w:t>
            </w:r>
            <w:r>
              <w:t xml:space="preserve"> </w:t>
            </w:r>
            <w:r w:rsidRPr="00BB35A3">
              <w:t>(</w:t>
            </w:r>
            <w:r>
              <w:t>Investment L</w:t>
            </w:r>
            <w:r w:rsidRPr="00BB35A3">
              <w:t xml:space="preserve">ifecycle </w:t>
            </w:r>
            <w:r>
              <w:t>G</w:t>
            </w:r>
            <w:r w:rsidRPr="00BB35A3">
              <w:t>uidelines)</w:t>
            </w:r>
          </w:p>
        </w:tc>
        <w:tc>
          <w:tcPr>
            <w:tcW w:w="7020" w:type="dxa"/>
          </w:tcPr>
          <w:p w14:paraId="3B87FB5C" w14:textId="6F5E84BE"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The Investment Lifecycle and High Value/High Risk Guidelines (Investment Lifecycle Guidelines) provide practical assistance to those proposing investment projects in Victoria. </w:t>
            </w:r>
            <w:hyperlink r:id="rId65" w:history="1">
              <w:r w:rsidRPr="00D7784A">
                <w:rPr>
                  <w:rStyle w:val="Hyperlink"/>
                </w:rPr>
                <w:t xml:space="preserve">Investment Lifecycle and High Value and </w:t>
              </w:r>
              <w:proofErr w:type="gramStart"/>
              <w:r w:rsidRPr="00D7784A">
                <w:rPr>
                  <w:rStyle w:val="Hyperlink"/>
                </w:rPr>
                <w:t>High Risk</w:t>
              </w:r>
              <w:proofErr w:type="gramEnd"/>
              <w:r w:rsidRPr="00D7784A">
                <w:rPr>
                  <w:rStyle w:val="Hyperlink"/>
                </w:rPr>
                <w:t xml:space="preserve"> Guidelines | Department of Treasury and Finance Victoria (dtf.vic.gov.au)</w:t>
              </w:r>
            </w:hyperlink>
          </w:p>
        </w:tc>
      </w:tr>
      <w:tr w:rsidR="00D7784A" w14:paraId="60A033C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F4E22E8" w14:textId="77777777" w:rsidR="00D7784A" w:rsidRPr="00830646" w:rsidRDefault="00D7784A" w:rsidP="00D7784A">
            <w:pPr>
              <w:pStyle w:val="Tabletext"/>
            </w:pPr>
            <w:r w:rsidRPr="00830646">
              <w:t>Investment Management Standard</w:t>
            </w:r>
            <w:r w:rsidRPr="00830646">
              <w:rPr>
                <w:lang w:eastAsia="en-AU"/>
              </w:rPr>
              <w:t xml:space="preserve"> (IMS)</w:t>
            </w:r>
          </w:p>
        </w:tc>
        <w:tc>
          <w:tcPr>
            <w:tcW w:w="7020" w:type="dxa"/>
          </w:tcPr>
          <w:p w14:paraId="039E07DC" w14:textId="11D2280C" w:rsidR="00D7784A" w:rsidRPr="00830646"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0646">
              <w:t xml:space="preserve">The Investment Management Standard is a process for applying simple, </w:t>
            </w:r>
            <w:proofErr w:type="spellStart"/>
            <w:r w:rsidRPr="00830646">
              <w:t>commonsense</w:t>
            </w:r>
            <w:proofErr w:type="spellEnd"/>
            <w:r w:rsidRPr="00830646">
              <w:t xml:space="preserve"> ideas and practices that help organisations to direct their resources and achieve the best outcomes from their investments.</w:t>
            </w:r>
          </w:p>
        </w:tc>
      </w:tr>
      <w:tr w:rsidR="00D7784A" w14:paraId="0E7104A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CEF1D40" w14:textId="5704C2EE" w:rsidR="00D7784A" w:rsidRDefault="00D7784A" w:rsidP="00D7784A">
            <w:pPr>
              <w:pStyle w:val="Tabletext"/>
            </w:pPr>
            <w:r>
              <w:lastRenderedPageBreak/>
              <w:t>Multi</w:t>
            </w:r>
            <w:r w:rsidR="00601819">
              <w:noBreakHyphen/>
            </w:r>
            <w:r>
              <w:t>criteria Analysis (MCA)</w:t>
            </w:r>
          </w:p>
        </w:tc>
        <w:tc>
          <w:tcPr>
            <w:tcW w:w="7020" w:type="dxa"/>
          </w:tcPr>
          <w:p w14:paraId="7C4216C9" w14:textId="6FFE7D9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Multi</w:t>
            </w:r>
            <w:r w:rsidR="00601819">
              <w:noBreakHyphen/>
            </w:r>
            <w:r>
              <w:t>criteria analysis</w:t>
            </w:r>
            <w:r w:rsidRPr="00AA0AA9">
              <w:t xml:space="preserve"> is a semi</w:t>
            </w:r>
            <w:r w:rsidR="00601819">
              <w:noBreakHyphen/>
            </w:r>
            <w:r w:rsidRPr="00AA0AA9">
              <w:t xml:space="preserve">quantitative method </w:t>
            </w:r>
            <w:r>
              <w:t xml:space="preserve">used </w:t>
            </w:r>
            <w:r w:rsidRPr="00AA0AA9">
              <w:t>to balance various choice criteria</w:t>
            </w:r>
            <w:r>
              <w:t xml:space="preserve"> when comparing project options</w:t>
            </w:r>
            <w:r w:rsidRPr="00AA0AA9">
              <w:t xml:space="preserve">. </w:t>
            </w:r>
            <w:r w:rsidR="00575255">
              <w:t>I</w:t>
            </w:r>
            <w:r w:rsidR="00575255" w:rsidRPr="00AA0AA9">
              <w:t xml:space="preserve">t </w:t>
            </w:r>
            <w:r w:rsidRPr="00AA0AA9">
              <w:t>involves translating value judgments into scores that can be weighted</w:t>
            </w:r>
            <w:r>
              <w:t>. Refer to the Investment L</w:t>
            </w:r>
            <w:r w:rsidRPr="00BB35A3">
              <w:t xml:space="preserve">ifecycle </w:t>
            </w:r>
            <w:r>
              <w:t>G</w:t>
            </w:r>
            <w:r w:rsidRPr="00BB35A3">
              <w:t>uidelines</w:t>
            </w:r>
            <w:r w:rsidRPr="00246F52">
              <w:t xml:space="preserve"> under </w:t>
            </w:r>
            <w:r w:rsidR="00F00708">
              <w:t>‘</w:t>
            </w:r>
            <w:r w:rsidRPr="00246F52">
              <w:t xml:space="preserve">integrated </w:t>
            </w:r>
            <w:proofErr w:type="gramStart"/>
            <w:r w:rsidRPr="00246F52">
              <w:t>analysis</w:t>
            </w:r>
            <w:r w:rsidR="00F00708">
              <w:t>’</w:t>
            </w:r>
            <w:proofErr w:type="gramEnd"/>
            <w:r>
              <w:t xml:space="preserve"> and </w:t>
            </w:r>
            <w:r w:rsidRPr="00AA0AA9">
              <w:t>section 2.1.4 of</w:t>
            </w:r>
            <w:r w:rsidRPr="00830646">
              <w:t xml:space="preserve"> </w:t>
            </w:r>
            <w:r>
              <w:t>‘</w:t>
            </w:r>
            <w:r w:rsidRPr="00830646">
              <w:t>Economic Evaluation for Business Cases Technical guidelines</w:t>
            </w:r>
            <w:r>
              <w:t>’</w:t>
            </w:r>
            <w:r w:rsidRPr="004E4511">
              <w:t xml:space="preserve"> </w:t>
            </w:r>
            <w:r w:rsidRPr="00AA0AA9">
              <w:t>for more detail</w:t>
            </w:r>
            <w:r>
              <w:t>.</w:t>
            </w:r>
          </w:p>
        </w:tc>
      </w:tr>
      <w:tr w:rsidR="00D7784A" w:rsidRPr="00834F4D" w14:paraId="73B1FD18"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0CC0FE0" w14:textId="77777777" w:rsidR="00D7784A" w:rsidRPr="003706A6" w:rsidRDefault="00D7784A" w:rsidP="00D7784A">
            <w:pPr>
              <w:pStyle w:val="Tabletext"/>
            </w:pPr>
            <w:r w:rsidRPr="009B2B67">
              <w:t>National Digital Engineering Policy Principles</w:t>
            </w:r>
          </w:p>
        </w:tc>
        <w:tc>
          <w:tcPr>
            <w:tcW w:w="7020" w:type="dxa"/>
          </w:tcPr>
          <w:p w14:paraId="4F89C75C" w14:textId="77777777" w:rsidR="00D7784A" w:rsidRPr="003706A6"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 xml:space="preserve">National Digital Engineering Policy Principles </w:t>
            </w:r>
            <w:r w:rsidRPr="003706A6">
              <w:t>recognise the</w:t>
            </w:r>
            <w:r w:rsidRPr="009B2B67">
              <w:t xml:space="preserve"> benefits that Digital Engineering and Building Information Modelling can bring to the design, delivery, </w:t>
            </w:r>
            <w:proofErr w:type="gramStart"/>
            <w:r w:rsidRPr="009B2B67">
              <w:t>operation</w:t>
            </w:r>
            <w:proofErr w:type="gramEnd"/>
            <w:r w:rsidRPr="009B2B67">
              <w:t xml:space="preserve"> and management of land transport infrastructure assets. VDAS has subsequently been developed and should be</w:t>
            </w:r>
            <w:r w:rsidRPr="003706A6">
              <w:t xml:space="preserve"> used for Victorian Government projects.</w:t>
            </w:r>
          </w:p>
        </w:tc>
      </w:tr>
      <w:tr w:rsidR="00D7784A" w14:paraId="2D0A430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E477869" w14:textId="77777777" w:rsidR="00D7784A" w:rsidRPr="00C702C8" w:rsidRDefault="00D7784A" w:rsidP="00D7784A">
            <w:pPr>
              <w:pStyle w:val="Tabletext"/>
            </w:pPr>
            <w:r>
              <w:t>Office accommodation guidelines</w:t>
            </w:r>
          </w:p>
        </w:tc>
        <w:tc>
          <w:tcPr>
            <w:tcW w:w="7020" w:type="dxa"/>
          </w:tcPr>
          <w:p w14:paraId="66E2FCD4" w14:textId="3D2FF2B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The Victorian Government Office Accommodation Guidelines (the Guidelines) are used by the Victorian Public Service departments and agencies in the planning, leasing, fit</w:t>
            </w:r>
            <w:r w:rsidR="00601819">
              <w:noBreakHyphen/>
            </w:r>
            <w:r w:rsidRPr="00D7784A">
              <w:t>out and management of office accommodation to achieve well</w:t>
            </w:r>
            <w:r w:rsidR="00601819">
              <w:noBreakHyphen/>
            </w:r>
            <w:r w:rsidRPr="00D7784A">
              <w:t xml:space="preserve">designed workspaces that deliver quality, value for money and environmentally sustainable outcomes. </w:t>
            </w:r>
            <w:hyperlink r:id="rId66" w:history="1">
              <w:r w:rsidRPr="00D7784A">
                <w:rPr>
                  <w:rStyle w:val="Hyperlink"/>
                </w:rPr>
                <w:t>https://www.dtf.vic.gov.au/sites/default/files/2018</w:t>
              </w:r>
              <w:r w:rsidR="00601819">
                <w:rPr>
                  <w:rStyle w:val="Hyperlink"/>
                </w:rPr>
                <w:noBreakHyphen/>
              </w:r>
              <w:r w:rsidRPr="00D7784A">
                <w:rPr>
                  <w:rStyle w:val="Hyperlink"/>
                </w:rPr>
                <w:t>02/Office</w:t>
              </w:r>
              <w:r w:rsidR="00601819">
                <w:rPr>
                  <w:rStyle w:val="Hyperlink"/>
                </w:rPr>
                <w:noBreakHyphen/>
              </w:r>
              <w:r w:rsidRPr="00D7784A">
                <w:rPr>
                  <w:rStyle w:val="Hyperlink"/>
                </w:rPr>
                <w:t>Accommodation</w:t>
              </w:r>
              <w:r w:rsidR="00601819">
                <w:rPr>
                  <w:rStyle w:val="Hyperlink"/>
                </w:rPr>
                <w:noBreakHyphen/>
              </w:r>
              <w:r w:rsidRPr="00D7784A">
                <w:rPr>
                  <w:rStyle w:val="Hyperlink"/>
                </w:rPr>
                <w:t>Guidelines</w:t>
              </w:r>
              <w:r w:rsidR="00601819">
                <w:rPr>
                  <w:rStyle w:val="Hyperlink"/>
                </w:rPr>
                <w:noBreakHyphen/>
              </w:r>
              <w:r w:rsidRPr="00D7784A">
                <w:rPr>
                  <w:rStyle w:val="Hyperlink"/>
                </w:rPr>
                <w:t>2007.pdf</w:t>
              </w:r>
            </w:hyperlink>
          </w:p>
        </w:tc>
      </w:tr>
      <w:tr w:rsidR="00D7784A" w14:paraId="68A55B5E"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DBB5B74" w14:textId="77777777" w:rsidR="00D7784A" w:rsidRDefault="00D7784A" w:rsidP="00D7784A">
            <w:pPr>
              <w:pStyle w:val="Tabletext"/>
            </w:pPr>
            <w:r>
              <w:t>Office of Projects Victoria (OPV)</w:t>
            </w:r>
          </w:p>
        </w:tc>
        <w:tc>
          <w:tcPr>
            <w:tcW w:w="7020" w:type="dxa"/>
          </w:tcPr>
          <w:p w14:paraId="17B07C83"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Office of Projects Victoria is an Administrative Office within the Department of Treasury and Finance. OPV leads and influences excellence in project delivery to maximise value for all Victorians. </w:t>
            </w:r>
          </w:p>
        </w:tc>
      </w:tr>
      <w:tr w:rsidR="00D7784A" w14:paraId="6798998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AAF24AE" w14:textId="77777777" w:rsidR="00D7784A" w:rsidRDefault="00D7784A" w:rsidP="00D7784A">
            <w:pPr>
              <w:pStyle w:val="Tabletext"/>
            </w:pPr>
            <w:r>
              <w:t>Precautionary principle</w:t>
            </w:r>
          </w:p>
        </w:tc>
        <w:tc>
          <w:tcPr>
            <w:tcW w:w="7020" w:type="dxa"/>
          </w:tcPr>
          <w:p w14:paraId="1C1EE089" w14:textId="14349EAC"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w:t>
            </w:r>
            <w:r w:rsidRPr="004057E2">
              <w:t xml:space="preserve">he </w:t>
            </w:r>
            <w:r w:rsidR="00486CDF">
              <w:t>p</w:t>
            </w:r>
            <w:r w:rsidR="00486CDF" w:rsidRPr="004057E2">
              <w:t xml:space="preserve">recautionary </w:t>
            </w:r>
            <w:r w:rsidR="00486CDF">
              <w:t>p</w:t>
            </w:r>
            <w:r w:rsidR="00486CDF" w:rsidRPr="004057E2">
              <w:t xml:space="preserve">rinciple </w:t>
            </w:r>
            <w:r w:rsidRPr="004057E2">
              <w:t>requires the project proponent to demonstrate that the proposed activity or decision will not result in significant harm, especially in the case where conclusive evidence is not yet available.</w:t>
            </w:r>
          </w:p>
        </w:tc>
      </w:tr>
      <w:tr w:rsidR="00D7784A" w14:paraId="3283472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467488" w14:textId="77777777" w:rsidR="00D7784A" w:rsidRPr="001D36AA" w:rsidRDefault="00D7784A" w:rsidP="00D7784A">
            <w:pPr>
              <w:pStyle w:val="Tabletext"/>
            </w:pPr>
            <w:r w:rsidRPr="00056E9F">
              <w:t>Project</w:t>
            </w:r>
            <w:r w:rsidRPr="004A651E">
              <w:t xml:space="preserve"> </w:t>
            </w:r>
            <w:r w:rsidRPr="00296370">
              <w:t xml:space="preserve">Development </w:t>
            </w:r>
            <w:r w:rsidRPr="00646C46">
              <w:t>a</w:t>
            </w:r>
            <w:r w:rsidRPr="00461DBF">
              <w:t xml:space="preserve">nd Due Diligence </w:t>
            </w:r>
            <w:r w:rsidRPr="0030152B">
              <w:t>(</w:t>
            </w:r>
            <w:r w:rsidRPr="001D36AA">
              <w:t>PDDD)</w:t>
            </w:r>
          </w:p>
        </w:tc>
        <w:tc>
          <w:tcPr>
            <w:tcW w:w="7020" w:type="dxa"/>
          </w:tcPr>
          <w:p w14:paraId="7DF170DA"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CC0EF5">
              <w:t>Th</w:t>
            </w:r>
            <w:r>
              <w:t>e</w:t>
            </w:r>
            <w:r w:rsidRPr="00CC0EF5">
              <w:t xml:space="preserve"> </w:t>
            </w:r>
            <w:r>
              <w:t>PDDD</w:t>
            </w:r>
            <w:r w:rsidRPr="00CC0EF5">
              <w:t xml:space="preserve"> technical supplement provides a guide for project proponents on how to integrate PDDD activities into Victoria’s High Value High Risk Framework and the Gateway Review Process.</w:t>
            </w:r>
            <w:r>
              <w:t xml:space="preserve"> </w:t>
            </w:r>
            <w:r w:rsidRPr="003E1EE8">
              <w:t xml:space="preserve">Due diligence planning and development activities including site investigation and documentation, analysis and research, production of design and development proposals and reports of sufficient quality, </w:t>
            </w:r>
            <w:proofErr w:type="gramStart"/>
            <w:r w:rsidRPr="003E1EE8">
              <w:t>breadth</w:t>
            </w:r>
            <w:proofErr w:type="gramEnd"/>
            <w:r w:rsidRPr="003E1EE8">
              <w:t xml:space="preserve"> and depth to clearly define project scope, risks and critical requirements to facilitate detailed design, effective procurement, delivery and successful operation.</w:t>
            </w:r>
          </w:p>
        </w:tc>
      </w:tr>
      <w:tr w:rsidR="00D7784A" w14:paraId="030187BD"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14E0CB7" w14:textId="77777777" w:rsidR="00D7784A" w:rsidRPr="00056E9F" w:rsidRDefault="00D7784A" w:rsidP="00D7784A">
            <w:pPr>
              <w:pStyle w:val="Tabletext"/>
            </w:pPr>
            <w:r w:rsidRPr="009B2B67">
              <w:t>Project Profile Model (PPM)</w:t>
            </w:r>
          </w:p>
        </w:tc>
        <w:tc>
          <w:tcPr>
            <w:tcW w:w="7020" w:type="dxa"/>
          </w:tcPr>
          <w:p w14:paraId="5A4ACF5A" w14:textId="63252FF6" w:rsidR="00D7784A" w:rsidRPr="00CC0EF5"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The Project Profile Model is</w:t>
            </w:r>
            <w:r>
              <w:rPr>
                <w:b/>
              </w:rPr>
              <w:t xml:space="preserve"> </w:t>
            </w:r>
            <w:r w:rsidRPr="003E1EE8">
              <w:t>DTF’s risk</w:t>
            </w:r>
            <w:r w:rsidR="00601819">
              <w:noBreakHyphen/>
            </w:r>
            <w:r w:rsidRPr="003E1EE8">
              <w:t xml:space="preserve">based matrix used to inform whether a project should be subject to the High Value High Risk Project Assurance Framework. </w:t>
            </w:r>
          </w:p>
        </w:tc>
      </w:tr>
      <w:tr w:rsidR="00D7784A" w14:paraId="116B856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CC1218B" w14:textId="77777777" w:rsidR="00D7784A" w:rsidRDefault="00D7784A" w:rsidP="00D7784A">
            <w:pPr>
              <w:pStyle w:val="Tabletext"/>
            </w:pPr>
            <w:r>
              <w:t>Public interest test</w:t>
            </w:r>
          </w:p>
        </w:tc>
        <w:tc>
          <w:tcPr>
            <w:tcW w:w="7020" w:type="dxa"/>
          </w:tcPr>
          <w:p w14:paraId="4830C111" w14:textId="419C2F3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Partnerships Victoria has published a template that explains public interest issues (regarding the welfare and wellbeing of the </w:t>
            </w:r>
            <w:proofErr w:type="gramStart"/>
            <w:r w:rsidRPr="00D7784A">
              <w:t>general public</w:t>
            </w:r>
            <w:proofErr w:type="gramEnd"/>
            <w:r w:rsidRPr="00D7784A">
              <w:t xml:space="preserve">) and how to undertake a public interest test. </w:t>
            </w:r>
            <w:hyperlink r:id="rId67" w:history="1">
              <w:r w:rsidRPr="00D7784A">
                <w:rPr>
                  <w:rStyle w:val="Hyperlink"/>
                </w:rPr>
                <w:t xml:space="preserve">Policy, </w:t>
              </w:r>
              <w:proofErr w:type="gramStart"/>
              <w:r w:rsidRPr="00D7784A">
                <w:rPr>
                  <w:rStyle w:val="Hyperlink"/>
                </w:rPr>
                <w:t>guidelines</w:t>
              </w:r>
              <w:proofErr w:type="gramEnd"/>
              <w:r w:rsidRPr="00D7784A">
                <w:rPr>
                  <w:rStyle w:val="Hyperlink"/>
                </w:rPr>
                <w:t xml:space="preserve"> and templates | Department of Treasury and Finance Victoria (dtf.vic.gov.au)</w:t>
              </w:r>
            </w:hyperlink>
          </w:p>
        </w:tc>
      </w:tr>
      <w:tr w:rsidR="00D7784A" w14:paraId="4177F12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4E9FDFC" w14:textId="77777777" w:rsidR="00D7784A" w:rsidRDefault="00D7784A" w:rsidP="00D7784A">
            <w:pPr>
              <w:pStyle w:val="Tabletext"/>
            </w:pPr>
            <w:r>
              <w:t>Rating tools</w:t>
            </w:r>
          </w:p>
        </w:tc>
        <w:tc>
          <w:tcPr>
            <w:tcW w:w="7020" w:type="dxa"/>
          </w:tcPr>
          <w:p w14:paraId="7FC19B83" w14:textId="230E0B28" w:rsidR="00D7784A" w:rsidRPr="00981853"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660556">
              <w:t xml:space="preserve">Sustainability assessment tools </w:t>
            </w:r>
            <w:r>
              <w:t>and certification</w:t>
            </w:r>
            <w:r w:rsidRPr="00660556">
              <w:t xml:space="preserve"> </w:t>
            </w:r>
            <w:r w:rsidR="00575255">
              <w:t xml:space="preserve">that have </w:t>
            </w:r>
            <w:r w:rsidRPr="00660556">
              <w:t xml:space="preserve">been developed for the construction sector to collect and report information </w:t>
            </w:r>
            <w:proofErr w:type="gramStart"/>
            <w:r w:rsidRPr="00660556">
              <w:t>in order to</w:t>
            </w:r>
            <w:proofErr w:type="gramEnd"/>
            <w:r w:rsidRPr="00660556">
              <w:t xml:space="preserve"> make decisions at different stages of construction, design</w:t>
            </w:r>
            <w:r>
              <w:t>,</w:t>
            </w:r>
            <w:r w:rsidRPr="00660556">
              <w:t xml:space="preserve"> and </w:t>
            </w:r>
            <w:r>
              <w:t>operation</w:t>
            </w:r>
            <w:r w:rsidRPr="00660556">
              <w:t xml:space="preserve"> of buildings.</w:t>
            </w:r>
          </w:p>
        </w:tc>
      </w:tr>
      <w:tr w:rsidR="00D7784A" w14:paraId="5D721894"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16BCCC6" w14:textId="77777777" w:rsidR="00D7784A" w:rsidRDefault="00D7784A" w:rsidP="00D7784A">
            <w:pPr>
              <w:pStyle w:val="Tabletext"/>
            </w:pPr>
            <w:r>
              <w:lastRenderedPageBreak/>
              <w:t>Real options analysis</w:t>
            </w:r>
          </w:p>
        </w:tc>
        <w:tc>
          <w:tcPr>
            <w:tcW w:w="7020" w:type="dxa"/>
          </w:tcPr>
          <w:p w14:paraId="0F9B8CB8" w14:textId="11FBD455"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81853">
              <w:t xml:space="preserve">Real options </w:t>
            </w:r>
            <w:r w:rsidRPr="004E4511">
              <w:t xml:space="preserve">allow </w:t>
            </w:r>
            <w:r w:rsidRPr="001F3D3A">
              <w:t>early investment</w:t>
            </w:r>
            <w:r w:rsidRPr="008358EF">
              <w:t xml:space="preserve">s </w:t>
            </w:r>
            <w:r w:rsidRPr="003F1AB3">
              <w:t xml:space="preserve">for future flexibility to be valued based on the </w:t>
            </w:r>
            <w:r w:rsidRPr="007B0E20">
              <w:t xml:space="preserve">probability of the flexibility being needed </w:t>
            </w:r>
            <w:r w:rsidRPr="00056E9F">
              <w:t xml:space="preserve">and </w:t>
            </w:r>
            <w:r w:rsidRPr="004A651E">
              <w:t xml:space="preserve">projected </w:t>
            </w:r>
            <w:r w:rsidRPr="0030152B">
              <w:t>benefits</w:t>
            </w:r>
            <w:r w:rsidRPr="002370A9">
              <w:rPr>
                <w:szCs w:val="20"/>
              </w:rPr>
              <w:t xml:space="preserve">. </w:t>
            </w:r>
            <w:r w:rsidR="00575255">
              <w:t xml:space="preserve">Technical </w:t>
            </w:r>
            <w:r>
              <w:t>supplement ‘</w:t>
            </w:r>
            <w:r w:rsidRPr="00830646">
              <w:t>Investing under uncertainty – Real options analysis</w:t>
            </w:r>
            <w:r>
              <w:t>’.</w:t>
            </w:r>
          </w:p>
        </w:tc>
      </w:tr>
      <w:tr w:rsidR="00D7784A" w14:paraId="490D3CEB"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D25C645" w14:textId="77777777" w:rsidR="00D7784A" w:rsidRPr="003F1AB3" w:rsidRDefault="00D7784A" w:rsidP="00D7784A">
            <w:pPr>
              <w:pStyle w:val="Tabletext"/>
            </w:pPr>
            <w:r w:rsidRPr="004E4511">
              <w:t xml:space="preserve">Risk </w:t>
            </w:r>
            <w:r w:rsidRPr="001F3D3A">
              <w:t xml:space="preserve">Time Cost </w:t>
            </w:r>
            <w:r w:rsidRPr="008358EF">
              <w:t xml:space="preserve">and </w:t>
            </w:r>
            <w:r w:rsidRPr="003F1AB3">
              <w:t>Contingency guidelines (RTCC)</w:t>
            </w:r>
          </w:p>
        </w:tc>
        <w:tc>
          <w:tcPr>
            <w:tcW w:w="7020" w:type="dxa"/>
          </w:tcPr>
          <w:p w14:paraId="2D344379" w14:textId="77777777" w:rsidR="00D7784A" w:rsidRPr="008358EF"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9B2B67">
              <w:t xml:space="preserve"> Risk Time Cost and Contingency guidelines</w:t>
            </w:r>
            <w:r w:rsidRPr="004E4511">
              <w:t xml:space="preserve"> introduce an integrated approach to risk, time, cost, and contingency identification, quantificat</w:t>
            </w:r>
            <w:r w:rsidRPr="001F3D3A">
              <w:t xml:space="preserve">ion, and management </w:t>
            </w:r>
            <w:r>
              <w:t>applied across a project’s</w:t>
            </w:r>
            <w:r w:rsidRPr="004E4511">
              <w:t xml:space="preserve"> benefits, scope</w:t>
            </w:r>
            <w:r w:rsidRPr="001F3D3A">
              <w:t xml:space="preserve"> and quality.</w:t>
            </w:r>
          </w:p>
        </w:tc>
      </w:tr>
      <w:tr w:rsidR="00D7784A" w14:paraId="3737BE61"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BE6D38C" w14:textId="77777777" w:rsidR="00D7784A" w:rsidRDefault="00D7784A" w:rsidP="00D7784A">
            <w:pPr>
              <w:pStyle w:val="Tabletext"/>
            </w:pPr>
            <w:r>
              <w:t>Scope 3 emissions</w:t>
            </w:r>
          </w:p>
        </w:tc>
        <w:tc>
          <w:tcPr>
            <w:tcW w:w="7020" w:type="dxa"/>
          </w:tcPr>
          <w:p w14:paraId="014E62FA" w14:textId="4FD00DFE"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Scope 3 emissions (under the </w:t>
            </w:r>
            <w:r w:rsidRPr="001C18B5">
              <w:rPr>
                <w:i/>
                <w:iCs/>
              </w:rPr>
              <w:t>Climate Change Act 2017</w:t>
            </w:r>
            <w:r>
              <w:t xml:space="preserve"> and the Victorian Government’s five</w:t>
            </w:r>
            <w:r w:rsidR="00575255">
              <w:t>-</w:t>
            </w:r>
            <w:r>
              <w:t xml:space="preserve">yearly sector pledges) refer to emissions generated in the wider economy as an indirect consequence of the investment or activity or embodied within the materials of construction. </w:t>
            </w:r>
          </w:p>
        </w:tc>
      </w:tr>
      <w:tr w:rsidR="00D7784A" w:rsidRPr="003F47C5" w14:paraId="536E7D5A"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08F537F" w14:textId="77777777" w:rsidR="00D7784A" w:rsidRDefault="00D7784A" w:rsidP="00D7784A">
            <w:pPr>
              <w:pStyle w:val="Tabletext"/>
            </w:pPr>
            <w:r>
              <w:t>Social Procurement Framework (SPF)</w:t>
            </w:r>
          </w:p>
        </w:tc>
        <w:tc>
          <w:tcPr>
            <w:tcW w:w="7020" w:type="dxa"/>
          </w:tcPr>
          <w:p w14:paraId="458326A6" w14:textId="131D11DA"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The Social Procurement Framework outlines the Victorian Government’s social procurement objectives and corresponding social outcomes. </w:t>
            </w:r>
            <w:hyperlink r:id="rId68" w:history="1">
              <w:r w:rsidRPr="00D7784A">
                <w:rPr>
                  <w:rStyle w:val="Hyperlink"/>
                </w:rPr>
                <w:t>Social Procurement Framework</w:t>
              </w:r>
              <w:r w:rsidR="00F00708">
                <w:rPr>
                  <w:rStyle w:val="Hyperlink"/>
                </w:rPr>
                <w:t xml:space="preserve"> – </w:t>
              </w:r>
              <w:r w:rsidRPr="00D7784A">
                <w:rPr>
                  <w:rStyle w:val="Hyperlink"/>
                </w:rPr>
                <w:t xml:space="preserve">Objectives, </w:t>
              </w:r>
              <w:proofErr w:type="gramStart"/>
              <w:r w:rsidRPr="00D7784A">
                <w:rPr>
                  <w:rStyle w:val="Hyperlink"/>
                </w:rPr>
                <w:t>outcomes</w:t>
              </w:r>
              <w:proofErr w:type="gramEnd"/>
              <w:r w:rsidRPr="00D7784A">
                <w:rPr>
                  <w:rStyle w:val="Hyperlink"/>
                </w:rPr>
                <w:t xml:space="preserve"> and key focus areas | Buying for Victoria</w:t>
              </w:r>
            </w:hyperlink>
          </w:p>
        </w:tc>
      </w:tr>
      <w:tr w:rsidR="00D7784A" w14:paraId="6944AF1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50CBD7BC" w14:textId="77777777" w:rsidR="00D7784A" w:rsidRDefault="00D7784A" w:rsidP="00D7784A">
            <w:pPr>
              <w:pStyle w:val="Tabletext"/>
            </w:pPr>
            <w:r>
              <w:t>Sustainable investment</w:t>
            </w:r>
          </w:p>
        </w:tc>
        <w:tc>
          <w:tcPr>
            <w:tcW w:w="7020" w:type="dxa"/>
          </w:tcPr>
          <w:p w14:paraId="372032AC"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62E3">
              <w:t>Incorporating sustainability into investment considerations ensures government expenditure contributes towards positive environmental, social (including health), and economic outcomes as well as cost savings and resource efficiencies today and into the future.</w:t>
            </w:r>
          </w:p>
        </w:tc>
      </w:tr>
      <w:tr w:rsidR="00D7784A" w14:paraId="1BC94D9F"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AFF32C6" w14:textId="77777777" w:rsidR="00D7784A" w:rsidRDefault="00D7784A" w:rsidP="00D7784A">
            <w:pPr>
              <w:pStyle w:val="Tabletext"/>
            </w:pPr>
            <w:r w:rsidRPr="004A651E">
              <w:t>Sustainable investment target maturity level</w:t>
            </w:r>
          </w:p>
        </w:tc>
        <w:tc>
          <w:tcPr>
            <w:tcW w:w="7020" w:type="dxa"/>
          </w:tcPr>
          <w:p w14:paraId="7B4B88BA"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The</w:t>
            </w:r>
            <w:r w:rsidRPr="00795C6C">
              <w:t xml:space="preserve"> sustainable investment maturity model defines minimum expectations for Victorian Government investment projects</w:t>
            </w:r>
            <w:r>
              <w:t xml:space="preserve">. It supports </w:t>
            </w:r>
            <w:r w:rsidRPr="00795C6C">
              <w:t xml:space="preserve">decision makers and project teams </w:t>
            </w:r>
            <w:r>
              <w:t>in</w:t>
            </w:r>
            <w:r w:rsidRPr="00795C6C">
              <w:t xml:space="preserve"> identif</w:t>
            </w:r>
            <w:r>
              <w:t>ying</w:t>
            </w:r>
            <w:r w:rsidRPr="00795C6C">
              <w:t xml:space="preserve"> and implement</w:t>
            </w:r>
            <w:r>
              <w:t xml:space="preserve">ing </w:t>
            </w:r>
            <w:r w:rsidRPr="00795C6C">
              <w:t>appropriate levels of sustainable investment sophistication throughout the investment lifecycle.</w:t>
            </w:r>
          </w:p>
        </w:tc>
      </w:tr>
      <w:tr w:rsidR="00D7784A" w14:paraId="00E72C2E"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4B37E98" w14:textId="2834561B" w:rsidR="00D7784A" w:rsidRDefault="00624172" w:rsidP="00D7784A">
            <w:pPr>
              <w:pStyle w:val="Tabletext"/>
            </w:pPr>
            <w:r>
              <w:t>Sustainable Investment themes</w:t>
            </w:r>
            <w:r w:rsidR="00D7784A">
              <w:t xml:space="preserve"> (SIT)</w:t>
            </w:r>
          </w:p>
        </w:tc>
        <w:tc>
          <w:tcPr>
            <w:tcW w:w="7020" w:type="dxa"/>
          </w:tcPr>
          <w:p w14:paraId="450C38AD" w14:textId="50D9891B"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E4511">
              <w:t>Victoria</w:t>
            </w:r>
            <w:r w:rsidRPr="009B2B67">
              <w:t>’s eight</w:t>
            </w:r>
            <w:r w:rsidRPr="004E4511">
              <w:t xml:space="preserve"> </w:t>
            </w:r>
            <w:r w:rsidR="00624172">
              <w:t>Sustainable Investment themes</w:t>
            </w:r>
            <w:r w:rsidRPr="001F3D3A">
              <w:t xml:space="preserve"> </w:t>
            </w:r>
            <w:r w:rsidRPr="008358EF">
              <w:t>provide a way to understand and prioritise sustainable investment options, and a way to aid decision making and assessments to achieve</w:t>
            </w:r>
            <w:r w:rsidRPr="00043656">
              <w:t xml:space="preserve"> improved sustainable investment outcomes</w:t>
            </w:r>
            <w:r>
              <w:t>. They are based on the United Nations Sustainable Development Goals (UNSDG) relevant to the i</w:t>
            </w:r>
            <w:r w:rsidRPr="00043656">
              <w:t xml:space="preserve">nvestment </w:t>
            </w:r>
            <w:r>
              <w:t>l</w:t>
            </w:r>
            <w:r w:rsidRPr="00043656">
              <w:t>ifecycle</w:t>
            </w:r>
            <w:r>
              <w:t>.</w:t>
            </w:r>
          </w:p>
        </w:tc>
      </w:tr>
      <w:tr w:rsidR="00D7784A" w14:paraId="4762C50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F968055" w14:textId="77777777" w:rsidR="00D7784A" w:rsidRPr="001F3D3A" w:rsidRDefault="00D7784A" w:rsidP="00D7784A">
            <w:pPr>
              <w:pStyle w:val="Tabletext"/>
            </w:pPr>
            <w:r w:rsidRPr="004E4511">
              <w:t>Sustainable procurement in government</w:t>
            </w:r>
          </w:p>
        </w:tc>
        <w:tc>
          <w:tcPr>
            <w:tcW w:w="7020" w:type="dxa"/>
          </w:tcPr>
          <w:p w14:paraId="0BC60963" w14:textId="351F46C8" w:rsidR="00D7784A" w:rsidRPr="004E4511"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8358EF">
              <w:t>The ‘</w:t>
            </w:r>
            <w:r w:rsidRPr="003F1AB3">
              <w:t>sustainable procurement in government’</w:t>
            </w:r>
            <w:r w:rsidRPr="009B2B67">
              <w:rPr>
                <w:shd w:val="clear" w:color="auto" w:fill="FFFFFF"/>
              </w:rPr>
              <w:t xml:space="preserve"> framework provides </w:t>
            </w:r>
            <w:r w:rsidRPr="004E4511">
              <w:rPr>
                <w:shd w:val="clear" w:color="auto" w:fill="FFFFFF"/>
              </w:rPr>
              <w:t xml:space="preserve">support for government departments and agencies to identify opportunities to increase procurement of recycled content and products, </w:t>
            </w:r>
            <w:r w:rsidRPr="009B2B67">
              <w:rPr>
                <w:shd w:val="clear" w:color="auto" w:fill="FFFFFF"/>
              </w:rPr>
              <w:t xml:space="preserve">including </w:t>
            </w:r>
            <w:r w:rsidRPr="004E4511">
              <w:rPr>
                <w:shd w:val="clear" w:color="auto" w:fill="FFFFFF"/>
              </w:rPr>
              <w:t>under the</w:t>
            </w:r>
            <w:r w:rsidRPr="001F3D3A">
              <w:rPr>
                <w:shd w:val="clear" w:color="auto" w:fill="FFFFFF"/>
              </w:rPr>
              <w:t xml:space="preserve"> </w:t>
            </w:r>
            <w:hyperlink r:id="rId69" w:history="1">
              <w:r w:rsidRPr="009B2B67">
                <w:t xml:space="preserve">Recycling Industry Strategic Plan </w:t>
              </w:r>
              <w:r w:rsidRPr="009B2B67">
                <w:rPr>
                  <w:shd w:val="clear" w:color="auto" w:fill="FFFFFF"/>
                </w:rPr>
                <w:t>and Social Procurement Framework.</w:t>
              </w:r>
              <w:r w:rsidRPr="009B2B67">
                <w:t xml:space="preserve"> </w:t>
              </w:r>
            </w:hyperlink>
            <w:hyperlink r:id="rId70" w:history="1">
              <w:r w:rsidRPr="001F3D3A">
                <w:rPr>
                  <w:rStyle w:val="Hyperlink"/>
                </w:rPr>
                <w:t>Sustainable procurement in government (sustainability.vic.gov.au)</w:t>
              </w:r>
            </w:hyperlink>
          </w:p>
        </w:tc>
      </w:tr>
      <w:tr w:rsidR="00D7784A" w14:paraId="3FF7124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32C6705" w14:textId="77777777" w:rsidR="00D7784A" w:rsidRDefault="00D7784A" w:rsidP="00D7784A">
            <w:pPr>
              <w:pStyle w:val="Tabletext"/>
            </w:pPr>
            <w:r>
              <w:t xml:space="preserve">United Nations Sustainable Development Goals (UNSDG) </w:t>
            </w:r>
          </w:p>
        </w:tc>
        <w:tc>
          <w:tcPr>
            <w:tcW w:w="7020" w:type="dxa"/>
          </w:tcPr>
          <w:p w14:paraId="4978F25F"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27EFA">
              <w:t xml:space="preserve">The United Nations Sustainable Development Goals (UNSDGs were developed to provide an integrated framework, </w:t>
            </w:r>
            <w:proofErr w:type="gramStart"/>
            <w:r w:rsidRPr="00B27EFA">
              <w:t>in order to</w:t>
            </w:r>
            <w:proofErr w:type="gramEnd"/>
            <w:r w:rsidRPr="00B27EFA">
              <w:t xml:space="preserve"> balance the needs of social, economic, and environmental priorities to achieve sustainable development.</w:t>
            </w:r>
          </w:p>
        </w:tc>
      </w:tr>
      <w:tr w:rsidR="00D7784A" w14:paraId="24B36DD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04844F76" w14:textId="77777777" w:rsidR="00D7784A" w:rsidRDefault="00D7784A" w:rsidP="00D7784A">
            <w:pPr>
              <w:pStyle w:val="Tabletext"/>
            </w:pPr>
            <w:r>
              <w:t>Value Creation and Capture (VCC) Framework</w:t>
            </w:r>
          </w:p>
        </w:tc>
        <w:tc>
          <w:tcPr>
            <w:tcW w:w="7020" w:type="dxa"/>
          </w:tcPr>
          <w:p w14:paraId="62E92168" w14:textId="1BDE6E2D"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Victoria's Value Creation and Capture Framework describes a consistent, concerted approach to assessing and increasing the environmental, </w:t>
            </w:r>
            <w:proofErr w:type="gramStart"/>
            <w:r w:rsidRPr="00D7784A">
              <w:t>social</w:t>
            </w:r>
            <w:proofErr w:type="gramEnd"/>
            <w:r w:rsidRPr="00D7784A">
              <w:t xml:space="preserve"> and economic benefits of investments, with a focus on getting better value for Victorian taxpayers' money from all future infrastructure projects. </w:t>
            </w:r>
            <w:hyperlink r:id="rId71" w:history="1">
              <w:r w:rsidRPr="00D7784A">
                <w:rPr>
                  <w:rStyle w:val="Hyperlink"/>
                </w:rPr>
                <w:t>www.dpc.vic.gov.au/index.php/news</w:t>
              </w:r>
              <w:r w:rsidR="00601819">
                <w:rPr>
                  <w:rStyle w:val="Hyperlink"/>
                </w:rPr>
                <w:noBreakHyphen/>
              </w:r>
              <w:r w:rsidRPr="00D7784A">
                <w:rPr>
                  <w:rStyle w:val="Hyperlink"/>
                </w:rPr>
                <w:t>publications/value</w:t>
              </w:r>
              <w:r w:rsidR="00601819">
                <w:rPr>
                  <w:rStyle w:val="Hyperlink"/>
                </w:rPr>
                <w:noBreakHyphen/>
              </w:r>
              <w:r w:rsidRPr="00D7784A">
                <w:rPr>
                  <w:rStyle w:val="Hyperlink"/>
                </w:rPr>
                <w:t>creation</w:t>
              </w:r>
              <w:r w:rsidR="00601819">
                <w:rPr>
                  <w:rStyle w:val="Hyperlink"/>
                </w:rPr>
                <w:noBreakHyphen/>
              </w:r>
              <w:r w:rsidRPr="00D7784A">
                <w:rPr>
                  <w:rStyle w:val="Hyperlink"/>
                </w:rPr>
                <w:t>and</w:t>
              </w:r>
              <w:r w:rsidR="00601819">
                <w:rPr>
                  <w:rStyle w:val="Hyperlink"/>
                </w:rPr>
                <w:noBreakHyphen/>
              </w:r>
              <w:r w:rsidRPr="00D7784A">
                <w:rPr>
                  <w:rStyle w:val="Hyperlink"/>
                </w:rPr>
                <w:t>capture</w:t>
              </w:r>
              <w:r w:rsidR="00601819">
                <w:rPr>
                  <w:rStyle w:val="Hyperlink"/>
                </w:rPr>
                <w:noBreakHyphen/>
              </w:r>
              <w:r w:rsidRPr="00D7784A">
                <w:rPr>
                  <w:rStyle w:val="Hyperlink"/>
                </w:rPr>
                <w:t>framework</w:t>
              </w:r>
            </w:hyperlink>
            <w:r w:rsidRPr="00D7784A">
              <w:t>.</w:t>
            </w:r>
          </w:p>
        </w:tc>
      </w:tr>
      <w:tr w:rsidR="00D7784A" w14:paraId="6A5C95F3"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1288DF5E" w14:textId="77777777" w:rsidR="00D7784A" w:rsidRDefault="00D7784A" w:rsidP="00D7784A">
            <w:pPr>
              <w:pStyle w:val="Tabletext"/>
            </w:pPr>
            <w:r>
              <w:lastRenderedPageBreak/>
              <w:t>V</w:t>
            </w:r>
            <w:r w:rsidRPr="00C053FD">
              <w:t>alue for money</w:t>
            </w:r>
          </w:p>
        </w:tc>
        <w:tc>
          <w:tcPr>
            <w:tcW w:w="7020" w:type="dxa"/>
          </w:tcPr>
          <w:p w14:paraId="27EDD6F7"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9B2B67">
              <w:t>Value for money</w:t>
            </w:r>
            <w:r w:rsidRPr="003E1EE8">
              <w:t xml:space="preserve"> is a balanced benefit measure covering quality levels, performance standards, risk exposure, other policy effects and other considerations such as social and environmental impacts as well as cost. </w:t>
            </w:r>
            <w:r>
              <w:t>V</w:t>
            </w:r>
            <w:r w:rsidRPr="003E1EE8">
              <w:t xml:space="preserve">alue for money should be assessed on a ‘whole of life’ or ‘total cost of ownership’ basis. </w:t>
            </w:r>
          </w:p>
        </w:tc>
      </w:tr>
      <w:tr w:rsidR="00D7784A" w14:paraId="5D80D665"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CF16B68" w14:textId="77777777" w:rsidR="00D7784A" w:rsidRDefault="00D7784A" w:rsidP="00D7784A">
            <w:pPr>
              <w:pStyle w:val="Tabletext"/>
            </w:pPr>
            <w:r w:rsidRPr="00333E3F">
              <w:t>Victoria</w:t>
            </w:r>
            <w:r>
              <w:t>n</w:t>
            </w:r>
            <w:r w:rsidRPr="00333E3F">
              <w:t xml:space="preserve"> Climate Change Adaptation Plan</w:t>
            </w:r>
          </w:p>
        </w:tc>
        <w:tc>
          <w:tcPr>
            <w:tcW w:w="7020" w:type="dxa"/>
          </w:tcPr>
          <w:p w14:paraId="54B276B5" w14:textId="0C305A8F"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D7784A">
              <w:t xml:space="preserve">Victoria's Climate Change Adaptation Plan lays out the </w:t>
            </w:r>
            <w:r w:rsidR="00924BAA">
              <w:t>G</w:t>
            </w:r>
            <w:r w:rsidR="00924BAA" w:rsidRPr="00D7784A">
              <w:t xml:space="preserve">overnment's </w:t>
            </w:r>
            <w:r w:rsidRPr="00D7784A">
              <w:t xml:space="preserve">plan of action to help Victorians meet the challenges and act on the opportunities of climate change. </w:t>
            </w:r>
            <w:hyperlink r:id="rId72" w:history="1">
              <w:r w:rsidRPr="00D7784A">
                <w:rPr>
                  <w:rStyle w:val="Hyperlink"/>
                </w:rPr>
                <w:t>Adapting to climate change impacts</w:t>
              </w:r>
            </w:hyperlink>
          </w:p>
        </w:tc>
      </w:tr>
      <w:tr w:rsidR="00D7784A" w:rsidRPr="003F47C5" w14:paraId="6FA32E52"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32ADB5F6" w14:textId="77777777" w:rsidR="00D7784A" w:rsidRDefault="00D7784A" w:rsidP="00D7784A">
            <w:pPr>
              <w:pStyle w:val="Tabletext"/>
            </w:pPr>
            <w:r>
              <w:t>Victorian Digital Asset Strategy (VDAS)</w:t>
            </w:r>
          </w:p>
        </w:tc>
        <w:tc>
          <w:tcPr>
            <w:tcW w:w="7020" w:type="dxa"/>
          </w:tcPr>
          <w:p w14:paraId="4D2A6CF7" w14:textId="328476ED"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B27EFA">
              <w:t xml:space="preserve">The Victorian Digital Asset Strategy (VDAS) is a step change in the way Victorian </w:t>
            </w:r>
            <w:r w:rsidR="00924BAA">
              <w:t>g</w:t>
            </w:r>
            <w:r w:rsidR="00924BAA" w:rsidRPr="00B27EFA">
              <w:t xml:space="preserve">overnment </w:t>
            </w:r>
            <w:r w:rsidRPr="00B27EFA">
              <w:t xml:space="preserve">departments and agencies plan, deliver, </w:t>
            </w:r>
            <w:proofErr w:type="gramStart"/>
            <w:r w:rsidRPr="00B27EFA">
              <w:t>operate</w:t>
            </w:r>
            <w:proofErr w:type="gramEnd"/>
            <w:r w:rsidRPr="00B27EFA">
              <w:t xml:space="preserve"> and maintain the assets they manage on behalf of the people of Victoria.</w:t>
            </w:r>
          </w:p>
        </w:tc>
      </w:tr>
      <w:tr w:rsidR="00D7784A" w14:paraId="6D42737C"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623503E3" w14:textId="77777777" w:rsidR="00D7784A" w:rsidRDefault="00D7784A" w:rsidP="00D7784A">
            <w:pPr>
              <w:pStyle w:val="Tabletext"/>
            </w:pPr>
            <w:r>
              <w:t>Victorian Government R</w:t>
            </w:r>
            <w:r w:rsidRPr="0002033A">
              <w:t>isk Management Framework (VGRMF)</w:t>
            </w:r>
          </w:p>
        </w:tc>
        <w:tc>
          <w:tcPr>
            <w:tcW w:w="7020" w:type="dxa"/>
          </w:tcPr>
          <w:p w14:paraId="26E2FE4C"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242ED7">
              <w:t>The Victorian Government Risk Management Framework provides a minimum risk management standard for the Victorian public sector</w:t>
            </w:r>
            <w:r>
              <w:t xml:space="preserve"> and </w:t>
            </w:r>
            <w:r w:rsidRPr="00242ED7">
              <w:t xml:space="preserve">applies to departments and public bodies covered by the </w:t>
            </w:r>
            <w:r w:rsidRPr="001C18B5">
              <w:rPr>
                <w:i/>
                <w:iCs/>
              </w:rPr>
              <w:t>Financial Management Act 1994</w:t>
            </w:r>
            <w:r w:rsidRPr="00242ED7">
              <w:t>.</w:t>
            </w:r>
          </w:p>
        </w:tc>
      </w:tr>
      <w:tr w:rsidR="00D7784A" w14:paraId="6C78C986"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29555FFF" w14:textId="77777777" w:rsidR="00D7784A" w:rsidRDefault="00D7784A" w:rsidP="00D7784A">
            <w:pPr>
              <w:pStyle w:val="Tabletext"/>
            </w:pPr>
            <w:r w:rsidRPr="001700CE">
              <w:t>Victorian Managed Insurance Authority (VMIA)</w:t>
            </w:r>
          </w:p>
        </w:tc>
        <w:tc>
          <w:tcPr>
            <w:tcW w:w="7020" w:type="dxa"/>
          </w:tcPr>
          <w:p w14:paraId="4B508E88" w14:textId="77777777"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 xml:space="preserve">The </w:t>
            </w:r>
            <w:r w:rsidRPr="001700CE">
              <w:t xml:space="preserve">Victorian Managed Insurance Authority </w:t>
            </w:r>
            <w:r>
              <w:t>is the V</w:t>
            </w:r>
            <w:r w:rsidRPr="009B2B67">
              <w:t>ictorian Government’s insurer and risk adviser.</w:t>
            </w:r>
            <w:r>
              <w:t xml:space="preserve"> </w:t>
            </w:r>
          </w:p>
        </w:tc>
      </w:tr>
      <w:tr w:rsidR="006070DA" w14:paraId="42BBD1C0"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477F1192" w14:textId="1BE6DD6F" w:rsidR="006070DA" w:rsidRPr="001700CE" w:rsidRDefault="006070DA" w:rsidP="00D7784A">
            <w:pPr>
              <w:pStyle w:val="Tabletext"/>
            </w:pPr>
            <w:r w:rsidRPr="006070DA">
              <w:t>Victoria's Future Climate Tool</w:t>
            </w:r>
          </w:p>
        </w:tc>
        <w:tc>
          <w:tcPr>
            <w:tcW w:w="7020" w:type="dxa"/>
          </w:tcPr>
          <w:p w14:paraId="70D1FBF5" w14:textId="3943BB3F" w:rsidR="006070DA" w:rsidRDefault="00091C7E" w:rsidP="00091C7E">
            <w:pPr>
              <w:cnfStyle w:val="000000000000" w:firstRow="0" w:lastRow="0" w:firstColumn="0" w:lastColumn="0" w:oddVBand="0" w:evenVBand="0" w:oddHBand="0" w:evenHBand="0" w:firstRowFirstColumn="0" w:firstRowLastColumn="0" w:lastRowFirstColumn="0" w:lastRowLastColumn="0"/>
            </w:pPr>
            <w:r w:rsidRPr="00091C7E">
              <w:t>Victoria's Future Climate Tool provides access to the most recent climate model simulations of Victoria's future climate and indicators of climate-related hazards for both high and medium emissions</w:t>
            </w:r>
            <w:r>
              <w:t xml:space="preserve"> and </w:t>
            </w:r>
            <w:r w:rsidRPr="00091C7E">
              <w:t xml:space="preserve">enables </w:t>
            </w:r>
            <w:r>
              <w:t>the user to</w:t>
            </w:r>
            <w:r w:rsidRPr="00091C7E">
              <w:t xml:space="preserve"> export climate data for use in spatial tools.</w:t>
            </w:r>
            <w:r>
              <w:t xml:space="preserve"> </w:t>
            </w:r>
            <w:hyperlink r:id="rId73" w:history="1">
              <w:r>
                <w:rPr>
                  <w:rStyle w:val="Hyperlink"/>
                </w:rPr>
                <w:t>Victoria's Future Climate Tool (indraweb.io)</w:t>
              </w:r>
            </w:hyperlink>
          </w:p>
        </w:tc>
      </w:tr>
      <w:tr w:rsidR="00D7784A" w14:paraId="6F3E24E4" w14:textId="77777777" w:rsidTr="00A16A0B">
        <w:tc>
          <w:tcPr>
            <w:cnfStyle w:val="001000000000" w:firstRow="0" w:lastRow="0" w:firstColumn="1" w:lastColumn="0" w:oddVBand="0" w:evenVBand="0" w:oddHBand="0" w:evenHBand="0" w:firstRowFirstColumn="0" w:firstRowLastColumn="0" w:lastRowFirstColumn="0" w:lastRowLastColumn="0"/>
            <w:tcW w:w="2160" w:type="dxa"/>
          </w:tcPr>
          <w:p w14:paraId="70D81CE0" w14:textId="0326E9ED" w:rsidR="00D7784A" w:rsidRDefault="00D7784A" w:rsidP="00D7784A">
            <w:pPr>
              <w:pStyle w:val="Tabletext"/>
            </w:pPr>
            <w:r>
              <w:t>Zero</w:t>
            </w:r>
            <w:r w:rsidR="00601819">
              <w:noBreakHyphen/>
            </w:r>
            <w:r>
              <w:t>carbon economy</w:t>
            </w:r>
          </w:p>
        </w:tc>
        <w:tc>
          <w:tcPr>
            <w:tcW w:w="7020" w:type="dxa"/>
          </w:tcPr>
          <w:p w14:paraId="2DD8BFAD" w14:textId="2E1DC82F" w:rsid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pPr>
            <w:r>
              <w:t>Victoria’s legislated a target of a zero</w:t>
            </w:r>
            <w:r w:rsidR="00601819">
              <w:noBreakHyphen/>
            </w:r>
            <w:r>
              <w:t>carbon economy by 2050. This target</w:t>
            </w:r>
            <w:r w:rsidRPr="009B2B67">
              <w:t xml:space="preserve"> means that by 2050 Victoria's greenhouse gas emissions will be reduced as far as possible and any remaining emissions will be counteracted through activities like planting trees or capturing more carbon in the ocean and coastal ecosystems.</w:t>
            </w:r>
          </w:p>
        </w:tc>
      </w:tr>
    </w:tbl>
    <w:p w14:paraId="754AFBAF" w14:textId="77777777" w:rsidR="00D7784A" w:rsidRPr="00D7784A" w:rsidRDefault="00D7784A" w:rsidP="00D7784A"/>
    <w:p w14:paraId="1E00BFA7" w14:textId="70AE6AA8" w:rsidR="00D7784A" w:rsidRDefault="00D7784A" w:rsidP="00860DB3">
      <w:pPr>
        <w:rPr>
          <w:sz w:val="18"/>
          <w:szCs w:val="18"/>
        </w:rPr>
      </w:pPr>
      <w:r w:rsidRPr="00134012">
        <w:t xml:space="preserve">Refer to </w:t>
      </w:r>
      <w:r w:rsidRPr="00134012">
        <w:rPr>
          <w:highlight w:val="yellow"/>
        </w:rPr>
        <w:fldChar w:fldCharType="begin"/>
      </w:r>
      <w:r w:rsidRPr="00134012">
        <w:instrText xml:space="preserve"> REF _Ref68007487 \h </w:instrText>
      </w:r>
      <w:r>
        <w:rPr>
          <w:highlight w:val="yellow"/>
        </w:rPr>
        <w:instrText xml:space="preserve"> \* MERGEFORMAT </w:instrText>
      </w:r>
      <w:r w:rsidRPr="00134012">
        <w:rPr>
          <w:highlight w:val="yellow"/>
        </w:rPr>
      </w:r>
      <w:r w:rsidRPr="00134012">
        <w:rPr>
          <w:highlight w:val="yellow"/>
        </w:rPr>
        <w:fldChar w:fldCharType="separate"/>
      </w:r>
      <w:r w:rsidR="00FC7DAA">
        <w:t xml:space="preserve">Appendix 1 – Legislation and </w:t>
      </w:r>
      <w:r w:rsidR="00FC7DAA" w:rsidRPr="00C447B4">
        <w:t>p</w:t>
      </w:r>
      <w:r w:rsidR="00FC7DAA" w:rsidRPr="001E59A1">
        <w:t>olicies supporting</w:t>
      </w:r>
      <w:r w:rsidR="00FC7DAA">
        <w:t xml:space="preserve"> Sustainable Investment themes</w:t>
      </w:r>
      <w:r w:rsidRPr="00134012">
        <w:rPr>
          <w:highlight w:val="yellow"/>
        </w:rPr>
        <w:fldChar w:fldCharType="end"/>
      </w:r>
      <w:r w:rsidRPr="00134012">
        <w:t xml:space="preserve"> for further information</w:t>
      </w:r>
      <w:r w:rsidRPr="009B2B67">
        <w:rPr>
          <w:sz w:val="18"/>
          <w:szCs w:val="18"/>
        </w:rPr>
        <w:t>.</w:t>
      </w:r>
    </w:p>
    <w:p w14:paraId="06CD76F0" w14:textId="77777777" w:rsidR="00D7784A" w:rsidRPr="009B2B67" w:rsidRDefault="00D7784A" w:rsidP="00D7784A">
      <w:pPr>
        <w:pStyle w:val="Heading1"/>
      </w:pPr>
      <w:bookmarkStart w:id="1311" w:name="_Toc68769320"/>
      <w:bookmarkStart w:id="1312" w:name="_Toc117258709"/>
      <w:r>
        <w:lastRenderedPageBreak/>
        <w:t>Appendices</w:t>
      </w:r>
      <w:bookmarkStart w:id="1313" w:name="_Ref53144188"/>
      <w:bookmarkEnd w:id="1311"/>
      <w:bookmarkEnd w:id="1312"/>
    </w:p>
    <w:p w14:paraId="5BEA9D14" w14:textId="4EE00F0C" w:rsidR="00D7784A" w:rsidRDefault="00D7784A" w:rsidP="00D7784A">
      <w:pPr>
        <w:pStyle w:val="Heading2"/>
      </w:pPr>
      <w:bookmarkStart w:id="1314" w:name="_Ref68007484"/>
      <w:bookmarkStart w:id="1315" w:name="_Ref68007485"/>
      <w:bookmarkStart w:id="1316" w:name="_Ref68007486"/>
      <w:bookmarkStart w:id="1317" w:name="_Ref68007487"/>
      <w:bookmarkStart w:id="1318" w:name="_Toc68769321"/>
      <w:bookmarkStart w:id="1319" w:name="_Toc117258710"/>
      <w:r>
        <w:t xml:space="preserve">Appendix 1 – Legislation and </w:t>
      </w:r>
      <w:r w:rsidRPr="00C447B4">
        <w:t>p</w:t>
      </w:r>
      <w:r w:rsidRPr="001E59A1">
        <w:t>olicies supporting</w:t>
      </w:r>
      <w:r>
        <w:t xml:space="preserve"> Sustainable Investment themes</w:t>
      </w:r>
      <w:bookmarkEnd w:id="1313"/>
      <w:bookmarkEnd w:id="1314"/>
      <w:bookmarkEnd w:id="1315"/>
      <w:bookmarkEnd w:id="1316"/>
      <w:bookmarkEnd w:id="1317"/>
      <w:bookmarkEnd w:id="1318"/>
      <w:bookmarkEnd w:id="1319"/>
    </w:p>
    <w:tbl>
      <w:tblPr>
        <w:tblStyle w:val="Texttable"/>
        <w:tblW w:w="9090" w:type="dxa"/>
        <w:tblLayout w:type="fixed"/>
        <w:tblLook w:val="06A0" w:firstRow="1" w:lastRow="0" w:firstColumn="1" w:lastColumn="0" w:noHBand="1" w:noVBand="1"/>
      </w:tblPr>
      <w:tblGrid>
        <w:gridCol w:w="1843"/>
        <w:gridCol w:w="2837"/>
        <w:gridCol w:w="4410"/>
      </w:tblGrid>
      <w:tr w:rsidR="00D7784A" w:rsidRPr="00B20E4F" w14:paraId="37727D84" w14:textId="77777777" w:rsidTr="00D7784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843" w:type="dxa"/>
          </w:tcPr>
          <w:p w14:paraId="4C16343E" w14:textId="77777777" w:rsidR="00D7784A" w:rsidRPr="00B20E4F" w:rsidRDefault="00D7784A" w:rsidP="00D7784A">
            <w:pPr>
              <w:pStyle w:val="Tableheader"/>
            </w:pPr>
            <w:r w:rsidRPr="00B20E4F">
              <w:t>Theme</w:t>
            </w:r>
          </w:p>
        </w:tc>
        <w:tc>
          <w:tcPr>
            <w:tcW w:w="2837" w:type="dxa"/>
          </w:tcPr>
          <w:p w14:paraId="0ADF1DDF" w14:textId="50535546" w:rsidR="00D7784A" w:rsidRPr="00B20E4F"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B20E4F">
              <w:t xml:space="preserve">Legislation </w:t>
            </w:r>
            <w:r>
              <w:t>and</w:t>
            </w:r>
            <w:r w:rsidRPr="00B20E4F">
              <w:t xml:space="preserve"> policies</w:t>
            </w:r>
          </w:p>
        </w:tc>
        <w:tc>
          <w:tcPr>
            <w:tcW w:w="4410" w:type="dxa"/>
          </w:tcPr>
          <w:p w14:paraId="2C89A458" w14:textId="77777777" w:rsidR="00D7784A" w:rsidRPr="00B20E4F" w:rsidRDefault="00D7784A" w:rsidP="00D7784A">
            <w:pPr>
              <w:pStyle w:val="Tableheader"/>
              <w:cnfStyle w:val="100000000000" w:firstRow="1" w:lastRow="0" w:firstColumn="0" w:lastColumn="0" w:oddVBand="0" w:evenVBand="0" w:oddHBand="0" w:evenHBand="0" w:firstRowFirstColumn="0" w:firstRowLastColumn="0" w:lastRowFirstColumn="0" w:lastRowLastColumn="0"/>
            </w:pPr>
            <w:r w:rsidRPr="00B20E4F">
              <w:t>Description</w:t>
            </w:r>
          </w:p>
        </w:tc>
      </w:tr>
      <w:tr w:rsidR="00A16A0B" w:rsidRPr="00494844" w14:paraId="62FAD5A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E45F79C" w14:textId="77777777" w:rsidR="00A16A0B" w:rsidRPr="00B20E4F" w:rsidDel="006838A1" w:rsidRDefault="00A16A0B" w:rsidP="00D7784A">
            <w:pPr>
              <w:pStyle w:val="Tabletext"/>
            </w:pPr>
            <w:r w:rsidRPr="00B20E4F">
              <w:t>All</w:t>
            </w:r>
          </w:p>
        </w:tc>
        <w:tc>
          <w:tcPr>
            <w:tcW w:w="2837" w:type="dxa"/>
          </w:tcPr>
          <w:p w14:paraId="1D390087"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Asset Management Accountability Framework</w:t>
            </w:r>
          </w:p>
        </w:tc>
        <w:tc>
          <w:tcPr>
            <w:tcW w:w="4410" w:type="dxa"/>
          </w:tcPr>
          <w:p w14:paraId="2ED60141"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Asset Management Accountability Framework (AMAF) details mandatory asset management requirements as well as general guidance for agencies responsible for managing assets. The AMAF is particularly important in the context of sustainability as it establishes a process for managing an asset across its whole life cycle, including disposal and potential reuse. </w:t>
            </w:r>
          </w:p>
        </w:tc>
      </w:tr>
      <w:tr w:rsidR="00A16A0B" w:rsidRPr="00494844" w14:paraId="6BD6C8D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4BE36CF7" w14:textId="77777777" w:rsidR="00A16A0B" w:rsidRPr="00B20E4F" w:rsidDel="006838A1" w:rsidRDefault="00A16A0B" w:rsidP="00D7784A">
            <w:pPr>
              <w:pStyle w:val="Tabletext"/>
            </w:pPr>
          </w:p>
        </w:tc>
        <w:tc>
          <w:tcPr>
            <w:tcW w:w="2837" w:type="dxa"/>
          </w:tcPr>
          <w:p w14:paraId="6ED81EE3"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Value Creation and Capture (VCC) Framework</w:t>
            </w:r>
          </w:p>
        </w:tc>
        <w:tc>
          <w:tcPr>
            <w:tcW w:w="4410" w:type="dxa"/>
          </w:tcPr>
          <w:p w14:paraId="7425DE87"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VCC Framework requires consideration of </w:t>
            </w:r>
            <w:r w:rsidRPr="002E7713">
              <w:t xml:space="preserve">environmental, </w:t>
            </w:r>
            <w:proofErr w:type="gramStart"/>
            <w:r w:rsidRPr="002E7713">
              <w:t>social</w:t>
            </w:r>
            <w:proofErr w:type="gramEnd"/>
            <w:r w:rsidRPr="002E7713">
              <w:t xml:space="preserve"> and economic </w:t>
            </w:r>
            <w:r w:rsidRPr="00494844">
              <w:t xml:space="preserve">benefits which could be realised through sustainable investment. It is important to align benefits with current government commitments and agendas. </w:t>
            </w:r>
          </w:p>
        </w:tc>
      </w:tr>
      <w:tr w:rsidR="00A16A0B" w:rsidRPr="00494844" w14:paraId="4F8303EF"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29E2E9CC" w14:textId="77777777" w:rsidR="00A16A0B" w:rsidRPr="00B20E4F" w:rsidRDefault="00A16A0B" w:rsidP="00D7784A">
            <w:pPr>
              <w:pStyle w:val="Tabletext"/>
            </w:pPr>
          </w:p>
        </w:tc>
        <w:tc>
          <w:tcPr>
            <w:tcW w:w="2837" w:type="dxa"/>
          </w:tcPr>
          <w:p w14:paraId="012FF1EF"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Victorian Digital Asset Strategy (VDAS)</w:t>
            </w:r>
          </w:p>
        </w:tc>
        <w:tc>
          <w:tcPr>
            <w:tcW w:w="4410" w:type="dxa"/>
          </w:tcPr>
          <w:p w14:paraId="2761017E" w14:textId="6C21D8DD"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The Victorian Digital Asset Strategy enables the use of building information modelling and digital engineering to develop and maintain cost</w:t>
            </w:r>
            <w:r>
              <w:noBreakHyphen/>
            </w:r>
            <w:r w:rsidRPr="00494844">
              <w:t xml:space="preserve">effective, </w:t>
            </w:r>
            <w:proofErr w:type="gramStart"/>
            <w:r w:rsidRPr="00494844">
              <w:t>innovative</w:t>
            </w:r>
            <w:proofErr w:type="gramEnd"/>
            <w:r w:rsidRPr="00494844">
              <w:t xml:space="preserve"> and value</w:t>
            </w:r>
            <w:r>
              <w:noBreakHyphen/>
            </w:r>
            <w:r w:rsidRPr="00494844">
              <w:t>adding assets for all Victorians for decades to come.</w:t>
            </w:r>
          </w:p>
        </w:tc>
      </w:tr>
      <w:tr w:rsidR="00A16A0B" w:rsidRPr="00494844" w14:paraId="010DE33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03ABFE6" w14:textId="77777777" w:rsidR="00A16A0B" w:rsidRPr="00B20E4F" w:rsidRDefault="00A16A0B" w:rsidP="00D7784A">
            <w:pPr>
              <w:pStyle w:val="Tabletext"/>
            </w:pPr>
          </w:p>
        </w:tc>
        <w:tc>
          <w:tcPr>
            <w:tcW w:w="2837" w:type="dxa"/>
          </w:tcPr>
          <w:p w14:paraId="054EF4FD" w14:textId="367C9695" w:rsidR="00A16A0B" w:rsidRPr="00D7784A" w:rsidRDefault="00A16A0B"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Effects Act 1978</w:t>
            </w:r>
          </w:p>
        </w:tc>
        <w:tc>
          <w:tcPr>
            <w:tcW w:w="4410" w:type="dxa"/>
          </w:tcPr>
          <w:p w14:paraId="41194236" w14:textId="77777777" w:rsidR="00A16A0B" w:rsidRPr="00494844" w:rsidRDefault="00A16A0B"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An Environmental Effects Statement produces predictions of significant environmental effects of the proposal and provides measures to avoid, minimise or manage them. It involves significant stakeholder engagement, including community engagement. </w:t>
            </w:r>
          </w:p>
        </w:tc>
      </w:tr>
      <w:tr w:rsidR="00D7784A" w:rsidRPr="00494844" w14:paraId="602A4DC6"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0CD28768" w14:textId="77777777" w:rsidR="00D7784A" w:rsidRPr="00B20E4F" w:rsidRDefault="00D7784A" w:rsidP="00D7784A">
            <w:pPr>
              <w:pStyle w:val="Tabletext"/>
            </w:pPr>
            <w:r w:rsidRPr="00B20E4F">
              <w:t>Cultural heritage</w:t>
            </w:r>
          </w:p>
        </w:tc>
        <w:tc>
          <w:tcPr>
            <w:tcW w:w="2837" w:type="dxa"/>
          </w:tcPr>
          <w:p w14:paraId="03A14CC5"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Charter for Human Rights and Responsibilities Act 2007 </w:t>
            </w:r>
          </w:p>
        </w:tc>
        <w:tc>
          <w:tcPr>
            <w:tcW w:w="4410" w:type="dxa"/>
          </w:tcPr>
          <w:p w14:paraId="5E0AD215"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Improved transparency and accountability in government by giving all Victorians the tools to question and challenge law, </w:t>
            </w:r>
            <w:proofErr w:type="gramStart"/>
            <w:r w:rsidRPr="00494844">
              <w:t>policies</w:t>
            </w:r>
            <w:proofErr w:type="gramEnd"/>
            <w:r w:rsidRPr="00494844">
              <w:t xml:space="preserve"> and decisions.</w:t>
            </w:r>
          </w:p>
        </w:tc>
      </w:tr>
      <w:tr w:rsidR="00D7784A" w:rsidRPr="00494844" w14:paraId="204E8BE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51F69ADE" w14:textId="77777777" w:rsidR="00D7784A" w:rsidRPr="00B20E4F" w:rsidRDefault="00D7784A" w:rsidP="00D7784A">
            <w:pPr>
              <w:pStyle w:val="Tabletext"/>
            </w:pPr>
          </w:p>
        </w:tc>
        <w:tc>
          <w:tcPr>
            <w:tcW w:w="2837" w:type="dxa"/>
          </w:tcPr>
          <w:p w14:paraId="7CA00CBD" w14:textId="54ECD285"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Planning and Environment Act</w:t>
            </w:r>
            <w:r w:rsidR="000C20DE">
              <w:rPr>
                <w:rFonts w:ascii="Calibri" w:hAnsi="Calibri"/>
                <w:i/>
                <w:iCs/>
              </w:rPr>
              <w:t> </w:t>
            </w:r>
            <w:r w:rsidRPr="00D7784A">
              <w:rPr>
                <w:i/>
                <w:iCs/>
              </w:rPr>
              <w:t>1987</w:t>
            </w:r>
          </w:p>
          <w:p w14:paraId="2315A38D"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Heritage Act 2017</w:t>
            </w:r>
          </w:p>
        </w:tc>
        <w:tc>
          <w:tcPr>
            <w:tcW w:w="4410" w:type="dxa"/>
          </w:tcPr>
          <w:p w14:paraId="1030197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Provide protections for culturally significant objects, </w:t>
            </w:r>
            <w:proofErr w:type="gramStart"/>
            <w:r w:rsidRPr="00494844">
              <w:t>places</w:t>
            </w:r>
            <w:proofErr w:type="gramEnd"/>
            <w:r w:rsidRPr="00494844">
              <w:t xml:space="preserve"> and sites, including offshore.</w:t>
            </w:r>
          </w:p>
        </w:tc>
      </w:tr>
      <w:tr w:rsidR="00D7784A" w:rsidRPr="00494844" w14:paraId="7B15E858"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0059FF4E" w14:textId="77777777" w:rsidR="00D7784A" w:rsidRPr="00B20E4F" w:rsidRDefault="00D7784A" w:rsidP="00D7784A">
            <w:pPr>
              <w:pStyle w:val="Tabletext"/>
            </w:pPr>
          </w:p>
        </w:tc>
        <w:tc>
          <w:tcPr>
            <w:tcW w:w="2837" w:type="dxa"/>
          </w:tcPr>
          <w:p w14:paraId="17A3F368"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Aboriginal Heritage Act 2006</w:t>
            </w:r>
          </w:p>
          <w:p w14:paraId="07BDACBC"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Aboriginal Heritage Regulations 2018</w:t>
            </w:r>
          </w:p>
        </w:tc>
        <w:tc>
          <w:tcPr>
            <w:tcW w:w="4410" w:type="dxa"/>
          </w:tcPr>
          <w:p w14:paraId="129862E0"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Require a Cultural Heritage Management Plan to be developed for projects of high impact in area of cultural heritage sensitivity.</w:t>
            </w:r>
          </w:p>
        </w:tc>
      </w:tr>
      <w:tr w:rsidR="00D7784A" w:rsidRPr="00494844" w14:paraId="5BB211BC"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127F7A7A" w14:textId="77777777" w:rsidR="00D7784A" w:rsidRPr="00B20E4F" w:rsidRDefault="00D7784A" w:rsidP="00D7784A">
            <w:pPr>
              <w:pStyle w:val="Tabletext"/>
            </w:pPr>
            <w:r w:rsidRPr="00B20E4F">
              <w:lastRenderedPageBreak/>
              <w:t>Liveability</w:t>
            </w:r>
          </w:p>
        </w:tc>
        <w:tc>
          <w:tcPr>
            <w:tcW w:w="2837" w:type="dxa"/>
          </w:tcPr>
          <w:p w14:paraId="3F8A65C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Social Procurement Framework (SPF)</w:t>
            </w:r>
          </w:p>
        </w:tc>
        <w:tc>
          <w:tcPr>
            <w:tcW w:w="4410" w:type="dxa"/>
          </w:tcPr>
          <w:p w14:paraId="3B6F336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Victorian government must consider the use of its buying power to generate social value above and beyond the value of the goods, services, or construction being procured. The SPF sets social procurement objectives around the following areas:</w:t>
            </w:r>
          </w:p>
          <w:p w14:paraId="34139B0F" w14:textId="7CAB6610"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Victorian Aboriginal people</w:t>
            </w:r>
          </w:p>
          <w:p w14:paraId="6F306178" w14:textId="6E204F67"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Victorians with disability</w:t>
            </w:r>
          </w:p>
          <w:p w14:paraId="2E181C53" w14:textId="3CCF94A7"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women’s </w:t>
            </w:r>
            <w:r w:rsidR="00D7784A" w:rsidRPr="00494844">
              <w:t xml:space="preserve">equality and safety </w:t>
            </w:r>
          </w:p>
          <w:p w14:paraId="6E036CFF" w14:textId="5555DBD9"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opportunities </w:t>
            </w:r>
            <w:r w:rsidR="00D7784A" w:rsidRPr="00494844">
              <w:t>for disadvantaged Victorians</w:t>
            </w:r>
          </w:p>
          <w:p w14:paraId="14797278" w14:textId="7F176133"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supporting </w:t>
            </w:r>
            <w:r w:rsidR="00D7784A" w:rsidRPr="00494844">
              <w:t>safe and fair workplaces</w:t>
            </w:r>
          </w:p>
          <w:p w14:paraId="12291494" w14:textId="6954308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sustainable </w:t>
            </w:r>
            <w:r w:rsidR="00D7784A" w:rsidRPr="00494844">
              <w:t>Victorian social enterprise and Aboriginal business sectors</w:t>
            </w:r>
          </w:p>
          <w:p w14:paraId="4D0720F8" w14:textId="332122C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sustainable </w:t>
            </w:r>
            <w:r w:rsidR="00D7784A" w:rsidRPr="00494844">
              <w:t>Victorian regions</w:t>
            </w:r>
          </w:p>
          <w:p w14:paraId="2588B49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SPF Sets sustainable procurement objectives in the following areas:</w:t>
            </w:r>
          </w:p>
          <w:p w14:paraId="0883FCCA" w14:textId="6E25760A"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environmentally </w:t>
            </w:r>
            <w:r w:rsidR="00D7784A" w:rsidRPr="00494844">
              <w:t>sustainable outputs</w:t>
            </w:r>
          </w:p>
          <w:p w14:paraId="4A858A41" w14:textId="00F68863"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environmentally </w:t>
            </w:r>
            <w:r w:rsidR="00D7784A" w:rsidRPr="00494844">
              <w:t>sustainable business practices</w:t>
            </w:r>
          </w:p>
          <w:p w14:paraId="0015B449" w14:textId="59C0406B"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implementation </w:t>
            </w:r>
            <w:r w:rsidR="00D7784A" w:rsidRPr="00494844">
              <w:t>of the Climate Change Policy Objectives</w:t>
            </w:r>
          </w:p>
        </w:tc>
      </w:tr>
      <w:tr w:rsidR="00D7784A" w:rsidRPr="00494844" w14:paraId="490114F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595F427F" w14:textId="77777777" w:rsidR="00D7784A" w:rsidRPr="00B20E4F" w:rsidRDefault="00D7784A" w:rsidP="00F00708"/>
        </w:tc>
        <w:tc>
          <w:tcPr>
            <w:tcW w:w="2837" w:type="dxa"/>
          </w:tcPr>
          <w:p w14:paraId="3686EA83"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Victorian Public Health and Wellbeing Plan 2019–2023</w:t>
            </w:r>
          </w:p>
        </w:tc>
        <w:tc>
          <w:tcPr>
            <w:tcW w:w="4410" w:type="dxa"/>
          </w:tcPr>
          <w:p w14:paraId="70DF7E66" w14:textId="77777777" w:rsidR="00D7784A" w:rsidRPr="00494844" w:rsidDel="0032608E"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targets and priority areas for public health and wellbeing, including action on the health impacts of climate change.</w:t>
            </w:r>
          </w:p>
        </w:tc>
      </w:tr>
      <w:tr w:rsidR="00D7784A" w:rsidRPr="00494844" w14:paraId="5BA191D3"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tcPr>
          <w:p w14:paraId="498D9EE5" w14:textId="77777777" w:rsidR="00D7784A" w:rsidRPr="00B20E4F" w:rsidRDefault="00D7784A" w:rsidP="00D7784A">
            <w:pPr>
              <w:pStyle w:val="Tabletext"/>
            </w:pPr>
            <w:r w:rsidRPr="00B20E4F">
              <w:t xml:space="preserve">Transport, </w:t>
            </w:r>
            <w:proofErr w:type="gramStart"/>
            <w:r w:rsidRPr="00B20E4F">
              <w:t>access</w:t>
            </w:r>
            <w:proofErr w:type="gramEnd"/>
            <w:r w:rsidRPr="00B20E4F">
              <w:t xml:space="preserve"> and connectivity</w:t>
            </w:r>
          </w:p>
        </w:tc>
        <w:tc>
          <w:tcPr>
            <w:tcW w:w="2837" w:type="dxa"/>
          </w:tcPr>
          <w:p w14:paraId="59159141"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Transport Integration Act 2010</w:t>
            </w:r>
          </w:p>
        </w:tc>
        <w:tc>
          <w:tcPr>
            <w:tcW w:w="4410" w:type="dxa"/>
          </w:tcPr>
          <w:p w14:paraId="2B725131"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16 of the Transport Integration Act refers to the </w:t>
            </w:r>
            <w:proofErr w:type="gramStart"/>
            <w:r w:rsidRPr="00494844">
              <w:t>Principle</w:t>
            </w:r>
            <w:proofErr w:type="gramEnd"/>
            <w:r w:rsidRPr="00494844">
              <w:t xml:space="preserve"> of triple bottom line assessment. </w:t>
            </w:r>
            <w:proofErr w:type="gramStart"/>
            <w:r w:rsidRPr="00494844">
              <w:t>i.e.</w:t>
            </w:r>
            <w:proofErr w:type="gramEnd"/>
            <w:r w:rsidRPr="00494844">
              <w:t xml:space="preserve"> the assessment of all the </w:t>
            </w:r>
            <w:r w:rsidRPr="002E7713">
              <w:t xml:space="preserve">environmental, social and economic </w:t>
            </w:r>
            <w:r w:rsidRPr="00494844">
              <w:t>costs and benefits taking into account externalities and value for money.</w:t>
            </w:r>
          </w:p>
        </w:tc>
      </w:tr>
      <w:tr w:rsidR="00D7784A" w:rsidRPr="00494844" w14:paraId="0F2AF27F"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6064415D" w14:textId="77777777" w:rsidR="00D7784A" w:rsidRPr="00B20E4F" w:rsidRDefault="00D7784A" w:rsidP="00D7784A">
            <w:pPr>
              <w:pStyle w:val="Tabletext"/>
            </w:pPr>
            <w:r w:rsidRPr="00B20E4F">
              <w:t>Climate resilience</w:t>
            </w:r>
          </w:p>
        </w:tc>
        <w:tc>
          <w:tcPr>
            <w:tcW w:w="2837" w:type="dxa"/>
          </w:tcPr>
          <w:p w14:paraId="012C745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Framework</w:t>
            </w:r>
          </w:p>
        </w:tc>
        <w:tc>
          <w:tcPr>
            <w:tcW w:w="4410" w:type="dxa"/>
          </w:tcPr>
          <w:p w14:paraId="2177E22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Framework establishes the transition required across the economy – and some of the challenges to be addressed – to 2050</w:t>
            </w:r>
          </w:p>
        </w:tc>
      </w:tr>
      <w:tr w:rsidR="00D7784A" w:rsidRPr="00494844" w14:paraId="2BF35E57"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DA59D54" w14:textId="77777777" w:rsidR="00D7784A" w:rsidRPr="00B20E4F" w:rsidRDefault="00D7784A" w:rsidP="00F00708"/>
        </w:tc>
        <w:tc>
          <w:tcPr>
            <w:tcW w:w="2837" w:type="dxa"/>
          </w:tcPr>
          <w:p w14:paraId="5591A7FF"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Climate Change Act 2017</w:t>
            </w:r>
          </w:p>
          <w:p w14:paraId="4FE6C943" w14:textId="5AE6D331"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Adaptation Plan 2017</w:t>
            </w:r>
            <w:r w:rsidR="00601819">
              <w:noBreakHyphen/>
            </w:r>
            <w:r w:rsidRPr="00494844">
              <w:t xml:space="preserve">2020 </w:t>
            </w:r>
          </w:p>
        </w:tc>
        <w:tc>
          <w:tcPr>
            <w:tcW w:w="4410" w:type="dxa"/>
          </w:tcPr>
          <w:p w14:paraId="63C3F13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The </w:t>
            </w:r>
            <w:r w:rsidRPr="000C20DE">
              <w:rPr>
                <w:i/>
                <w:iCs/>
              </w:rPr>
              <w:t>Climate Change Act 2017</w:t>
            </w:r>
            <w:r w:rsidRPr="00494844">
              <w:t xml:space="preserve"> provides Victoria with a legislative foundation to manage climate change risks, maximise the opportunities that arise from decisive action, and drive the transition to a climate resilient community and economy with net zero emissions by or before 2050. </w:t>
            </w:r>
          </w:p>
          <w:p w14:paraId="448DDA4B" w14:textId="29E5D92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Climate Change Adaptation Plan 2017</w:t>
            </w:r>
            <w:r w:rsidR="00601819">
              <w:noBreakHyphen/>
            </w:r>
            <w:r w:rsidRPr="00494844">
              <w:t>2020 lays out a blueprint for action that will help Victoria meet the challenges and act on the opportunities of climate change. Over the life of the plan, the Government will:</w:t>
            </w:r>
          </w:p>
          <w:p w14:paraId="10FC3F33" w14:textId="20EE9A1B"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More effectively manage risks to the Government’s own assets and services from climate change by assessing the Government’s current capabilities and practices and addressing whole</w:t>
            </w:r>
            <w:r w:rsidR="00B45FD0">
              <w:t xml:space="preserve"> </w:t>
            </w:r>
            <w:r w:rsidRPr="00494844">
              <w:t>of</w:t>
            </w:r>
            <w:r w:rsidR="00B45FD0">
              <w:t xml:space="preserve"> </w:t>
            </w:r>
            <w:r w:rsidRPr="00494844">
              <w:t>government risks and impacts in a more coordinated way.</w:t>
            </w:r>
          </w:p>
          <w:p w14:paraId="381133BC" w14:textId="17E4168E"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Help the community to understand and manage the risks and impacts of climate change guidance that communities and decision</w:t>
            </w:r>
            <w:r w:rsidR="00486CDF">
              <w:t xml:space="preserve"> </w:t>
            </w:r>
            <w:r w:rsidRPr="00494844">
              <w:t>makers rely on to manage their risks.</w:t>
            </w:r>
          </w:p>
          <w:p w14:paraId="06FA9395" w14:textId="77777777" w:rsidR="00D7784A" w:rsidRPr="00494844" w:rsidRDefault="00D7784A" w:rsidP="001C18B5">
            <w:pPr>
              <w:pStyle w:val="Tablebullet"/>
              <w:cnfStyle w:val="000000000000" w:firstRow="0" w:lastRow="0" w:firstColumn="0" w:lastColumn="0" w:oddVBand="0" w:evenVBand="0" w:oddHBand="0" w:evenHBand="0" w:firstRowFirstColumn="0" w:firstRowLastColumn="0" w:lastRowFirstColumn="0" w:lastRowLastColumn="0"/>
            </w:pPr>
            <w:r w:rsidRPr="00494844">
              <w:t>Encourage adaptation action across all policy areas and sectors of the economy.</w:t>
            </w:r>
          </w:p>
          <w:p w14:paraId="5284C6F3" w14:textId="592053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Statutory requirement</w:t>
            </w:r>
            <w:r w:rsidR="006C1CE3">
              <w:t>s</w:t>
            </w:r>
            <w:r w:rsidRPr="00494844">
              <w:t xml:space="preserve"> to deliver Adaptation Action Plans (AAPs) across seven systems, includ</w:t>
            </w:r>
            <w:r w:rsidR="006C1CE3">
              <w:t>e</w:t>
            </w:r>
            <w:r w:rsidRPr="00494844">
              <w:t xml:space="preserve"> </w:t>
            </w:r>
          </w:p>
          <w:p w14:paraId="4AD146B9"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built environment</w:t>
            </w:r>
          </w:p>
          <w:p w14:paraId="5992F701"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education and training </w:t>
            </w:r>
          </w:p>
          <w:p w14:paraId="761ACC5C"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health and human services</w:t>
            </w:r>
          </w:p>
          <w:p w14:paraId="7D1ECDF2"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natural environment</w:t>
            </w:r>
          </w:p>
          <w:p w14:paraId="21CFA5BE"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primary production </w:t>
            </w:r>
          </w:p>
          <w:p w14:paraId="361621FF"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transport </w:t>
            </w:r>
          </w:p>
          <w:p w14:paraId="0A23016A"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water </w:t>
            </w:r>
          </w:p>
          <w:p w14:paraId="7BFA07CF" w14:textId="7D7E549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AAPs must identify system</w:t>
            </w:r>
            <w:r w:rsidR="00601819">
              <w:noBreakHyphen/>
            </w:r>
            <w:r w:rsidRPr="00494844">
              <w:t>specific risks or vulnerabilities, and any possible actions to address those implications.</w:t>
            </w:r>
          </w:p>
          <w:p w14:paraId="420A9B44" w14:textId="1A5831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20 of the </w:t>
            </w:r>
            <w:r w:rsidRPr="000C20DE">
              <w:rPr>
                <w:i/>
                <w:iCs/>
              </w:rPr>
              <w:t>Climate Change Act 2017</w:t>
            </w:r>
            <w:r w:rsidRPr="00494844">
              <w:t xml:space="preserve"> requires that government decision</w:t>
            </w:r>
            <w:r w:rsidR="00486CDF">
              <w:t xml:space="preserve"> </w:t>
            </w:r>
            <w:proofErr w:type="gramStart"/>
            <w:r w:rsidRPr="00494844">
              <w:t>making</w:t>
            </w:r>
            <w:proofErr w:type="gramEnd"/>
            <w:r w:rsidRPr="00494844">
              <w:t xml:space="preserve"> or any policy, program or process developed or implemented by the government takes account of climate change, with reference to policy objectives and guiding principles in the Act.</w:t>
            </w:r>
          </w:p>
        </w:tc>
      </w:tr>
      <w:tr w:rsidR="00D7784A" w:rsidRPr="00494844" w14:paraId="121D2DCC"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3276F2E4" w14:textId="77777777" w:rsidR="00D7784A" w:rsidRPr="00B20E4F" w:rsidRDefault="00D7784A" w:rsidP="00D7784A">
            <w:pPr>
              <w:pStyle w:val="Tabletext"/>
            </w:pPr>
            <w:r w:rsidRPr="00B20E4F">
              <w:lastRenderedPageBreak/>
              <w:t>Material use and circular economy</w:t>
            </w:r>
          </w:p>
        </w:tc>
        <w:tc>
          <w:tcPr>
            <w:tcW w:w="2837" w:type="dxa"/>
          </w:tcPr>
          <w:p w14:paraId="1850F304" w14:textId="1863A470"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Circular Economy Policy (</w:t>
            </w:r>
            <w:r w:rsidR="00F00708">
              <w:t>‘</w:t>
            </w:r>
            <w:r w:rsidRPr="00494844">
              <w:t>Recycling Victoria</w:t>
            </w:r>
            <w:r w:rsidR="00F00708">
              <w:t>’</w:t>
            </w:r>
            <w:r w:rsidRPr="00494844">
              <w:t>)</w:t>
            </w:r>
          </w:p>
        </w:tc>
        <w:tc>
          <w:tcPr>
            <w:tcW w:w="4410" w:type="dxa"/>
          </w:tcPr>
          <w:p w14:paraId="7487A04A"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four goals: Design to last, repair and recycle; Use products to create more value; Recycle more resources; and Reduce harm from waste and pollution.</w:t>
            </w:r>
          </w:p>
        </w:tc>
      </w:tr>
      <w:tr w:rsidR="00D7784A" w:rsidRPr="00494844" w14:paraId="767C201A"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0472A8C8" w14:textId="77777777" w:rsidR="00D7784A" w:rsidRPr="00B20E4F" w:rsidRDefault="00D7784A" w:rsidP="00D7784A">
            <w:pPr>
              <w:pStyle w:val="Tabletext"/>
            </w:pPr>
          </w:p>
        </w:tc>
        <w:tc>
          <w:tcPr>
            <w:tcW w:w="2837" w:type="dxa"/>
          </w:tcPr>
          <w:p w14:paraId="3DC1A09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National Waste Policy 2018</w:t>
            </w:r>
          </w:p>
        </w:tc>
        <w:tc>
          <w:tcPr>
            <w:tcW w:w="4410" w:type="dxa"/>
          </w:tcPr>
          <w:p w14:paraId="483A0FC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Manage 20 million tonnes of waste by 2046</w:t>
            </w:r>
          </w:p>
        </w:tc>
      </w:tr>
      <w:tr w:rsidR="00D7784A" w:rsidRPr="00494844" w14:paraId="35E1C14B"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12E88B58" w14:textId="77777777" w:rsidR="00D7784A" w:rsidRPr="00B20E4F" w:rsidRDefault="00D7784A" w:rsidP="00D7784A">
            <w:pPr>
              <w:pStyle w:val="Tabletext"/>
            </w:pPr>
          </w:p>
        </w:tc>
        <w:tc>
          <w:tcPr>
            <w:tcW w:w="2837" w:type="dxa"/>
          </w:tcPr>
          <w:p w14:paraId="7E367938"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Recycled First Policy</w:t>
            </w:r>
          </w:p>
        </w:tc>
        <w:tc>
          <w:tcPr>
            <w:tcW w:w="4410" w:type="dxa"/>
          </w:tcPr>
          <w:p w14:paraId="0AD559C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Recycled First outlines requirements for infrastructure projects within the Major Transport Infrastructure Authority to bring a uniform approach to the use of recycled products and drive innovation in sustainable materials. This policy boosts the use of recycled and reused materials (in preference to virgin materials) that meet existing standards for road and rail construction projects</w:t>
            </w:r>
          </w:p>
        </w:tc>
      </w:tr>
      <w:tr w:rsidR="00D7784A" w:rsidRPr="00494844" w14:paraId="623F2312"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30C13536" w14:textId="77777777" w:rsidR="00D7784A" w:rsidRPr="00B20E4F" w:rsidRDefault="00D7784A" w:rsidP="00D7784A">
            <w:pPr>
              <w:pStyle w:val="Tabletext"/>
            </w:pPr>
          </w:p>
        </w:tc>
        <w:tc>
          <w:tcPr>
            <w:tcW w:w="2837" w:type="dxa"/>
          </w:tcPr>
          <w:p w14:paraId="7F231FB8"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Recycling Industry Strategic Plan</w:t>
            </w:r>
          </w:p>
        </w:tc>
        <w:tc>
          <w:tcPr>
            <w:tcW w:w="4410" w:type="dxa"/>
          </w:tcPr>
          <w:p w14:paraId="0184E48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Sets four goals: Stabilise the recycling sector; increase the quality of recycled materials; Improve the diversity and productivity of the recycling sector; Develop markets for recycled materials</w:t>
            </w:r>
          </w:p>
        </w:tc>
      </w:tr>
      <w:tr w:rsidR="00D7784A" w:rsidRPr="00494844" w14:paraId="57DCA85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2B314D32" w14:textId="77777777" w:rsidR="00D7784A" w:rsidRPr="00B20E4F" w:rsidRDefault="00D7784A" w:rsidP="00D7784A">
            <w:pPr>
              <w:pStyle w:val="Tabletext"/>
            </w:pPr>
          </w:p>
        </w:tc>
        <w:tc>
          <w:tcPr>
            <w:tcW w:w="2837" w:type="dxa"/>
          </w:tcPr>
          <w:p w14:paraId="1D6B4C6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 of discovery: Mineral resources strategy 2018–2023</w:t>
            </w:r>
          </w:p>
        </w:tc>
        <w:tc>
          <w:tcPr>
            <w:tcW w:w="4410" w:type="dxa"/>
          </w:tcPr>
          <w:p w14:paraId="38600CED" w14:textId="2A0DD57D"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Delivers a whole</w:t>
            </w:r>
            <w:r w:rsidR="00B45FD0">
              <w:t xml:space="preserve"> </w:t>
            </w:r>
            <w:r w:rsidRPr="00494844">
              <w:t>of</w:t>
            </w:r>
            <w:r w:rsidR="00B45FD0">
              <w:t xml:space="preserve"> </w:t>
            </w:r>
            <w:r w:rsidRPr="00494844">
              <w:t>government approach across the mining lifecycle and sets a path for improving the administration and enforcement of our regulatory framework for managing the</w:t>
            </w:r>
            <w:r>
              <w:t xml:space="preserve"> </w:t>
            </w:r>
            <w:r w:rsidRPr="002E7713">
              <w:t xml:space="preserve">environmental, </w:t>
            </w:r>
            <w:proofErr w:type="gramStart"/>
            <w:r w:rsidRPr="002E7713">
              <w:t>social</w:t>
            </w:r>
            <w:proofErr w:type="gramEnd"/>
            <w:r w:rsidRPr="002E7713">
              <w:t xml:space="preserve"> and economic </w:t>
            </w:r>
            <w:r w:rsidRPr="00494844">
              <w:t>conditions of the mining industry</w:t>
            </w:r>
          </w:p>
        </w:tc>
      </w:tr>
      <w:tr w:rsidR="00D7784A" w:rsidRPr="00494844" w14:paraId="4DD4697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47327C40" w14:textId="77777777" w:rsidR="00D7784A" w:rsidRPr="00B20E4F" w:rsidRDefault="00D7784A" w:rsidP="00D7784A">
            <w:pPr>
              <w:pStyle w:val="Tabletext"/>
            </w:pPr>
            <w:r w:rsidRPr="00B20E4F">
              <w:t>Energy productivity and carbon emissions</w:t>
            </w:r>
          </w:p>
        </w:tc>
        <w:tc>
          <w:tcPr>
            <w:tcW w:w="2837" w:type="dxa"/>
          </w:tcPr>
          <w:p w14:paraId="7882BDA2" w14:textId="0D6360C7" w:rsidR="00D7784A" w:rsidRPr="00A16A0B"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Climate Change Act 2017</w:t>
            </w:r>
          </w:p>
        </w:tc>
        <w:tc>
          <w:tcPr>
            <w:tcW w:w="4410" w:type="dxa"/>
          </w:tcPr>
          <w:p w14:paraId="4AB1F7F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0C20DE">
              <w:rPr>
                <w:i/>
                <w:iCs/>
              </w:rPr>
              <w:t>Climate Change Act 2017</w:t>
            </w:r>
            <w:r w:rsidRPr="00494844">
              <w:t xml:space="preserve"> sets net zero emissions by 2050. </w:t>
            </w:r>
          </w:p>
          <w:p w14:paraId="2883CD20" w14:textId="0EC86BAC"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Statewide: 15</w:t>
            </w:r>
            <w:r w:rsidR="00601819">
              <w:noBreakHyphen/>
            </w:r>
            <w:r w:rsidRPr="00494844">
              <w:t>20</w:t>
            </w:r>
            <w:r w:rsidR="000C20DE">
              <w:t xml:space="preserve"> per cent</w:t>
            </w:r>
            <w:r w:rsidRPr="00494844">
              <w:t xml:space="preserve"> below 2005 levels by 2020 </w:t>
            </w:r>
          </w:p>
          <w:p w14:paraId="63611625" w14:textId="17D28C24"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Government: 30</w:t>
            </w:r>
            <w:r w:rsidR="000C20DE">
              <w:t xml:space="preserve"> per cent</w:t>
            </w:r>
            <w:r w:rsidRPr="00494844">
              <w:t xml:space="preserve"> below 2015 levels for government operations by 2020</w:t>
            </w:r>
          </w:p>
          <w:p w14:paraId="1E9B7B43" w14:textId="3EDCE5FA"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Section 20 of the </w:t>
            </w:r>
            <w:r w:rsidRPr="006C1CE3">
              <w:rPr>
                <w:i/>
                <w:iCs/>
              </w:rPr>
              <w:t>Climate Change Act 2017</w:t>
            </w:r>
            <w:r w:rsidRPr="00494844">
              <w:t xml:space="preserve"> requires that government decision</w:t>
            </w:r>
            <w:r w:rsidR="00486CDF">
              <w:t xml:space="preserve"> </w:t>
            </w:r>
            <w:proofErr w:type="gramStart"/>
            <w:r w:rsidRPr="00494844">
              <w:t>making</w:t>
            </w:r>
            <w:proofErr w:type="gramEnd"/>
            <w:r w:rsidRPr="00494844">
              <w:t xml:space="preserve"> or any policy, program or process developed or implemented by the government takes account of climate change, with reference to policy objectives and guiding principles in the Act.</w:t>
            </w:r>
          </w:p>
        </w:tc>
      </w:tr>
      <w:tr w:rsidR="00D7784A" w:rsidRPr="00494844" w14:paraId="79B03402"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68DE056A" w14:textId="77777777" w:rsidR="00D7784A" w:rsidRPr="00B20E4F" w:rsidRDefault="00D7784A" w:rsidP="00D7784A">
            <w:pPr>
              <w:pStyle w:val="Tabletext"/>
            </w:pPr>
          </w:p>
        </w:tc>
        <w:tc>
          <w:tcPr>
            <w:tcW w:w="2837" w:type="dxa"/>
          </w:tcPr>
          <w:p w14:paraId="2882ACE5" w14:textId="0CD14BE3"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Renewable Energy (Jobs </w:t>
            </w:r>
            <w:r>
              <w:rPr>
                <w:i/>
                <w:iCs/>
              </w:rPr>
              <w:t>and</w:t>
            </w:r>
            <w:r w:rsidRPr="00D7784A">
              <w:rPr>
                <w:i/>
                <w:iCs/>
              </w:rPr>
              <w:t xml:space="preserve"> Investment) Act 2017</w:t>
            </w:r>
          </w:p>
          <w:p w14:paraId="382F8A8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Renewable Energy (Jobs and Investment) Amendment Bill 2019 (Vic)</w:t>
            </w:r>
          </w:p>
        </w:tc>
        <w:tc>
          <w:tcPr>
            <w:tcW w:w="4410" w:type="dxa"/>
          </w:tcPr>
          <w:p w14:paraId="12E360BA" w14:textId="3DA55295"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25</w:t>
            </w:r>
            <w:r w:rsidR="000C20DE">
              <w:t xml:space="preserve"> per cent</w:t>
            </w:r>
            <w:r w:rsidRPr="00494844">
              <w:t xml:space="preserve"> renewables by 2020</w:t>
            </w:r>
          </w:p>
          <w:p w14:paraId="38026BB4" w14:textId="4F585549"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40</w:t>
            </w:r>
            <w:r w:rsidR="000C20DE">
              <w:t xml:space="preserve"> per cent</w:t>
            </w:r>
            <w:r w:rsidRPr="00494844">
              <w:t xml:space="preserve"> renewables by 2025</w:t>
            </w:r>
          </w:p>
          <w:p w14:paraId="4FEAB1B4" w14:textId="6ACAE39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50</w:t>
            </w:r>
            <w:r w:rsidR="000C20DE">
              <w:t xml:space="preserve"> per cent</w:t>
            </w:r>
            <w:r w:rsidRPr="00494844">
              <w:t xml:space="preserve"> renewables by 2030</w:t>
            </w:r>
          </w:p>
        </w:tc>
      </w:tr>
      <w:tr w:rsidR="00D7784A" w:rsidRPr="00494844" w14:paraId="3F6CB821"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77C826F6" w14:textId="77777777" w:rsidR="00D7784A" w:rsidRPr="00B20E4F" w:rsidRDefault="00D7784A" w:rsidP="00F00708"/>
        </w:tc>
        <w:tc>
          <w:tcPr>
            <w:tcW w:w="2837" w:type="dxa"/>
          </w:tcPr>
          <w:p w14:paraId="548B9D7B"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Victoria’s Renewable Energy Action Plan</w:t>
            </w:r>
          </w:p>
        </w:tc>
        <w:tc>
          <w:tcPr>
            <w:tcW w:w="4410" w:type="dxa"/>
          </w:tcPr>
          <w:p w14:paraId="0B256A1A" w14:textId="3AA76D8B"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Renewable Energy Action plan invests $146</w:t>
            </w:r>
            <w:r w:rsidR="000C20DE">
              <w:rPr>
                <w:rFonts w:ascii="Calibri" w:hAnsi="Calibri"/>
              </w:rPr>
              <w:t> </w:t>
            </w:r>
            <w:r w:rsidRPr="00494844">
              <w:t>million across three focus areas:</w:t>
            </w:r>
          </w:p>
          <w:p w14:paraId="356428EF" w14:textId="2E74FBF2"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supporting </w:t>
            </w:r>
            <w:r w:rsidR="00D7784A" w:rsidRPr="00494844">
              <w:t xml:space="preserve">sector growth </w:t>
            </w:r>
          </w:p>
          <w:p w14:paraId="5E832939" w14:textId="690A1F72"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empowering </w:t>
            </w:r>
            <w:r w:rsidR="00D7784A" w:rsidRPr="00494844">
              <w:t>communities and consumers</w:t>
            </w:r>
          </w:p>
          <w:p w14:paraId="68D145B9" w14:textId="62C737FD" w:rsidR="00D7784A" w:rsidRPr="00494844" w:rsidRDefault="000C20DE"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modernising </w:t>
            </w:r>
            <w:r w:rsidR="00D7784A" w:rsidRPr="00494844">
              <w:t>our energy system</w:t>
            </w:r>
          </w:p>
        </w:tc>
      </w:tr>
      <w:tr w:rsidR="00D7784A" w:rsidRPr="00494844" w14:paraId="7934A1C9"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48E08F5F" w14:textId="77777777" w:rsidR="00D7784A" w:rsidRPr="00B20E4F" w:rsidRDefault="00D7784A" w:rsidP="00F00708"/>
        </w:tc>
        <w:tc>
          <w:tcPr>
            <w:tcW w:w="2837" w:type="dxa"/>
          </w:tcPr>
          <w:p w14:paraId="69E910FE"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Energy Efficiency and Productivity Strategy</w:t>
            </w:r>
          </w:p>
        </w:tc>
        <w:tc>
          <w:tcPr>
            <w:tcW w:w="4410" w:type="dxa"/>
          </w:tcPr>
          <w:p w14:paraId="2D3DC62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The Energy Efficiency and Productivity Strategy has a range of aims and objectives including:</w:t>
            </w:r>
          </w:p>
          <w:p w14:paraId="35E88763"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 xml:space="preserve">Strengthen and expand the Victorian Energy Upgrades program. </w:t>
            </w:r>
          </w:p>
          <w:p w14:paraId="349EAF0B" w14:textId="77777777"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$6.1 million over three years to help Victorian businesses achieve energy productivity and materials efficiency benefits.</w:t>
            </w:r>
          </w:p>
          <w:p w14:paraId="46ADF6D0" w14:textId="4FB2E431"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$1.8 million over four years to support poorly performing commercial buildings to implement energy efficiency improvements, saving$18 million over 10 years, and reducing emissions by 55 kt</w:t>
            </w:r>
            <w:r w:rsidR="00924BAA">
              <w:t xml:space="preserve"> </w:t>
            </w:r>
            <w:r w:rsidRPr="00494844">
              <w:t>CO</w:t>
            </w:r>
            <w:r w:rsidRPr="001C18B5">
              <w:rPr>
                <w:spacing w:val="0"/>
                <w:sz w:val="18"/>
                <w:szCs w:val="22"/>
                <w:vertAlign w:val="subscript"/>
              </w:rPr>
              <w:t>2</w:t>
            </w:r>
            <w:r w:rsidR="00601819">
              <w:noBreakHyphen/>
            </w:r>
            <w:r w:rsidRPr="00494844">
              <w:t>e.</w:t>
            </w:r>
          </w:p>
          <w:p w14:paraId="1AE25DC9" w14:textId="658B4BAD" w:rsidR="00D7784A" w:rsidRPr="00494844" w:rsidRDefault="00D7784A" w:rsidP="00D7784A">
            <w:pPr>
              <w:pStyle w:val="Tablebullet"/>
              <w:cnfStyle w:val="000000000000" w:firstRow="0" w:lastRow="0" w:firstColumn="0" w:lastColumn="0" w:oddVBand="0" w:evenVBand="0" w:oddHBand="0" w:evenHBand="0" w:firstRowFirstColumn="0" w:firstRowLastColumn="0" w:lastRowFirstColumn="0" w:lastRowLastColumn="0"/>
            </w:pPr>
            <w:r w:rsidRPr="00494844">
              <w:t>Invest $17 million over four years to support over 3</w:t>
            </w:r>
            <w:r w:rsidR="000C20DE">
              <w:rPr>
                <w:rFonts w:ascii="Calibri" w:hAnsi="Calibri"/>
              </w:rPr>
              <w:t> </w:t>
            </w:r>
            <w:r w:rsidRPr="00494844">
              <w:t>300 Victorian households who are most in need, saving households $12.6 million over 15 years, 59</w:t>
            </w:r>
            <w:r>
              <w:rPr>
                <w:rFonts w:ascii="Calibri" w:hAnsi="Calibri" w:cs="Calibri"/>
              </w:rPr>
              <w:t> </w:t>
            </w:r>
            <w:r w:rsidRPr="00494844">
              <w:t>000 tCO</w:t>
            </w:r>
            <w:r w:rsidRPr="001C18B5">
              <w:rPr>
                <w:vertAlign w:val="subscript"/>
              </w:rPr>
              <w:t>2</w:t>
            </w:r>
            <w:r w:rsidR="00601819">
              <w:noBreakHyphen/>
            </w:r>
            <w:r w:rsidRPr="00494844">
              <w:t>e abatement and 9.6</w:t>
            </w:r>
            <w:r>
              <w:rPr>
                <w:rFonts w:ascii="Calibri" w:hAnsi="Calibri" w:cs="Calibri"/>
              </w:rPr>
              <w:t> </w:t>
            </w:r>
            <w:r w:rsidRPr="00494844">
              <w:t>million in health benefits</w:t>
            </w:r>
            <w:r w:rsidR="00F00708">
              <w:t xml:space="preserve">. </w:t>
            </w:r>
          </w:p>
        </w:tc>
      </w:tr>
      <w:tr w:rsidR="00D7784A" w:rsidRPr="00494844" w14:paraId="5B002C04"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732F9DF1" w14:textId="77777777" w:rsidR="00D7784A" w:rsidRPr="00B20E4F" w:rsidRDefault="00D7784A" w:rsidP="00D7784A">
            <w:pPr>
              <w:pStyle w:val="Tabletext"/>
            </w:pPr>
            <w:r w:rsidRPr="00B20E4F">
              <w:t>Integrated water management</w:t>
            </w:r>
          </w:p>
        </w:tc>
        <w:tc>
          <w:tcPr>
            <w:tcW w:w="2837" w:type="dxa"/>
          </w:tcPr>
          <w:p w14:paraId="04CB258F" w14:textId="7F52EB5A"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Act</w:t>
            </w:r>
            <w:r w:rsidR="000C20DE">
              <w:rPr>
                <w:rFonts w:ascii="Calibri" w:hAnsi="Calibri"/>
                <w:i/>
                <w:iCs/>
              </w:rPr>
              <w:t> </w:t>
            </w:r>
            <w:r w:rsidRPr="00D7784A">
              <w:rPr>
                <w:i/>
                <w:iCs/>
              </w:rPr>
              <w:t>1970</w:t>
            </w:r>
          </w:p>
          <w:p w14:paraId="006C8DEF"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State Environmental Protection Policy (Waters)</w:t>
            </w:r>
          </w:p>
        </w:tc>
        <w:tc>
          <w:tcPr>
            <w:tcW w:w="4410" w:type="dxa"/>
          </w:tcPr>
          <w:p w14:paraId="5F8DB90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Creates duties to minimise risk of diffuse and point source pollution and minimise risk of pollutant from various types of used water. </w:t>
            </w:r>
          </w:p>
        </w:tc>
      </w:tr>
      <w:tr w:rsidR="00D7784A" w:rsidRPr="00494844" w14:paraId="7BC5CAA5"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30A57F07" w14:textId="77777777" w:rsidR="00D7784A" w:rsidRPr="00B20E4F" w:rsidRDefault="00D7784A" w:rsidP="00D7784A">
            <w:pPr>
              <w:pStyle w:val="Tabletext"/>
            </w:pPr>
          </w:p>
        </w:tc>
        <w:tc>
          <w:tcPr>
            <w:tcW w:w="2837" w:type="dxa"/>
          </w:tcPr>
          <w:p w14:paraId="580706C2"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Integrated Water Management Framework for Victoria</w:t>
            </w:r>
          </w:p>
        </w:tc>
        <w:tc>
          <w:tcPr>
            <w:tcW w:w="4410" w:type="dxa"/>
          </w:tcPr>
          <w:p w14:paraId="209B2ACD" w14:textId="252303A8"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Creates a framework for integrated water management across the </w:t>
            </w:r>
            <w:r w:rsidR="00924BAA">
              <w:t>S</w:t>
            </w:r>
            <w:r w:rsidR="00924BAA" w:rsidRPr="00494844">
              <w:t>tate</w:t>
            </w:r>
            <w:r w:rsidRPr="00494844">
              <w:t>.</w:t>
            </w:r>
          </w:p>
        </w:tc>
      </w:tr>
      <w:tr w:rsidR="00D7784A" w:rsidRPr="00494844" w14:paraId="0E7F9740"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vMerge/>
          </w:tcPr>
          <w:p w14:paraId="6DFC036A" w14:textId="77777777" w:rsidR="00D7784A" w:rsidRPr="00B20E4F" w:rsidRDefault="00D7784A" w:rsidP="00D7784A">
            <w:pPr>
              <w:pStyle w:val="Tabletext"/>
            </w:pPr>
          </w:p>
        </w:tc>
        <w:tc>
          <w:tcPr>
            <w:tcW w:w="2837" w:type="dxa"/>
          </w:tcPr>
          <w:p w14:paraId="781BF3DD"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Water for Victoria</w:t>
            </w:r>
          </w:p>
        </w:tc>
        <w:tc>
          <w:tcPr>
            <w:tcW w:w="4410" w:type="dxa"/>
          </w:tcPr>
          <w:p w14:paraId="636756F3"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Water for Victoria is a plan for a future with less water as Victoria responds to the impact of climate change and a growing population</w:t>
            </w:r>
          </w:p>
        </w:tc>
      </w:tr>
      <w:tr w:rsidR="00D7784A" w:rsidRPr="00494844" w14:paraId="7421679E" w14:textId="77777777" w:rsidTr="00D7784A">
        <w:trPr>
          <w:trHeight w:val="20"/>
        </w:trPr>
        <w:tc>
          <w:tcPr>
            <w:cnfStyle w:val="001000000000" w:firstRow="0" w:lastRow="0" w:firstColumn="1" w:lastColumn="0" w:oddVBand="0" w:evenVBand="0" w:oddHBand="0" w:evenHBand="0" w:firstRowFirstColumn="0" w:firstRowLastColumn="0" w:lastRowFirstColumn="0" w:lastRowLastColumn="0"/>
            <w:tcW w:w="1843" w:type="dxa"/>
          </w:tcPr>
          <w:p w14:paraId="4FDA261A" w14:textId="77777777" w:rsidR="00D7784A" w:rsidRPr="00B20E4F" w:rsidRDefault="00D7784A" w:rsidP="00D7784A">
            <w:pPr>
              <w:pStyle w:val="Tabletext"/>
            </w:pPr>
            <w:r w:rsidRPr="00B20E4F">
              <w:lastRenderedPageBreak/>
              <w:t>Environmental Protection and enhancement</w:t>
            </w:r>
          </w:p>
        </w:tc>
        <w:tc>
          <w:tcPr>
            <w:tcW w:w="2837" w:type="dxa"/>
          </w:tcPr>
          <w:p w14:paraId="7EF48198" w14:textId="47A42F09"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Flora and Fauna Guarantee Act</w:t>
            </w:r>
            <w:r w:rsidR="000C20DE">
              <w:rPr>
                <w:rFonts w:ascii="Calibri" w:hAnsi="Calibri"/>
                <w:i/>
                <w:iCs/>
              </w:rPr>
              <w:t> </w:t>
            </w:r>
            <w:r w:rsidRPr="00D7784A">
              <w:rPr>
                <w:i/>
                <w:iCs/>
              </w:rPr>
              <w:t>1988</w:t>
            </w:r>
          </w:p>
          <w:p w14:paraId="051C8F5F"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and Biodiversity Conservation Act 1999 (</w:t>
            </w:r>
            <w:proofErr w:type="spellStart"/>
            <w:r w:rsidRPr="00D7784A">
              <w:rPr>
                <w:i/>
                <w:iCs/>
              </w:rPr>
              <w:t>Cth</w:t>
            </w:r>
            <w:proofErr w:type="spellEnd"/>
            <w:r w:rsidRPr="00D7784A">
              <w:rPr>
                <w:i/>
                <w:iCs/>
              </w:rPr>
              <w:t>)</w:t>
            </w:r>
          </w:p>
          <w:p w14:paraId="33B4D966"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Effects Act 1978</w:t>
            </w:r>
          </w:p>
          <w:p w14:paraId="3C04E623" w14:textId="77A088B9"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Environment Protection Act</w:t>
            </w:r>
            <w:r w:rsidR="000C20DE">
              <w:rPr>
                <w:rFonts w:ascii="Calibri" w:hAnsi="Calibri"/>
                <w:i/>
                <w:iCs/>
              </w:rPr>
              <w:t> </w:t>
            </w:r>
            <w:r w:rsidRPr="00D7784A">
              <w:rPr>
                <w:i/>
                <w:iCs/>
              </w:rPr>
              <w:t>2017</w:t>
            </w:r>
          </w:p>
          <w:p w14:paraId="22FD9C84"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Wildlife Act 1975</w:t>
            </w:r>
          </w:p>
          <w:p w14:paraId="766A3896"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Biodiversity 2037 Implementation Framework</w:t>
            </w:r>
          </w:p>
          <w:p w14:paraId="6409BB04" w14:textId="77777777" w:rsidR="00D7784A" w:rsidRPr="00D7784A" w:rsidRDefault="00D7784A" w:rsidP="00D7784A">
            <w:pPr>
              <w:pStyle w:val="Tabletext"/>
              <w:cnfStyle w:val="000000000000" w:firstRow="0" w:lastRow="0" w:firstColumn="0" w:lastColumn="0" w:oddVBand="0" w:evenVBand="0" w:oddHBand="0" w:evenHBand="0" w:firstRowFirstColumn="0" w:firstRowLastColumn="0" w:lastRowFirstColumn="0" w:lastRowLastColumn="0"/>
              <w:rPr>
                <w:i/>
                <w:iCs/>
              </w:rPr>
            </w:pPr>
            <w:r w:rsidRPr="00D7784A">
              <w:rPr>
                <w:i/>
                <w:iCs/>
              </w:rPr>
              <w:t xml:space="preserve">Catchment and Land Protection Act 1994  </w:t>
            </w:r>
          </w:p>
        </w:tc>
        <w:tc>
          <w:tcPr>
            <w:tcW w:w="4410" w:type="dxa"/>
          </w:tcPr>
          <w:p w14:paraId="64587147" w14:textId="7777777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Conserve Victoria’s endangered species. </w:t>
            </w:r>
          </w:p>
          <w:p w14:paraId="2FFE8F0E" w14:textId="45A9482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Effective management of wildlife. Control authorisation where wildlife and human activity clashes, including through using an Environmental Effects Statement</w:t>
            </w:r>
            <w:r>
              <w:t>.</w:t>
            </w:r>
          </w:p>
          <w:p w14:paraId="53C2D2E4" w14:textId="2D9FA467" w:rsidR="00D7784A" w:rsidRPr="00494844" w:rsidRDefault="00D7784A" w:rsidP="00D7784A">
            <w:pPr>
              <w:pStyle w:val="Tabletext"/>
              <w:cnfStyle w:val="000000000000" w:firstRow="0" w:lastRow="0" w:firstColumn="0" w:lastColumn="0" w:oddVBand="0" w:evenVBand="0" w:oddHBand="0" w:evenHBand="0" w:firstRowFirstColumn="0" w:firstRowLastColumn="0" w:lastRowFirstColumn="0" w:lastRowLastColumn="0"/>
            </w:pPr>
            <w:r w:rsidRPr="00494844">
              <w:t xml:space="preserve">Committed to halting the decline of Victoria’s native flora and fauna and engaging </w:t>
            </w:r>
            <w:r w:rsidR="00924BAA">
              <w:t>five</w:t>
            </w:r>
            <w:r w:rsidR="00924BAA" w:rsidRPr="00494844">
              <w:t xml:space="preserve"> </w:t>
            </w:r>
            <w:r w:rsidRPr="00494844">
              <w:t>million Victorians in environmental protection activities.</w:t>
            </w:r>
          </w:p>
        </w:tc>
      </w:tr>
    </w:tbl>
    <w:p w14:paraId="2A38E26A" w14:textId="77777777" w:rsidR="00742176" w:rsidRDefault="00742176" w:rsidP="00742176"/>
    <w:p w14:paraId="04AE0EB6" w14:textId="1D140871" w:rsidR="00D7784A" w:rsidRDefault="00742176" w:rsidP="00742176">
      <w:r w:rsidRPr="00E37DE7">
        <w:t xml:space="preserve">Please note that these obligations are current at the time of publication. Users should verify that they abide by </w:t>
      </w:r>
      <w:proofErr w:type="gramStart"/>
      <w:r w:rsidRPr="00E37DE7">
        <w:t>any and all</w:t>
      </w:r>
      <w:proofErr w:type="gramEnd"/>
      <w:r w:rsidRPr="00E37DE7">
        <w:t xml:space="preserve"> relevant legislation, strategy or policy, including those implemented following publication of th</w:t>
      </w:r>
      <w:r>
        <w:t>is</w:t>
      </w:r>
      <w:r w:rsidRPr="00E37DE7">
        <w:t xml:space="preserve"> guideline</w:t>
      </w:r>
      <w:r w:rsidR="00F00708">
        <w:t xml:space="preserve">. </w:t>
      </w:r>
    </w:p>
    <w:p w14:paraId="3046ECA2" w14:textId="77777777" w:rsidR="00D7784A" w:rsidRDefault="00D7784A" w:rsidP="00D7784A">
      <w:pPr>
        <w:pStyle w:val="Heading2"/>
        <w:keepNext w:val="0"/>
        <w:pageBreakBefore/>
      </w:pPr>
      <w:bookmarkStart w:id="1320" w:name="_Ref68007482"/>
      <w:bookmarkStart w:id="1321" w:name="_Toc68769322"/>
      <w:bookmarkStart w:id="1322" w:name="_Toc117258711"/>
      <w:r>
        <w:lastRenderedPageBreak/>
        <w:t>Appendix 2 – Sustainability rating tools</w:t>
      </w:r>
      <w:bookmarkEnd w:id="1320"/>
      <w:bookmarkEnd w:id="1321"/>
      <w:bookmarkEnd w:id="1322"/>
    </w:p>
    <w:p w14:paraId="0B5FD9F9" w14:textId="6F3801EE" w:rsidR="00D7784A" w:rsidRPr="00D7784A" w:rsidRDefault="00D7784A" w:rsidP="00D7784A">
      <w:pPr>
        <w:pStyle w:val="Heading3"/>
      </w:pPr>
      <w:r w:rsidRPr="009F6668">
        <w:t>Infrastructure Sustainability Rating Scheme</w:t>
      </w:r>
    </w:p>
    <w:tbl>
      <w:tblPr>
        <w:tblStyle w:val="Texttable"/>
        <w:tblW w:w="9090" w:type="dxa"/>
        <w:tblLook w:val="0680" w:firstRow="0" w:lastRow="0" w:firstColumn="1" w:lastColumn="0" w:noHBand="1" w:noVBand="1"/>
      </w:tblPr>
      <w:tblGrid>
        <w:gridCol w:w="1761"/>
        <w:gridCol w:w="759"/>
        <w:gridCol w:w="6570"/>
      </w:tblGrid>
      <w:tr w:rsidR="00D7784A" w14:paraId="42C06CEF"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1D01FC61" w14:textId="77777777" w:rsidR="00D7784A" w:rsidRDefault="00D7784A" w:rsidP="00742176">
            <w:pPr>
              <w:pStyle w:val="Tabletext"/>
            </w:pPr>
            <w:r>
              <w:t>Name</w:t>
            </w:r>
          </w:p>
        </w:tc>
        <w:tc>
          <w:tcPr>
            <w:tcW w:w="7329" w:type="dxa"/>
            <w:gridSpan w:val="2"/>
          </w:tcPr>
          <w:p w14:paraId="703BD753" w14:textId="2C40ABC9"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Infrastructure Sustainability </w:t>
            </w:r>
            <w:r w:rsidR="00742176" w:rsidRPr="00742176">
              <w:t xml:space="preserve">(IS) </w:t>
            </w:r>
            <w:r>
              <w:t>Rating Scheme</w:t>
            </w:r>
          </w:p>
        </w:tc>
      </w:tr>
      <w:tr w:rsidR="00D7784A" w14:paraId="640F43F1"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6B1FE84F" w14:textId="77777777" w:rsidR="00D7784A" w:rsidRDefault="00D7784A" w:rsidP="00742176">
            <w:pPr>
              <w:pStyle w:val="Tabletext"/>
            </w:pPr>
            <w:r>
              <w:t>Link</w:t>
            </w:r>
          </w:p>
        </w:tc>
        <w:tc>
          <w:tcPr>
            <w:tcW w:w="7329" w:type="dxa"/>
            <w:gridSpan w:val="2"/>
          </w:tcPr>
          <w:p w14:paraId="42201696" w14:textId="14048E7F" w:rsidR="00D7784A" w:rsidRDefault="00FC7DAA" w:rsidP="00742176">
            <w:pPr>
              <w:pStyle w:val="Tabletext"/>
              <w:cnfStyle w:val="000000000000" w:firstRow="0" w:lastRow="0" w:firstColumn="0" w:lastColumn="0" w:oddVBand="0" w:evenVBand="0" w:oddHBand="0" w:evenHBand="0" w:firstRowFirstColumn="0" w:firstRowLastColumn="0" w:lastRowFirstColumn="0" w:lastRowLastColumn="0"/>
            </w:pPr>
            <w:hyperlink r:id="rId74" w:history="1">
              <w:r w:rsidR="00D7784A" w:rsidRPr="00A6353F">
                <w:rPr>
                  <w:rStyle w:val="Hyperlink"/>
                </w:rPr>
                <w:t>https://www.isca.org.au/</w:t>
              </w:r>
            </w:hyperlink>
            <w:r w:rsidR="00D7784A">
              <w:t xml:space="preserve"> </w:t>
            </w:r>
          </w:p>
        </w:tc>
      </w:tr>
      <w:tr w:rsidR="00D7784A" w14:paraId="219F1855"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38AE7162" w14:textId="77777777" w:rsidR="00D7784A" w:rsidRDefault="00D7784A" w:rsidP="00742176">
            <w:pPr>
              <w:pStyle w:val="Tabletext"/>
            </w:pPr>
            <w:r>
              <w:t>Administrator</w:t>
            </w:r>
          </w:p>
        </w:tc>
        <w:tc>
          <w:tcPr>
            <w:tcW w:w="7329" w:type="dxa"/>
            <w:gridSpan w:val="2"/>
          </w:tcPr>
          <w:p w14:paraId="1740879C" w14:textId="77777777"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Infrastructure Council of Australia</w:t>
            </w:r>
          </w:p>
        </w:tc>
      </w:tr>
      <w:tr w:rsidR="00D7784A" w14:paraId="4A959E5A"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6F75323E" w14:textId="77777777" w:rsidR="00D7784A" w:rsidRDefault="00D7784A" w:rsidP="00742176">
            <w:pPr>
              <w:pStyle w:val="Tabletext"/>
            </w:pPr>
            <w:r>
              <w:t>Overview</w:t>
            </w:r>
          </w:p>
        </w:tc>
        <w:tc>
          <w:tcPr>
            <w:tcW w:w="7329" w:type="dxa"/>
            <w:gridSpan w:val="2"/>
          </w:tcPr>
          <w:p w14:paraId="7E156BA8" w14:textId="317A1ADD"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DD221F">
              <w:t xml:space="preserve">The IS Rating Scheme </w:t>
            </w:r>
            <w:r>
              <w:t xml:space="preserve">is a </w:t>
            </w:r>
            <w:r w:rsidRPr="00DD221F">
              <w:t xml:space="preserve">comprehensive rating system for evaluating sustainability across the planning, design, construction and operational phases of infrastructure programs, projects, </w:t>
            </w:r>
            <w:proofErr w:type="gramStart"/>
            <w:r w:rsidRPr="00DD221F">
              <w:t>networks</w:t>
            </w:r>
            <w:proofErr w:type="gramEnd"/>
            <w:r w:rsidRPr="00DD221F">
              <w:t xml:space="preserve"> and assets.</w:t>
            </w:r>
          </w:p>
          <w:p w14:paraId="16D0050B" w14:textId="1159F430"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Ratings are based on a numeric score that is determined based on a project’s performance against </w:t>
            </w:r>
            <w:proofErr w:type="gramStart"/>
            <w:r>
              <w:t>a number of</w:t>
            </w:r>
            <w:proofErr w:type="gramEnd"/>
            <w:r>
              <w:t xml:space="preserve"> ‘credits’, which are grouped into sustainability</w:t>
            </w:r>
            <w:r w:rsidR="00601819">
              <w:noBreakHyphen/>
            </w:r>
            <w:r>
              <w:t xml:space="preserve">related themes. </w:t>
            </w:r>
          </w:p>
          <w:p w14:paraId="455E37F5" w14:textId="2FE693F6" w:rsidR="00D7784A" w:rsidRPr="00DD221F"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The scheme is designed to operate in parallel with project development, from planning through to operation, with multiple points of third</w:t>
            </w:r>
            <w:r w:rsidR="00601819">
              <w:noBreakHyphen/>
            </w:r>
            <w:r>
              <w:t>party verification and potential certification.</w:t>
            </w:r>
          </w:p>
        </w:tc>
      </w:tr>
      <w:tr w:rsidR="00D7784A" w14:paraId="320318E7"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68E8AF32" w14:textId="77777777" w:rsidR="00D7784A" w:rsidRDefault="00D7784A" w:rsidP="00742176">
            <w:pPr>
              <w:pStyle w:val="Tabletext"/>
            </w:pPr>
            <w:r>
              <w:t>Project types</w:t>
            </w:r>
          </w:p>
        </w:tc>
        <w:tc>
          <w:tcPr>
            <w:tcW w:w="7329" w:type="dxa"/>
            <w:gridSpan w:val="2"/>
          </w:tcPr>
          <w:p w14:paraId="4195FC76" w14:textId="77777777"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All types of infrastructure, including (but not limited to): rail, road, social, telecoms, </w:t>
            </w:r>
            <w:proofErr w:type="gramStart"/>
            <w:r>
              <w:t>waste</w:t>
            </w:r>
            <w:proofErr w:type="gramEnd"/>
            <w:r>
              <w:t xml:space="preserve"> and water.</w:t>
            </w:r>
          </w:p>
        </w:tc>
      </w:tr>
      <w:tr w:rsidR="00D7784A" w14:paraId="7E4A967D" w14:textId="77777777" w:rsidTr="080D59E9">
        <w:tc>
          <w:tcPr>
            <w:cnfStyle w:val="001000000000" w:firstRow="0" w:lastRow="0" w:firstColumn="1" w:lastColumn="0" w:oddVBand="0" w:evenVBand="0" w:oddHBand="0" w:evenHBand="0" w:firstRowFirstColumn="0" w:firstRowLastColumn="0" w:lastRowFirstColumn="0" w:lastRowLastColumn="0"/>
            <w:tcW w:w="1761" w:type="dxa"/>
          </w:tcPr>
          <w:p w14:paraId="3BDF2E2F" w14:textId="77777777" w:rsidR="00D7784A" w:rsidRDefault="00D7784A" w:rsidP="00742176">
            <w:pPr>
              <w:pStyle w:val="Tabletext"/>
            </w:pPr>
            <w:r>
              <w:t>Project lifecycle stages</w:t>
            </w:r>
          </w:p>
        </w:tc>
        <w:tc>
          <w:tcPr>
            <w:tcW w:w="7329" w:type="dxa"/>
            <w:gridSpan w:val="2"/>
          </w:tcPr>
          <w:p w14:paraId="7BFB99DC" w14:textId="7AB9B578" w:rsidR="00D7784A" w:rsidRDefault="00D7784A" w:rsidP="00742176">
            <w:pPr>
              <w:pStyle w:val="Tabletext"/>
              <w:cnfStyle w:val="000000000000" w:firstRow="0" w:lastRow="0" w:firstColumn="0" w:lastColumn="0" w:oddVBand="0" w:evenVBand="0" w:oddHBand="0" w:evenHBand="0" w:firstRowFirstColumn="0" w:firstRowLastColumn="0" w:lastRowFirstColumn="0" w:lastRowLastColumn="0"/>
            </w:pPr>
            <w:r>
              <w:t xml:space="preserve">Planning, </w:t>
            </w:r>
            <w:r w:rsidR="00481611">
              <w:t>design, as built and operations</w:t>
            </w:r>
          </w:p>
        </w:tc>
      </w:tr>
      <w:tr w:rsidR="00D7784A" w14:paraId="18C8F8D7"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val="restart"/>
          </w:tcPr>
          <w:p w14:paraId="0E7C2622" w14:textId="681D8418" w:rsidR="00D7784A" w:rsidRDefault="00D7784A" w:rsidP="00742176">
            <w:pPr>
              <w:pStyle w:val="Tabletext"/>
            </w:pPr>
            <w:r>
              <w:t xml:space="preserve">Alignment with Sustainable Investment </w:t>
            </w:r>
            <w:r w:rsidR="00742176">
              <w:t>themes</w:t>
            </w:r>
          </w:p>
        </w:tc>
        <w:tc>
          <w:tcPr>
            <w:tcW w:w="759" w:type="dxa"/>
          </w:tcPr>
          <w:p w14:paraId="4BCFAF68"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307D17" wp14:editId="127EA0BA">
                  <wp:extent cx="260921" cy="252000"/>
                  <wp:effectExtent l="0" t="0" r="6350" b="0"/>
                  <wp:docPr id="1878266738"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0"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60921" cy="252000"/>
                          </a:xfrm>
                          <a:prstGeom prst="rect">
                            <a:avLst/>
                          </a:prstGeom>
                        </pic:spPr>
                      </pic:pic>
                    </a:graphicData>
                  </a:graphic>
                </wp:inline>
              </w:drawing>
            </w:r>
          </w:p>
        </w:tc>
        <w:tc>
          <w:tcPr>
            <w:tcW w:w="6570" w:type="dxa"/>
          </w:tcPr>
          <w:p w14:paraId="79890670" w14:textId="1E21213C"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 xml:space="preserve">Cultural </w:t>
            </w:r>
            <w:r w:rsidR="00742176" w:rsidRPr="00A923E2">
              <w:t>heritage</w:t>
            </w:r>
          </w:p>
        </w:tc>
      </w:tr>
      <w:tr w:rsidR="00D7784A" w14:paraId="15DDCAA3"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0FF1736" w14:textId="77777777" w:rsidR="00D7784A" w:rsidRDefault="00D7784A" w:rsidP="00F00708"/>
        </w:tc>
        <w:tc>
          <w:tcPr>
            <w:tcW w:w="759" w:type="dxa"/>
          </w:tcPr>
          <w:p w14:paraId="052A5AEC"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2F30AAF" wp14:editId="4E5D613A">
                  <wp:extent cx="254454" cy="252000"/>
                  <wp:effectExtent l="0" t="0" r="0" b="0"/>
                  <wp:docPr id="2131589125"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tcPr>
          <w:p w14:paraId="44EEBD37"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D7784A" w14:paraId="4A816D7B"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8B39904" w14:textId="77777777" w:rsidR="00D7784A" w:rsidRDefault="00D7784A" w:rsidP="00F00708"/>
        </w:tc>
        <w:tc>
          <w:tcPr>
            <w:tcW w:w="759" w:type="dxa"/>
          </w:tcPr>
          <w:p w14:paraId="1D022B7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0D4164" wp14:editId="446FFC6D">
                  <wp:extent cx="249480" cy="252000"/>
                  <wp:effectExtent l="0" t="0" r="0" b="0"/>
                  <wp:docPr id="1359047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249480" cy="252000"/>
                          </a:xfrm>
                          <a:prstGeom prst="rect">
                            <a:avLst/>
                          </a:prstGeom>
                        </pic:spPr>
                      </pic:pic>
                    </a:graphicData>
                  </a:graphic>
                </wp:inline>
              </w:drawing>
            </w:r>
          </w:p>
        </w:tc>
        <w:tc>
          <w:tcPr>
            <w:tcW w:w="6570" w:type="dxa"/>
          </w:tcPr>
          <w:p w14:paraId="77491A43"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Transport, access, and connectivity</w:t>
            </w:r>
          </w:p>
        </w:tc>
      </w:tr>
      <w:tr w:rsidR="00D7784A" w14:paraId="3E56707E"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6251EC4F" w14:textId="77777777" w:rsidR="00D7784A" w:rsidRDefault="00D7784A" w:rsidP="00F00708"/>
        </w:tc>
        <w:tc>
          <w:tcPr>
            <w:tcW w:w="759" w:type="dxa"/>
          </w:tcPr>
          <w:p w14:paraId="7BE390BA"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8965A4" wp14:editId="56DD5011">
                  <wp:extent cx="252000" cy="252000"/>
                  <wp:effectExtent l="0" t="0" r="0" b="0"/>
                  <wp:docPr id="1718929496"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52000" cy="252000"/>
                          </a:xfrm>
                          <a:prstGeom prst="rect">
                            <a:avLst/>
                          </a:prstGeom>
                        </pic:spPr>
                      </pic:pic>
                    </a:graphicData>
                  </a:graphic>
                </wp:inline>
              </w:drawing>
            </w:r>
          </w:p>
        </w:tc>
        <w:tc>
          <w:tcPr>
            <w:tcW w:w="6570" w:type="dxa"/>
          </w:tcPr>
          <w:p w14:paraId="64341D57"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Climate resilience</w:t>
            </w:r>
          </w:p>
        </w:tc>
      </w:tr>
      <w:tr w:rsidR="00D7784A" w14:paraId="27B223D8"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15265C1B" w14:textId="77777777" w:rsidR="00D7784A" w:rsidRDefault="00D7784A" w:rsidP="00F00708"/>
        </w:tc>
        <w:tc>
          <w:tcPr>
            <w:tcW w:w="759" w:type="dxa"/>
          </w:tcPr>
          <w:p w14:paraId="7BA83279"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96376EA" wp14:editId="367A7389">
                  <wp:extent cx="251460" cy="251460"/>
                  <wp:effectExtent l="0" t="0" r="0" b="0"/>
                  <wp:docPr id="2077226579"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tcPr>
          <w:p w14:paraId="7EA554C6"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D7784A" w14:paraId="43B35FF6"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815EF4E" w14:textId="77777777" w:rsidR="00D7784A" w:rsidRDefault="00D7784A" w:rsidP="00F00708"/>
        </w:tc>
        <w:tc>
          <w:tcPr>
            <w:tcW w:w="759" w:type="dxa"/>
          </w:tcPr>
          <w:p w14:paraId="7C8A7B5E"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2D1389C" wp14:editId="00A756F8">
                  <wp:extent cx="246909" cy="252000"/>
                  <wp:effectExtent l="0" t="0" r="1270" b="0"/>
                  <wp:docPr id="1528783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tcPr>
          <w:p w14:paraId="67ABC50D"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D7784A" w14:paraId="5E838D11"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53752AD8" w14:textId="77777777" w:rsidR="00D7784A" w:rsidRDefault="00D7784A" w:rsidP="00F00708"/>
        </w:tc>
        <w:tc>
          <w:tcPr>
            <w:tcW w:w="759" w:type="dxa"/>
          </w:tcPr>
          <w:p w14:paraId="50F98F7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767B40" wp14:editId="25D353D3">
                  <wp:extent cx="257728" cy="2520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tcPr>
          <w:p w14:paraId="110095E8"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r w:rsidR="00D7784A" w14:paraId="5B79B563" w14:textId="77777777" w:rsidTr="080D59E9">
        <w:tc>
          <w:tcPr>
            <w:cnfStyle w:val="001000000000" w:firstRow="0" w:lastRow="0" w:firstColumn="1" w:lastColumn="0" w:oddVBand="0" w:evenVBand="0" w:oddHBand="0" w:evenHBand="0" w:firstRowFirstColumn="0" w:firstRowLastColumn="0" w:lastRowFirstColumn="0" w:lastRowLastColumn="0"/>
            <w:tcW w:w="1761" w:type="dxa"/>
            <w:vMerge/>
          </w:tcPr>
          <w:p w14:paraId="77C7B052" w14:textId="77777777" w:rsidR="00D7784A" w:rsidRDefault="00D7784A" w:rsidP="00F00708"/>
        </w:tc>
        <w:tc>
          <w:tcPr>
            <w:tcW w:w="759" w:type="dxa"/>
          </w:tcPr>
          <w:p w14:paraId="42C43040" w14:textId="77777777" w:rsidR="00D7784A" w:rsidRPr="00A923E2" w:rsidRDefault="00D7784A" w:rsidP="00742176">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4ED57D" wp14:editId="463AA01F">
                  <wp:extent cx="283862" cy="252000"/>
                  <wp:effectExtent l="0" t="0" r="190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7">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83862" cy="252000"/>
                          </a:xfrm>
                          <a:prstGeom prst="rect">
                            <a:avLst/>
                          </a:prstGeom>
                        </pic:spPr>
                      </pic:pic>
                    </a:graphicData>
                  </a:graphic>
                </wp:inline>
              </w:drawing>
            </w:r>
          </w:p>
        </w:tc>
        <w:tc>
          <w:tcPr>
            <w:tcW w:w="6570" w:type="dxa"/>
          </w:tcPr>
          <w:p w14:paraId="7B7BE7D4" w14:textId="77777777" w:rsidR="00D7784A" w:rsidRPr="00A923E2" w:rsidRDefault="00D7784A" w:rsidP="00742176">
            <w:pPr>
              <w:pStyle w:val="Tabletext"/>
              <w:cnfStyle w:val="000000000000" w:firstRow="0" w:lastRow="0" w:firstColumn="0" w:lastColumn="0" w:oddVBand="0" w:evenVBand="0" w:oddHBand="0" w:evenHBand="0" w:firstRowFirstColumn="0" w:firstRowLastColumn="0" w:lastRowFirstColumn="0" w:lastRowLastColumn="0"/>
            </w:pPr>
            <w:r w:rsidRPr="00A923E2">
              <w:t>Environmental protection and enhancement</w:t>
            </w:r>
          </w:p>
        </w:tc>
      </w:tr>
    </w:tbl>
    <w:p w14:paraId="2778E742" w14:textId="34BBB9FA" w:rsidR="00D7784A" w:rsidRDefault="00D7784A" w:rsidP="00D7784A"/>
    <w:p w14:paraId="20DA758D" w14:textId="2D5A4235" w:rsidR="00481611" w:rsidRDefault="00481611" w:rsidP="00481611">
      <w:pPr>
        <w:pStyle w:val="Heading3"/>
        <w:rPr>
          <w:b w:val="0"/>
          <w:bCs w:val="0"/>
        </w:rPr>
      </w:pPr>
      <w:r w:rsidRPr="009F6668">
        <w:rPr>
          <w:b w:val="0"/>
          <w:bCs w:val="0"/>
        </w:rPr>
        <w:lastRenderedPageBreak/>
        <w:t>Green Star</w:t>
      </w:r>
    </w:p>
    <w:tbl>
      <w:tblPr>
        <w:tblStyle w:val="Texttable"/>
        <w:tblW w:w="9090" w:type="dxa"/>
        <w:tblLook w:val="0680" w:firstRow="0" w:lastRow="0" w:firstColumn="1" w:lastColumn="0" w:noHBand="1" w:noVBand="1"/>
      </w:tblPr>
      <w:tblGrid>
        <w:gridCol w:w="1761"/>
        <w:gridCol w:w="759"/>
        <w:gridCol w:w="6506"/>
        <w:gridCol w:w="64"/>
      </w:tblGrid>
      <w:tr w:rsidR="00481611" w14:paraId="3B5733E8"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26A92BF8" w14:textId="77777777" w:rsidR="00481611" w:rsidRDefault="00481611" w:rsidP="00481611">
            <w:pPr>
              <w:pStyle w:val="Tabletext"/>
              <w:keepNext/>
            </w:pPr>
            <w:r>
              <w:t>Name</w:t>
            </w:r>
          </w:p>
        </w:tc>
        <w:tc>
          <w:tcPr>
            <w:tcW w:w="7265" w:type="dxa"/>
            <w:gridSpan w:val="2"/>
          </w:tcPr>
          <w:p w14:paraId="4308955F"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Green Star</w:t>
            </w:r>
          </w:p>
        </w:tc>
      </w:tr>
      <w:tr w:rsidR="00481611" w14:paraId="61973707"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1B6F0F52" w14:textId="77777777" w:rsidR="00481611" w:rsidRDefault="00481611" w:rsidP="00481611">
            <w:pPr>
              <w:pStyle w:val="Tabletext"/>
              <w:keepNext/>
            </w:pPr>
            <w:r>
              <w:t>Link</w:t>
            </w:r>
          </w:p>
        </w:tc>
        <w:tc>
          <w:tcPr>
            <w:tcW w:w="7265" w:type="dxa"/>
            <w:gridSpan w:val="2"/>
          </w:tcPr>
          <w:p w14:paraId="0EAB6D92" w14:textId="0DDB49C0" w:rsidR="00481611" w:rsidRDefault="00FC7DAA" w:rsidP="00481611">
            <w:pPr>
              <w:pStyle w:val="Tabletext"/>
              <w:cnfStyle w:val="000000000000" w:firstRow="0" w:lastRow="0" w:firstColumn="0" w:lastColumn="0" w:oddVBand="0" w:evenVBand="0" w:oddHBand="0" w:evenHBand="0" w:firstRowFirstColumn="0" w:firstRowLastColumn="0" w:lastRowFirstColumn="0" w:lastRowLastColumn="0"/>
            </w:pPr>
            <w:hyperlink r:id="rId78" w:history="1">
              <w:r w:rsidR="00481611" w:rsidRPr="00A6353F">
                <w:rPr>
                  <w:rStyle w:val="Hyperlink"/>
                </w:rPr>
                <w:t>https://new.gbca.org.au/</w:t>
              </w:r>
            </w:hyperlink>
            <w:r w:rsidR="00481611">
              <w:t xml:space="preserve"> </w:t>
            </w:r>
          </w:p>
        </w:tc>
      </w:tr>
      <w:tr w:rsidR="00481611" w14:paraId="305808EF"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01270234" w14:textId="77777777" w:rsidR="00481611" w:rsidRDefault="00481611" w:rsidP="00481611">
            <w:pPr>
              <w:pStyle w:val="Tabletext"/>
            </w:pPr>
            <w:r>
              <w:t>Administrator</w:t>
            </w:r>
          </w:p>
        </w:tc>
        <w:tc>
          <w:tcPr>
            <w:tcW w:w="7265" w:type="dxa"/>
            <w:gridSpan w:val="2"/>
          </w:tcPr>
          <w:p w14:paraId="508C45A1"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Green Building Council Australia</w:t>
            </w:r>
          </w:p>
        </w:tc>
      </w:tr>
      <w:tr w:rsidR="00481611" w14:paraId="37A07C39"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3C5B76CA" w14:textId="77777777" w:rsidR="00481611" w:rsidRPr="001F47FA" w:rsidRDefault="00481611" w:rsidP="00481611">
            <w:pPr>
              <w:pStyle w:val="Tabletext"/>
            </w:pPr>
            <w:r w:rsidRPr="001F47FA">
              <w:t>Overview</w:t>
            </w:r>
          </w:p>
        </w:tc>
        <w:tc>
          <w:tcPr>
            <w:tcW w:w="7265" w:type="dxa"/>
            <w:gridSpan w:val="2"/>
          </w:tcPr>
          <w:p w14:paraId="1BE9058B" w14:textId="77777777"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Green Star operates within Australia. It is a comprehensive rating system for evaluating the sustainability of community development plans (Green Star Communities), and across the design, as built and operational phases of a building’s lifecycle.</w:t>
            </w:r>
          </w:p>
          <w:p w14:paraId="55865706" w14:textId="5F9137ED"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 xml:space="preserve">Ratings are based on a numeric score that is determined based on a project’s performance against to </w:t>
            </w:r>
            <w:proofErr w:type="gramStart"/>
            <w:r w:rsidRPr="001F47FA">
              <w:t>a number of</w:t>
            </w:r>
            <w:proofErr w:type="gramEnd"/>
            <w:r w:rsidRPr="001F47FA">
              <w:t xml:space="preserve"> ‘credits’, which are grouped into sustainability</w:t>
            </w:r>
            <w:r w:rsidR="00601819">
              <w:noBreakHyphen/>
            </w:r>
            <w:r w:rsidRPr="001F47FA">
              <w:t xml:space="preserve">related categories. </w:t>
            </w:r>
          </w:p>
          <w:p w14:paraId="1DC55D7E" w14:textId="1FCF171A" w:rsidR="00481611" w:rsidRPr="001F47FA"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1F47FA">
              <w:t xml:space="preserve">The scheme is designed to </w:t>
            </w:r>
            <w:r>
              <w:t xml:space="preserve">include </w:t>
            </w:r>
            <w:r w:rsidRPr="001F47FA">
              <w:t>multiple points of third</w:t>
            </w:r>
            <w:r w:rsidR="008134C0">
              <w:t>-</w:t>
            </w:r>
            <w:r w:rsidRPr="001F47FA">
              <w:t>party verification and potential certification.</w:t>
            </w:r>
          </w:p>
        </w:tc>
      </w:tr>
      <w:tr w:rsidR="00481611" w14:paraId="0BEE63F6"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22CA5B32" w14:textId="77777777" w:rsidR="00481611" w:rsidRDefault="00481611" w:rsidP="00481611">
            <w:pPr>
              <w:pStyle w:val="Tabletext"/>
            </w:pPr>
            <w:r>
              <w:t>Project types</w:t>
            </w:r>
          </w:p>
        </w:tc>
        <w:tc>
          <w:tcPr>
            <w:tcW w:w="7265" w:type="dxa"/>
            <w:gridSpan w:val="2"/>
          </w:tcPr>
          <w:p w14:paraId="48194164" w14:textId="77777777"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 xml:space="preserve">Buildings, fit </w:t>
            </w:r>
            <w:proofErr w:type="gramStart"/>
            <w:r>
              <w:t>outs</w:t>
            </w:r>
            <w:proofErr w:type="gramEnd"/>
            <w:r>
              <w:t xml:space="preserve"> and communities</w:t>
            </w:r>
          </w:p>
        </w:tc>
      </w:tr>
      <w:tr w:rsidR="00481611" w14:paraId="2EBC7A48"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61" w:type="dxa"/>
          </w:tcPr>
          <w:p w14:paraId="537D848C" w14:textId="77777777" w:rsidR="00481611" w:rsidRDefault="00481611" w:rsidP="00481611">
            <w:pPr>
              <w:pStyle w:val="Tabletext"/>
            </w:pPr>
            <w:r>
              <w:t>Project lifecycle stages</w:t>
            </w:r>
          </w:p>
        </w:tc>
        <w:tc>
          <w:tcPr>
            <w:tcW w:w="7265" w:type="dxa"/>
            <w:gridSpan w:val="2"/>
          </w:tcPr>
          <w:p w14:paraId="1152C0D6" w14:textId="2408BBF5" w:rsidR="00481611" w:rsidRDefault="00481611" w:rsidP="00481611">
            <w:pPr>
              <w:pStyle w:val="Tabletext"/>
              <w:cnfStyle w:val="000000000000" w:firstRow="0" w:lastRow="0" w:firstColumn="0" w:lastColumn="0" w:oddVBand="0" w:evenVBand="0" w:oddHBand="0" w:evenHBand="0" w:firstRowFirstColumn="0" w:firstRowLastColumn="0" w:lastRowFirstColumn="0" w:lastRowLastColumn="0"/>
            </w:pPr>
            <w:r>
              <w:t xml:space="preserve">Design (communities and buildings), </w:t>
            </w:r>
            <w:r w:rsidR="000C20DE">
              <w:t xml:space="preserve">as built (buildings) and operations </w:t>
            </w:r>
            <w:r>
              <w:t>(buildings)</w:t>
            </w:r>
          </w:p>
        </w:tc>
      </w:tr>
      <w:tr w:rsidR="00481611" w14:paraId="620713CE"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val="restart"/>
          </w:tcPr>
          <w:p w14:paraId="69748EE0" w14:textId="77777777" w:rsidR="00481611" w:rsidRDefault="00481611" w:rsidP="00F00708">
            <w:pPr>
              <w:pStyle w:val="Tabletext"/>
            </w:pPr>
            <w:r>
              <w:t>Alignment with Sustainable Investment themes</w:t>
            </w:r>
          </w:p>
        </w:tc>
        <w:tc>
          <w:tcPr>
            <w:tcW w:w="759" w:type="dxa"/>
          </w:tcPr>
          <w:p w14:paraId="379A20E9"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17F86B1" wp14:editId="233C6350">
                  <wp:extent cx="260921" cy="252000"/>
                  <wp:effectExtent l="0" t="0" r="6350" b="0"/>
                  <wp:docPr id="1718929472"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40"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BB8B0FE6-ACDD-46B8-9D52-C308E37D9A50}"/>
                              </a:ext>
                            </a:extLst>
                          </a:blip>
                          <a:stretch>
                            <a:fillRect/>
                          </a:stretch>
                        </pic:blipFill>
                        <pic:spPr>
                          <a:xfrm>
                            <a:off x="0" y="0"/>
                            <a:ext cx="260921" cy="252000"/>
                          </a:xfrm>
                          <a:prstGeom prst="rect">
                            <a:avLst/>
                          </a:prstGeom>
                        </pic:spPr>
                      </pic:pic>
                    </a:graphicData>
                  </a:graphic>
                </wp:inline>
              </w:drawing>
            </w:r>
          </w:p>
        </w:tc>
        <w:tc>
          <w:tcPr>
            <w:tcW w:w="6570" w:type="dxa"/>
            <w:gridSpan w:val="2"/>
          </w:tcPr>
          <w:p w14:paraId="2EED55F3"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Cultural heritage</w:t>
            </w:r>
          </w:p>
        </w:tc>
      </w:tr>
      <w:tr w:rsidR="00481611" w14:paraId="0FB657F5"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448FBF72" w14:textId="77777777" w:rsidR="00481611" w:rsidRDefault="00481611" w:rsidP="00F00708"/>
        </w:tc>
        <w:tc>
          <w:tcPr>
            <w:tcW w:w="759" w:type="dxa"/>
          </w:tcPr>
          <w:p w14:paraId="59B04AAF"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00711B8" wp14:editId="632E25CC">
                  <wp:extent cx="254454" cy="252000"/>
                  <wp:effectExtent l="0" t="0" r="0" b="0"/>
                  <wp:docPr id="1718929473"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gridSpan w:val="2"/>
          </w:tcPr>
          <w:p w14:paraId="5B2E0658"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481611" w14:paraId="297510FF"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6158FA63" w14:textId="77777777" w:rsidR="00481611" w:rsidRDefault="00481611" w:rsidP="00F00708"/>
        </w:tc>
        <w:tc>
          <w:tcPr>
            <w:tcW w:w="759" w:type="dxa"/>
          </w:tcPr>
          <w:p w14:paraId="2D8AA47F"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0E1CD5" wp14:editId="50512FFD">
                  <wp:extent cx="249480" cy="252000"/>
                  <wp:effectExtent l="0" t="0" r="0" b="0"/>
                  <wp:docPr id="1718929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5835B835-8072-46F4-8CDF-63043BCBD014}"/>
                              </a:ext>
                            </a:extLst>
                          </a:blip>
                          <a:stretch>
                            <a:fillRect/>
                          </a:stretch>
                        </pic:blipFill>
                        <pic:spPr>
                          <a:xfrm>
                            <a:off x="0" y="0"/>
                            <a:ext cx="249480" cy="252000"/>
                          </a:xfrm>
                          <a:prstGeom prst="rect">
                            <a:avLst/>
                          </a:prstGeom>
                        </pic:spPr>
                      </pic:pic>
                    </a:graphicData>
                  </a:graphic>
                </wp:inline>
              </w:drawing>
            </w:r>
          </w:p>
        </w:tc>
        <w:tc>
          <w:tcPr>
            <w:tcW w:w="6570" w:type="dxa"/>
            <w:gridSpan w:val="2"/>
          </w:tcPr>
          <w:p w14:paraId="3AD571A1"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Transport, access, and connectivity</w:t>
            </w:r>
          </w:p>
        </w:tc>
      </w:tr>
      <w:tr w:rsidR="00481611" w14:paraId="5A5E9CF3"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0B19C282" w14:textId="77777777" w:rsidR="00481611" w:rsidRDefault="00481611" w:rsidP="00F00708"/>
        </w:tc>
        <w:tc>
          <w:tcPr>
            <w:tcW w:w="759" w:type="dxa"/>
          </w:tcPr>
          <w:p w14:paraId="7647ADB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3FEF90" wp14:editId="2DBAC88E">
                  <wp:extent cx="252000" cy="252000"/>
                  <wp:effectExtent l="0" t="0" r="0" b="0"/>
                  <wp:docPr id="1718929475"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49FE2671-DB7E-4FFF-BFF4-E02EE6D908A2}"/>
                              </a:ext>
                            </a:extLst>
                          </a:blip>
                          <a:stretch>
                            <a:fillRect/>
                          </a:stretch>
                        </pic:blipFill>
                        <pic:spPr>
                          <a:xfrm>
                            <a:off x="0" y="0"/>
                            <a:ext cx="252000" cy="252000"/>
                          </a:xfrm>
                          <a:prstGeom prst="rect">
                            <a:avLst/>
                          </a:prstGeom>
                        </pic:spPr>
                      </pic:pic>
                    </a:graphicData>
                  </a:graphic>
                </wp:inline>
              </w:drawing>
            </w:r>
          </w:p>
        </w:tc>
        <w:tc>
          <w:tcPr>
            <w:tcW w:w="6570" w:type="dxa"/>
            <w:gridSpan w:val="2"/>
          </w:tcPr>
          <w:p w14:paraId="36E06A66"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Climate resilience</w:t>
            </w:r>
          </w:p>
        </w:tc>
      </w:tr>
      <w:tr w:rsidR="00481611" w14:paraId="447AC36A"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7AB80492" w14:textId="77777777" w:rsidR="00481611" w:rsidRDefault="00481611" w:rsidP="00F00708"/>
        </w:tc>
        <w:tc>
          <w:tcPr>
            <w:tcW w:w="759" w:type="dxa"/>
          </w:tcPr>
          <w:p w14:paraId="00943D45"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6274E06" wp14:editId="41A5BEF1">
                  <wp:extent cx="251460" cy="251460"/>
                  <wp:effectExtent l="0" t="0" r="0" b="0"/>
                  <wp:docPr id="1718929476"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gridSpan w:val="2"/>
          </w:tcPr>
          <w:p w14:paraId="51FF26A7"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481611" w14:paraId="57D9BBCD"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34A78A48" w14:textId="77777777" w:rsidR="00481611" w:rsidRDefault="00481611" w:rsidP="00F00708"/>
        </w:tc>
        <w:tc>
          <w:tcPr>
            <w:tcW w:w="759" w:type="dxa"/>
          </w:tcPr>
          <w:p w14:paraId="1A70BEA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817EBCB" wp14:editId="53BCD214">
                  <wp:extent cx="246909" cy="252000"/>
                  <wp:effectExtent l="0" t="0" r="1270" b="0"/>
                  <wp:docPr id="1718929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gridSpan w:val="2"/>
          </w:tcPr>
          <w:p w14:paraId="724EE5FB"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481611" w14:paraId="588B4F36"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57069DC9" w14:textId="77777777" w:rsidR="00481611" w:rsidRDefault="00481611" w:rsidP="00F00708"/>
        </w:tc>
        <w:tc>
          <w:tcPr>
            <w:tcW w:w="759" w:type="dxa"/>
          </w:tcPr>
          <w:p w14:paraId="33DFFA97"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05409AA" wp14:editId="2218EC75">
                  <wp:extent cx="257728" cy="252000"/>
                  <wp:effectExtent l="0" t="0" r="9525" b="0"/>
                  <wp:docPr id="1718929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gridSpan w:val="2"/>
          </w:tcPr>
          <w:p w14:paraId="329D5324"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r w:rsidR="00481611" w14:paraId="62AAE77D"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736AC13A" w14:textId="77777777" w:rsidR="00481611" w:rsidRDefault="00481611" w:rsidP="00F00708"/>
        </w:tc>
        <w:tc>
          <w:tcPr>
            <w:tcW w:w="759" w:type="dxa"/>
          </w:tcPr>
          <w:p w14:paraId="6183BC83"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F725D0" wp14:editId="648A52DB">
                  <wp:extent cx="283862" cy="252000"/>
                  <wp:effectExtent l="0" t="0" r="1905" b="0"/>
                  <wp:docPr id="1718929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7">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89AF56BF-C3E0-48FB-A0E4-E89610109655}"/>
                              </a:ext>
                            </a:extLst>
                          </a:blip>
                          <a:stretch>
                            <a:fillRect/>
                          </a:stretch>
                        </pic:blipFill>
                        <pic:spPr>
                          <a:xfrm>
                            <a:off x="0" y="0"/>
                            <a:ext cx="283862" cy="252000"/>
                          </a:xfrm>
                          <a:prstGeom prst="rect">
                            <a:avLst/>
                          </a:prstGeom>
                        </pic:spPr>
                      </pic:pic>
                    </a:graphicData>
                  </a:graphic>
                </wp:inline>
              </w:drawing>
            </w:r>
          </w:p>
        </w:tc>
        <w:tc>
          <w:tcPr>
            <w:tcW w:w="6570" w:type="dxa"/>
            <w:gridSpan w:val="2"/>
          </w:tcPr>
          <w:p w14:paraId="15E3E3E8"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Environmental protection and enhancement</w:t>
            </w:r>
          </w:p>
        </w:tc>
      </w:tr>
    </w:tbl>
    <w:p w14:paraId="4083A161" w14:textId="7505FA97" w:rsidR="00742176" w:rsidRDefault="00742176" w:rsidP="00D7784A"/>
    <w:p w14:paraId="016B77B5" w14:textId="7D7D5222" w:rsidR="00481611" w:rsidRDefault="00481611" w:rsidP="00481611">
      <w:pPr>
        <w:pStyle w:val="Heading3"/>
        <w:pageBreakBefore/>
        <w:rPr>
          <w:b w:val="0"/>
          <w:bCs w:val="0"/>
        </w:rPr>
      </w:pPr>
      <w:r w:rsidRPr="009F6668">
        <w:rPr>
          <w:b w:val="0"/>
          <w:bCs w:val="0"/>
        </w:rPr>
        <w:lastRenderedPageBreak/>
        <w:t>National Australian Built Environment Rating System</w:t>
      </w:r>
    </w:p>
    <w:tbl>
      <w:tblPr>
        <w:tblStyle w:val="Texttable"/>
        <w:tblW w:w="9090" w:type="dxa"/>
        <w:tblLook w:val="0680" w:firstRow="0" w:lastRow="0" w:firstColumn="1" w:lastColumn="0" w:noHBand="1" w:noVBand="1"/>
      </w:tblPr>
      <w:tblGrid>
        <w:gridCol w:w="1761"/>
        <w:gridCol w:w="759"/>
        <w:gridCol w:w="6570"/>
      </w:tblGrid>
      <w:tr w:rsidR="00481611" w14:paraId="68AB8C1C"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110E7A16" w14:textId="77777777" w:rsidR="00481611" w:rsidRDefault="00481611" w:rsidP="00F00708">
            <w:r>
              <w:t>Name</w:t>
            </w:r>
          </w:p>
        </w:tc>
        <w:tc>
          <w:tcPr>
            <w:tcW w:w="7331" w:type="dxa"/>
            <w:gridSpan w:val="2"/>
          </w:tcPr>
          <w:p w14:paraId="736E4720" w14:textId="210942AF" w:rsidR="00481611" w:rsidRDefault="0078678C" w:rsidP="00F00708">
            <w:pPr>
              <w:cnfStyle w:val="000000000000" w:firstRow="0" w:lastRow="0" w:firstColumn="0" w:lastColumn="0" w:oddVBand="0" w:evenVBand="0" w:oddHBand="0" w:evenHBand="0" w:firstRowFirstColumn="0" w:firstRowLastColumn="0" w:lastRowFirstColumn="0" w:lastRowLastColumn="0"/>
            </w:pPr>
            <w:r w:rsidRPr="0078678C">
              <w:t>National Australian Built Environment Rating System (NABERS)</w:t>
            </w:r>
          </w:p>
        </w:tc>
      </w:tr>
      <w:tr w:rsidR="00481611" w14:paraId="587800BE"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182B072F" w14:textId="77777777" w:rsidR="00481611" w:rsidRDefault="00481611" w:rsidP="00F00708">
            <w:r>
              <w:t>Link</w:t>
            </w:r>
          </w:p>
        </w:tc>
        <w:tc>
          <w:tcPr>
            <w:tcW w:w="7331" w:type="dxa"/>
            <w:gridSpan w:val="2"/>
          </w:tcPr>
          <w:p w14:paraId="45BF56F6" w14:textId="30A8F34A" w:rsidR="00481611" w:rsidRDefault="00FC7DAA" w:rsidP="00F00708">
            <w:pPr>
              <w:pStyle w:val="Link"/>
              <w:cnfStyle w:val="000000000000" w:firstRow="0" w:lastRow="0" w:firstColumn="0" w:lastColumn="0" w:oddVBand="0" w:evenVBand="0" w:oddHBand="0" w:evenHBand="0" w:firstRowFirstColumn="0" w:firstRowLastColumn="0" w:lastRowFirstColumn="0" w:lastRowLastColumn="0"/>
            </w:pPr>
            <w:hyperlink r:id="rId79" w:history="1">
              <w:r w:rsidR="00481611" w:rsidRPr="00A6353F">
                <w:rPr>
                  <w:rStyle w:val="Hyperlink"/>
                </w:rPr>
                <w:t>https://www.nabers.gov.au/</w:t>
              </w:r>
            </w:hyperlink>
            <w:r w:rsidR="00481611">
              <w:t xml:space="preserve"> </w:t>
            </w:r>
          </w:p>
        </w:tc>
      </w:tr>
      <w:tr w:rsidR="00481611" w14:paraId="5AADACDC"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0EC17003" w14:textId="77777777" w:rsidR="00481611" w:rsidRDefault="00481611" w:rsidP="00F00708">
            <w:r>
              <w:t>Administrator</w:t>
            </w:r>
          </w:p>
        </w:tc>
        <w:tc>
          <w:tcPr>
            <w:tcW w:w="7331" w:type="dxa"/>
            <w:gridSpan w:val="2"/>
          </w:tcPr>
          <w:p w14:paraId="2DF2E7A7"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rsidRPr="001F47FA">
              <w:t>NSW Department of Planning, Industry and Environment</w:t>
            </w:r>
          </w:p>
        </w:tc>
      </w:tr>
      <w:tr w:rsidR="00481611" w14:paraId="71C9A234"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53CD60CB" w14:textId="77777777" w:rsidR="00481611" w:rsidRPr="001F47FA" w:rsidRDefault="00481611" w:rsidP="00F00708">
            <w:r w:rsidRPr="001F47FA">
              <w:t>Overview</w:t>
            </w:r>
          </w:p>
        </w:tc>
        <w:tc>
          <w:tcPr>
            <w:tcW w:w="7331" w:type="dxa"/>
            <w:gridSpan w:val="2"/>
          </w:tcPr>
          <w:p w14:paraId="090722AB" w14:textId="77777777" w:rsidR="00481611" w:rsidRPr="001F47FA" w:rsidRDefault="00481611" w:rsidP="00F00708">
            <w:pPr>
              <w:cnfStyle w:val="000000000000" w:firstRow="0" w:lastRow="0" w:firstColumn="0" w:lastColumn="0" w:oddVBand="0" w:evenVBand="0" w:oddHBand="0" w:evenHBand="0" w:firstRowFirstColumn="0" w:firstRowLastColumn="0" w:lastRowFirstColumn="0" w:lastRowLastColumn="0"/>
            </w:pPr>
            <w:r>
              <w:t>T</w:t>
            </w:r>
            <w:r w:rsidRPr="001F47FA">
              <w:t>he National Australian Built Environment Rating System</w:t>
            </w:r>
            <w:r>
              <w:t xml:space="preserve"> (NABERS</w:t>
            </w:r>
            <w:r w:rsidRPr="001F47FA">
              <w:t>) can be used to measure a building’s energy efficiency, carbon emissions, as well as the water consumed, the waste produced and compare it to similar buildings</w:t>
            </w:r>
            <w:r>
              <w:t xml:space="preserve">. </w:t>
            </w:r>
            <w:r w:rsidRPr="001F47FA">
              <w:t xml:space="preserve">12 months of real, measurable information about a building or tenancy, such as energy and water bills or waste consumption data as the basis of </w:t>
            </w:r>
            <w:r>
              <w:t>the</w:t>
            </w:r>
            <w:r w:rsidRPr="001F47FA">
              <w:t xml:space="preserve"> rating</w:t>
            </w:r>
            <w:r>
              <w:t xml:space="preserve">. Ratings are expressed as a star rating and are updated annually by an accredited assessor. </w:t>
            </w:r>
          </w:p>
        </w:tc>
      </w:tr>
      <w:tr w:rsidR="00481611" w14:paraId="6A8E4882"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5F60ABE9" w14:textId="77777777" w:rsidR="00481611" w:rsidRDefault="00481611" w:rsidP="00F00708">
            <w:r>
              <w:t>Project types</w:t>
            </w:r>
          </w:p>
        </w:tc>
        <w:tc>
          <w:tcPr>
            <w:tcW w:w="7331" w:type="dxa"/>
            <w:gridSpan w:val="2"/>
          </w:tcPr>
          <w:p w14:paraId="1AAFEFC6"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t xml:space="preserve">Certain building types only: Apartment buildings, offices, shopping centres, data centres, </w:t>
            </w:r>
            <w:proofErr w:type="gramStart"/>
            <w:r>
              <w:t>hotels</w:t>
            </w:r>
            <w:proofErr w:type="gramEnd"/>
            <w:r>
              <w:t xml:space="preserve"> and hospitals.</w:t>
            </w:r>
          </w:p>
        </w:tc>
      </w:tr>
      <w:tr w:rsidR="00481611" w14:paraId="3AFDE373" w14:textId="77777777" w:rsidTr="441443D2">
        <w:tc>
          <w:tcPr>
            <w:cnfStyle w:val="001000000000" w:firstRow="0" w:lastRow="0" w:firstColumn="1" w:lastColumn="0" w:oddVBand="0" w:evenVBand="0" w:oddHBand="0" w:evenHBand="0" w:firstRowFirstColumn="0" w:firstRowLastColumn="0" w:lastRowFirstColumn="0" w:lastRowLastColumn="0"/>
            <w:tcW w:w="1759" w:type="dxa"/>
          </w:tcPr>
          <w:p w14:paraId="6F808B4D" w14:textId="77777777" w:rsidR="00481611" w:rsidRDefault="00481611" w:rsidP="00F00708">
            <w:r>
              <w:t>Project lifecycle stages</w:t>
            </w:r>
          </w:p>
        </w:tc>
        <w:tc>
          <w:tcPr>
            <w:tcW w:w="7331" w:type="dxa"/>
            <w:gridSpan w:val="2"/>
          </w:tcPr>
          <w:p w14:paraId="316CEE47" w14:textId="77777777" w:rsidR="00481611" w:rsidRDefault="00481611" w:rsidP="00F00708">
            <w:pPr>
              <w:cnfStyle w:val="000000000000" w:firstRow="0" w:lastRow="0" w:firstColumn="0" w:lastColumn="0" w:oddVBand="0" w:evenVBand="0" w:oddHBand="0" w:evenHBand="0" w:firstRowFirstColumn="0" w:firstRowLastColumn="0" w:lastRowFirstColumn="0" w:lastRowLastColumn="0"/>
            </w:pPr>
            <w:r>
              <w:t>Operations (buildings)</w:t>
            </w:r>
          </w:p>
        </w:tc>
      </w:tr>
      <w:tr w:rsidR="00481611" w14:paraId="2D581280"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val="restart"/>
          </w:tcPr>
          <w:p w14:paraId="21F9102F" w14:textId="77777777" w:rsidR="00481611" w:rsidRDefault="00481611" w:rsidP="00F00708">
            <w:pPr>
              <w:pStyle w:val="Tabletext"/>
            </w:pPr>
            <w:r>
              <w:t>Alignment with Sustainable Investment themes</w:t>
            </w:r>
          </w:p>
        </w:tc>
        <w:tc>
          <w:tcPr>
            <w:tcW w:w="759" w:type="dxa"/>
          </w:tcPr>
          <w:p w14:paraId="6AEEA746" w14:textId="41294D9B"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893147D" wp14:editId="3FD01D53">
                  <wp:extent cx="254454" cy="252000"/>
                  <wp:effectExtent l="0" t="0" r="0" b="0"/>
                  <wp:docPr id="1718929492"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F5B2FFC1-EC72-4F5B-AEA8-DFF8152FD149}"/>
                              </a:ext>
                            </a:extLst>
                          </a:blip>
                          <a:srcRect l="9099" b="9975"/>
                          <a:stretch>
                            <a:fillRect/>
                          </a:stretch>
                        </pic:blipFill>
                        <pic:spPr>
                          <a:xfrm>
                            <a:off x="0" y="0"/>
                            <a:ext cx="254454" cy="252000"/>
                          </a:xfrm>
                          <a:prstGeom prst="rect">
                            <a:avLst/>
                          </a:prstGeom>
                        </pic:spPr>
                      </pic:pic>
                    </a:graphicData>
                  </a:graphic>
                </wp:inline>
              </w:drawing>
            </w:r>
          </w:p>
        </w:tc>
        <w:tc>
          <w:tcPr>
            <w:tcW w:w="6570" w:type="dxa"/>
          </w:tcPr>
          <w:p w14:paraId="60941E37" w14:textId="24DAE14A"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Liveability</w:t>
            </w:r>
          </w:p>
        </w:tc>
      </w:tr>
      <w:tr w:rsidR="00481611" w14:paraId="04F236FD"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26CA8F45" w14:textId="77777777" w:rsidR="00481611" w:rsidRDefault="00481611" w:rsidP="00F00708"/>
        </w:tc>
        <w:tc>
          <w:tcPr>
            <w:tcW w:w="759" w:type="dxa"/>
          </w:tcPr>
          <w:p w14:paraId="43E70A94" w14:textId="4E81C8DD"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03AC30" wp14:editId="1D9B8A50">
                  <wp:extent cx="251460" cy="251460"/>
                  <wp:effectExtent l="0" t="0" r="0" b="0"/>
                  <wp:docPr id="2093112059" name="Graphic 8"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75"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B2287952-A936-4A33-812A-119AF659BEE9}"/>
                              </a:ext>
                            </a:extLst>
                          </a:blip>
                          <a:stretch>
                            <a:fillRect/>
                          </a:stretch>
                        </pic:blipFill>
                        <pic:spPr>
                          <a:xfrm>
                            <a:off x="0" y="0"/>
                            <a:ext cx="251460" cy="251460"/>
                          </a:xfrm>
                          <a:prstGeom prst="rect">
                            <a:avLst/>
                          </a:prstGeom>
                        </pic:spPr>
                      </pic:pic>
                    </a:graphicData>
                  </a:graphic>
                </wp:inline>
              </w:drawing>
            </w:r>
          </w:p>
        </w:tc>
        <w:tc>
          <w:tcPr>
            <w:tcW w:w="6570" w:type="dxa"/>
          </w:tcPr>
          <w:p w14:paraId="118DB8AB" w14:textId="2CB6CD06"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Material use and circular economy</w:t>
            </w:r>
          </w:p>
        </w:tc>
      </w:tr>
      <w:tr w:rsidR="00481611" w14:paraId="20B455B3"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5B344A98" w14:textId="77777777" w:rsidR="00481611" w:rsidRDefault="00481611" w:rsidP="00F00708"/>
        </w:tc>
        <w:tc>
          <w:tcPr>
            <w:tcW w:w="759" w:type="dxa"/>
          </w:tcPr>
          <w:p w14:paraId="001E9C63" w14:textId="78EE7A3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FD38EAE" wp14:editId="00F60431">
                  <wp:extent cx="246909" cy="252000"/>
                  <wp:effectExtent l="0" t="0" r="1270" b="0"/>
                  <wp:docPr id="209311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tcPr>
          <w:p w14:paraId="31623C69" w14:textId="0503CA3A"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r w:rsidR="00481611" w14:paraId="7EB6DFD8" w14:textId="77777777" w:rsidTr="441443D2">
        <w:tc>
          <w:tcPr>
            <w:cnfStyle w:val="001000000000" w:firstRow="0" w:lastRow="0" w:firstColumn="1" w:lastColumn="0" w:oddVBand="0" w:evenVBand="0" w:oddHBand="0" w:evenHBand="0" w:firstRowFirstColumn="0" w:firstRowLastColumn="0" w:lastRowFirstColumn="0" w:lastRowLastColumn="0"/>
            <w:tcW w:w="1761" w:type="dxa"/>
            <w:vMerge/>
          </w:tcPr>
          <w:p w14:paraId="414875D1" w14:textId="77777777" w:rsidR="00481611" w:rsidRDefault="00481611" w:rsidP="00F00708"/>
        </w:tc>
        <w:tc>
          <w:tcPr>
            <w:tcW w:w="759" w:type="dxa"/>
          </w:tcPr>
          <w:p w14:paraId="13DC98D6" w14:textId="12FCE1F6"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A756406" wp14:editId="2C1E085C">
                  <wp:extent cx="257728" cy="252000"/>
                  <wp:effectExtent l="0" t="0" r="9525" b="0"/>
                  <wp:docPr id="209311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6"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svg="http://schemas.microsoft.com/office/drawing/2016/SVG/main" xmlns:a16="http://schemas.microsoft.com/office/drawing/2014/main" xmlns:arto="http://schemas.microsoft.com/office/word/2006/arto" id="{8C3CB956-F246-40CC-AD49-59F6F3460440}"/>
                              </a:ext>
                            </a:extLst>
                          </a:blip>
                          <a:stretch>
                            <a:fillRect/>
                          </a:stretch>
                        </pic:blipFill>
                        <pic:spPr>
                          <a:xfrm>
                            <a:off x="0" y="0"/>
                            <a:ext cx="257728" cy="252000"/>
                          </a:xfrm>
                          <a:prstGeom prst="rect">
                            <a:avLst/>
                          </a:prstGeom>
                        </pic:spPr>
                      </pic:pic>
                    </a:graphicData>
                  </a:graphic>
                </wp:inline>
              </w:drawing>
            </w:r>
          </w:p>
        </w:tc>
        <w:tc>
          <w:tcPr>
            <w:tcW w:w="6570" w:type="dxa"/>
          </w:tcPr>
          <w:p w14:paraId="10E00F47" w14:textId="488D3CD6"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Integrated water management</w:t>
            </w:r>
          </w:p>
        </w:tc>
      </w:tr>
    </w:tbl>
    <w:p w14:paraId="323B201E" w14:textId="6E210B8B" w:rsidR="00481611" w:rsidRDefault="00481611" w:rsidP="0078678C">
      <w:pPr>
        <w:pStyle w:val="Heading3"/>
        <w:pageBreakBefore/>
      </w:pPr>
      <w:r w:rsidRPr="009F6668">
        <w:lastRenderedPageBreak/>
        <w:t xml:space="preserve">Climate </w:t>
      </w:r>
      <w:r w:rsidRPr="0078678C">
        <w:t>Active</w:t>
      </w:r>
    </w:p>
    <w:tbl>
      <w:tblPr>
        <w:tblStyle w:val="Texttable"/>
        <w:tblW w:w="9090" w:type="dxa"/>
        <w:tblLook w:val="0680" w:firstRow="0" w:lastRow="0" w:firstColumn="1" w:lastColumn="0" w:noHBand="1" w:noVBand="1"/>
      </w:tblPr>
      <w:tblGrid>
        <w:gridCol w:w="1753"/>
        <w:gridCol w:w="8"/>
        <w:gridCol w:w="759"/>
        <w:gridCol w:w="6506"/>
        <w:gridCol w:w="64"/>
      </w:tblGrid>
      <w:tr w:rsidR="00481611" w:rsidRPr="0099613F" w14:paraId="2DF957FB"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3DA657A6" w14:textId="77777777" w:rsidR="00481611" w:rsidRPr="0099613F" w:rsidRDefault="00481611" w:rsidP="00481611">
            <w:pPr>
              <w:pStyle w:val="Tabletext"/>
            </w:pPr>
            <w:r w:rsidRPr="0099613F">
              <w:t>Name</w:t>
            </w:r>
          </w:p>
        </w:tc>
        <w:tc>
          <w:tcPr>
            <w:tcW w:w="7273" w:type="dxa"/>
            <w:gridSpan w:val="3"/>
          </w:tcPr>
          <w:p w14:paraId="317D4629"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Climate Active</w:t>
            </w:r>
          </w:p>
        </w:tc>
      </w:tr>
      <w:tr w:rsidR="00481611" w:rsidRPr="0099613F" w14:paraId="7660731A"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51B0FDCB" w14:textId="77777777" w:rsidR="00481611" w:rsidRPr="0099613F" w:rsidRDefault="00481611" w:rsidP="00481611">
            <w:pPr>
              <w:pStyle w:val="Tabletext"/>
            </w:pPr>
            <w:r w:rsidRPr="0099613F">
              <w:t>Link</w:t>
            </w:r>
          </w:p>
        </w:tc>
        <w:tc>
          <w:tcPr>
            <w:tcW w:w="7273" w:type="dxa"/>
            <w:gridSpan w:val="3"/>
          </w:tcPr>
          <w:p w14:paraId="0E0524C6" w14:textId="5C8A1B9F" w:rsidR="00481611" w:rsidRPr="0099613F" w:rsidRDefault="00FC7DAA" w:rsidP="00481611">
            <w:pPr>
              <w:pStyle w:val="Tabletext"/>
              <w:cnfStyle w:val="000000000000" w:firstRow="0" w:lastRow="0" w:firstColumn="0" w:lastColumn="0" w:oddVBand="0" w:evenVBand="0" w:oddHBand="0" w:evenHBand="0" w:firstRowFirstColumn="0" w:firstRowLastColumn="0" w:lastRowFirstColumn="0" w:lastRowLastColumn="0"/>
            </w:pPr>
            <w:hyperlink r:id="rId80" w:history="1">
              <w:r w:rsidR="00481611" w:rsidRPr="0099613F">
                <w:rPr>
                  <w:rStyle w:val="Hyperlink"/>
                </w:rPr>
                <w:t>https://www.climateactive.org.au/</w:t>
              </w:r>
            </w:hyperlink>
            <w:r w:rsidR="00481611" w:rsidRPr="0099613F">
              <w:t xml:space="preserve"> </w:t>
            </w:r>
          </w:p>
        </w:tc>
      </w:tr>
      <w:tr w:rsidR="00481611" w:rsidRPr="00C41DFA" w14:paraId="71C53BA2"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6D2CAEF8" w14:textId="77777777" w:rsidR="00481611" w:rsidRPr="0099613F" w:rsidRDefault="00481611" w:rsidP="00481611">
            <w:pPr>
              <w:pStyle w:val="Tabletext"/>
            </w:pPr>
            <w:r w:rsidRPr="0099613F">
              <w:t>Administrator</w:t>
            </w:r>
          </w:p>
        </w:tc>
        <w:tc>
          <w:tcPr>
            <w:tcW w:w="7273" w:type="dxa"/>
            <w:gridSpan w:val="3"/>
          </w:tcPr>
          <w:p w14:paraId="66414A1E"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Commonwealth of Australia (Department of the Environment and Energy)</w:t>
            </w:r>
          </w:p>
        </w:tc>
      </w:tr>
      <w:tr w:rsidR="00481611" w:rsidRPr="00C41DFA" w14:paraId="124B8B78"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368DB4C8" w14:textId="77777777" w:rsidR="00481611" w:rsidRPr="0099613F" w:rsidRDefault="00481611" w:rsidP="00481611">
            <w:pPr>
              <w:pStyle w:val="Tabletext"/>
            </w:pPr>
            <w:r w:rsidRPr="0099613F">
              <w:t>Overview</w:t>
            </w:r>
          </w:p>
        </w:tc>
        <w:tc>
          <w:tcPr>
            <w:tcW w:w="7273" w:type="dxa"/>
            <w:gridSpan w:val="3"/>
          </w:tcPr>
          <w:p w14:paraId="755D2B1A"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 xml:space="preserve">Climate Active (formerly titled the National Carbon Offset Standard) is a government program, supported by prescriptive standards, that provides organisations with a pathway for certifying and communicating carbon neutrality. </w:t>
            </w:r>
          </w:p>
        </w:tc>
      </w:tr>
      <w:tr w:rsidR="00481611" w:rsidRPr="00C41DFA" w14:paraId="56C7D939"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77323A5B" w14:textId="77777777" w:rsidR="00481611" w:rsidRPr="0099613F" w:rsidRDefault="00481611" w:rsidP="00481611">
            <w:pPr>
              <w:pStyle w:val="Tabletext"/>
            </w:pPr>
            <w:r w:rsidRPr="0099613F">
              <w:t>Project types</w:t>
            </w:r>
          </w:p>
        </w:tc>
        <w:tc>
          <w:tcPr>
            <w:tcW w:w="7273" w:type="dxa"/>
            <w:gridSpan w:val="3"/>
          </w:tcPr>
          <w:p w14:paraId="5CF5A500" w14:textId="77777777"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 xml:space="preserve">Business operations (organisations), products and services, events, </w:t>
            </w:r>
            <w:proofErr w:type="gramStart"/>
            <w:r w:rsidRPr="0099613F">
              <w:t>precincts</w:t>
            </w:r>
            <w:proofErr w:type="gramEnd"/>
            <w:r w:rsidRPr="0099613F">
              <w:t xml:space="preserve"> and buildings</w:t>
            </w:r>
          </w:p>
        </w:tc>
      </w:tr>
      <w:tr w:rsidR="00481611" w:rsidRPr="00C41DFA" w14:paraId="5AFD50BB" w14:textId="77777777" w:rsidTr="441443D2">
        <w:trPr>
          <w:gridAfter w:val="1"/>
          <w:wAfter w:w="64" w:type="dxa"/>
        </w:trPr>
        <w:tc>
          <w:tcPr>
            <w:cnfStyle w:val="001000000000" w:firstRow="0" w:lastRow="0" w:firstColumn="1" w:lastColumn="0" w:oddVBand="0" w:evenVBand="0" w:oddHBand="0" w:evenHBand="0" w:firstRowFirstColumn="0" w:firstRowLastColumn="0" w:lastRowFirstColumn="0" w:lastRowLastColumn="0"/>
            <w:tcW w:w="1753" w:type="dxa"/>
          </w:tcPr>
          <w:p w14:paraId="4BE552F2" w14:textId="77777777" w:rsidR="00481611" w:rsidRPr="0099613F" w:rsidRDefault="00481611" w:rsidP="00481611">
            <w:pPr>
              <w:pStyle w:val="Tabletext"/>
            </w:pPr>
            <w:r w:rsidRPr="0099613F">
              <w:t>Project lifecycle stages</w:t>
            </w:r>
          </w:p>
        </w:tc>
        <w:tc>
          <w:tcPr>
            <w:tcW w:w="7273" w:type="dxa"/>
            <w:gridSpan w:val="3"/>
          </w:tcPr>
          <w:p w14:paraId="37ABF5B1" w14:textId="232156D8" w:rsidR="00481611" w:rsidRPr="0099613F" w:rsidRDefault="00481611" w:rsidP="00481611">
            <w:pPr>
              <w:pStyle w:val="Tabletext"/>
              <w:cnfStyle w:val="000000000000" w:firstRow="0" w:lastRow="0" w:firstColumn="0" w:lastColumn="0" w:oddVBand="0" w:evenVBand="0" w:oddHBand="0" w:evenHBand="0" w:firstRowFirstColumn="0" w:firstRowLastColumn="0" w:lastRowFirstColumn="0" w:lastRowLastColumn="0"/>
            </w:pPr>
            <w:r w:rsidRPr="0099613F">
              <w:t>Whole</w:t>
            </w:r>
            <w:r w:rsidR="00B45FD0">
              <w:t xml:space="preserve"> </w:t>
            </w:r>
            <w:r w:rsidRPr="0099613F">
              <w:t>of</w:t>
            </w:r>
            <w:r w:rsidR="00B45FD0">
              <w:t xml:space="preserve"> </w:t>
            </w:r>
            <w:r w:rsidRPr="0099613F">
              <w:t>life</w:t>
            </w:r>
          </w:p>
        </w:tc>
      </w:tr>
      <w:tr w:rsidR="00481611" w14:paraId="013D862F" w14:textId="77777777" w:rsidTr="441443D2">
        <w:tc>
          <w:tcPr>
            <w:cnfStyle w:val="001000000000" w:firstRow="0" w:lastRow="0" w:firstColumn="1" w:lastColumn="0" w:oddVBand="0" w:evenVBand="0" w:oddHBand="0" w:evenHBand="0" w:firstRowFirstColumn="0" w:firstRowLastColumn="0" w:lastRowFirstColumn="0" w:lastRowLastColumn="0"/>
            <w:tcW w:w="1761" w:type="dxa"/>
            <w:gridSpan w:val="2"/>
          </w:tcPr>
          <w:p w14:paraId="0532FF27" w14:textId="27F6A938" w:rsidR="00481611" w:rsidRDefault="0078678C" w:rsidP="00F00708">
            <w:r w:rsidRPr="0099613F">
              <w:t>Alignment with Sustainab</w:t>
            </w:r>
            <w:r>
              <w:t>le</w:t>
            </w:r>
            <w:r w:rsidRPr="0099613F">
              <w:t xml:space="preserve"> Investment themes</w:t>
            </w:r>
          </w:p>
        </w:tc>
        <w:tc>
          <w:tcPr>
            <w:tcW w:w="759" w:type="dxa"/>
          </w:tcPr>
          <w:p w14:paraId="10732698" w14:textId="77777777" w:rsidR="00481611" w:rsidRPr="00A923E2" w:rsidRDefault="00481611" w:rsidP="00F00708">
            <w:pPr>
              <w:pStyle w:val="Tabletext"/>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C6A2EF" wp14:editId="6B0B92A7">
                  <wp:extent cx="246909" cy="252000"/>
                  <wp:effectExtent l="0" t="0" r="1270" b="0"/>
                  <wp:docPr id="2131589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EB62233-91EB-4A12-8FD9-F733313B1CC0}"/>
                              </a:ext>
                            </a:extLst>
                          </a:blip>
                          <a:stretch>
                            <a:fillRect/>
                          </a:stretch>
                        </pic:blipFill>
                        <pic:spPr>
                          <a:xfrm>
                            <a:off x="0" y="0"/>
                            <a:ext cx="246909" cy="252000"/>
                          </a:xfrm>
                          <a:prstGeom prst="rect">
                            <a:avLst/>
                          </a:prstGeom>
                        </pic:spPr>
                      </pic:pic>
                    </a:graphicData>
                  </a:graphic>
                </wp:inline>
              </w:drawing>
            </w:r>
          </w:p>
        </w:tc>
        <w:tc>
          <w:tcPr>
            <w:tcW w:w="6570" w:type="dxa"/>
            <w:gridSpan w:val="2"/>
          </w:tcPr>
          <w:p w14:paraId="2C9C3F84" w14:textId="77777777" w:rsidR="00481611" w:rsidRPr="00A923E2" w:rsidRDefault="00481611" w:rsidP="00F00708">
            <w:pPr>
              <w:pStyle w:val="Tabletext"/>
              <w:cnfStyle w:val="000000000000" w:firstRow="0" w:lastRow="0" w:firstColumn="0" w:lastColumn="0" w:oddVBand="0" w:evenVBand="0" w:oddHBand="0" w:evenHBand="0" w:firstRowFirstColumn="0" w:firstRowLastColumn="0" w:lastRowFirstColumn="0" w:lastRowLastColumn="0"/>
            </w:pPr>
            <w:r w:rsidRPr="00A923E2">
              <w:t>Energy productivity and carbon emissions</w:t>
            </w:r>
          </w:p>
        </w:tc>
      </w:tr>
    </w:tbl>
    <w:p w14:paraId="627DCC44" w14:textId="77777777" w:rsidR="00481611" w:rsidRPr="00481611" w:rsidRDefault="00481611" w:rsidP="00481611"/>
    <w:p w14:paraId="743642B6" w14:textId="77777777" w:rsidR="007A7D7E" w:rsidRDefault="007A7D7E" w:rsidP="00AF6567"/>
    <w:p w14:paraId="01103A98" w14:textId="3B598453" w:rsidR="007A7D7E" w:rsidRDefault="007A7D7E" w:rsidP="00AF6567">
      <w:pPr>
        <w:sectPr w:rsidR="007A7D7E" w:rsidSect="00D7239D">
          <w:type w:val="continuous"/>
          <w:pgSz w:w="11906" w:h="16838" w:code="9"/>
          <w:pgMar w:top="2160" w:right="1440" w:bottom="1987" w:left="1440" w:header="461" w:footer="576" w:gutter="0"/>
          <w:cols w:space="708"/>
          <w:docGrid w:linePitch="360"/>
        </w:sectPr>
      </w:pPr>
    </w:p>
    <w:p w14:paraId="66A48BDE" w14:textId="77777777" w:rsidR="00FE18A0" w:rsidRPr="0097649A" w:rsidRDefault="00FE18A0" w:rsidP="00AF6567"/>
    <w:sectPr w:rsidR="00FE18A0" w:rsidRPr="0097649A" w:rsidSect="00FE18A0">
      <w:headerReference w:type="even" r:id="rId81"/>
      <w:footerReference w:type="even" r:id="rId82"/>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AB1C1" w14:textId="77777777" w:rsidR="008A6375" w:rsidRDefault="008A6375" w:rsidP="00AF6567">
      <w:r>
        <w:separator/>
      </w:r>
    </w:p>
    <w:p w14:paraId="14921B46" w14:textId="77777777" w:rsidR="008A6375" w:rsidRDefault="008A6375" w:rsidP="00AF6567"/>
  </w:endnote>
  <w:endnote w:type="continuationSeparator" w:id="0">
    <w:p w14:paraId="0D177C52" w14:textId="77777777" w:rsidR="008A6375" w:rsidRDefault="008A6375" w:rsidP="00AF6567">
      <w:r>
        <w:continuationSeparator/>
      </w:r>
    </w:p>
    <w:p w14:paraId="590900DF" w14:textId="77777777" w:rsidR="008A6375" w:rsidRDefault="008A6375" w:rsidP="00AF6567"/>
  </w:endnote>
  <w:endnote w:type="continuationNotice" w:id="1">
    <w:p w14:paraId="68B1B382" w14:textId="77777777" w:rsidR="008A6375" w:rsidRDefault="008A63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EC7F47-A38D-4FDD-88FF-3A4CEC166739}"/>
    <w:embedBold r:id="rId2" w:fontKey="{844B070C-3055-4EE0-9089-33913D3E8FEC}"/>
    <w:embedItalic r:id="rId3" w:fontKey="{8898B564-F214-4586-9534-386A9FC4BBB4}"/>
    <w:embedBoldItalic r:id="rId4" w:fontKey="{33F785F9-303E-4B3C-9EFF-C8CFF498BD44}"/>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5E011CCB-DAB0-4036-A411-FCBCBFB57859}"/>
  </w:font>
  <w:font w:name="Arial Rounded MT">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63771671-B89A-4B39-8868-F8040974A582}"/>
    <w:embedBold r:id="rId7" w:fontKey="{D9870217-B622-43E0-B909-6CE2326D44AF}"/>
  </w:font>
  <w:font w:name="Helvetica">
    <w:panose1 w:val="020B0604020202020204"/>
    <w:charset w:val="00"/>
    <w:family w:val="swiss"/>
    <w:pitch w:val="variable"/>
    <w:sig w:usb0="E0002EFF" w:usb1="C000785B" w:usb2="00000009" w:usb3="00000000" w:csb0="000001FF" w:csb1="00000000"/>
    <w:embedRegular r:id="rId8" w:fontKey="{688ADEE9-2205-4CA5-AE81-8F64A46D20B0}"/>
  </w:font>
  <w:font w:name="FrutigerLTPro-Condense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6343" w14:textId="0B369194" w:rsidR="00FE0687" w:rsidRDefault="00FE0687" w:rsidP="00AF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F169" w14:textId="477B9356" w:rsidR="00FE0687" w:rsidRDefault="00FE0687" w:rsidP="00AF6567">
    <w:pPr>
      <w:pStyle w:val="Footer"/>
    </w:pPr>
    <w:r>
      <w:drawing>
        <wp:anchor distT="0" distB="0" distL="114300" distR="114300" simplePos="0" relativeHeight="251703296" behindDoc="0" locked="0" layoutInCell="1" allowOverlap="1" wp14:anchorId="70C75FB3" wp14:editId="2BAF5C27">
          <wp:simplePos x="0" y="0"/>
          <wp:positionH relativeFrom="margin">
            <wp:align>left</wp:align>
          </wp:positionH>
          <wp:positionV relativeFrom="paragraph">
            <wp:posOffset>-544825</wp:posOffset>
          </wp:positionV>
          <wp:extent cx="1556574" cy="462821"/>
          <wp:effectExtent l="0" t="0" r="5715" b="0"/>
          <wp:wrapNone/>
          <wp:docPr id="962812061" name="Picture 9628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556574" cy="46282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6422" w14:textId="77777777" w:rsidR="00A744DA" w:rsidRDefault="00A744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407E" w14:textId="5275930E" w:rsidR="00FE0687" w:rsidRDefault="00FE0687" w:rsidP="004B7D12">
    <w:pPr>
      <w:pStyle w:val="Footer"/>
    </w:pPr>
    <w:r>
      <mc:AlternateContent>
        <mc:Choice Requires="wps">
          <w:drawing>
            <wp:anchor distT="0" distB="0" distL="114300" distR="114300" simplePos="0" relativeHeight="251648000" behindDoc="1" locked="0" layoutInCell="1" allowOverlap="1" wp14:anchorId="3E8D34A9" wp14:editId="4A2A0672">
              <wp:simplePos x="0" y="0"/>
              <wp:positionH relativeFrom="page">
                <wp:posOffset>0</wp:posOffset>
              </wp:positionH>
              <wp:positionV relativeFrom="page">
                <wp:posOffset>9948545</wp:posOffset>
              </wp:positionV>
              <wp:extent cx="7552944" cy="301752"/>
              <wp:effectExtent l="0" t="0" r="0" b="3175"/>
              <wp:wrapNone/>
              <wp:docPr id="2" name="Rectangle 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90D1" id="Rectangle 2" o:spid="_x0000_s1026" style="position:absolute;margin-left:0;margin-top:783.35pt;width:594.7pt;height:2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p w14:paraId="34A40521" w14:textId="77777777" w:rsidR="00FE0687" w:rsidRPr="002120D0" w:rsidRDefault="00FE0687" w:rsidP="004B7D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8C42" w14:textId="70155A82" w:rsidR="00FE0687" w:rsidRPr="00A753CD" w:rsidRDefault="00FE0687" w:rsidP="004B7D12">
    <w:pPr>
      <w:pStyle w:val="Footer"/>
    </w:pPr>
    <w:r>
      <mc:AlternateContent>
        <mc:Choice Requires="wps">
          <w:drawing>
            <wp:anchor distT="0" distB="0" distL="114300" distR="114300" simplePos="0" relativeHeight="251652096" behindDoc="1" locked="0" layoutInCell="1" allowOverlap="1" wp14:anchorId="4FFD5493" wp14:editId="44A25F8C">
              <wp:simplePos x="0" y="0"/>
              <wp:positionH relativeFrom="page">
                <wp:posOffset>0</wp:posOffset>
              </wp:positionH>
              <wp:positionV relativeFrom="page">
                <wp:posOffset>9948545</wp:posOffset>
              </wp:positionV>
              <wp:extent cx="7552944" cy="301752"/>
              <wp:effectExtent l="0" t="0" r="0" b="3175"/>
              <wp:wrapNone/>
              <wp:docPr id="3" name="Rectangle 3"/>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063F6" id="Rectangle 3" o:spid="_x0000_s1026" style="position:absolute;margin-left:0;margin-top:783.35pt;width:594.7pt;height:2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Pr="00A753CD">
      <w:tab/>
    </w:r>
    <w:r w:rsidRPr="00A753CD">
      <w:fldChar w:fldCharType="begin"/>
    </w:r>
    <w:r w:rsidRPr="00A753CD">
      <w:instrText xml:space="preserve"> page </w:instrText>
    </w:r>
    <w:r w:rsidRPr="00A753CD">
      <w:fldChar w:fldCharType="separate"/>
    </w:r>
    <w:r w:rsidRPr="00A753CD">
      <w:t>i</w:t>
    </w:r>
    <w:r w:rsidRPr="00A753CD">
      <w:fldChar w:fldCharType="end"/>
    </w:r>
  </w:p>
  <w:p w14:paraId="5B36976B" w14:textId="77777777" w:rsidR="00FE0687" w:rsidRDefault="00FE0687" w:rsidP="004B7D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B8AA" w14:textId="054CAFD2" w:rsidR="00FE0687" w:rsidRDefault="00FE0687" w:rsidP="00987CFD">
    <w:pPr>
      <w:pStyle w:val="Footer"/>
    </w:pPr>
    <w:r>
      <mc:AlternateContent>
        <mc:Choice Requires="wps">
          <w:drawing>
            <wp:anchor distT="0" distB="0" distL="114300" distR="114300" simplePos="0" relativeHeight="251664384" behindDoc="1" locked="1" layoutInCell="1" allowOverlap="1" wp14:anchorId="4B1FB13A" wp14:editId="19DED7FD">
              <wp:simplePos x="0" y="0"/>
              <wp:positionH relativeFrom="page">
                <wp:posOffset>0</wp:posOffset>
              </wp:positionH>
              <wp:positionV relativeFrom="page">
                <wp:posOffset>9949815</wp:posOffset>
              </wp:positionV>
              <wp:extent cx="7552944" cy="301752"/>
              <wp:effectExtent l="0" t="0" r="0" b="3175"/>
              <wp:wrapNone/>
              <wp:docPr id="22" name="Rectangle 2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2E2F6" id="Rectangle 22" o:spid="_x0000_s1026" style="position:absolute;margin-left:0;margin-top:783.45pt;width:594.7pt;height:2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zMpNx+IAAAALAQAADwAAAGRycy9kb3ducmV2LnhtbEyPQUvDQBCF74L/&#10;YRnBi9hNJA1tmk0RoVIQD7Z66G2THZNgdjZkN038905P9jYz7/Hme/l2tp044+BbRwriRQQCqXKm&#10;pVrB53H3uALhgyajO0eo4Bc9bIvbm1xnxk30gedDqAWHkM+0giaEPpPSVw1a7ReuR2Lt2w1WB16H&#10;WppBTxxuO/kURam0uiX+0OgeXxqsfg6jVVC/l/sp+no7jf5hWkbH13jvzU6p+7v5eQMi4Bz+zXDB&#10;Z3QomKl0IxkvOgVcJPB1maZrEBc9Xq0TECVPaZwkIItcXnco/gAAAP//AwBQSwECLQAUAAYACAAA&#10;ACEAtoM4kv4AAADhAQAAEwAAAAAAAAAAAAAAAAAAAAAAW0NvbnRlbnRfVHlwZXNdLnhtbFBLAQIt&#10;ABQABgAIAAAAIQA4/SH/1gAAAJQBAAALAAAAAAAAAAAAAAAAAC8BAABfcmVscy8ucmVsc1BLAQIt&#10;ABQABgAIAAAAIQDB7fu1jQIAAIAFAAAOAAAAAAAAAAAAAAAAAC4CAABkcnMvZTJvRG9jLnhtbFBL&#10;AQItABQABgAIAAAAIQDMyk3H4gAAAAsBAAAPAAAAAAAAAAAAAAAAAOcEAABkcnMvZG93bnJldi54&#10;bWxQSwUGAAAAAAQABADzAAAA9gUAAAAA&#10;" fillcolor="#00698f" stroked="f" strokeweight="2pt">
              <v:fill opacity="13107f"/>
              <w10:wrap anchorx="page" anchory="page"/>
              <w10:anchorlock/>
            </v:rect>
          </w:pict>
        </mc:Fallback>
      </mc:AlternateContent>
    </w:r>
    <w:r w:rsidRPr="00E055D8">
      <w:t xml:space="preserve">Page </w:t>
    </w:r>
    <w:r w:rsidRPr="00E055D8">
      <w:fldChar w:fldCharType="begin"/>
    </w:r>
    <w:r w:rsidRPr="00E055D8">
      <w:instrText xml:space="preserve"> page </w:instrText>
    </w:r>
    <w:r w:rsidRPr="00E055D8">
      <w:fldChar w:fldCharType="separate"/>
    </w:r>
    <w:r w:rsidRPr="00E055D8">
      <w:t>2</w:t>
    </w:r>
    <w:r w:rsidRPr="00E055D8">
      <w:fldChar w:fldCharType="end"/>
    </w:r>
    <w:r w:rsidRPr="00E055D8">
      <w:tab/>
    </w:r>
    <w:r w:rsidRPr="00E055D8">
      <w:fldChar w:fldCharType="begin"/>
    </w:r>
    <w:r w:rsidRPr="00E055D8">
      <w:instrText xml:space="preserve"> StyleRef “Title” </w:instrText>
    </w:r>
    <w:r w:rsidRPr="00E055D8">
      <w:fldChar w:fldCharType="separate"/>
    </w:r>
    <w:r w:rsidR="00FC7DAA">
      <w:t>Sustainable Investment Guidelines</w:t>
    </w:r>
    <w:r w:rsidRPr="00E055D8">
      <w:fldChar w:fldCharType="end"/>
    </w:r>
  </w:p>
  <w:p w14:paraId="1CB5F6DA" w14:textId="77777777" w:rsidR="00FE0687" w:rsidRPr="00E055D8" w:rsidRDefault="00FE0687" w:rsidP="00987C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89FA" w14:textId="5FA238E0" w:rsidR="00FE0687" w:rsidRDefault="00FE0687" w:rsidP="00987CFD">
    <w:pPr>
      <w:pStyle w:val="Footer"/>
    </w:pPr>
    <w:r>
      <mc:AlternateContent>
        <mc:Choice Requires="wps">
          <w:drawing>
            <wp:anchor distT="0" distB="0" distL="114300" distR="114300" simplePos="0" relativeHeight="251670528" behindDoc="1" locked="0" layoutInCell="1" allowOverlap="1" wp14:anchorId="548CCB5A" wp14:editId="38622A4A">
              <wp:simplePos x="0" y="0"/>
              <wp:positionH relativeFrom="page">
                <wp:posOffset>0</wp:posOffset>
              </wp:positionH>
              <wp:positionV relativeFrom="page">
                <wp:posOffset>9948545</wp:posOffset>
              </wp:positionV>
              <wp:extent cx="7552944" cy="301752"/>
              <wp:effectExtent l="0" t="0" r="0" b="3175"/>
              <wp:wrapNone/>
              <wp:docPr id="24" name="Rectangle 24"/>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9E44C" id="Rectangle 24" o:spid="_x0000_s1026" style="position:absolute;margin-left:0;margin-top:783.35pt;width:594.7pt;height:23.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Pr="00A753CD">
      <w:fldChar w:fldCharType="begin"/>
    </w:r>
    <w:r w:rsidRPr="00A753CD">
      <w:instrText xml:space="preserve"> StyleRef “Title” </w:instrText>
    </w:r>
    <w:r w:rsidRPr="00A753CD">
      <w:fldChar w:fldCharType="separate"/>
    </w:r>
    <w:r w:rsidR="00FC7DAA">
      <w:t>Sustainable Investment Guidelines</w:t>
    </w:r>
    <w:r w:rsidRPr="00A753CD">
      <w:fldChar w:fldCharType="end"/>
    </w:r>
    <w:r w:rsidRPr="00A753CD">
      <w:tab/>
      <w:t xml:space="preserve">Page </w:t>
    </w:r>
    <w:r w:rsidRPr="00A753CD">
      <w:fldChar w:fldCharType="begin"/>
    </w:r>
    <w:r w:rsidRPr="00A753CD">
      <w:instrText xml:space="preserve"> page </w:instrText>
    </w:r>
    <w:r w:rsidRPr="00A753CD">
      <w:fldChar w:fldCharType="separate"/>
    </w:r>
    <w:r w:rsidRPr="00A753CD">
      <w:t>1</w:t>
    </w:r>
    <w:r w:rsidRPr="00A753CD">
      <w:fldChar w:fldCharType="end"/>
    </w:r>
  </w:p>
  <w:p w14:paraId="410A0ED7" w14:textId="5CC85BEE" w:rsidR="00FE0687" w:rsidRPr="00A753CD" w:rsidRDefault="00FE0687" w:rsidP="00987C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6E17" w14:textId="77777777" w:rsidR="00FE0687" w:rsidRDefault="441443D2" w:rsidP="00AF6567">
    <w:pPr>
      <w:pStyle w:val="Footer"/>
    </w:pPr>
    <w:r>
      <w:drawing>
        <wp:inline distT="0" distB="0" distL="0" distR="0" wp14:anchorId="5ABEE5EB" wp14:editId="54A24EC1">
          <wp:extent cx="3499343" cy="38404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499343" cy="384048"/>
                  </a:xfrm>
                  <a:prstGeom prst="rect">
                    <a:avLst/>
                  </a:prstGeom>
                </pic:spPr>
              </pic:pic>
            </a:graphicData>
          </a:graphic>
        </wp:inline>
      </w:drawing>
    </w:r>
  </w:p>
  <w:p w14:paraId="611E55F9" w14:textId="77777777" w:rsidR="00FE0687" w:rsidRDefault="00FE0687" w:rsidP="00AF6567">
    <w:pPr>
      <w:pStyle w:val="Footer"/>
    </w:pPr>
  </w:p>
  <w:p w14:paraId="63D527B1" w14:textId="77777777" w:rsidR="00FE0687" w:rsidRDefault="00FE0687" w:rsidP="00AF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E84E7" w14:textId="77777777" w:rsidR="008A6375" w:rsidRDefault="008A6375" w:rsidP="00AF6567">
      <w:r>
        <w:separator/>
      </w:r>
    </w:p>
    <w:p w14:paraId="32CD86E2" w14:textId="77777777" w:rsidR="008A6375" w:rsidRDefault="008A6375" w:rsidP="00AF6567"/>
  </w:footnote>
  <w:footnote w:type="continuationSeparator" w:id="0">
    <w:p w14:paraId="00FC1E9E" w14:textId="77777777" w:rsidR="008A6375" w:rsidRDefault="008A6375" w:rsidP="00AF6567">
      <w:r>
        <w:continuationSeparator/>
      </w:r>
    </w:p>
    <w:p w14:paraId="632F4FCA" w14:textId="77777777" w:rsidR="008A6375" w:rsidRDefault="008A6375" w:rsidP="00AF6567"/>
  </w:footnote>
  <w:footnote w:type="continuationNotice" w:id="1">
    <w:p w14:paraId="2121D734" w14:textId="77777777" w:rsidR="008A6375" w:rsidRDefault="008A63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5838" w14:textId="77777777" w:rsidR="00A744DA" w:rsidRDefault="00A74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DB6E" w14:textId="77777777" w:rsidR="00FE0687" w:rsidRDefault="00FE0687" w:rsidP="00AF6567">
    <w:pPr>
      <w:pStyle w:val="Header"/>
    </w:pPr>
    <w:r w:rsidRPr="00932482">
      <w:rPr>
        <w:noProof/>
      </w:rPr>
      <w:drawing>
        <wp:anchor distT="0" distB="0" distL="114300" distR="114300" simplePos="0" relativeHeight="251686912" behindDoc="0" locked="0" layoutInCell="1" allowOverlap="1" wp14:anchorId="7BC890EE" wp14:editId="586CF498">
          <wp:simplePos x="0" y="0"/>
          <wp:positionH relativeFrom="column">
            <wp:posOffset>1842770</wp:posOffset>
          </wp:positionH>
          <wp:positionV relativeFrom="paragraph">
            <wp:posOffset>-294635</wp:posOffset>
          </wp:positionV>
          <wp:extent cx="4978400" cy="10690860"/>
          <wp:effectExtent l="0" t="0" r="0" b="0"/>
          <wp:wrapNone/>
          <wp:docPr id="962812056"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840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6F0480E" wp14:editId="2B091CF3">
          <wp:simplePos x="0" y="0"/>
          <wp:positionH relativeFrom="column">
            <wp:posOffset>-201154</wp:posOffset>
          </wp:positionH>
          <wp:positionV relativeFrom="paragraph">
            <wp:posOffset>76835</wp:posOffset>
          </wp:positionV>
          <wp:extent cx="1598455" cy="1039778"/>
          <wp:effectExtent l="0" t="0" r="0" b="0"/>
          <wp:wrapNone/>
          <wp:docPr id="962812058" name="Picture 9628120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8455" cy="10397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E178" w14:textId="77777777" w:rsidR="00A744DA" w:rsidRDefault="00A744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8854" w14:textId="77777777" w:rsidR="00FE0687" w:rsidRDefault="00FE0687" w:rsidP="00AF6567">
    <w:pPr>
      <w:pStyle w:val="Header"/>
    </w:pPr>
    <w:r>
      <w:rPr>
        <w:noProof/>
      </w:rPr>
      <w:drawing>
        <wp:anchor distT="0" distB="0" distL="114300" distR="114300" simplePos="0" relativeHeight="251643904" behindDoc="1" locked="0" layoutInCell="1" allowOverlap="1" wp14:anchorId="63B2968D" wp14:editId="554693EC">
          <wp:simplePos x="0" y="0"/>
          <wp:positionH relativeFrom="page">
            <wp:posOffset>-513</wp:posOffset>
          </wp:positionH>
          <wp:positionV relativeFrom="page">
            <wp:posOffset>-575</wp:posOffset>
          </wp:positionV>
          <wp:extent cx="7562088" cy="758952"/>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61EC" w14:textId="77777777" w:rsidR="00FE0687" w:rsidRDefault="00FE0687" w:rsidP="00AF6567">
    <w:pPr>
      <w:pStyle w:val="Header"/>
    </w:pPr>
    <w:r>
      <w:rPr>
        <w:noProof/>
      </w:rPr>
      <w:drawing>
        <wp:anchor distT="0" distB="0" distL="114300" distR="114300" simplePos="0" relativeHeight="251639808" behindDoc="1" locked="0" layoutInCell="1" allowOverlap="1" wp14:anchorId="0FA5AE16" wp14:editId="6214444D">
          <wp:simplePos x="0" y="0"/>
          <wp:positionH relativeFrom="page">
            <wp:posOffset>-513</wp:posOffset>
          </wp:positionH>
          <wp:positionV relativeFrom="page">
            <wp:posOffset>0</wp:posOffset>
          </wp:positionV>
          <wp:extent cx="7562088" cy="758952"/>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6278" w14:textId="77777777" w:rsidR="00FE0687" w:rsidRDefault="00FE0687" w:rsidP="00AF6567">
    <w:pPr>
      <w:pStyle w:val="Header"/>
    </w:pPr>
    <w:r>
      <w:rPr>
        <w:noProof/>
      </w:rPr>
      <w:drawing>
        <wp:anchor distT="0" distB="0" distL="114300" distR="114300" simplePos="0" relativeHeight="251658240" behindDoc="1" locked="0" layoutInCell="1" allowOverlap="1" wp14:anchorId="6BE3D666" wp14:editId="1EA4F846">
          <wp:simplePos x="0" y="0"/>
          <wp:positionH relativeFrom="page">
            <wp:posOffset>-513</wp:posOffset>
          </wp:positionH>
          <wp:positionV relativeFrom="page">
            <wp:posOffset>-575</wp:posOffset>
          </wp:positionV>
          <wp:extent cx="7562088" cy="758952"/>
          <wp:effectExtent l="0" t="0" r="1270" b="317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0D84" w14:textId="77777777" w:rsidR="00FE0687" w:rsidRDefault="00FE0687" w:rsidP="00AF6567">
    <w:pPr>
      <w:pStyle w:val="Header"/>
    </w:pPr>
    <w:r>
      <w:rPr>
        <w:noProof/>
      </w:rPr>
      <w:drawing>
        <wp:anchor distT="0" distB="0" distL="114300" distR="114300" simplePos="0" relativeHeight="251655168" behindDoc="1" locked="0" layoutInCell="1" allowOverlap="1" wp14:anchorId="39D55A97" wp14:editId="49011F6F">
          <wp:simplePos x="0" y="0"/>
          <wp:positionH relativeFrom="page">
            <wp:posOffset>-513</wp:posOffset>
          </wp:positionH>
          <wp:positionV relativeFrom="page">
            <wp:posOffset>0</wp:posOffset>
          </wp:positionV>
          <wp:extent cx="7562088" cy="758952"/>
          <wp:effectExtent l="0" t="0" r="1270" b="317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AF84" w14:textId="77777777" w:rsidR="00FE0687" w:rsidRPr="00FE18A0" w:rsidRDefault="00FE0687" w:rsidP="00AF6567">
    <w:pPr>
      <w:pStyle w:val="Header"/>
    </w:pPr>
    <w:r w:rsidRPr="00932482">
      <w:rPr>
        <w:noProof/>
      </w:rPr>
      <w:drawing>
        <wp:anchor distT="0" distB="0" distL="114300" distR="114300" simplePos="0" relativeHeight="251658242" behindDoc="1" locked="0" layoutInCell="1" allowOverlap="1" wp14:anchorId="4E687771" wp14:editId="18BB0BC3">
          <wp:simplePos x="0" y="0"/>
          <wp:positionH relativeFrom="page">
            <wp:posOffset>2661956</wp:posOffset>
          </wp:positionH>
          <wp:positionV relativeFrom="page">
            <wp:posOffset>0</wp:posOffset>
          </wp:positionV>
          <wp:extent cx="4974336" cy="10689336"/>
          <wp:effectExtent l="0" t="0" r="0" b="0"/>
          <wp:wrapNone/>
          <wp:docPr id="9"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4336" cy="1068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586F40"/>
    <w:multiLevelType w:val="hybridMultilevel"/>
    <w:tmpl w:val="C220F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F424BE"/>
    <w:multiLevelType w:val="hybridMultilevel"/>
    <w:tmpl w:val="935A5B1A"/>
    <w:lvl w:ilvl="0" w:tplc="658C00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DF5CB8"/>
    <w:multiLevelType w:val="hybridMultilevel"/>
    <w:tmpl w:val="EB7A2A0A"/>
    <w:lvl w:ilvl="0" w:tplc="483CB930">
      <w:start w:val="1"/>
      <w:numFmt w:val="bullet"/>
      <w:pStyle w:val="Bullet2"/>
      <w:lvlText w:val=""/>
      <w:lvlJc w:val="left"/>
      <w:pPr>
        <w:ind w:left="720" w:hanging="360"/>
      </w:pPr>
      <w:rPr>
        <w:rFonts w:ascii="Symbol" w:hAnsi="Symbol" w:hint="default"/>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C10D48"/>
    <w:multiLevelType w:val="hybridMultilevel"/>
    <w:tmpl w:val="4B127DB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370197"/>
    <w:multiLevelType w:val="hybridMultilevel"/>
    <w:tmpl w:val="714E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EF2C64"/>
    <w:multiLevelType w:val="multilevel"/>
    <w:tmpl w:val="DB40B98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10" w15:restartNumberingAfterBreak="0">
    <w:nsid w:val="216D044A"/>
    <w:multiLevelType w:val="hybridMultilevel"/>
    <w:tmpl w:val="82A20496"/>
    <w:lvl w:ilvl="0" w:tplc="5F38835C">
      <w:start w:val="1"/>
      <w:numFmt w:val="bullet"/>
      <w:lvlText w:val="•"/>
      <w:lvlJc w:val="left"/>
      <w:pPr>
        <w:tabs>
          <w:tab w:val="num" w:pos="720"/>
        </w:tabs>
        <w:ind w:left="720" w:hanging="360"/>
      </w:pPr>
      <w:rPr>
        <w:rFonts w:ascii="Arial" w:hAnsi="Arial" w:cs="Times New Roman" w:hint="default"/>
      </w:rPr>
    </w:lvl>
    <w:lvl w:ilvl="1" w:tplc="FC447D46">
      <w:start w:val="1"/>
      <w:numFmt w:val="bullet"/>
      <w:lvlText w:val="•"/>
      <w:lvlJc w:val="left"/>
      <w:pPr>
        <w:tabs>
          <w:tab w:val="num" w:pos="1440"/>
        </w:tabs>
        <w:ind w:left="1440" w:hanging="360"/>
      </w:pPr>
      <w:rPr>
        <w:rFonts w:ascii="Arial" w:hAnsi="Arial" w:cs="Times New Roman" w:hint="default"/>
      </w:rPr>
    </w:lvl>
    <w:lvl w:ilvl="2" w:tplc="71C057DA">
      <w:start w:val="1"/>
      <w:numFmt w:val="bullet"/>
      <w:lvlText w:val="•"/>
      <w:lvlJc w:val="left"/>
      <w:pPr>
        <w:tabs>
          <w:tab w:val="num" w:pos="2160"/>
        </w:tabs>
        <w:ind w:left="2160" w:hanging="360"/>
      </w:pPr>
      <w:rPr>
        <w:rFonts w:ascii="Arial" w:hAnsi="Arial" w:cs="Times New Roman" w:hint="default"/>
      </w:rPr>
    </w:lvl>
    <w:lvl w:ilvl="3" w:tplc="B05E79C2">
      <w:start w:val="1"/>
      <w:numFmt w:val="bullet"/>
      <w:lvlText w:val="•"/>
      <w:lvlJc w:val="left"/>
      <w:pPr>
        <w:tabs>
          <w:tab w:val="num" w:pos="2880"/>
        </w:tabs>
        <w:ind w:left="2880" w:hanging="360"/>
      </w:pPr>
      <w:rPr>
        <w:rFonts w:ascii="Arial" w:hAnsi="Arial" w:cs="Times New Roman" w:hint="default"/>
      </w:rPr>
    </w:lvl>
    <w:lvl w:ilvl="4" w:tplc="9B32593E">
      <w:start w:val="1"/>
      <w:numFmt w:val="bullet"/>
      <w:lvlText w:val="•"/>
      <w:lvlJc w:val="left"/>
      <w:pPr>
        <w:tabs>
          <w:tab w:val="num" w:pos="3600"/>
        </w:tabs>
        <w:ind w:left="3600" w:hanging="360"/>
      </w:pPr>
      <w:rPr>
        <w:rFonts w:ascii="Arial" w:hAnsi="Arial" w:cs="Times New Roman" w:hint="default"/>
      </w:rPr>
    </w:lvl>
    <w:lvl w:ilvl="5" w:tplc="01E27DC4">
      <w:start w:val="1"/>
      <w:numFmt w:val="bullet"/>
      <w:lvlText w:val="•"/>
      <w:lvlJc w:val="left"/>
      <w:pPr>
        <w:tabs>
          <w:tab w:val="num" w:pos="4320"/>
        </w:tabs>
        <w:ind w:left="4320" w:hanging="360"/>
      </w:pPr>
      <w:rPr>
        <w:rFonts w:ascii="Arial" w:hAnsi="Arial" w:cs="Times New Roman" w:hint="default"/>
      </w:rPr>
    </w:lvl>
    <w:lvl w:ilvl="6" w:tplc="3CF61378">
      <w:start w:val="1"/>
      <w:numFmt w:val="bullet"/>
      <w:lvlText w:val="•"/>
      <w:lvlJc w:val="left"/>
      <w:pPr>
        <w:tabs>
          <w:tab w:val="num" w:pos="5040"/>
        </w:tabs>
        <w:ind w:left="5040" w:hanging="360"/>
      </w:pPr>
      <w:rPr>
        <w:rFonts w:ascii="Arial" w:hAnsi="Arial" w:cs="Times New Roman" w:hint="default"/>
      </w:rPr>
    </w:lvl>
    <w:lvl w:ilvl="7" w:tplc="65D2B7D8">
      <w:start w:val="1"/>
      <w:numFmt w:val="bullet"/>
      <w:lvlText w:val="•"/>
      <w:lvlJc w:val="left"/>
      <w:pPr>
        <w:tabs>
          <w:tab w:val="num" w:pos="5760"/>
        </w:tabs>
        <w:ind w:left="5760" w:hanging="360"/>
      </w:pPr>
      <w:rPr>
        <w:rFonts w:ascii="Arial" w:hAnsi="Arial" w:cs="Times New Roman" w:hint="default"/>
      </w:rPr>
    </w:lvl>
    <w:lvl w:ilvl="8" w:tplc="46FA5FC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6456FFD"/>
    <w:multiLevelType w:val="multilevel"/>
    <w:tmpl w:val="495E2D18"/>
    <w:lvl w:ilvl="0">
      <w:start w:val="1"/>
      <w:numFmt w:val="bullet"/>
      <w:pStyle w:val="Tablebullet"/>
      <w:lvlText w:val="\"/>
      <w:lvlJc w:val="left"/>
      <w:pPr>
        <w:ind w:left="502" w:hanging="360"/>
      </w:pPr>
      <w:rPr>
        <w:rFonts w:ascii="VIC" w:hAnsi="VIC" w:hint="default"/>
        <w:b/>
        <w:i w:val="0"/>
        <w:color w:val="E75300" w:themeColor="accent5"/>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887FA6"/>
    <w:multiLevelType w:val="hybridMultilevel"/>
    <w:tmpl w:val="CB5C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8859F6"/>
    <w:multiLevelType w:val="hybridMultilevel"/>
    <w:tmpl w:val="C4BC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D64CF"/>
    <w:multiLevelType w:val="hybridMultilevel"/>
    <w:tmpl w:val="803AB7B8"/>
    <w:lvl w:ilvl="0" w:tplc="80BA0780">
      <w:start w:val="1"/>
      <w:numFmt w:val="bullet"/>
      <w:pStyle w:val="Bulletinden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6D3A6A"/>
    <w:multiLevelType w:val="multilevel"/>
    <w:tmpl w:val="3EA0E8C2"/>
    <w:lvl w:ilvl="0">
      <w:start w:val="1"/>
      <w:numFmt w:val="bullet"/>
      <w:pStyle w:val="Bullet1"/>
      <w:lvlText w:val="\"/>
      <w:lvlJc w:val="left"/>
      <w:pPr>
        <w:tabs>
          <w:tab w:val="num" w:pos="360"/>
        </w:tabs>
        <w:ind w:left="360" w:hanging="360"/>
      </w:pPr>
      <w:rPr>
        <w:rFonts w:ascii="VIC" w:hAnsi="VIC" w:hint="default"/>
        <w:b/>
        <w:bCs/>
        <w:i w:val="0"/>
        <w:vanish w:val="0"/>
        <w:color w:val="E75300" w:themeColor="accent5"/>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Symbol" w:hAnsi="Symbol" w:hint="default"/>
        <w:b w:val="0"/>
        <w:i w:val="0"/>
        <w:vanish w:val="0"/>
        <w:color w:val="E75300" w:themeColor="accent5"/>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7" w15:restartNumberingAfterBreak="0">
    <w:nsid w:val="46EA5241"/>
    <w:multiLevelType w:val="hybridMultilevel"/>
    <w:tmpl w:val="039CF208"/>
    <w:lvl w:ilvl="0" w:tplc="A62463AA">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8" w15:restartNumberingAfterBreak="0">
    <w:nsid w:val="485E07B6"/>
    <w:multiLevelType w:val="hybridMultilevel"/>
    <w:tmpl w:val="DDB89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25814"/>
    <w:multiLevelType w:val="hybridMultilevel"/>
    <w:tmpl w:val="039CDB30"/>
    <w:lvl w:ilvl="0" w:tplc="39A8363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DD6C72"/>
    <w:multiLevelType w:val="hybridMultilevel"/>
    <w:tmpl w:val="637AD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E2C321D"/>
    <w:multiLevelType w:val="hybridMultilevel"/>
    <w:tmpl w:val="A01847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E95415"/>
    <w:multiLevelType w:val="hybridMultilevel"/>
    <w:tmpl w:val="F5AC6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501FBA"/>
    <w:multiLevelType w:val="hybridMultilevel"/>
    <w:tmpl w:val="CC38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C5C03E5"/>
    <w:multiLevelType w:val="hybridMultilevel"/>
    <w:tmpl w:val="1F508D54"/>
    <w:lvl w:ilvl="0" w:tplc="133074D4">
      <w:start w:val="1"/>
      <w:numFmt w:val="bullet"/>
      <w:lvlText w:val=""/>
      <w:lvlJc w:val="left"/>
      <w:pPr>
        <w:tabs>
          <w:tab w:val="num" w:pos="1077"/>
        </w:tabs>
        <w:ind w:left="1077" w:hanging="283"/>
      </w:pPr>
      <w:rPr>
        <w:rFonts w:ascii="Symbol" w:hAnsi="Symbol" w:hint="default"/>
        <w:b w:val="0"/>
        <w:i w:val="0"/>
        <w:sz w:val="22"/>
      </w:rPr>
    </w:lvl>
    <w:lvl w:ilvl="1" w:tplc="46CC9580">
      <w:start w:val="1"/>
      <w:numFmt w:val="bullet"/>
      <w:lvlText w:val=""/>
      <w:lvlJc w:val="left"/>
      <w:pPr>
        <w:tabs>
          <w:tab w:val="num" w:pos="1361"/>
        </w:tabs>
        <w:ind w:left="1361" w:hanging="284"/>
      </w:pPr>
      <w:rPr>
        <w:rFonts w:ascii="Symbol" w:hAnsi="Symbol" w:hint="default"/>
        <w:b w:val="0"/>
        <w:i w:val="0"/>
        <w:sz w:val="22"/>
      </w:rPr>
    </w:lvl>
    <w:lvl w:ilvl="2" w:tplc="C9CC3F6E">
      <w:start w:val="1"/>
      <w:numFmt w:val="lowerRoman"/>
      <w:lvlText w:val="%3."/>
      <w:lvlJc w:val="left"/>
      <w:pPr>
        <w:tabs>
          <w:tab w:val="num" w:pos="1644"/>
        </w:tabs>
        <w:ind w:left="1644" w:hanging="283"/>
      </w:pPr>
      <w:rPr>
        <w:rFonts w:ascii="Calibri" w:hAnsi="Calibri"/>
        <w:b w:val="0"/>
        <w:i w:val="0"/>
        <w:sz w:val="22"/>
      </w:rPr>
    </w:lvl>
    <w:lvl w:ilvl="3" w:tplc="AE660ACC">
      <w:start w:val="1"/>
      <w:numFmt w:val="decimal"/>
      <w:lvlText w:val="–"/>
      <w:lvlJc w:val="left"/>
      <w:pPr>
        <w:tabs>
          <w:tab w:val="num" w:pos="1928"/>
        </w:tabs>
        <w:ind w:left="1928" w:hanging="284"/>
      </w:pPr>
      <w:rPr>
        <w:rFonts w:ascii="Calibri" w:hAnsi="Calibri"/>
        <w:b w:val="0"/>
        <w:i w:val="0"/>
        <w:sz w:val="22"/>
      </w:rPr>
    </w:lvl>
    <w:lvl w:ilvl="4" w:tplc="93221204">
      <w:start w:val="1"/>
      <w:numFmt w:val="decimal"/>
      <w:lvlText w:val="–"/>
      <w:lvlJc w:val="left"/>
      <w:pPr>
        <w:tabs>
          <w:tab w:val="num" w:pos="2211"/>
        </w:tabs>
        <w:ind w:left="2211" w:hanging="283"/>
      </w:pPr>
      <w:rPr>
        <w:rFonts w:ascii="Calibri" w:hAnsi="Calibri"/>
        <w:b w:val="0"/>
        <w:i w:val="0"/>
        <w:sz w:val="22"/>
      </w:rPr>
    </w:lvl>
    <w:lvl w:ilvl="5" w:tplc="9466A88A">
      <w:start w:val="1"/>
      <w:numFmt w:val="decimal"/>
      <w:lvlText w:val="–"/>
      <w:lvlJc w:val="left"/>
      <w:pPr>
        <w:tabs>
          <w:tab w:val="num" w:pos="2495"/>
        </w:tabs>
        <w:ind w:left="2495" w:hanging="284"/>
      </w:pPr>
      <w:rPr>
        <w:rFonts w:ascii="Calibri" w:hAnsi="Calibri"/>
        <w:b w:val="0"/>
        <w:i w:val="0"/>
        <w:sz w:val="22"/>
      </w:rPr>
    </w:lvl>
    <w:lvl w:ilvl="6" w:tplc="302A0220">
      <w:start w:val="1"/>
      <w:numFmt w:val="decimal"/>
      <w:lvlText w:val="–"/>
      <w:lvlJc w:val="left"/>
      <w:pPr>
        <w:tabs>
          <w:tab w:val="num" w:pos="2778"/>
        </w:tabs>
        <w:ind w:left="2778" w:hanging="283"/>
      </w:pPr>
      <w:rPr>
        <w:rFonts w:ascii="Calibri" w:hAnsi="Calibri"/>
        <w:b w:val="0"/>
        <w:i w:val="0"/>
        <w:sz w:val="22"/>
      </w:rPr>
    </w:lvl>
    <w:lvl w:ilvl="7" w:tplc="CB8EA7C2">
      <w:start w:val="1"/>
      <w:numFmt w:val="decimal"/>
      <w:lvlText w:val="–"/>
      <w:lvlJc w:val="left"/>
      <w:pPr>
        <w:tabs>
          <w:tab w:val="num" w:pos="3062"/>
        </w:tabs>
        <w:ind w:left="3062" w:hanging="284"/>
      </w:pPr>
      <w:rPr>
        <w:rFonts w:ascii="Calibri" w:hAnsi="Calibri"/>
        <w:b w:val="0"/>
        <w:i w:val="0"/>
        <w:sz w:val="22"/>
      </w:rPr>
    </w:lvl>
    <w:lvl w:ilvl="8" w:tplc="6D6080C0">
      <w:start w:val="1"/>
      <w:numFmt w:val="decimal"/>
      <w:lvlText w:val="–"/>
      <w:lvlJc w:val="left"/>
      <w:pPr>
        <w:tabs>
          <w:tab w:val="num" w:pos="3345"/>
        </w:tabs>
        <w:ind w:left="3345" w:hanging="283"/>
      </w:pPr>
      <w:rPr>
        <w:rFonts w:ascii="Calibri" w:hAnsi="Calibri"/>
        <w:b w:val="0"/>
        <w:i w:val="0"/>
        <w:sz w:val="22"/>
      </w:rPr>
    </w:lvl>
  </w:abstractNum>
  <w:abstractNum w:abstractNumId="27" w15:restartNumberingAfterBreak="0">
    <w:nsid w:val="63B31EEE"/>
    <w:multiLevelType w:val="hybridMultilevel"/>
    <w:tmpl w:val="4DE23B1E"/>
    <w:lvl w:ilvl="0" w:tplc="36AA9266">
      <w:start w:val="1"/>
      <w:numFmt w:val="bullet"/>
      <w:pStyle w:val="Breakoutbulle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E226D8"/>
    <w:multiLevelType w:val="multilevel"/>
    <w:tmpl w:val="62665F98"/>
    <w:lvl w:ilvl="0">
      <w:start w:val="1"/>
      <w:numFmt w:val="decimal"/>
      <w:lvlText w:val="%1"/>
      <w:lvlJc w:val="left"/>
      <w:pPr>
        <w:ind w:left="118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6184"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9" w15:restartNumberingAfterBreak="0">
    <w:nsid w:val="654025E0"/>
    <w:multiLevelType w:val="hybridMultilevel"/>
    <w:tmpl w:val="8D0438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63185D"/>
    <w:multiLevelType w:val="hybridMultilevel"/>
    <w:tmpl w:val="AD80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377A8E"/>
    <w:multiLevelType w:val="hybridMultilevel"/>
    <w:tmpl w:val="EC028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7934A1"/>
    <w:multiLevelType w:val="hybridMultilevel"/>
    <w:tmpl w:val="73ACF056"/>
    <w:lvl w:ilvl="0" w:tplc="9BC098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7E12E5"/>
    <w:multiLevelType w:val="hybridMultilevel"/>
    <w:tmpl w:val="7DFE2084"/>
    <w:lvl w:ilvl="0" w:tplc="A3D4AB0C">
      <w:start w:val="1"/>
      <w:numFmt w:val="decimal"/>
      <w:pStyle w:val="Numpara"/>
      <w:lvlText w:val="%1."/>
      <w:lvlJc w:val="left"/>
      <w:pPr>
        <w:tabs>
          <w:tab w:val="num" w:pos="504"/>
        </w:tabs>
        <w:ind w:left="504" w:hanging="50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F01246"/>
    <w:multiLevelType w:val="hybridMultilevel"/>
    <w:tmpl w:val="89ECC804"/>
    <w:lvl w:ilvl="0" w:tplc="B9C084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D44514"/>
    <w:multiLevelType w:val="multilevel"/>
    <w:tmpl w:val="58CADA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Restart w:val="0"/>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509632914">
    <w:abstractNumId w:val="12"/>
  </w:num>
  <w:num w:numId="2" w16cid:durableId="1855653172">
    <w:abstractNumId w:val="25"/>
  </w:num>
  <w:num w:numId="3" w16cid:durableId="473332051">
    <w:abstractNumId w:val="21"/>
  </w:num>
  <w:num w:numId="4" w16cid:durableId="1958490044">
    <w:abstractNumId w:val="16"/>
  </w:num>
  <w:num w:numId="5" w16cid:durableId="2056082168">
    <w:abstractNumId w:val="2"/>
  </w:num>
  <w:num w:numId="6" w16cid:durableId="1764374786">
    <w:abstractNumId w:val="1"/>
  </w:num>
  <w:num w:numId="7" w16cid:durableId="496456163">
    <w:abstractNumId w:val="0"/>
  </w:num>
  <w:num w:numId="8" w16cid:durableId="108014063">
    <w:abstractNumId w:val="9"/>
  </w:num>
  <w:num w:numId="9" w16cid:durableId="256402709">
    <w:abstractNumId w:val="35"/>
  </w:num>
  <w:num w:numId="10" w16cid:durableId="1274165063">
    <w:abstractNumId w:val="11"/>
  </w:num>
  <w:num w:numId="11" w16cid:durableId="1909144971">
    <w:abstractNumId w:val="33"/>
  </w:num>
  <w:num w:numId="12" w16cid:durableId="578834238">
    <w:abstractNumId w:val="5"/>
  </w:num>
  <w:num w:numId="13" w16cid:durableId="1900168066">
    <w:abstractNumId w:val="15"/>
  </w:num>
  <w:num w:numId="14" w16cid:durableId="1853101805">
    <w:abstractNumId w:val="24"/>
  </w:num>
  <w:num w:numId="15" w16cid:durableId="1565799318">
    <w:abstractNumId w:val="27"/>
  </w:num>
  <w:num w:numId="16" w16cid:durableId="1472090054">
    <w:abstractNumId w:val="30"/>
  </w:num>
  <w:num w:numId="17" w16cid:durableId="1438255586">
    <w:abstractNumId w:val="4"/>
  </w:num>
  <w:num w:numId="18" w16cid:durableId="268320287">
    <w:abstractNumId w:val="34"/>
  </w:num>
  <w:num w:numId="19" w16cid:durableId="1862738395">
    <w:abstractNumId w:val="33"/>
    <w:lvlOverride w:ilvl="0">
      <w:startOverride w:val="1"/>
    </w:lvlOverride>
  </w:num>
  <w:num w:numId="20" w16cid:durableId="1290086891">
    <w:abstractNumId w:val="33"/>
    <w:lvlOverride w:ilvl="0">
      <w:startOverride w:val="1"/>
    </w:lvlOverride>
  </w:num>
  <w:num w:numId="21" w16cid:durableId="771784683">
    <w:abstractNumId w:val="32"/>
  </w:num>
  <w:num w:numId="22" w16cid:durableId="694115570">
    <w:abstractNumId w:val="19"/>
  </w:num>
  <w:num w:numId="23" w16cid:durableId="302124200">
    <w:abstractNumId w:val="33"/>
    <w:lvlOverride w:ilvl="0">
      <w:startOverride w:val="1"/>
    </w:lvlOverride>
  </w:num>
  <w:num w:numId="24" w16cid:durableId="1552231268">
    <w:abstractNumId w:val="8"/>
  </w:num>
  <w:num w:numId="25" w16cid:durableId="821777304">
    <w:abstractNumId w:val="15"/>
  </w:num>
  <w:num w:numId="26" w16cid:durableId="450516537">
    <w:abstractNumId w:val="3"/>
  </w:num>
  <w:num w:numId="27" w16cid:durableId="301228692">
    <w:abstractNumId w:val="6"/>
  </w:num>
  <w:num w:numId="28" w16cid:durableId="1808473554">
    <w:abstractNumId w:val="29"/>
  </w:num>
  <w:num w:numId="29" w16cid:durableId="22244077">
    <w:abstractNumId w:val="14"/>
  </w:num>
  <w:num w:numId="30" w16cid:durableId="1272855876">
    <w:abstractNumId w:val="26"/>
  </w:num>
  <w:num w:numId="31" w16cid:durableId="19862799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27503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3619291">
    <w:abstractNumId w:val="33"/>
    <w:lvlOverride w:ilvl="0">
      <w:startOverride w:val="1"/>
    </w:lvlOverride>
  </w:num>
  <w:num w:numId="34" w16cid:durableId="9407957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89840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1948855">
    <w:abstractNumId w:val="23"/>
  </w:num>
  <w:num w:numId="37" w16cid:durableId="1613899808">
    <w:abstractNumId w:val="22"/>
  </w:num>
  <w:num w:numId="38" w16cid:durableId="2055235015">
    <w:abstractNumId w:val="31"/>
  </w:num>
  <w:num w:numId="39" w16cid:durableId="382290402">
    <w:abstractNumId w:val="10"/>
  </w:num>
  <w:num w:numId="40" w16cid:durableId="1020744462">
    <w:abstractNumId w:val="7"/>
  </w:num>
  <w:num w:numId="41" w16cid:durableId="1965386352">
    <w:abstractNumId w:val="35"/>
  </w:num>
  <w:num w:numId="42" w16cid:durableId="1807895390">
    <w:abstractNumId w:val="20"/>
  </w:num>
  <w:num w:numId="43" w16cid:durableId="366835348">
    <w:abstractNumId w:val="18"/>
  </w:num>
  <w:num w:numId="44" w16cid:durableId="292098612">
    <w:abstractNumId w:val="13"/>
  </w:num>
  <w:num w:numId="45" w16cid:durableId="1519931072">
    <w:abstractNumId w:val="17"/>
  </w:num>
  <w:num w:numId="46" w16cid:durableId="1013608823">
    <w:abstractNumId w:val="35"/>
  </w:num>
  <w:num w:numId="47" w16cid:durableId="497306675">
    <w:abstractNumId w:val="35"/>
  </w:num>
  <w:num w:numId="48" w16cid:durableId="945923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37239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proofState w:spelling="clean" w:grammar="clean"/>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9E0"/>
    <w:rsid w:val="00000135"/>
    <w:rsid w:val="00000A79"/>
    <w:rsid w:val="00000CA6"/>
    <w:rsid w:val="00000ECC"/>
    <w:rsid w:val="00001562"/>
    <w:rsid w:val="000025E7"/>
    <w:rsid w:val="000047CA"/>
    <w:rsid w:val="00006082"/>
    <w:rsid w:val="0000632B"/>
    <w:rsid w:val="000108A4"/>
    <w:rsid w:val="00011B24"/>
    <w:rsid w:val="00014578"/>
    <w:rsid w:val="0001526E"/>
    <w:rsid w:val="000171C8"/>
    <w:rsid w:val="000206A7"/>
    <w:rsid w:val="00021D5C"/>
    <w:rsid w:val="00025768"/>
    <w:rsid w:val="00026A9E"/>
    <w:rsid w:val="000319EF"/>
    <w:rsid w:val="00032076"/>
    <w:rsid w:val="0003330D"/>
    <w:rsid w:val="00033908"/>
    <w:rsid w:val="0004109F"/>
    <w:rsid w:val="000416FB"/>
    <w:rsid w:val="00042908"/>
    <w:rsid w:val="00042EA6"/>
    <w:rsid w:val="0004520C"/>
    <w:rsid w:val="00047945"/>
    <w:rsid w:val="00051321"/>
    <w:rsid w:val="00051F0A"/>
    <w:rsid w:val="00052C93"/>
    <w:rsid w:val="000538F7"/>
    <w:rsid w:val="00055B0D"/>
    <w:rsid w:val="00055C4B"/>
    <w:rsid w:val="00057245"/>
    <w:rsid w:val="00063516"/>
    <w:rsid w:val="000638D8"/>
    <w:rsid w:val="00064AFA"/>
    <w:rsid w:val="0007744E"/>
    <w:rsid w:val="000805C9"/>
    <w:rsid w:val="0008090C"/>
    <w:rsid w:val="00080B59"/>
    <w:rsid w:val="00080FE4"/>
    <w:rsid w:val="000817D7"/>
    <w:rsid w:val="0008217C"/>
    <w:rsid w:val="000875EB"/>
    <w:rsid w:val="00087696"/>
    <w:rsid w:val="00087A3D"/>
    <w:rsid w:val="0009084E"/>
    <w:rsid w:val="00091C7E"/>
    <w:rsid w:val="0009353A"/>
    <w:rsid w:val="00093EA3"/>
    <w:rsid w:val="000954AD"/>
    <w:rsid w:val="00097D77"/>
    <w:rsid w:val="000A110A"/>
    <w:rsid w:val="000A1453"/>
    <w:rsid w:val="000A1985"/>
    <w:rsid w:val="000A3ABE"/>
    <w:rsid w:val="000B009D"/>
    <w:rsid w:val="000B0848"/>
    <w:rsid w:val="000B0D9B"/>
    <w:rsid w:val="000B1ACA"/>
    <w:rsid w:val="000B21D6"/>
    <w:rsid w:val="000B2C52"/>
    <w:rsid w:val="000C0AE7"/>
    <w:rsid w:val="000C1069"/>
    <w:rsid w:val="000C20DE"/>
    <w:rsid w:val="000C5AE3"/>
    <w:rsid w:val="000C6B46"/>
    <w:rsid w:val="000D044A"/>
    <w:rsid w:val="000D0EB7"/>
    <w:rsid w:val="000D0ECE"/>
    <w:rsid w:val="000D3B03"/>
    <w:rsid w:val="000D5EE8"/>
    <w:rsid w:val="000D7E4C"/>
    <w:rsid w:val="000E12A6"/>
    <w:rsid w:val="000E1C15"/>
    <w:rsid w:val="000E759F"/>
    <w:rsid w:val="000F0137"/>
    <w:rsid w:val="000F0CA9"/>
    <w:rsid w:val="000F42F3"/>
    <w:rsid w:val="000F571B"/>
    <w:rsid w:val="000F7405"/>
    <w:rsid w:val="001004DC"/>
    <w:rsid w:val="00101639"/>
    <w:rsid w:val="00101697"/>
    <w:rsid w:val="001016B5"/>
    <w:rsid w:val="00104664"/>
    <w:rsid w:val="00110501"/>
    <w:rsid w:val="00110CD1"/>
    <w:rsid w:val="00111DDF"/>
    <w:rsid w:val="001120F0"/>
    <w:rsid w:val="001141A1"/>
    <w:rsid w:val="0011620E"/>
    <w:rsid w:val="00117067"/>
    <w:rsid w:val="00120DDB"/>
    <w:rsid w:val="001240D2"/>
    <w:rsid w:val="00126772"/>
    <w:rsid w:val="00127CCC"/>
    <w:rsid w:val="0013029C"/>
    <w:rsid w:val="001314F9"/>
    <w:rsid w:val="00137DCF"/>
    <w:rsid w:val="001403C4"/>
    <w:rsid w:val="00142DCA"/>
    <w:rsid w:val="00143C67"/>
    <w:rsid w:val="001522F8"/>
    <w:rsid w:val="00155697"/>
    <w:rsid w:val="0015670D"/>
    <w:rsid w:val="00160476"/>
    <w:rsid w:val="001618F4"/>
    <w:rsid w:val="00161A3B"/>
    <w:rsid w:val="00163F93"/>
    <w:rsid w:val="00164D01"/>
    <w:rsid w:val="0016544C"/>
    <w:rsid w:val="00167A83"/>
    <w:rsid w:val="00173BAE"/>
    <w:rsid w:val="0017453C"/>
    <w:rsid w:val="001772FB"/>
    <w:rsid w:val="00177917"/>
    <w:rsid w:val="001809A3"/>
    <w:rsid w:val="001815F3"/>
    <w:rsid w:val="001828AB"/>
    <w:rsid w:val="00182CFA"/>
    <w:rsid w:val="0018324D"/>
    <w:rsid w:val="00184970"/>
    <w:rsid w:val="00184AB1"/>
    <w:rsid w:val="00184D16"/>
    <w:rsid w:val="00186BB3"/>
    <w:rsid w:val="00187A75"/>
    <w:rsid w:val="00190608"/>
    <w:rsid w:val="00190F02"/>
    <w:rsid w:val="00194167"/>
    <w:rsid w:val="00197D34"/>
    <w:rsid w:val="001A06FC"/>
    <w:rsid w:val="001A143A"/>
    <w:rsid w:val="001A25C1"/>
    <w:rsid w:val="001A3555"/>
    <w:rsid w:val="001A7D05"/>
    <w:rsid w:val="001A7E16"/>
    <w:rsid w:val="001B0566"/>
    <w:rsid w:val="001B163D"/>
    <w:rsid w:val="001B25C7"/>
    <w:rsid w:val="001B25ED"/>
    <w:rsid w:val="001B4FCC"/>
    <w:rsid w:val="001B6F39"/>
    <w:rsid w:val="001B7DD6"/>
    <w:rsid w:val="001C18B5"/>
    <w:rsid w:val="001C452A"/>
    <w:rsid w:val="001C6459"/>
    <w:rsid w:val="001C65E4"/>
    <w:rsid w:val="001C79F8"/>
    <w:rsid w:val="001C7A24"/>
    <w:rsid w:val="001D0111"/>
    <w:rsid w:val="001D2126"/>
    <w:rsid w:val="001D2E20"/>
    <w:rsid w:val="001D3B48"/>
    <w:rsid w:val="001D46A8"/>
    <w:rsid w:val="001D713E"/>
    <w:rsid w:val="001E1149"/>
    <w:rsid w:val="001E11AB"/>
    <w:rsid w:val="001E175F"/>
    <w:rsid w:val="001E2AAC"/>
    <w:rsid w:val="001E3CE7"/>
    <w:rsid w:val="001E49D7"/>
    <w:rsid w:val="001E4FB3"/>
    <w:rsid w:val="001E6016"/>
    <w:rsid w:val="001E6780"/>
    <w:rsid w:val="001F10C0"/>
    <w:rsid w:val="001F2BFC"/>
    <w:rsid w:val="001F2FE4"/>
    <w:rsid w:val="001F5BCF"/>
    <w:rsid w:val="001F725A"/>
    <w:rsid w:val="002002A2"/>
    <w:rsid w:val="00201CF9"/>
    <w:rsid w:val="00204EFF"/>
    <w:rsid w:val="00205DA0"/>
    <w:rsid w:val="00207DB0"/>
    <w:rsid w:val="00210BB3"/>
    <w:rsid w:val="002120D0"/>
    <w:rsid w:val="00214F8B"/>
    <w:rsid w:val="002150CF"/>
    <w:rsid w:val="002155A1"/>
    <w:rsid w:val="00215BCE"/>
    <w:rsid w:val="00216C89"/>
    <w:rsid w:val="00217A22"/>
    <w:rsid w:val="00217E9B"/>
    <w:rsid w:val="0022156C"/>
    <w:rsid w:val="002269A8"/>
    <w:rsid w:val="00226A87"/>
    <w:rsid w:val="002274EE"/>
    <w:rsid w:val="00227819"/>
    <w:rsid w:val="00227963"/>
    <w:rsid w:val="00230E4B"/>
    <w:rsid w:val="00234360"/>
    <w:rsid w:val="00236974"/>
    <w:rsid w:val="002371F9"/>
    <w:rsid w:val="0023753D"/>
    <w:rsid w:val="002405D4"/>
    <w:rsid w:val="00240AA5"/>
    <w:rsid w:val="0024141F"/>
    <w:rsid w:val="00242A34"/>
    <w:rsid w:val="00242A8A"/>
    <w:rsid w:val="0025324E"/>
    <w:rsid w:val="00253A68"/>
    <w:rsid w:val="0026100F"/>
    <w:rsid w:val="002614E8"/>
    <w:rsid w:val="00261700"/>
    <w:rsid w:val="00262A02"/>
    <w:rsid w:val="00262AAD"/>
    <w:rsid w:val="00265E82"/>
    <w:rsid w:val="00272480"/>
    <w:rsid w:val="0027374D"/>
    <w:rsid w:val="00273C2A"/>
    <w:rsid w:val="00274B7D"/>
    <w:rsid w:val="00274ECF"/>
    <w:rsid w:val="002753D0"/>
    <w:rsid w:val="00277ADB"/>
    <w:rsid w:val="00281414"/>
    <w:rsid w:val="00282886"/>
    <w:rsid w:val="0028394A"/>
    <w:rsid w:val="00290C28"/>
    <w:rsid w:val="00290FF9"/>
    <w:rsid w:val="0029424F"/>
    <w:rsid w:val="0029547E"/>
    <w:rsid w:val="00296CBA"/>
    <w:rsid w:val="002A15CF"/>
    <w:rsid w:val="002A57AB"/>
    <w:rsid w:val="002A7A2E"/>
    <w:rsid w:val="002B2288"/>
    <w:rsid w:val="002B2D6B"/>
    <w:rsid w:val="002B7350"/>
    <w:rsid w:val="002C0F37"/>
    <w:rsid w:val="002C10FF"/>
    <w:rsid w:val="002C28A6"/>
    <w:rsid w:val="002C34E2"/>
    <w:rsid w:val="002D0145"/>
    <w:rsid w:val="002D0F91"/>
    <w:rsid w:val="002D23B0"/>
    <w:rsid w:val="002D2709"/>
    <w:rsid w:val="002D296B"/>
    <w:rsid w:val="002D2E70"/>
    <w:rsid w:val="002D3213"/>
    <w:rsid w:val="002D6092"/>
    <w:rsid w:val="002E2836"/>
    <w:rsid w:val="002E5173"/>
    <w:rsid w:val="002E7AF0"/>
    <w:rsid w:val="002E7F43"/>
    <w:rsid w:val="002F1273"/>
    <w:rsid w:val="002F4D35"/>
    <w:rsid w:val="002F5756"/>
    <w:rsid w:val="002F62A4"/>
    <w:rsid w:val="002F62BB"/>
    <w:rsid w:val="002F7751"/>
    <w:rsid w:val="00300053"/>
    <w:rsid w:val="003018D1"/>
    <w:rsid w:val="00310B92"/>
    <w:rsid w:val="00310BF0"/>
    <w:rsid w:val="0031271D"/>
    <w:rsid w:val="003128A0"/>
    <w:rsid w:val="00313DDC"/>
    <w:rsid w:val="00317670"/>
    <w:rsid w:val="00317BF5"/>
    <w:rsid w:val="003238E0"/>
    <w:rsid w:val="003247A0"/>
    <w:rsid w:val="003247ED"/>
    <w:rsid w:val="003250B3"/>
    <w:rsid w:val="00326AC5"/>
    <w:rsid w:val="00327611"/>
    <w:rsid w:val="00327796"/>
    <w:rsid w:val="003313E6"/>
    <w:rsid w:val="00333A23"/>
    <w:rsid w:val="00333DBF"/>
    <w:rsid w:val="00333EAA"/>
    <w:rsid w:val="00336AFE"/>
    <w:rsid w:val="003432EE"/>
    <w:rsid w:val="0034475F"/>
    <w:rsid w:val="00344CCF"/>
    <w:rsid w:val="00345547"/>
    <w:rsid w:val="00346100"/>
    <w:rsid w:val="003465CC"/>
    <w:rsid w:val="003514E0"/>
    <w:rsid w:val="00351D99"/>
    <w:rsid w:val="003523C9"/>
    <w:rsid w:val="003534FF"/>
    <w:rsid w:val="00354AB3"/>
    <w:rsid w:val="00356CAB"/>
    <w:rsid w:val="00360246"/>
    <w:rsid w:val="00364040"/>
    <w:rsid w:val="003643ED"/>
    <w:rsid w:val="00366A1A"/>
    <w:rsid w:val="0036768E"/>
    <w:rsid w:val="00370F48"/>
    <w:rsid w:val="00371073"/>
    <w:rsid w:val="003719E0"/>
    <w:rsid w:val="003763D9"/>
    <w:rsid w:val="00376CAD"/>
    <w:rsid w:val="003771EC"/>
    <w:rsid w:val="00377951"/>
    <w:rsid w:val="003801FF"/>
    <w:rsid w:val="003810DD"/>
    <w:rsid w:val="00381EF1"/>
    <w:rsid w:val="00382D60"/>
    <w:rsid w:val="00383CF5"/>
    <w:rsid w:val="00386F33"/>
    <w:rsid w:val="00393413"/>
    <w:rsid w:val="003A0AF6"/>
    <w:rsid w:val="003A1173"/>
    <w:rsid w:val="003A1FC8"/>
    <w:rsid w:val="003A63F7"/>
    <w:rsid w:val="003B1405"/>
    <w:rsid w:val="003B2203"/>
    <w:rsid w:val="003B2260"/>
    <w:rsid w:val="003B24CA"/>
    <w:rsid w:val="003B4EF0"/>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E01ED"/>
    <w:rsid w:val="003E28F1"/>
    <w:rsid w:val="003E2BC9"/>
    <w:rsid w:val="003E59AB"/>
    <w:rsid w:val="003E5BD6"/>
    <w:rsid w:val="003E64B9"/>
    <w:rsid w:val="003F2E2A"/>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4FBE"/>
    <w:rsid w:val="00435A4F"/>
    <w:rsid w:val="00441C56"/>
    <w:rsid w:val="00441D39"/>
    <w:rsid w:val="0044279B"/>
    <w:rsid w:val="00442D08"/>
    <w:rsid w:val="00444D68"/>
    <w:rsid w:val="00445ABA"/>
    <w:rsid w:val="00446841"/>
    <w:rsid w:val="00446F9A"/>
    <w:rsid w:val="00450E6D"/>
    <w:rsid w:val="0045155D"/>
    <w:rsid w:val="00452994"/>
    <w:rsid w:val="0045354B"/>
    <w:rsid w:val="00455D7A"/>
    <w:rsid w:val="00457CB1"/>
    <w:rsid w:val="00462981"/>
    <w:rsid w:val="00462D61"/>
    <w:rsid w:val="004634A3"/>
    <w:rsid w:val="00466620"/>
    <w:rsid w:val="00473466"/>
    <w:rsid w:val="004805E1"/>
    <w:rsid w:val="004811F4"/>
    <w:rsid w:val="00481611"/>
    <w:rsid w:val="004847C0"/>
    <w:rsid w:val="00486A7A"/>
    <w:rsid w:val="00486CDF"/>
    <w:rsid w:val="004939C9"/>
    <w:rsid w:val="004A161E"/>
    <w:rsid w:val="004A2F83"/>
    <w:rsid w:val="004A525F"/>
    <w:rsid w:val="004A5AB1"/>
    <w:rsid w:val="004A680E"/>
    <w:rsid w:val="004A75EB"/>
    <w:rsid w:val="004B2E71"/>
    <w:rsid w:val="004B4E56"/>
    <w:rsid w:val="004B7D12"/>
    <w:rsid w:val="004C04A6"/>
    <w:rsid w:val="004C2752"/>
    <w:rsid w:val="004C41AE"/>
    <w:rsid w:val="004C529C"/>
    <w:rsid w:val="004C6AA4"/>
    <w:rsid w:val="004D079A"/>
    <w:rsid w:val="004D0E78"/>
    <w:rsid w:val="004D12E6"/>
    <w:rsid w:val="004D16B9"/>
    <w:rsid w:val="004D1A45"/>
    <w:rsid w:val="004D3912"/>
    <w:rsid w:val="004D3B01"/>
    <w:rsid w:val="004D3F7F"/>
    <w:rsid w:val="004D490E"/>
    <w:rsid w:val="004D4F20"/>
    <w:rsid w:val="004D55CB"/>
    <w:rsid w:val="004E3026"/>
    <w:rsid w:val="004E4C61"/>
    <w:rsid w:val="004E6CB4"/>
    <w:rsid w:val="004E6DFC"/>
    <w:rsid w:val="004F3491"/>
    <w:rsid w:val="004F3B8E"/>
    <w:rsid w:val="004F5910"/>
    <w:rsid w:val="0050187F"/>
    <w:rsid w:val="00503EFC"/>
    <w:rsid w:val="005055F6"/>
    <w:rsid w:val="005103B8"/>
    <w:rsid w:val="0051501B"/>
    <w:rsid w:val="00516E8D"/>
    <w:rsid w:val="00516F4D"/>
    <w:rsid w:val="0052048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3E4C"/>
    <w:rsid w:val="005445FB"/>
    <w:rsid w:val="0055057B"/>
    <w:rsid w:val="00553308"/>
    <w:rsid w:val="00553822"/>
    <w:rsid w:val="00553F95"/>
    <w:rsid w:val="005540CE"/>
    <w:rsid w:val="00557AAD"/>
    <w:rsid w:val="00557DF5"/>
    <w:rsid w:val="00560A1A"/>
    <w:rsid w:val="00563C5A"/>
    <w:rsid w:val="00570F7B"/>
    <w:rsid w:val="00573476"/>
    <w:rsid w:val="00573530"/>
    <w:rsid w:val="00574F4B"/>
    <w:rsid w:val="00575255"/>
    <w:rsid w:val="005752BB"/>
    <w:rsid w:val="0058099D"/>
    <w:rsid w:val="00585420"/>
    <w:rsid w:val="00585BCB"/>
    <w:rsid w:val="00585FE1"/>
    <w:rsid w:val="005868E3"/>
    <w:rsid w:val="0058697B"/>
    <w:rsid w:val="0058717F"/>
    <w:rsid w:val="00587A51"/>
    <w:rsid w:val="005904F5"/>
    <w:rsid w:val="00593A9B"/>
    <w:rsid w:val="00595448"/>
    <w:rsid w:val="00596871"/>
    <w:rsid w:val="005A2D86"/>
    <w:rsid w:val="005A3260"/>
    <w:rsid w:val="005A3777"/>
    <w:rsid w:val="005A5306"/>
    <w:rsid w:val="005A56FB"/>
    <w:rsid w:val="005C1C74"/>
    <w:rsid w:val="005C3239"/>
    <w:rsid w:val="005C389F"/>
    <w:rsid w:val="005C6357"/>
    <w:rsid w:val="005C6B6B"/>
    <w:rsid w:val="005D5229"/>
    <w:rsid w:val="005D7AE5"/>
    <w:rsid w:val="005E166B"/>
    <w:rsid w:val="005E1798"/>
    <w:rsid w:val="005E1B4C"/>
    <w:rsid w:val="005E5599"/>
    <w:rsid w:val="005E75A6"/>
    <w:rsid w:val="005F1CD0"/>
    <w:rsid w:val="005F2DF8"/>
    <w:rsid w:val="005F400D"/>
    <w:rsid w:val="005F42C8"/>
    <w:rsid w:val="005F57B6"/>
    <w:rsid w:val="005F6635"/>
    <w:rsid w:val="005F6A3C"/>
    <w:rsid w:val="005F77FF"/>
    <w:rsid w:val="0060141C"/>
    <w:rsid w:val="00601819"/>
    <w:rsid w:val="00601B03"/>
    <w:rsid w:val="00602AAB"/>
    <w:rsid w:val="00605C4A"/>
    <w:rsid w:val="00606DA3"/>
    <w:rsid w:val="006070DA"/>
    <w:rsid w:val="00607124"/>
    <w:rsid w:val="00607723"/>
    <w:rsid w:val="00610391"/>
    <w:rsid w:val="00612966"/>
    <w:rsid w:val="006166B6"/>
    <w:rsid w:val="006237A8"/>
    <w:rsid w:val="00624172"/>
    <w:rsid w:val="00625A37"/>
    <w:rsid w:val="0062674F"/>
    <w:rsid w:val="00627911"/>
    <w:rsid w:val="0063383F"/>
    <w:rsid w:val="00634658"/>
    <w:rsid w:val="0063719C"/>
    <w:rsid w:val="00637653"/>
    <w:rsid w:val="0063786D"/>
    <w:rsid w:val="0064052A"/>
    <w:rsid w:val="006417D6"/>
    <w:rsid w:val="00641FDA"/>
    <w:rsid w:val="0064256B"/>
    <w:rsid w:val="00650A2C"/>
    <w:rsid w:val="00651FF3"/>
    <w:rsid w:val="006529B7"/>
    <w:rsid w:val="00654F0D"/>
    <w:rsid w:val="00654FD9"/>
    <w:rsid w:val="00656881"/>
    <w:rsid w:val="00656CED"/>
    <w:rsid w:val="00660C92"/>
    <w:rsid w:val="006641EA"/>
    <w:rsid w:val="00664CA6"/>
    <w:rsid w:val="00665788"/>
    <w:rsid w:val="00667E5B"/>
    <w:rsid w:val="00671115"/>
    <w:rsid w:val="006712C9"/>
    <w:rsid w:val="006712EE"/>
    <w:rsid w:val="0067279A"/>
    <w:rsid w:val="00673FB2"/>
    <w:rsid w:val="00674FD6"/>
    <w:rsid w:val="00676EAF"/>
    <w:rsid w:val="0068489A"/>
    <w:rsid w:val="006852EC"/>
    <w:rsid w:val="006909DF"/>
    <w:rsid w:val="00692198"/>
    <w:rsid w:val="006940B5"/>
    <w:rsid w:val="006949A3"/>
    <w:rsid w:val="00695DBD"/>
    <w:rsid w:val="006A13DB"/>
    <w:rsid w:val="006A28ED"/>
    <w:rsid w:val="006A4C18"/>
    <w:rsid w:val="006B0204"/>
    <w:rsid w:val="006B3110"/>
    <w:rsid w:val="006B621B"/>
    <w:rsid w:val="006C041B"/>
    <w:rsid w:val="006C046C"/>
    <w:rsid w:val="006C1059"/>
    <w:rsid w:val="006C1CE3"/>
    <w:rsid w:val="006C42A2"/>
    <w:rsid w:val="006C4320"/>
    <w:rsid w:val="006C47EF"/>
    <w:rsid w:val="006C54CA"/>
    <w:rsid w:val="006C7290"/>
    <w:rsid w:val="006D11F6"/>
    <w:rsid w:val="006D1D53"/>
    <w:rsid w:val="006D27CA"/>
    <w:rsid w:val="006D4BFB"/>
    <w:rsid w:val="006D4FB6"/>
    <w:rsid w:val="006D6D12"/>
    <w:rsid w:val="006D7857"/>
    <w:rsid w:val="006E1EA2"/>
    <w:rsid w:val="006E33BA"/>
    <w:rsid w:val="006E3A35"/>
    <w:rsid w:val="006E3B9B"/>
    <w:rsid w:val="006E4476"/>
    <w:rsid w:val="006E47AB"/>
    <w:rsid w:val="006E5A7E"/>
    <w:rsid w:val="006E743B"/>
    <w:rsid w:val="006F0A1A"/>
    <w:rsid w:val="006F0A57"/>
    <w:rsid w:val="006F1305"/>
    <w:rsid w:val="006F1325"/>
    <w:rsid w:val="006F3E3C"/>
    <w:rsid w:val="006F4BBF"/>
    <w:rsid w:val="006F6EF4"/>
    <w:rsid w:val="00700886"/>
    <w:rsid w:val="007030A8"/>
    <w:rsid w:val="00703377"/>
    <w:rsid w:val="00704BF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78"/>
    <w:rsid w:val="00727440"/>
    <w:rsid w:val="0073463E"/>
    <w:rsid w:val="00735A7F"/>
    <w:rsid w:val="007409F1"/>
    <w:rsid w:val="00742176"/>
    <w:rsid w:val="00744441"/>
    <w:rsid w:val="00746FE5"/>
    <w:rsid w:val="00750A4A"/>
    <w:rsid w:val="007550D3"/>
    <w:rsid w:val="0075605B"/>
    <w:rsid w:val="00757F1D"/>
    <w:rsid w:val="0076590C"/>
    <w:rsid w:val="00765C71"/>
    <w:rsid w:val="00773036"/>
    <w:rsid w:val="00773E7E"/>
    <w:rsid w:val="00774223"/>
    <w:rsid w:val="007750A3"/>
    <w:rsid w:val="00776820"/>
    <w:rsid w:val="00777678"/>
    <w:rsid w:val="007779E0"/>
    <w:rsid w:val="007808AC"/>
    <w:rsid w:val="00780D71"/>
    <w:rsid w:val="00780DE3"/>
    <w:rsid w:val="00781EA3"/>
    <w:rsid w:val="00784978"/>
    <w:rsid w:val="0078678C"/>
    <w:rsid w:val="0078725A"/>
    <w:rsid w:val="00787BE6"/>
    <w:rsid w:val="00790F1F"/>
    <w:rsid w:val="007939BD"/>
    <w:rsid w:val="00794CCC"/>
    <w:rsid w:val="0079518D"/>
    <w:rsid w:val="00795392"/>
    <w:rsid w:val="007A2031"/>
    <w:rsid w:val="007A3B94"/>
    <w:rsid w:val="007A3E20"/>
    <w:rsid w:val="007A7571"/>
    <w:rsid w:val="007A7D7E"/>
    <w:rsid w:val="007B0110"/>
    <w:rsid w:val="007B71FA"/>
    <w:rsid w:val="007B7F61"/>
    <w:rsid w:val="007C169C"/>
    <w:rsid w:val="007C2291"/>
    <w:rsid w:val="007C7899"/>
    <w:rsid w:val="007C7F93"/>
    <w:rsid w:val="007D36BB"/>
    <w:rsid w:val="007D5E7A"/>
    <w:rsid w:val="007D6642"/>
    <w:rsid w:val="007D726A"/>
    <w:rsid w:val="007E0CF2"/>
    <w:rsid w:val="007E131C"/>
    <w:rsid w:val="007E14BF"/>
    <w:rsid w:val="007E1BF3"/>
    <w:rsid w:val="007E1C66"/>
    <w:rsid w:val="007E3177"/>
    <w:rsid w:val="007E478C"/>
    <w:rsid w:val="007E5D35"/>
    <w:rsid w:val="007E6657"/>
    <w:rsid w:val="007F04F7"/>
    <w:rsid w:val="007F197D"/>
    <w:rsid w:val="00802AAF"/>
    <w:rsid w:val="00804D8B"/>
    <w:rsid w:val="008134C0"/>
    <w:rsid w:val="0081428F"/>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6395"/>
    <w:rsid w:val="00860DB3"/>
    <w:rsid w:val="00860FCE"/>
    <w:rsid w:val="0086287E"/>
    <w:rsid w:val="0086485E"/>
    <w:rsid w:val="00865AC0"/>
    <w:rsid w:val="00867C9B"/>
    <w:rsid w:val="008700B2"/>
    <w:rsid w:val="00874F48"/>
    <w:rsid w:val="00876FF4"/>
    <w:rsid w:val="00881340"/>
    <w:rsid w:val="00883B74"/>
    <w:rsid w:val="00884D09"/>
    <w:rsid w:val="00894681"/>
    <w:rsid w:val="008952EA"/>
    <w:rsid w:val="00895ECF"/>
    <w:rsid w:val="00896FE4"/>
    <w:rsid w:val="00897DCD"/>
    <w:rsid w:val="008A319A"/>
    <w:rsid w:val="008A52BD"/>
    <w:rsid w:val="008A6375"/>
    <w:rsid w:val="008A65A3"/>
    <w:rsid w:val="008A7C0B"/>
    <w:rsid w:val="008B30F0"/>
    <w:rsid w:val="008B5155"/>
    <w:rsid w:val="008B5439"/>
    <w:rsid w:val="008B7A42"/>
    <w:rsid w:val="008C257D"/>
    <w:rsid w:val="008C2A38"/>
    <w:rsid w:val="008C2FC2"/>
    <w:rsid w:val="008C4173"/>
    <w:rsid w:val="008C4347"/>
    <w:rsid w:val="008C5AF6"/>
    <w:rsid w:val="008C777D"/>
    <w:rsid w:val="008D1BD8"/>
    <w:rsid w:val="008D3526"/>
    <w:rsid w:val="008D477A"/>
    <w:rsid w:val="008D6462"/>
    <w:rsid w:val="008D71E2"/>
    <w:rsid w:val="008E10A8"/>
    <w:rsid w:val="008E2A9C"/>
    <w:rsid w:val="008E3E83"/>
    <w:rsid w:val="008E4648"/>
    <w:rsid w:val="008E4AFE"/>
    <w:rsid w:val="008E4B3F"/>
    <w:rsid w:val="008E4BB3"/>
    <w:rsid w:val="008E5269"/>
    <w:rsid w:val="008E6E88"/>
    <w:rsid w:val="008E7A84"/>
    <w:rsid w:val="008F027C"/>
    <w:rsid w:val="008F0EB9"/>
    <w:rsid w:val="008F2B41"/>
    <w:rsid w:val="008F41C7"/>
    <w:rsid w:val="008F5B0F"/>
    <w:rsid w:val="008F74E4"/>
    <w:rsid w:val="00900477"/>
    <w:rsid w:val="0090451E"/>
    <w:rsid w:val="00905401"/>
    <w:rsid w:val="00905735"/>
    <w:rsid w:val="00912807"/>
    <w:rsid w:val="00913E7E"/>
    <w:rsid w:val="009143B9"/>
    <w:rsid w:val="00916BA8"/>
    <w:rsid w:val="00921BA5"/>
    <w:rsid w:val="00921FD3"/>
    <w:rsid w:val="00922912"/>
    <w:rsid w:val="00924BAA"/>
    <w:rsid w:val="00926236"/>
    <w:rsid w:val="00927D13"/>
    <w:rsid w:val="00930939"/>
    <w:rsid w:val="00930996"/>
    <w:rsid w:val="00932482"/>
    <w:rsid w:val="00932B94"/>
    <w:rsid w:val="00932E53"/>
    <w:rsid w:val="009351FB"/>
    <w:rsid w:val="0093548B"/>
    <w:rsid w:val="0093715C"/>
    <w:rsid w:val="009422B5"/>
    <w:rsid w:val="009422E3"/>
    <w:rsid w:val="00942E51"/>
    <w:rsid w:val="009534BC"/>
    <w:rsid w:val="009545D9"/>
    <w:rsid w:val="00955E05"/>
    <w:rsid w:val="009568A6"/>
    <w:rsid w:val="009568FC"/>
    <w:rsid w:val="00960001"/>
    <w:rsid w:val="009629D6"/>
    <w:rsid w:val="00964C89"/>
    <w:rsid w:val="00965764"/>
    <w:rsid w:val="00965896"/>
    <w:rsid w:val="009705F5"/>
    <w:rsid w:val="00970F5F"/>
    <w:rsid w:val="00974D02"/>
    <w:rsid w:val="0097649A"/>
    <w:rsid w:val="00977AE0"/>
    <w:rsid w:val="0098154B"/>
    <w:rsid w:val="00984B42"/>
    <w:rsid w:val="00984EEC"/>
    <w:rsid w:val="00985B34"/>
    <w:rsid w:val="0098791F"/>
    <w:rsid w:val="00987CFD"/>
    <w:rsid w:val="00992791"/>
    <w:rsid w:val="00993E2C"/>
    <w:rsid w:val="009941CB"/>
    <w:rsid w:val="00996828"/>
    <w:rsid w:val="009A0AE8"/>
    <w:rsid w:val="009A2156"/>
    <w:rsid w:val="009A4276"/>
    <w:rsid w:val="009A6661"/>
    <w:rsid w:val="009A78D2"/>
    <w:rsid w:val="009B1C68"/>
    <w:rsid w:val="009B335B"/>
    <w:rsid w:val="009B3EF2"/>
    <w:rsid w:val="009B46D1"/>
    <w:rsid w:val="009B4AAD"/>
    <w:rsid w:val="009B7222"/>
    <w:rsid w:val="009C1B37"/>
    <w:rsid w:val="009C3244"/>
    <w:rsid w:val="009C32AF"/>
    <w:rsid w:val="009C3D39"/>
    <w:rsid w:val="009C6054"/>
    <w:rsid w:val="009C61F5"/>
    <w:rsid w:val="009C6FF8"/>
    <w:rsid w:val="009D0F9D"/>
    <w:rsid w:val="009D1141"/>
    <w:rsid w:val="009D34C3"/>
    <w:rsid w:val="009D390C"/>
    <w:rsid w:val="009D3A3F"/>
    <w:rsid w:val="009D3B1F"/>
    <w:rsid w:val="009E4418"/>
    <w:rsid w:val="009E67E3"/>
    <w:rsid w:val="009F0441"/>
    <w:rsid w:val="009F0481"/>
    <w:rsid w:val="009F16BC"/>
    <w:rsid w:val="009F179E"/>
    <w:rsid w:val="009F1DA4"/>
    <w:rsid w:val="009F2129"/>
    <w:rsid w:val="009F5877"/>
    <w:rsid w:val="00A01B3D"/>
    <w:rsid w:val="00A0314D"/>
    <w:rsid w:val="00A03801"/>
    <w:rsid w:val="00A05108"/>
    <w:rsid w:val="00A055EB"/>
    <w:rsid w:val="00A06335"/>
    <w:rsid w:val="00A075DB"/>
    <w:rsid w:val="00A11C58"/>
    <w:rsid w:val="00A14DF2"/>
    <w:rsid w:val="00A15FBE"/>
    <w:rsid w:val="00A16A0B"/>
    <w:rsid w:val="00A17CA4"/>
    <w:rsid w:val="00A21338"/>
    <w:rsid w:val="00A21893"/>
    <w:rsid w:val="00A254CE"/>
    <w:rsid w:val="00A26AE1"/>
    <w:rsid w:val="00A2768D"/>
    <w:rsid w:val="00A3031A"/>
    <w:rsid w:val="00A33103"/>
    <w:rsid w:val="00A3313F"/>
    <w:rsid w:val="00A34210"/>
    <w:rsid w:val="00A34AF5"/>
    <w:rsid w:val="00A369D7"/>
    <w:rsid w:val="00A36D8A"/>
    <w:rsid w:val="00A36E34"/>
    <w:rsid w:val="00A40D84"/>
    <w:rsid w:val="00A41770"/>
    <w:rsid w:val="00A43261"/>
    <w:rsid w:val="00A45085"/>
    <w:rsid w:val="00A45A73"/>
    <w:rsid w:val="00A4780A"/>
    <w:rsid w:val="00A51C60"/>
    <w:rsid w:val="00A51D6B"/>
    <w:rsid w:val="00A5249A"/>
    <w:rsid w:val="00A54AC9"/>
    <w:rsid w:val="00A567F4"/>
    <w:rsid w:val="00A60F56"/>
    <w:rsid w:val="00A62EEC"/>
    <w:rsid w:val="00A64C1A"/>
    <w:rsid w:val="00A673ED"/>
    <w:rsid w:val="00A744DA"/>
    <w:rsid w:val="00A74DD0"/>
    <w:rsid w:val="00A74ED9"/>
    <w:rsid w:val="00A753CD"/>
    <w:rsid w:val="00A80DF4"/>
    <w:rsid w:val="00A81824"/>
    <w:rsid w:val="00A836B5"/>
    <w:rsid w:val="00A83C21"/>
    <w:rsid w:val="00A84EC7"/>
    <w:rsid w:val="00A86CE3"/>
    <w:rsid w:val="00A870ED"/>
    <w:rsid w:val="00A87932"/>
    <w:rsid w:val="00A90206"/>
    <w:rsid w:val="00A90A41"/>
    <w:rsid w:val="00A975B5"/>
    <w:rsid w:val="00A97913"/>
    <w:rsid w:val="00A97BB8"/>
    <w:rsid w:val="00AA02BF"/>
    <w:rsid w:val="00AA0997"/>
    <w:rsid w:val="00AA55CB"/>
    <w:rsid w:val="00AA76B1"/>
    <w:rsid w:val="00AB012A"/>
    <w:rsid w:val="00AB166D"/>
    <w:rsid w:val="00AB1846"/>
    <w:rsid w:val="00AB1868"/>
    <w:rsid w:val="00AB32DF"/>
    <w:rsid w:val="00AB5527"/>
    <w:rsid w:val="00AB56E8"/>
    <w:rsid w:val="00AB7B9B"/>
    <w:rsid w:val="00AB7D40"/>
    <w:rsid w:val="00AC0A1C"/>
    <w:rsid w:val="00AC383B"/>
    <w:rsid w:val="00AC77B6"/>
    <w:rsid w:val="00AD1641"/>
    <w:rsid w:val="00AD3D5A"/>
    <w:rsid w:val="00AD4784"/>
    <w:rsid w:val="00AD4CAE"/>
    <w:rsid w:val="00AD4D19"/>
    <w:rsid w:val="00AD7CE1"/>
    <w:rsid w:val="00AE029F"/>
    <w:rsid w:val="00AE16B4"/>
    <w:rsid w:val="00AE3ED8"/>
    <w:rsid w:val="00AE47BA"/>
    <w:rsid w:val="00AE5A95"/>
    <w:rsid w:val="00AF06B4"/>
    <w:rsid w:val="00AF4FF1"/>
    <w:rsid w:val="00AF5172"/>
    <w:rsid w:val="00AF6567"/>
    <w:rsid w:val="00B017E1"/>
    <w:rsid w:val="00B0441E"/>
    <w:rsid w:val="00B067A8"/>
    <w:rsid w:val="00B0682B"/>
    <w:rsid w:val="00B0708E"/>
    <w:rsid w:val="00B07EEF"/>
    <w:rsid w:val="00B11371"/>
    <w:rsid w:val="00B2244C"/>
    <w:rsid w:val="00B23410"/>
    <w:rsid w:val="00B23A0A"/>
    <w:rsid w:val="00B24BDD"/>
    <w:rsid w:val="00B3042A"/>
    <w:rsid w:val="00B31FB5"/>
    <w:rsid w:val="00B33A8D"/>
    <w:rsid w:val="00B37086"/>
    <w:rsid w:val="00B3780D"/>
    <w:rsid w:val="00B40164"/>
    <w:rsid w:val="00B42D71"/>
    <w:rsid w:val="00B4392B"/>
    <w:rsid w:val="00B44BC0"/>
    <w:rsid w:val="00B44EA5"/>
    <w:rsid w:val="00B45FD0"/>
    <w:rsid w:val="00B47D4A"/>
    <w:rsid w:val="00B511A7"/>
    <w:rsid w:val="00B52967"/>
    <w:rsid w:val="00B53C09"/>
    <w:rsid w:val="00B57C6C"/>
    <w:rsid w:val="00B611B9"/>
    <w:rsid w:val="00B624C9"/>
    <w:rsid w:val="00B652E8"/>
    <w:rsid w:val="00B70163"/>
    <w:rsid w:val="00B70ABA"/>
    <w:rsid w:val="00B739B0"/>
    <w:rsid w:val="00B76420"/>
    <w:rsid w:val="00B767E4"/>
    <w:rsid w:val="00B76E39"/>
    <w:rsid w:val="00B77357"/>
    <w:rsid w:val="00B80C75"/>
    <w:rsid w:val="00B82B76"/>
    <w:rsid w:val="00B835DD"/>
    <w:rsid w:val="00B83B46"/>
    <w:rsid w:val="00B8418E"/>
    <w:rsid w:val="00B85311"/>
    <w:rsid w:val="00B854B2"/>
    <w:rsid w:val="00B857AE"/>
    <w:rsid w:val="00B86383"/>
    <w:rsid w:val="00B86A6D"/>
    <w:rsid w:val="00B94B26"/>
    <w:rsid w:val="00B95680"/>
    <w:rsid w:val="00B96C57"/>
    <w:rsid w:val="00B96FAF"/>
    <w:rsid w:val="00BA16D0"/>
    <w:rsid w:val="00BA1A28"/>
    <w:rsid w:val="00BA2385"/>
    <w:rsid w:val="00BA250C"/>
    <w:rsid w:val="00BA2526"/>
    <w:rsid w:val="00BA49F8"/>
    <w:rsid w:val="00BB33DA"/>
    <w:rsid w:val="00BB4245"/>
    <w:rsid w:val="00BB4A17"/>
    <w:rsid w:val="00BB4BBA"/>
    <w:rsid w:val="00BB5B22"/>
    <w:rsid w:val="00BB679B"/>
    <w:rsid w:val="00BB70F9"/>
    <w:rsid w:val="00BB7DBB"/>
    <w:rsid w:val="00BC09A7"/>
    <w:rsid w:val="00BC24C7"/>
    <w:rsid w:val="00BC3809"/>
    <w:rsid w:val="00BC3F11"/>
    <w:rsid w:val="00BD122F"/>
    <w:rsid w:val="00BD17F9"/>
    <w:rsid w:val="00BD6D56"/>
    <w:rsid w:val="00BE1FB6"/>
    <w:rsid w:val="00BE4BA6"/>
    <w:rsid w:val="00BE51B4"/>
    <w:rsid w:val="00BE6C92"/>
    <w:rsid w:val="00BE7A71"/>
    <w:rsid w:val="00BE7BBE"/>
    <w:rsid w:val="00BF1B01"/>
    <w:rsid w:val="00BF3050"/>
    <w:rsid w:val="00C05E4A"/>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0E56"/>
    <w:rsid w:val="00C321BC"/>
    <w:rsid w:val="00C353D3"/>
    <w:rsid w:val="00C37D6F"/>
    <w:rsid w:val="00C4246A"/>
    <w:rsid w:val="00C45EAE"/>
    <w:rsid w:val="00C46E19"/>
    <w:rsid w:val="00C47F5E"/>
    <w:rsid w:val="00C534B5"/>
    <w:rsid w:val="00C53BE3"/>
    <w:rsid w:val="00C5416F"/>
    <w:rsid w:val="00C56614"/>
    <w:rsid w:val="00C568E6"/>
    <w:rsid w:val="00C603B0"/>
    <w:rsid w:val="00C61807"/>
    <w:rsid w:val="00C65A15"/>
    <w:rsid w:val="00C65A84"/>
    <w:rsid w:val="00C67E6B"/>
    <w:rsid w:val="00C71CA8"/>
    <w:rsid w:val="00C723AC"/>
    <w:rsid w:val="00C7247D"/>
    <w:rsid w:val="00C7336F"/>
    <w:rsid w:val="00C7344B"/>
    <w:rsid w:val="00C74A27"/>
    <w:rsid w:val="00C85631"/>
    <w:rsid w:val="00C86333"/>
    <w:rsid w:val="00C8649B"/>
    <w:rsid w:val="00C877D1"/>
    <w:rsid w:val="00C87BE3"/>
    <w:rsid w:val="00C90A62"/>
    <w:rsid w:val="00C9155A"/>
    <w:rsid w:val="00C95C64"/>
    <w:rsid w:val="00C95F6B"/>
    <w:rsid w:val="00C9627A"/>
    <w:rsid w:val="00CA03B0"/>
    <w:rsid w:val="00CA1612"/>
    <w:rsid w:val="00CA2607"/>
    <w:rsid w:val="00CA3320"/>
    <w:rsid w:val="00CA5C57"/>
    <w:rsid w:val="00CA6A89"/>
    <w:rsid w:val="00CB0BB1"/>
    <w:rsid w:val="00CB0FB4"/>
    <w:rsid w:val="00CB1F28"/>
    <w:rsid w:val="00CB4A85"/>
    <w:rsid w:val="00CC068E"/>
    <w:rsid w:val="00CC0872"/>
    <w:rsid w:val="00CC15BE"/>
    <w:rsid w:val="00CC2D58"/>
    <w:rsid w:val="00CC614E"/>
    <w:rsid w:val="00CD0E40"/>
    <w:rsid w:val="00CD0EB6"/>
    <w:rsid w:val="00CD4235"/>
    <w:rsid w:val="00CD57C3"/>
    <w:rsid w:val="00CE11DB"/>
    <w:rsid w:val="00CE265F"/>
    <w:rsid w:val="00CE3F98"/>
    <w:rsid w:val="00CE51E5"/>
    <w:rsid w:val="00CE699C"/>
    <w:rsid w:val="00CF0D9E"/>
    <w:rsid w:val="00CF22CB"/>
    <w:rsid w:val="00CF47EE"/>
    <w:rsid w:val="00CF56FE"/>
    <w:rsid w:val="00CF5B27"/>
    <w:rsid w:val="00CF70E7"/>
    <w:rsid w:val="00CF7A0B"/>
    <w:rsid w:val="00D00D2B"/>
    <w:rsid w:val="00D049E6"/>
    <w:rsid w:val="00D05BB3"/>
    <w:rsid w:val="00D11AF1"/>
    <w:rsid w:val="00D13762"/>
    <w:rsid w:val="00D21E4A"/>
    <w:rsid w:val="00D22EF9"/>
    <w:rsid w:val="00D23BA2"/>
    <w:rsid w:val="00D24FF3"/>
    <w:rsid w:val="00D2510D"/>
    <w:rsid w:val="00D26530"/>
    <w:rsid w:val="00D26EAD"/>
    <w:rsid w:val="00D26FF1"/>
    <w:rsid w:val="00D2733B"/>
    <w:rsid w:val="00D30F18"/>
    <w:rsid w:val="00D3252E"/>
    <w:rsid w:val="00D409DC"/>
    <w:rsid w:val="00D428B8"/>
    <w:rsid w:val="00D42E06"/>
    <w:rsid w:val="00D466A1"/>
    <w:rsid w:val="00D466DE"/>
    <w:rsid w:val="00D55781"/>
    <w:rsid w:val="00D600FC"/>
    <w:rsid w:val="00D62456"/>
    <w:rsid w:val="00D632A4"/>
    <w:rsid w:val="00D634ED"/>
    <w:rsid w:val="00D63514"/>
    <w:rsid w:val="00D640B2"/>
    <w:rsid w:val="00D64502"/>
    <w:rsid w:val="00D65E29"/>
    <w:rsid w:val="00D67D62"/>
    <w:rsid w:val="00D7239D"/>
    <w:rsid w:val="00D73225"/>
    <w:rsid w:val="00D739CA"/>
    <w:rsid w:val="00D76BCE"/>
    <w:rsid w:val="00D77254"/>
    <w:rsid w:val="00D7784A"/>
    <w:rsid w:val="00D778F4"/>
    <w:rsid w:val="00D801BF"/>
    <w:rsid w:val="00D80224"/>
    <w:rsid w:val="00D83257"/>
    <w:rsid w:val="00D848FE"/>
    <w:rsid w:val="00D9514A"/>
    <w:rsid w:val="00D9576D"/>
    <w:rsid w:val="00DA28E2"/>
    <w:rsid w:val="00DA59A2"/>
    <w:rsid w:val="00DA6A2B"/>
    <w:rsid w:val="00DB0163"/>
    <w:rsid w:val="00DB11E8"/>
    <w:rsid w:val="00DB5172"/>
    <w:rsid w:val="00DB5B42"/>
    <w:rsid w:val="00DC384C"/>
    <w:rsid w:val="00DC40C8"/>
    <w:rsid w:val="00DC48F0"/>
    <w:rsid w:val="00DC723C"/>
    <w:rsid w:val="00DC7FD2"/>
    <w:rsid w:val="00DD0C41"/>
    <w:rsid w:val="00DD1E0F"/>
    <w:rsid w:val="00DD308E"/>
    <w:rsid w:val="00DD4383"/>
    <w:rsid w:val="00DD68DA"/>
    <w:rsid w:val="00DD6C3A"/>
    <w:rsid w:val="00DE111D"/>
    <w:rsid w:val="00DE4000"/>
    <w:rsid w:val="00DE52B8"/>
    <w:rsid w:val="00DF4DA4"/>
    <w:rsid w:val="00DF5EF0"/>
    <w:rsid w:val="00E001AF"/>
    <w:rsid w:val="00E02370"/>
    <w:rsid w:val="00E03A20"/>
    <w:rsid w:val="00E03CAF"/>
    <w:rsid w:val="00E055D8"/>
    <w:rsid w:val="00E05F12"/>
    <w:rsid w:val="00E079DF"/>
    <w:rsid w:val="00E1110F"/>
    <w:rsid w:val="00E11EE8"/>
    <w:rsid w:val="00E12146"/>
    <w:rsid w:val="00E126E9"/>
    <w:rsid w:val="00E1314D"/>
    <w:rsid w:val="00E13B8D"/>
    <w:rsid w:val="00E14717"/>
    <w:rsid w:val="00E16E4C"/>
    <w:rsid w:val="00E21D9B"/>
    <w:rsid w:val="00E22ED6"/>
    <w:rsid w:val="00E26A0E"/>
    <w:rsid w:val="00E27ACD"/>
    <w:rsid w:val="00E314B8"/>
    <w:rsid w:val="00E336B2"/>
    <w:rsid w:val="00E34F65"/>
    <w:rsid w:val="00E401D2"/>
    <w:rsid w:val="00E45E48"/>
    <w:rsid w:val="00E47755"/>
    <w:rsid w:val="00E541BE"/>
    <w:rsid w:val="00E570CD"/>
    <w:rsid w:val="00E60EA0"/>
    <w:rsid w:val="00E669CC"/>
    <w:rsid w:val="00E71751"/>
    <w:rsid w:val="00E72371"/>
    <w:rsid w:val="00E72BBB"/>
    <w:rsid w:val="00E75820"/>
    <w:rsid w:val="00E76486"/>
    <w:rsid w:val="00E8084B"/>
    <w:rsid w:val="00E81378"/>
    <w:rsid w:val="00E81D6B"/>
    <w:rsid w:val="00E84091"/>
    <w:rsid w:val="00E854F4"/>
    <w:rsid w:val="00E8632A"/>
    <w:rsid w:val="00E86408"/>
    <w:rsid w:val="00E92117"/>
    <w:rsid w:val="00E95099"/>
    <w:rsid w:val="00E954E7"/>
    <w:rsid w:val="00E967FA"/>
    <w:rsid w:val="00E96861"/>
    <w:rsid w:val="00E97046"/>
    <w:rsid w:val="00EA2402"/>
    <w:rsid w:val="00EA3D98"/>
    <w:rsid w:val="00EB2C5C"/>
    <w:rsid w:val="00EB56E8"/>
    <w:rsid w:val="00EB57A7"/>
    <w:rsid w:val="00EB5C8C"/>
    <w:rsid w:val="00EC00BB"/>
    <w:rsid w:val="00EC15D2"/>
    <w:rsid w:val="00EC401E"/>
    <w:rsid w:val="00EC493C"/>
    <w:rsid w:val="00EC72B3"/>
    <w:rsid w:val="00ED07E0"/>
    <w:rsid w:val="00ED2020"/>
    <w:rsid w:val="00ED4F42"/>
    <w:rsid w:val="00ED53DD"/>
    <w:rsid w:val="00ED571C"/>
    <w:rsid w:val="00ED6C45"/>
    <w:rsid w:val="00ED73B9"/>
    <w:rsid w:val="00EE0927"/>
    <w:rsid w:val="00EE129C"/>
    <w:rsid w:val="00EE1F4C"/>
    <w:rsid w:val="00EE28D9"/>
    <w:rsid w:val="00EE42C3"/>
    <w:rsid w:val="00EE63DF"/>
    <w:rsid w:val="00EE6D08"/>
    <w:rsid w:val="00EF4193"/>
    <w:rsid w:val="00EF4770"/>
    <w:rsid w:val="00EF6751"/>
    <w:rsid w:val="00EF7EB0"/>
    <w:rsid w:val="00EF7F47"/>
    <w:rsid w:val="00F00708"/>
    <w:rsid w:val="00F0109A"/>
    <w:rsid w:val="00F025D0"/>
    <w:rsid w:val="00F029A3"/>
    <w:rsid w:val="00F039A0"/>
    <w:rsid w:val="00F052BD"/>
    <w:rsid w:val="00F05D6A"/>
    <w:rsid w:val="00F06EAA"/>
    <w:rsid w:val="00F074E6"/>
    <w:rsid w:val="00F119CB"/>
    <w:rsid w:val="00F174A9"/>
    <w:rsid w:val="00F17557"/>
    <w:rsid w:val="00F17F97"/>
    <w:rsid w:val="00F202FC"/>
    <w:rsid w:val="00F2383F"/>
    <w:rsid w:val="00F258F9"/>
    <w:rsid w:val="00F33027"/>
    <w:rsid w:val="00F33084"/>
    <w:rsid w:val="00F35569"/>
    <w:rsid w:val="00F36640"/>
    <w:rsid w:val="00F366FF"/>
    <w:rsid w:val="00F409D7"/>
    <w:rsid w:val="00F41571"/>
    <w:rsid w:val="00F43AAD"/>
    <w:rsid w:val="00F440C6"/>
    <w:rsid w:val="00F44741"/>
    <w:rsid w:val="00F4730A"/>
    <w:rsid w:val="00F50498"/>
    <w:rsid w:val="00F5160B"/>
    <w:rsid w:val="00F54053"/>
    <w:rsid w:val="00F607F3"/>
    <w:rsid w:val="00F61326"/>
    <w:rsid w:val="00F617F8"/>
    <w:rsid w:val="00F618DF"/>
    <w:rsid w:val="00F61B2A"/>
    <w:rsid w:val="00F6239D"/>
    <w:rsid w:val="00F624D7"/>
    <w:rsid w:val="00F626B2"/>
    <w:rsid w:val="00F635F2"/>
    <w:rsid w:val="00F65696"/>
    <w:rsid w:val="00F65A21"/>
    <w:rsid w:val="00F65C7C"/>
    <w:rsid w:val="00F7169D"/>
    <w:rsid w:val="00F73F31"/>
    <w:rsid w:val="00F77FEB"/>
    <w:rsid w:val="00F81234"/>
    <w:rsid w:val="00F814F8"/>
    <w:rsid w:val="00F825B9"/>
    <w:rsid w:val="00F82B4B"/>
    <w:rsid w:val="00F83066"/>
    <w:rsid w:val="00F83656"/>
    <w:rsid w:val="00F86952"/>
    <w:rsid w:val="00F86B05"/>
    <w:rsid w:val="00F904B7"/>
    <w:rsid w:val="00F911EB"/>
    <w:rsid w:val="00F91E65"/>
    <w:rsid w:val="00F93F9E"/>
    <w:rsid w:val="00F97E7D"/>
    <w:rsid w:val="00FA33F0"/>
    <w:rsid w:val="00FA3C94"/>
    <w:rsid w:val="00FA580F"/>
    <w:rsid w:val="00FB325E"/>
    <w:rsid w:val="00FB6CE2"/>
    <w:rsid w:val="00FC29CB"/>
    <w:rsid w:val="00FC3DB7"/>
    <w:rsid w:val="00FC6287"/>
    <w:rsid w:val="00FC7DAA"/>
    <w:rsid w:val="00FD1205"/>
    <w:rsid w:val="00FD17FD"/>
    <w:rsid w:val="00FD366A"/>
    <w:rsid w:val="00FD426D"/>
    <w:rsid w:val="00FD47B4"/>
    <w:rsid w:val="00FD6A38"/>
    <w:rsid w:val="00FD6DB5"/>
    <w:rsid w:val="00FE033F"/>
    <w:rsid w:val="00FE0687"/>
    <w:rsid w:val="00FE181A"/>
    <w:rsid w:val="00FE183A"/>
    <w:rsid w:val="00FE18A0"/>
    <w:rsid w:val="00FE1E6D"/>
    <w:rsid w:val="00FE3524"/>
    <w:rsid w:val="00FE3757"/>
    <w:rsid w:val="00FE376E"/>
    <w:rsid w:val="00FE3FFF"/>
    <w:rsid w:val="00FE601D"/>
    <w:rsid w:val="00FF199E"/>
    <w:rsid w:val="00FF46EE"/>
    <w:rsid w:val="00FF6AE8"/>
    <w:rsid w:val="080D59E9"/>
    <w:rsid w:val="44144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81E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iPriority="98" w:unhideWhenUsed="1"/>
    <w:lsdException w:name="header" w:semiHidden="1" w:unhideWhenUsed="1"/>
    <w:lsdException w:name="footer" w:semiHidden="1" w:uiPriority="24" w:unhideWhenUsed="1"/>
    <w:lsdException w:name="index heading" w:semiHidden="1" w:unhideWhenUsed="1"/>
    <w:lsdException w:name="caption" w:semiHidden="1" w:uiPriority="4"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0DA"/>
    <w:pPr>
      <w:keepLines/>
      <w:spacing w:before="120" w:after="120" w:line="276" w:lineRule="auto"/>
    </w:pPr>
    <w:rPr>
      <w:rFonts w:asciiTheme="minorHAnsi" w:eastAsiaTheme="minorEastAsia" w:hAnsiTheme="minorHAnsi" w:cstheme="minorBidi"/>
    </w:rPr>
  </w:style>
  <w:style w:type="paragraph" w:styleId="Heading1">
    <w:name w:val="heading 1"/>
    <w:next w:val="Normal"/>
    <w:link w:val="Heading1Char"/>
    <w:qFormat/>
    <w:rsid w:val="00AF6567"/>
    <w:pPr>
      <w:keepNext/>
      <w:keepLines/>
      <w:spacing w:before="600" w:after="240" w:line="276" w:lineRule="auto"/>
      <w:outlineLvl w:val="0"/>
    </w:pPr>
    <w:rPr>
      <w:rFonts w:asciiTheme="majorHAnsi" w:eastAsiaTheme="majorEastAsia" w:hAnsiTheme="majorHAnsi" w:cstheme="majorBidi"/>
      <w:b/>
      <w:bCs/>
      <w:color w:val="00698F" w:themeColor="accent1"/>
      <w:sz w:val="32"/>
      <w:szCs w:val="32"/>
    </w:rPr>
  </w:style>
  <w:style w:type="paragraph" w:styleId="Heading2">
    <w:name w:val="heading 2"/>
    <w:basedOn w:val="Normal"/>
    <w:next w:val="Normal"/>
    <w:link w:val="Heading2Char"/>
    <w:qFormat/>
    <w:rsid w:val="00905401"/>
    <w:pPr>
      <w:keepNext/>
      <w:spacing w:before="240" w:after="240"/>
      <w:outlineLvl w:val="1"/>
    </w:pPr>
    <w:rPr>
      <w:rFonts w:asciiTheme="majorHAnsi" w:eastAsiaTheme="majorEastAsia" w:hAnsiTheme="majorHAnsi" w:cstheme="majorBidi"/>
      <w:b/>
      <w:bCs/>
      <w:color w:val="00698F" w:themeColor="accent1"/>
      <w:sz w:val="26"/>
      <w:szCs w:val="26"/>
    </w:rPr>
  </w:style>
  <w:style w:type="paragraph" w:styleId="Heading3">
    <w:name w:val="heading 3"/>
    <w:basedOn w:val="Normal"/>
    <w:next w:val="Normal"/>
    <w:link w:val="Heading3Char"/>
    <w:qFormat/>
    <w:rsid w:val="0067279A"/>
    <w:pPr>
      <w:keepNext/>
      <w:spacing w:before="240"/>
      <w:outlineLvl w:val="2"/>
    </w:pPr>
    <w:rPr>
      <w:rFonts w:asciiTheme="majorHAnsi" w:eastAsiaTheme="majorEastAsia" w:hAnsiTheme="majorHAnsi" w:cstheme="majorBidi"/>
      <w:b/>
      <w:bCs/>
      <w:color w:val="00698F" w:themeColor="accent1"/>
      <w:sz w:val="22"/>
      <w:szCs w:val="22"/>
    </w:rPr>
  </w:style>
  <w:style w:type="paragraph" w:styleId="Heading4">
    <w:name w:val="heading 4"/>
    <w:basedOn w:val="Normal"/>
    <w:next w:val="Normal"/>
    <w:link w:val="Heading4Char"/>
    <w:qFormat/>
    <w:rsid w:val="0067279A"/>
    <w:pPr>
      <w:keepNext/>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7F197D"/>
    <w:pPr>
      <w:spacing w:before="2500" w:after="160" w:line="204" w:lineRule="auto"/>
      <w:ind w:right="2042"/>
    </w:pPr>
    <w:rPr>
      <w:rFonts w:asciiTheme="majorHAnsi" w:hAnsiTheme="majorHAnsi" w:cstheme="majorHAnsi"/>
      <w:b/>
      <w:color w:val="00698F" w:themeColor="accent1"/>
      <w:spacing w:val="-2"/>
      <w:sz w:val="60"/>
      <w:szCs w:val="22"/>
    </w:rPr>
  </w:style>
  <w:style w:type="character" w:customStyle="1" w:styleId="TitleChar">
    <w:name w:val="Title Char"/>
    <w:basedOn w:val="DefaultParagraphFont"/>
    <w:link w:val="Title"/>
    <w:uiPriority w:val="99"/>
    <w:rsid w:val="007F197D"/>
    <w:rPr>
      <w:rFonts w:asciiTheme="majorHAnsi" w:hAnsiTheme="majorHAnsi" w:cstheme="majorHAnsi"/>
      <w:b/>
      <w:color w:val="00698F" w:themeColor="accent1"/>
      <w:spacing w:val="-2"/>
      <w:sz w:val="60"/>
      <w:szCs w:val="22"/>
    </w:rPr>
  </w:style>
  <w:style w:type="paragraph" w:styleId="Subtitle">
    <w:name w:val="Subtitle"/>
    <w:next w:val="TertiaryTitle"/>
    <w:link w:val="SubtitleChar"/>
    <w:uiPriority w:val="99"/>
    <w:rsid w:val="00744441"/>
    <w:pPr>
      <w:spacing w:after="120" w:line="440" w:lineRule="exact"/>
    </w:pPr>
    <w:rPr>
      <w:rFonts w:asciiTheme="majorHAnsi" w:hAnsiTheme="majorHAnsi" w:cstheme="majorHAnsi"/>
      <w:color w:val="53565A" w:themeColor="text2"/>
      <w:sz w:val="44"/>
      <w:szCs w:val="44"/>
    </w:rPr>
  </w:style>
  <w:style w:type="character" w:customStyle="1" w:styleId="SubtitleChar">
    <w:name w:val="Subtitle Char"/>
    <w:basedOn w:val="DefaultParagraphFont"/>
    <w:link w:val="Subtitle"/>
    <w:uiPriority w:val="99"/>
    <w:rsid w:val="00744441"/>
    <w:rPr>
      <w:rFonts w:asciiTheme="majorHAnsi" w:hAnsiTheme="majorHAnsi" w:cstheme="majorHAnsi"/>
      <w:color w:val="53565A" w:themeColor="text2"/>
      <w:sz w:val="44"/>
      <w:szCs w:val="44"/>
    </w:rPr>
  </w:style>
  <w:style w:type="paragraph" w:customStyle="1" w:styleId="TertiaryTitle">
    <w:name w:val="Tertiary Title"/>
    <w:next w:val="Normal"/>
    <w:uiPriority w:val="99"/>
    <w:rsid w:val="007F197D"/>
    <w:pPr>
      <w:spacing w:line="276" w:lineRule="auto"/>
    </w:pPr>
    <w:rPr>
      <w:rFonts w:asciiTheme="majorHAnsi" w:hAnsiTheme="majorHAnsi" w:cstheme="majorHAnsi"/>
      <w:caps/>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paragraph" w:customStyle="1" w:styleId="Bullet1">
    <w:name w:val="Bullet 1"/>
    <w:uiPriority w:val="1"/>
    <w:qFormat/>
    <w:rsid w:val="00A97913"/>
    <w:pPr>
      <w:keepLines/>
      <w:numPr>
        <w:numId w:val="4"/>
      </w:numPr>
      <w:spacing w:before="100" w:after="100" w:line="264" w:lineRule="auto"/>
      <w:contextualSpacing/>
    </w:pPr>
    <w:rPr>
      <w:rFonts w:asciiTheme="minorHAnsi" w:hAnsiTheme="minorHAnsi" w:cs="Calibri"/>
      <w:spacing w:val="2"/>
    </w:rPr>
  </w:style>
  <w:style w:type="paragraph" w:customStyle="1" w:styleId="Bullet2">
    <w:name w:val="Bullet 2"/>
    <w:basedOn w:val="Bullet1"/>
    <w:uiPriority w:val="1"/>
    <w:qFormat/>
    <w:rsid w:val="00987CFD"/>
    <w:pPr>
      <w:numPr>
        <w:numId w:val="12"/>
      </w:numPr>
    </w:pPr>
  </w:style>
  <w:style w:type="paragraph" w:styleId="Caption">
    <w:name w:val="caption"/>
    <w:basedOn w:val="Normal"/>
    <w:next w:val="Normal"/>
    <w:link w:val="CaptionChar"/>
    <w:uiPriority w:val="4"/>
    <w:qFormat/>
    <w:rsid w:val="005A3777"/>
    <w:pPr>
      <w:keepNext/>
      <w:spacing w:before="0" w:after="100" w:line="240" w:lineRule="auto"/>
    </w:pPr>
    <w:rPr>
      <w:b/>
      <w:bCs/>
      <w:color w:val="383834" w:themeColor="background2" w:themeShade="40"/>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C74A27"/>
    <w:rPr>
      <w:rFonts w:asciiTheme="majorHAnsi" w:eastAsiaTheme="majorEastAsia" w:hAnsiTheme="majorHAnsi" w:cstheme="majorBidi"/>
      <w:b/>
      <w:bCs/>
      <w:color w:val="00698F" w:themeColor="accent1"/>
      <w:sz w:val="32"/>
      <w:szCs w:val="32"/>
    </w:rPr>
  </w:style>
  <w:style w:type="character" w:customStyle="1" w:styleId="Heading2Char">
    <w:name w:val="Heading 2 Char"/>
    <w:basedOn w:val="DefaultParagraphFont"/>
    <w:link w:val="Heading2"/>
    <w:rsid w:val="00905401"/>
    <w:rPr>
      <w:rFonts w:asciiTheme="majorHAnsi" w:eastAsiaTheme="majorEastAsia" w:hAnsiTheme="majorHAnsi" w:cstheme="majorBidi"/>
      <w:b/>
      <w:bCs/>
      <w:color w:val="00698F" w:themeColor="accent1"/>
      <w:sz w:val="26"/>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98F" w:themeColor="accent1"/>
      <w:spacing w:val="2"/>
      <w:sz w:val="22"/>
      <w:szCs w:val="22"/>
    </w:rPr>
  </w:style>
  <w:style w:type="character" w:customStyle="1" w:styleId="Heading4Char">
    <w:name w:val="Heading 4 Char"/>
    <w:basedOn w:val="DefaultParagraphFont"/>
    <w:link w:val="Heading4"/>
    <w:rsid w:val="0067279A"/>
    <w:rPr>
      <w:rFonts w:asciiTheme="majorHAnsi" w:eastAsiaTheme="majorEastAsia" w:hAnsiTheme="majorHAnsi" w:cstheme="majorBidi"/>
      <w:b/>
      <w:bCs/>
      <w:iCs/>
      <w:color w:val="53565A"/>
      <w:spacing w:val="2"/>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rPr>
      <w:i/>
      <w:sz w:val="18"/>
    </w:rPr>
  </w:style>
  <w:style w:type="paragraph" w:styleId="BlockText">
    <w:name w:val="Block Text"/>
    <w:basedOn w:val="Normal"/>
    <w:uiPriority w:val="49"/>
    <w:semiHidden/>
    <w:rsid w:val="00716818"/>
    <w:pPr>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98"/>
    <w:semiHidden/>
    <w:rsid w:val="00716818"/>
  </w:style>
  <w:style w:type="character" w:customStyle="1" w:styleId="CommentTextChar">
    <w:name w:val="Comment Text Char"/>
    <w:basedOn w:val="DefaultParagraphFont"/>
    <w:link w:val="CommentText"/>
    <w:uiPriority w:val="98"/>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98F"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Rounded MT" w:eastAsia="Times New Roman" w:hAnsi="Arial Rounded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Rounded MT" w:eastAsia="Times New Roman" w:hAnsi="Arial Rounded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Rounded MT" w:eastAsia="Times New Roman" w:hAnsi="Arial Rounded MT" w:cs="Times New Roman"/>
        <w:b/>
        <w:bCs/>
      </w:rPr>
    </w:tblStylePr>
    <w:tblStylePr w:type="lastCol">
      <w:rPr>
        <w:rFonts w:ascii="Arial Rounded MT" w:eastAsia="Times New Roman" w:hAnsi="Arial Rounded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A8E1" w:themeColor="accent4"/>
        <w:left w:val="single" w:sz="8" w:space="0" w:color="00A8E1" w:themeColor="accent4"/>
        <w:bottom w:val="single" w:sz="8" w:space="0" w:color="00A8E1" w:themeColor="accent4"/>
        <w:right w:val="single" w:sz="8" w:space="0" w:color="00A8E1" w:themeColor="accent4"/>
      </w:tblBorders>
    </w:tblPr>
    <w:tblStylePr w:type="firstRow">
      <w:pPr>
        <w:spacing w:before="0" w:after="0" w:line="240" w:lineRule="auto"/>
      </w:pPr>
      <w:rPr>
        <w:b/>
        <w:bCs/>
        <w:color w:val="FFFFFF" w:themeColor="background1"/>
      </w:rPr>
      <w:tblPr/>
      <w:tcPr>
        <w:shd w:val="clear" w:color="auto" w:fill="00A8E1" w:themeFill="accent4"/>
      </w:tcPr>
    </w:tblStylePr>
    <w:tblStylePr w:type="lastRow">
      <w:pPr>
        <w:spacing w:before="0" w:after="0" w:line="240" w:lineRule="auto"/>
      </w:pPr>
      <w:rPr>
        <w:b/>
        <w:bCs/>
      </w:rPr>
      <w:tblPr/>
      <w:tcPr>
        <w:tcBorders>
          <w:top w:val="double" w:sz="6" w:space="0" w:color="00A8E1" w:themeColor="accent4"/>
          <w:left w:val="single" w:sz="8" w:space="0" w:color="00A8E1" w:themeColor="accent4"/>
          <w:bottom w:val="single" w:sz="8" w:space="0" w:color="00A8E1" w:themeColor="accent4"/>
          <w:right w:val="single" w:sz="8" w:space="0" w:color="00A8E1" w:themeColor="accent4"/>
        </w:tcBorders>
      </w:tcPr>
    </w:tblStylePr>
    <w:tblStylePr w:type="firstCol">
      <w:rPr>
        <w:b/>
        <w:bCs/>
      </w:rPr>
    </w:tblStylePr>
    <w:tblStylePr w:type="lastCol">
      <w:rPr>
        <w:b/>
        <w:bCs/>
      </w:rPr>
    </w:tblStylePr>
    <w:tblStylePr w:type="band1Vert">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tblStylePr w:type="band1Horz">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ind w:left="1132"/>
    </w:pPr>
  </w:style>
  <w:style w:type="paragraph" w:styleId="ListContinue5">
    <w:name w:val="List Continue 5"/>
    <w:basedOn w:val="Normal"/>
    <w:uiPriority w:val="49"/>
    <w:semiHidden/>
    <w:rsid w:val="00716818"/>
    <w:pPr>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Arial Rounded MT" w:eastAsia="Times New Roman" w:hAnsi="Arial Rounded M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Arial Rounded MT" w:eastAsia="Times New Roman" w:hAnsi="Arial Rounded 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Arial Rounded MT" w:eastAsia="Times New Roman" w:hAnsi="Arial Rounded M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Arial Rounded MT" w:eastAsia="Times New Roman" w:hAnsi="Arial Rounded M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Arial Rounded MT" w:eastAsia="Times New Roman" w:hAnsi="Arial Rounded M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Arial Rounded MT" w:eastAsia="Times New Roman" w:hAnsi="Arial Rounded M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Arial Rounded MT" w:eastAsia="Times New Roman" w:hAnsi="Arial Rounded M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Arial Rounded MT" w:eastAsia="Times New Roman" w:hAnsi="Arial Rounded M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Arial Rounded MT" w:eastAsia="Times New Roman" w:hAnsi="Arial Rounded M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9"/>
    <w:qFormat/>
    <w:rsid w:val="0067279A"/>
    <w:pPr>
      <w:spacing w:line="252" w:lineRule="auto"/>
      <w:ind w:left="792"/>
    </w:pPr>
  </w:style>
  <w:style w:type="paragraph" w:customStyle="1" w:styleId="NoteNormal">
    <w:name w:val="Note Normal"/>
    <w:basedOn w:val="Normal"/>
    <w:rsid w:val="0067279A"/>
    <w:pPr>
      <w:keepNext/>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67279A"/>
    <w:pPr>
      <w:spacing w:before="0" w:after="0" w:line="120" w:lineRule="atLeast"/>
    </w:pPr>
    <w:rPr>
      <w:rFonts w:eastAsia="Times New Roman" w:cs="Calibri"/>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3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98F"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98F" w:themeColor="accent1"/>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7"/>
    <w:next w:val="Normal"/>
    <w:uiPriority w:val="99"/>
    <w:unhideWhenUsed/>
    <w:rsid w:val="00D7239D"/>
    <w:pPr>
      <w:keepLines w:val="0"/>
      <w:tabs>
        <w:tab w:val="right" w:pos="9000"/>
      </w:tabs>
      <w:spacing w:before="0" w:after="0" w:line="240" w:lineRule="auto"/>
      <w:ind w:left="0" w:right="432"/>
      <w:contextualSpacing/>
    </w:pPr>
    <w:rPr>
      <w:noProof/>
      <w:spacing w:val="2"/>
      <w:sz w:val="18"/>
    </w:r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rPr>
      <w:b/>
      <w:bCs/>
      <w:sz w:val="24"/>
      <w:szCs w:val="24"/>
    </w:rPr>
  </w:style>
  <w:style w:type="paragraph" w:styleId="TOC1">
    <w:name w:val="toc 1"/>
    <w:basedOn w:val="Normal"/>
    <w:next w:val="Normal"/>
    <w:uiPriority w:val="39"/>
    <w:rsid w:val="00F825B9"/>
    <w:pPr>
      <w:pBdr>
        <w:bottom w:val="single" w:sz="6" w:space="4" w:color="00698F" w:themeColor="accent1"/>
        <w:between w:val="single" w:sz="6" w:space="4" w:color="00698F" w:themeColor="accent1"/>
      </w:pBdr>
      <w:tabs>
        <w:tab w:val="right" w:pos="9000"/>
      </w:tabs>
      <w:ind w:right="29"/>
    </w:pPr>
    <w:rPr>
      <w:noProof/>
      <w:sz w:val="24"/>
      <w:szCs w:val="24"/>
    </w:rPr>
  </w:style>
  <w:style w:type="paragraph" w:styleId="TOC2">
    <w:name w:val="toc 2"/>
    <w:next w:val="Normal"/>
    <w:uiPriority w:val="39"/>
    <w:rsid w:val="00F825B9"/>
    <w:pPr>
      <w:tabs>
        <w:tab w:val="righ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F825B9"/>
    <w:pPr>
      <w:tabs>
        <w:tab w:val="right" w:pos="9000"/>
      </w:tabs>
      <w:spacing w:before="0"/>
      <w:ind w:left="450" w:right="432"/>
      <w:contextualSpacing/>
    </w:pPr>
    <w:rPr>
      <w:noProof/>
      <w:sz w:val="18"/>
      <w:szCs w:val="18"/>
    </w:rPr>
  </w:style>
  <w:style w:type="paragraph" w:styleId="TOC4">
    <w:name w:val="toc 4"/>
    <w:basedOn w:val="TOC1"/>
    <w:next w:val="Normal"/>
    <w:uiPriority w:val="39"/>
    <w:rsid w:val="0067279A"/>
    <w:pPr>
      <w:ind w:left="450" w:hanging="450"/>
    </w:pPr>
    <w:rPr>
      <w:lang w:eastAsia="en-US"/>
    </w:rPr>
  </w:style>
  <w:style w:type="paragraph" w:styleId="TOC5">
    <w:name w:val="toc 5"/>
    <w:basedOn w:val="TOC2"/>
    <w:next w:val="Normal"/>
    <w:uiPriority w:val="39"/>
    <w:rsid w:val="00F825B9"/>
    <w:pPr>
      <w:tabs>
        <w:tab w:val="left" w:pos="1080"/>
      </w:tabs>
      <w:ind w:left="878" w:hanging="432"/>
    </w:pPr>
    <w:rPr>
      <w:lang w:eastAsia="en-US"/>
    </w:rPr>
  </w:style>
  <w:style w:type="paragraph" w:styleId="TOC6">
    <w:name w:val="toc 6"/>
    <w:basedOn w:val="TOC3"/>
    <w:next w:val="Normal"/>
    <w:uiPriority w:val="39"/>
    <w:rsid w:val="00F825B9"/>
    <w:pPr>
      <w:ind w:left="1800" w:hanging="720"/>
    </w:pPr>
    <w:rPr>
      <w:lang w:eastAsia="en-US"/>
    </w:rPr>
  </w:style>
  <w:style w:type="paragraph" w:styleId="TOC7">
    <w:name w:val="toc 7"/>
    <w:basedOn w:val="Normal"/>
    <w:next w:val="Normal"/>
    <w:autoRedefine/>
    <w:uiPriority w:val="39"/>
    <w:semiHidden/>
    <w:rsid w:val="00716818"/>
    <w:pPr>
      <w:ind w:left="144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A97913"/>
    <w:pPr>
      <w:numPr>
        <w:numId w:val="13"/>
      </w:numPr>
      <w:ind w:left="864"/>
    </w:pPr>
  </w:style>
  <w:style w:type="paragraph" w:customStyle="1" w:styleId="Heading1numbered">
    <w:name w:val="Heading 1 numbered"/>
    <w:basedOn w:val="Heading1"/>
    <w:next w:val="NormalIndent"/>
    <w:uiPriority w:val="8"/>
    <w:qFormat/>
    <w:rsid w:val="0067279A"/>
    <w:pPr>
      <w:numPr>
        <w:ilvl w:val="2"/>
        <w:numId w:val="41"/>
      </w:numPr>
    </w:pPr>
  </w:style>
  <w:style w:type="paragraph" w:customStyle="1" w:styleId="Heading2numbered">
    <w:name w:val="Heading 2 numbered"/>
    <w:basedOn w:val="Heading2"/>
    <w:next w:val="NormalIndent"/>
    <w:uiPriority w:val="8"/>
    <w:qFormat/>
    <w:rsid w:val="0067279A"/>
    <w:pPr>
      <w:numPr>
        <w:ilvl w:val="3"/>
        <w:numId w:val="41"/>
      </w:numPr>
    </w:pPr>
  </w:style>
  <w:style w:type="paragraph" w:customStyle="1" w:styleId="Heading3numbered">
    <w:name w:val="Heading 3 numbered"/>
    <w:basedOn w:val="Heading3"/>
    <w:next w:val="NormalIndent"/>
    <w:uiPriority w:val="8"/>
    <w:qFormat/>
    <w:rsid w:val="0067279A"/>
    <w:pPr>
      <w:numPr>
        <w:ilvl w:val="4"/>
        <w:numId w:val="41"/>
      </w:numPr>
    </w:pPr>
  </w:style>
  <w:style w:type="paragraph" w:customStyle="1" w:styleId="Heading4numbered">
    <w:name w:val="Heading 4 numbered"/>
    <w:basedOn w:val="Heading4"/>
    <w:next w:val="NormalIndent"/>
    <w:uiPriority w:val="8"/>
    <w:qFormat/>
    <w:rsid w:val="0067279A"/>
    <w:pPr>
      <w:numPr>
        <w:ilvl w:val="5"/>
        <w:numId w:val="41"/>
      </w:numPr>
    </w:pPr>
  </w:style>
  <w:style w:type="paragraph" w:customStyle="1" w:styleId="Bulletindent2">
    <w:name w:val="Bullet indent 2"/>
    <w:basedOn w:val="Normal"/>
    <w:uiPriority w:val="9"/>
    <w:qFormat/>
    <w:rsid w:val="00A753CD"/>
    <w:pPr>
      <w:numPr>
        <w:ilvl w:val="3"/>
        <w:numId w:val="4"/>
      </w:numPr>
      <w:spacing w:before="100"/>
      <w:contextualSpacing/>
    </w:pPr>
  </w:style>
  <w:style w:type="paragraph" w:customStyle="1" w:styleId="Insidecoverspacer">
    <w:name w:val="Inside cover spacer"/>
    <w:basedOn w:val="NormalTight"/>
    <w:uiPriority w:val="99"/>
    <w:semiHidden/>
    <w:qFormat/>
    <w:rsid w:val="007F197D"/>
    <w:pPr>
      <w:spacing w:before="3400"/>
      <w:ind w:right="1382"/>
    </w:pPr>
  </w:style>
  <w:style w:type="paragraph" w:customStyle="1" w:styleId="Tabletext">
    <w:name w:val="Table text"/>
    <w:basedOn w:val="Normal"/>
    <w:uiPriority w:val="5"/>
    <w:qFormat/>
    <w:rsid w:val="0067279A"/>
    <w:pPr>
      <w:spacing w:before="60" w:after="60" w:line="264" w:lineRule="auto"/>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67279A"/>
    <w:pPr>
      <w:numPr>
        <w:ilvl w:val="7"/>
        <w:numId w:val="41"/>
      </w:numPr>
      <w:spacing w:before="100"/>
      <w:contextualSpacing/>
    </w:pPr>
  </w:style>
  <w:style w:type="paragraph" w:customStyle="1" w:styleId="Listnumindent">
    <w:name w:val="List num indent"/>
    <w:basedOn w:val="Normal"/>
    <w:uiPriority w:val="9"/>
    <w:qFormat/>
    <w:rsid w:val="0067279A"/>
    <w:pPr>
      <w:numPr>
        <w:ilvl w:val="6"/>
        <w:numId w:val="41"/>
      </w:numPr>
      <w:spacing w:before="100"/>
    </w:pPr>
  </w:style>
  <w:style w:type="paragraph" w:customStyle="1" w:styleId="Listnum">
    <w:name w:val="List num"/>
    <w:basedOn w:val="Normal"/>
    <w:uiPriority w:val="2"/>
    <w:qFormat/>
    <w:rsid w:val="0067279A"/>
    <w:pPr>
      <w:numPr>
        <w:numId w:val="41"/>
      </w:numPr>
    </w:pPr>
  </w:style>
  <w:style w:type="paragraph" w:customStyle="1" w:styleId="Listnum2">
    <w:name w:val="List num 2"/>
    <w:basedOn w:val="Normal"/>
    <w:uiPriority w:val="2"/>
    <w:qFormat/>
    <w:rsid w:val="0067279A"/>
    <w:pPr>
      <w:numPr>
        <w:ilvl w:val="1"/>
        <w:numId w:val="41"/>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67279A"/>
    <w:pPr>
      <w:keepNext/>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14717"/>
    <w:pPr>
      <w:numPr>
        <w:numId w:val="10"/>
      </w:numPr>
    </w:p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ListParagraph"/>
    <w:uiPriority w:val="2"/>
    <w:qFormat/>
    <w:rsid w:val="0067279A"/>
    <w:pPr>
      <w:numPr>
        <w:numId w:val="11"/>
      </w:numPr>
      <w:tabs>
        <w:tab w:val="left" w:pos="540"/>
      </w:tabs>
    </w:pPr>
  </w:style>
  <w:style w:type="paragraph" w:customStyle="1" w:styleId="Numparaindent">
    <w:name w:val="Num para indent"/>
    <w:basedOn w:val="Numpara"/>
    <w:uiPriority w:val="9"/>
    <w:qFormat/>
    <w:rsid w:val="0067279A"/>
    <w:pPr>
      <w:numPr>
        <w:ilvl w:val="8"/>
        <w:numId w:val="41"/>
      </w:numPr>
      <w:tabs>
        <w:tab w:val="clear" w:pos="540"/>
      </w:tabs>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10"/>
      </w:numPr>
      <w:spacing w:before="60" w:after="60"/>
    </w:pPr>
    <w:rPr>
      <w:sz w:val="17"/>
    </w:rPr>
  </w:style>
  <w:style w:type="paragraph" w:customStyle="1" w:styleId="Tablenum2">
    <w:name w:val="Table num 2"/>
    <w:basedOn w:val="Normal"/>
    <w:uiPriority w:val="6"/>
    <w:rsid w:val="0067279A"/>
    <w:pPr>
      <w:numPr>
        <w:ilvl w:val="3"/>
        <w:numId w:val="10"/>
      </w:numPr>
      <w:spacing w:before="60" w:after="60"/>
    </w:pPr>
    <w:rPr>
      <w:sz w:val="17"/>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Texttable">
    <w:name w:val="Text table"/>
    <w:basedOn w:val="TableGrid"/>
    <w:uiPriority w:val="99"/>
    <w:rsid w:val="00FE0687"/>
    <w:pPr>
      <w:spacing w:before="30" w:after="30" w:line="264" w:lineRule="auto"/>
      <w:jc w:val="left"/>
    </w:pPr>
    <w:tblPr>
      <w:tblStyleRowBandSize w:val="1"/>
      <w:tblBorders>
        <w:bottom w:val="none" w:sz="0" w:space="0" w:color="auto"/>
        <w:insideH w:val="single" w:sz="6" w:space="0" w:color="00698F"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B80C75"/>
    <w:pPr>
      <w:spacing w:before="30" w:after="30" w:line="264" w:lineRule="auto"/>
    </w:pPr>
    <w:tblPr>
      <w:tblStyleRowBandSize w:val="1"/>
      <w:tblBorders>
        <w:bottom w:val="none" w:sz="0" w:space="0" w:color="auto"/>
        <w:insideH w:val="single" w:sz="6" w:space="0" w:color="00698F" w:themeColor="accent1"/>
      </w:tblBorders>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ListParagraph">
    <w:name w:val="List Paragraph"/>
    <w:basedOn w:val="Normal"/>
    <w:uiPriority w:val="34"/>
    <w:qFormat/>
    <w:rsid w:val="0067279A"/>
    <w:pPr>
      <w:ind w:left="720"/>
      <w:contextualSpacing/>
    </w:pPr>
  </w:style>
  <w:style w:type="table" w:customStyle="1" w:styleId="Texttableindent">
    <w:name w:val="Text table indent"/>
    <w:basedOn w:val="Texttable"/>
    <w:uiPriority w:val="99"/>
    <w:rsid w:val="004B4E5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indent">
    <w:name w:val="Financial table indent"/>
    <w:basedOn w:val="Financialtable"/>
    <w:uiPriority w:val="99"/>
    <w:rsid w:val="00B80C75"/>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Breakouttext">
    <w:name w:val="Breakout text"/>
    <w:basedOn w:val="Normal"/>
    <w:uiPriority w:val="4"/>
    <w:qFormat/>
    <w:rsid w:val="009D3A3F"/>
    <w:pPr>
      <w:pBdr>
        <w:bottom w:val="single" w:sz="12" w:space="1" w:color="E75300" w:themeColor="accent5"/>
      </w:pBdr>
    </w:pPr>
    <w:rPr>
      <w:color w:val="00698F" w:themeColor="accent1"/>
      <w:sz w:val="18"/>
      <w:szCs w:val="22"/>
    </w:rPr>
  </w:style>
  <w:style w:type="paragraph" w:customStyle="1" w:styleId="Breakoutbullet">
    <w:name w:val="Breakout bullet"/>
    <w:basedOn w:val="Breakouttext"/>
    <w:uiPriority w:val="4"/>
    <w:qFormat/>
    <w:rsid w:val="009D3A3F"/>
    <w:pPr>
      <w:numPr>
        <w:numId w:val="15"/>
      </w:numPr>
      <w:spacing w:before="60" w:after="60"/>
      <w:ind w:left="446" w:hanging="446"/>
    </w:pPr>
  </w:style>
  <w:style w:type="character" w:customStyle="1" w:styleId="CaptionChar">
    <w:name w:val="Caption Char"/>
    <w:link w:val="Caption"/>
    <w:uiPriority w:val="4"/>
    <w:rsid w:val="005A3777"/>
    <w:rPr>
      <w:rFonts w:asciiTheme="minorHAnsi" w:eastAsiaTheme="minorEastAsia" w:hAnsiTheme="minorHAnsi" w:cstheme="minorBidi"/>
      <w:b/>
      <w:bCs/>
      <w:color w:val="383834" w:themeColor="background2" w:themeShade="40"/>
    </w:rPr>
  </w:style>
  <w:style w:type="table" w:customStyle="1" w:styleId="DTFtexttableindent">
    <w:name w:val="DTF text table indent"/>
    <w:basedOn w:val="TableNormal"/>
    <w:uiPriority w:val="99"/>
    <w:rsid w:val="00A97913"/>
    <w:pPr>
      <w:spacing w:before="30"/>
    </w:pPr>
    <w:rPr>
      <w:rFonts w:asciiTheme="minorHAnsi" w:eastAsiaTheme="minorHAnsi" w:hAnsiTheme="minorHAnsi" w:cstheme="minorBidi"/>
      <w:spacing w:val="2"/>
      <w:sz w:val="17"/>
      <w:szCs w:val="21"/>
      <w:lang w:eastAsia="en-US"/>
    </w:rPr>
    <w:tblPr>
      <w:tblStyleRowBandSize w:val="1"/>
      <w:tblStyleColBandSize w:val="1"/>
      <w:tblInd w:w="821" w:type="dxa"/>
      <w:tblBorders>
        <w:top w:val="single" w:sz="6" w:space="0" w:color="00698F"/>
        <w:left w:val="single" w:sz="6" w:space="0" w:color="00698F"/>
        <w:bottom w:val="single" w:sz="12" w:space="0" w:color="00698F"/>
        <w:right w:val="single" w:sz="6" w:space="0" w:color="00698F"/>
        <w:insideH w:val="single" w:sz="6" w:space="0" w:color="00698F"/>
        <w:insideV w:val="single" w:sz="6" w:space="0" w:color="00698F"/>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tcBorders>
          <w:top w:val="nil"/>
          <w:left w:val="nil"/>
          <w:bottom w:val="nil"/>
          <w:right w:val="nil"/>
          <w:insideH w:val="nil"/>
          <w:insideV w:val="single" w:sz="6" w:space="0" w:color="FFFFFF" w:themeColor="background1"/>
          <w:tl2br w:val="nil"/>
          <w:tr2bl w:val="nil"/>
        </w:tcBorders>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BCFFFC"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CFFFC"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TableGridLight">
    <w:name w:val="Grid Table Light"/>
    <w:basedOn w:val="TableNormal"/>
    <w:uiPriority w:val="40"/>
    <w:rsid w:val="00A97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nk">
    <w:name w:val="Link"/>
    <w:basedOn w:val="Normal"/>
    <w:rsid w:val="00D7784A"/>
    <w:pPr>
      <w:keepLines w:val="0"/>
      <w:spacing w:before="160" w:after="100"/>
    </w:pPr>
    <w:rPr>
      <w:rFonts w:eastAsia="Times New Roman" w:cs="Times New Roman"/>
      <w:spacing w:val="2"/>
    </w:rPr>
  </w:style>
  <w:style w:type="paragraph" w:customStyle="1" w:styleId="Breakoutheading2">
    <w:name w:val="Breakout heading 2"/>
    <w:basedOn w:val="Breakoutheading"/>
    <w:qFormat/>
    <w:rsid w:val="000C20DE"/>
  </w:style>
  <w:style w:type="table" w:customStyle="1" w:styleId="TableGrid11">
    <w:name w:val="Table Grid11"/>
    <w:basedOn w:val="TableNormal"/>
    <w:next w:val="TableGrid"/>
    <w:rsid w:val="00D7784A"/>
    <w:pPr>
      <w:spacing w:after="240"/>
    </w:pPr>
    <w:rPr>
      <w:rFonts w:asciiTheme="minorHAnsi" w:hAnsiTheme="minorHAnsi"/>
      <w:color w:val="84858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6A0B"/>
    <w:rPr>
      <w:color w:val="605E5C"/>
      <w:shd w:val="clear" w:color="auto" w:fill="E1DFDD"/>
    </w:rPr>
  </w:style>
  <w:style w:type="paragraph" w:customStyle="1" w:styleId="Breakoutheading">
    <w:name w:val="Breakout heading"/>
    <w:basedOn w:val="Breakouttext"/>
    <w:uiPriority w:val="4"/>
    <w:qFormat/>
    <w:rsid w:val="00104664"/>
    <w:pPr>
      <w:pBdr>
        <w:top w:val="single" w:sz="12" w:space="1" w:color="E75300" w:themeColor="accent5"/>
        <w:bottom w:val="none" w:sz="0" w:space="0" w:color="auto"/>
      </w:pBdr>
    </w:pPr>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urldefense.proofpoint.com/v2/url?u=https-3A__www.climatebonds.net_climate-2Dbonds-2Dstandard-2Dv3&amp;d=DwMFaQ&amp;c=JnBkUqWXzx2bz-3a05d47Q&amp;r=U_iNRLTJlZTsABOGpsB683I-uUg2pPaee7Q8X_5hIDE&amp;m=2rbfjxzXC5zhi5KovD3uXhwPoWwKk1uUW-de6WrZgGM&amp;s=qzuKgt_h1XK6BlP4TXs8x1iKPe__NcSOJhArO4Ec6IA&amp;e=" TargetMode="External"/><Relationship Id="rId50" Type="http://schemas.openxmlformats.org/officeDocument/2006/relationships/image" Target="media/image24.png"/><Relationship Id="rId55" Type="http://schemas.openxmlformats.org/officeDocument/2006/relationships/footer" Target="footer7.xml"/><Relationship Id="rId63" Type="http://schemas.openxmlformats.org/officeDocument/2006/relationships/hyperlink" Target="https://www.buyingfor.vic.gov.au/environmental-impact-procurement-goods-and-services-procurement-guide" TargetMode="External"/><Relationship Id="rId68" Type="http://schemas.openxmlformats.org/officeDocument/2006/relationships/hyperlink" Target="https://www.buyingfor.vic.gov.au/social-procurement-framework-objectives-outcomes-and-key-focus-areas" TargetMode="External"/><Relationship Id="rId76" Type="http://schemas.openxmlformats.org/officeDocument/2006/relationships/image" Target="media/image27.png"/><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dpc.vic.gov.au/index.php/news-publications/value-creation-and-capture-framework" TargetMode="Externa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9.jpg"/><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hyperlink" Target="https://www.tcv.vic.gov.au/tcv-bonds/tcv-green-bond" TargetMode="External"/><Relationship Id="rId53" Type="http://schemas.openxmlformats.org/officeDocument/2006/relationships/header" Target="header7.xml"/><Relationship Id="rId58" Type="http://schemas.openxmlformats.org/officeDocument/2006/relationships/hyperlink" Target="https://www.worldwildlife.org/publications/visioning-futures-improving-infrastructure-planning-to-harness-nature-s-benefits-in-a-warming-world-lo-res" TargetMode="External"/><Relationship Id="rId66" Type="http://schemas.openxmlformats.org/officeDocument/2006/relationships/hyperlink" Target="https://www.dtf.vic.gov.au/sites/default/files/2018-02/Office-Accommodation-Guidelines-2007.pdf" TargetMode="External"/><Relationship Id="rId74" Type="http://schemas.openxmlformats.org/officeDocument/2006/relationships/hyperlink" Target="https://www.isca.org.au/" TargetMode="External"/><Relationship Id="rId79" Type="http://schemas.openxmlformats.org/officeDocument/2006/relationships/hyperlink" Target="https://www.nabers.gov.au/" TargetMode="External"/><Relationship Id="rId5" Type="http://schemas.openxmlformats.org/officeDocument/2006/relationships/customXml" Target="../customXml/item5.xml"/><Relationship Id="rId61" Type="http://schemas.openxmlformats.org/officeDocument/2006/relationships/hyperlink" Target="https://www.vmia.vic.gov.au/tools-and-insights/tools-guides-and-kits/climate-change" TargetMode="External"/><Relationship Id="rId82"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eader" Target="header6.xml"/><Relationship Id="rId60" Type="http://schemas.openxmlformats.org/officeDocument/2006/relationships/hyperlink" Target="https://www.climatebonds.net/" TargetMode="External"/><Relationship Id="rId65" Type="http://schemas.openxmlformats.org/officeDocument/2006/relationships/hyperlink" Target="https://www.dtf.vic.gov.au/infrastructure-investment/investment-lifecycle-and-high-value-and-high-risk-guidelines" TargetMode="External"/><Relationship Id="rId73" Type="http://schemas.openxmlformats.org/officeDocument/2006/relationships/hyperlink" Target="https://vicfutureclimatetool.indraweb.io/" TargetMode="External"/><Relationship Id="rId78" Type="http://schemas.openxmlformats.org/officeDocument/2006/relationships/hyperlink" Target="https://new.gbca.org.au/" TargetMode="External"/><Relationship Id="rId8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s://www.vhba.vic.gov.au/guidelines-sustainability-capital-works"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2.jpg"/><Relationship Id="rId56" Type="http://schemas.openxmlformats.org/officeDocument/2006/relationships/hyperlink" Target="https://www.environment.gov.au/epbc/publications/environmental-management-plan-guidelines" TargetMode="External"/><Relationship Id="rId64" Type="http://schemas.openxmlformats.org/officeDocument/2006/relationships/hyperlink" Target="https://www.dtf.vic.gov.au/funds-programs-and-policies/green-bonds" TargetMode="External"/><Relationship Id="rId69" Type="http://schemas.openxmlformats.org/officeDocument/2006/relationships/hyperlink" Target="https://www.environment.vic.gov.au/__data/assets/pdf_file/0013/326110/Recycling-Industry-Strategic-Plan.pdf" TargetMode="External"/><Relationship Id="rId77"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s://www.climatechange.vic.gov.au/adapting-to-climate-change-impacts" TargetMode="External"/><Relationship Id="rId80" Type="http://schemas.openxmlformats.org/officeDocument/2006/relationships/hyperlink" Target="https://www.climateactive.org.au/" TargetMode="Externa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urldefense.proofpoint.com/v2/url?u=https-3A__www.icmagroup.org_green-2Dsocial-2Dand-2Dsustainability-2Dbonds_&amp;d=DwMFaQ&amp;c=JnBkUqWXzx2bz-3a05d47Q&amp;r=U_iNRLTJlZTsABOGpsB683I-uUg2pPaee7Q8X_5hIDE&amp;m=2rbfjxzXC5zhi5KovD3uXhwPoWwKk1uUW-de6WrZgGM&amp;s=KaRNRiG3XmjhfTw6Kj9nwArziV3FJzCuASYrMqolx_4&amp;e=" TargetMode="External"/><Relationship Id="rId59" Type="http://schemas.openxmlformats.org/officeDocument/2006/relationships/hyperlink" Target="https://www.dtf.vic.gov.au/applications-investment-management-standard/benefit-delivery" TargetMode="External"/><Relationship Id="rId67" Type="http://schemas.openxmlformats.org/officeDocument/2006/relationships/hyperlink" Target="https://www.dtf.vic.gov.au/public-private-partnerships/policy-guidelines-and-templates" TargetMode="External"/><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footer" Target="footer6.xml"/><Relationship Id="rId62" Type="http://schemas.openxmlformats.org/officeDocument/2006/relationships/hyperlink" Target="https://www.infrastructurevictoria.com.au/wp-content/uploads/2019/04/Moving-from-evaluation-to-valuation.pdf" TargetMode="External"/><Relationship Id="rId70" Type="http://schemas.openxmlformats.org/officeDocument/2006/relationships/hyperlink" Target="https://www.sustainability.vic.gov.au/Government/Sustainable-procurement" TargetMode="Externa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hyperlink" Target="mailto:enquiries@opv.vic.gov.au" TargetMode="Externa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yperlink" Target="https://www.cibse.org/networks/regions/australia-new-zealand/anz-regional-news/anz-regional-news-archive/the-soft-landing-framework-australia-new-zealand-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PV">
      <a:dk1>
        <a:sysClr val="windowText" lastClr="000000"/>
      </a:dk1>
      <a:lt1>
        <a:sysClr val="window" lastClr="FFFFFF"/>
      </a:lt1>
      <a:dk2>
        <a:srgbClr val="53565A"/>
      </a:dk2>
      <a:lt2>
        <a:srgbClr val="D9D9D6"/>
      </a:lt2>
      <a:accent1>
        <a:srgbClr val="00698F"/>
      </a:accent1>
      <a:accent2>
        <a:srgbClr val="87DADF"/>
      </a:accent2>
      <a:accent3>
        <a:srgbClr val="00AFAA"/>
      </a:accent3>
      <a:accent4>
        <a:srgbClr val="00A8E1"/>
      </a:accent4>
      <a:accent5>
        <a:srgbClr val="E75300"/>
      </a:accent5>
      <a:accent6>
        <a:srgbClr val="F9BE00"/>
      </a:accent6>
      <a:hlink>
        <a:srgbClr val="7F7F7F"/>
      </a:hlink>
      <a:folHlink>
        <a:srgbClr val="EA720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F9791B6CE2B34B9DFBD089726B6637" ma:contentTypeVersion="13" ma:contentTypeDescription="Create a new document." ma:contentTypeScope="" ma:versionID="525cc9437e660d7e5dcf3e2839e391c0">
  <xsd:schema xmlns:xsd="http://www.w3.org/2001/XMLSchema" xmlns:xs="http://www.w3.org/2001/XMLSchema" xmlns:p="http://schemas.microsoft.com/office/2006/metadata/properties" xmlns:ns2="7f848f8e-cddd-4998-907f-8fc4bc9a4fc8" xmlns:ns3="6e52b78e-056c-4036-a91a-48bb01830af9" targetNamespace="http://schemas.microsoft.com/office/2006/metadata/properties" ma:root="true" ma:fieldsID="33cb180e095d8428c90d1e1b1619bbde" ns2:_="" ns3:_="">
    <xsd:import namespace="7f848f8e-cddd-4998-907f-8fc4bc9a4fc8"/>
    <xsd:import namespace="6e52b78e-056c-4036-a91a-48bb01830a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48f8e-cddd-4998-907f-8fc4bc9a4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2b78e-056c-4036-a91a-48bb01830a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A02C61-18BC-4C96-B3D8-500D4CA9D7EC}">
  <ds:schemaRefs>
    <ds:schemaRef ds:uri="http://schemas.microsoft.com/office/infopath/2007/PartnerControls"/>
    <ds:schemaRef ds:uri="6e52b78e-056c-4036-a91a-48bb01830af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7f848f8e-cddd-4998-907f-8fc4bc9a4fc8"/>
    <ds:schemaRef ds:uri="http://www.w3.org/XML/1998/namespace"/>
    <ds:schemaRef ds:uri="http://purl.org/dc/dcmitype/"/>
  </ds:schemaRefs>
</ds:datastoreItem>
</file>

<file path=customXml/itemProps2.xml><?xml version="1.0" encoding="utf-8"?>
<ds:datastoreItem xmlns:ds="http://schemas.openxmlformats.org/officeDocument/2006/customXml" ds:itemID="{60ADD2E9-7F2F-449C-A0EF-1300AD399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48f8e-cddd-4998-907f-8fc4bc9a4fc8"/>
    <ds:schemaRef ds:uri="6e52b78e-056c-4036-a91a-48bb0183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81270C-418A-4649-B4FB-5732DCB83BB7}">
  <ds:schemaRefs>
    <ds:schemaRef ds:uri="http://schemas.openxmlformats.org/officeDocument/2006/bibliography"/>
  </ds:schemaRefs>
</ds:datastoreItem>
</file>

<file path=customXml/itemProps4.xml><?xml version="1.0" encoding="utf-8"?>
<ds:datastoreItem xmlns:ds="http://schemas.openxmlformats.org/officeDocument/2006/customXml" ds:itemID="{8CC28F01-DBF0-4B3D-A3FE-068D942B07FC}">
  <ds:schemaRefs>
    <ds:schemaRef ds:uri="http://schemas.microsoft.com/sharepoint/v3/contenttype/forms"/>
  </ds:schemaRefs>
</ds:datastoreItem>
</file>

<file path=customXml/itemProps5.xml><?xml version="1.0" encoding="utf-8"?>
<ds:datastoreItem xmlns:ds="http://schemas.openxmlformats.org/officeDocument/2006/customXml" ds:itemID="{21E543FF-1114-4EE9-BEE2-338EEE271D5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22094</Words>
  <Characters>125938</Characters>
  <Application>Microsoft Office Word</Application>
  <DocSecurity>0</DocSecurity>
  <Lines>1049</Lines>
  <Paragraphs>295</Paragraphs>
  <ScaleCrop>false</ScaleCrop>
  <LinksUpToDate>false</LinksUpToDate>
  <CharactersWithSpaces>147737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2022-10-23T21:59:00Z</dcterms:created>
  <dcterms:modified xsi:type="dcterms:W3CDTF">2023-02-08T00:24:00Z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0x0101001DF9791B6CE2B34B9DFBD089726B6637</vt:lpwstr>
  </property>
  <property fmtid="{D5CDD505-2E9C-101B-9397-08002B2CF9AE}" pid="5" name="MSIP_Label_bb4ee517-5ca4-4fff-98d2-ed4f906edd6d_Enabled">
    <vt:lpwstr>true</vt:lpwstr>
  </property>
  <property fmtid="{D5CDD505-2E9C-101B-9397-08002B2CF9AE}" pid="6" name="MSIP_Label_bb4ee517-5ca4-4fff-98d2-ed4f906edd6d_SetDate">
    <vt:lpwstr>2022-10-23T21:57:25Z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602cf463-ee5d-4a89-978e-d719c50660dc</vt:lpwstr>
  </property>
  <property fmtid="{D5CDD505-2E9C-101B-9397-08002B2CF9AE}" pid="11" name="MSIP_Label_bb4ee517-5ca4-4fff-98d2-ed4f906edd6d_ContentBits">
    <vt:lpwstr>0</vt:lpwstr>
  </property>
</Properties>
</file>