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7227D" w14:textId="5185D4FD" w:rsidR="00EB50C5" w:rsidRDefault="00EB50C5" w:rsidP="00EB50C5">
      <w:pPr>
        <w:pStyle w:val="Subtitle"/>
        <w:ind w:right="-1"/>
        <w:rPr>
          <w:b/>
          <w:iCs w:val="0"/>
          <w:sz w:val="40"/>
          <w:szCs w:val="52"/>
        </w:rPr>
      </w:pPr>
      <w:r w:rsidRPr="00EB50C5">
        <w:rPr>
          <w:b/>
          <w:iCs w:val="0"/>
          <w:sz w:val="40"/>
          <w:szCs w:val="52"/>
        </w:rPr>
        <w:t>Paper and paperboard</w:t>
      </w:r>
      <w:r>
        <w:rPr>
          <w:b/>
          <w:iCs w:val="0"/>
          <w:sz w:val="40"/>
          <w:szCs w:val="52"/>
        </w:rPr>
        <w:t xml:space="preserve"> </w:t>
      </w:r>
      <w:r w:rsidR="002D7700">
        <w:rPr>
          <w:b/>
          <w:iCs w:val="0"/>
          <w:sz w:val="40"/>
          <w:szCs w:val="52"/>
        </w:rPr>
        <w:t>packaging</w:t>
      </w:r>
    </w:p>
    <w:p w14:paraId="37374395" w14:textId="076B2383" w:rsidR="006959BC" w:rsidRPr="006959BC" w:rsidRDefault="00BE4C2A" w:rsidP="00BE4C2A">
      <w:pPr>
        <w:pStyle w:val="IntroFeatureText"/>
        <w:sectPr w:rsidR="006959BC" w:rsidRPr="006959BC" w:rsidSect="00AF174F">
          <w:headerReference w:type="even" r:id="rId14"/>
          <w:headerReference w:type="default" r:id="rId15"/>
          <w:footerReference w:type="even" r:id="rId16"/>
          <w:footerReference w:type="default" r:id="rId17"/>
          <w:headerReference w:type="first" r:id="rId18"/>
          <w:footerReference w:type="first" r:id="rId19"/>
          <w:pgSz w:w="11907" w:h="16840" w:code="9"/>
          <w:pgMar w:top="851" w:right="851" w:bottom="1985" w:left="851" w:header="567" w:footer="907" w:gutter="0"/>
          <w:cols w:space="284"/>
          <w:titlePg/>
          <w:docGrid w:linePitch="360"/>
        </w:sectPr>
      </w:pPr>
      <w:r w:rsidRPr="2E08408E">
        <w:rPr>
          <w:rFonts w:asciiTheme="majorHAnsi" w:eastAsiaTheme="majorEastAsia" w:hAnsiTheme="majorHAnsi" w:cstheme="majorBidi"/>
          <w:color w:val="004C97" w:themeColor="accent3"/>
          <w:lang w:val="en-US"/>
        </w:rPr>
        <w:t>Market insights report</w:t>
      </w:r>
      <w:r>
        <w:rPr>
          <w:rFonts w:asciiTheme="majorHAnsi" w:eastAsiaTheme="majorEastAsia" w:hAnsiTheme="majorHAnsi" w:cstheme="majorBidi"/>
          <w:color w:val="004C97" w:themeColor="accent3"/>
          <w:lang w:val="en-US"/>
        </w:rPr>
        <w:t xml:space="preserve"> </w:t>
      </w:r>
    </w:p>
    <w:p w14:paraId="1A4537B5" w14:textId="0168DF52" w:rsidR="00EB50C5" w:rsidRDefault="69311D72" w:rsidP="00EB50C5">
      <w:pPr>
        <w:pStyle w:val="Heading3"/>
      </w:pPr>
      <w:r>
        <w:t xml:space="preserve">Notable </w:t>
      </w:r>
      <w:r w:rsidR="002D7700">
        <w:t>m</w:t>
      </w:r>
      <w:r w:rsidR="00EB50C5">
        <w:t xml:space="preserve">arket developments </w:t>
      </w:r>
    </w:p>
    <w:p w14:paraId="76A1A521" w14:textId="5E694A0D" w:rsidR="00EB50C5" w:rsidRDefault="00EB50C5" w:rsidP="00EB50C5">
      <w:pPr>
        <w:pStyle w:val="ListBullet"/>
      </w:pPr>
      <w:r w:rsidRPr="00E22E51">
        <w:rPr>
          <w:b/>
          <w:bCs/>
        </w:rPr>
        <w:t xml:space="preserve">Mixed recovered paper prices have </w:t>
      </w:r>
      <w:r w:rsidR="00756510">
        <w:rPr>
          <w:b/>
          <w:bCs/>
        </w:rPr>
        <w:t>decreased</w:t>
      </w:r>
      <w:r w:rsidRPr="00E22E51">
        <w:rPr>
          <w:b/>
          <w:bCs/>
        </w:rPr>
        <w:t xml:space="preserve"> in Asia.</w:t>
      </w:r>
      <w:r>
        <w:t xml:space="preserve"> Apparent easing of supply chain pressures is dragging mixed fibre prices down.</w:t>
      </w:r>
    </w:p>
    <w:p w14:paraId="5C4D3316" w14:textId="40314395" w:rsidR="00EB50C5" w:rsidRDefault="00EB50C5" w:rsidP="00EB50C5">
      <w:pPr>
        <w:pStyle w:val="ListBullet"/>
      </w:pPr>
      <w:r w:rsidRPr="00E22E51">
        <w:rPr>
          <w:b/>
          <w:bCs/>
        </w:rPr>
        <w:t>Australia has a delivered price advantage to Indonesia.</w:t>
      </w:r>
      <w:r>
        <w:t xml:space="preserve"> An unfamiliar experience for Australian exporters, the proximity to Indonesia means Australian supply is routinely delivered at a lower price than European and North American supply.</w:t>
      </w:r>
      <w:r w:rsidR="005F78C8">
        <w:t xml:space="preserve"> </w:t>
      </w:r>
    </w:p>
    <w:p w14:paraId="62C14A30" w14:textId="139CDC57" w:rsidR="00EB50C5" w:rsidRPr="00EB50C5" w:rsidRDefault="00EB50C5" w:rsidP="00EB50C5">
      <w:pPr>
        <w:pStyle w:val="Heading3"/>
      </w:pPr>
      <w:r w:rsidRPr="00EB50C5">
        <w:t>Material overview and market summary</w:t>
      </w:r>
    </w:p>
    <w:p w14:paraId="214FF66A" w14:textId="77777777" w:rsidR="00E708AA" w:rsidRDefault="00E708AA" w:rsidP="00E708AA">
      <w:pPr>
        <w:pStyle w:val="BodyText"/>
      </w:pPr>
      <w:r>
        <w:t xml:space="preserve">Towards the end of August 2022, domestic and international recovered fibre markets maintained their demand strength, with more stable operating environments in Victoria and nationally. </w:t>
      </w:r>
    </w:p>
    <w:p w14:paraId="6F04661A" w14:textId="77777777" w:rsidR="00E708AA" w:rsidRDefault="00E708AA" w:rsidP="000B6A13">
      <w:pPr>
        <w:pStyle w:val="BodyText"/>
      </w:pPr>
      <w:r>
        <w:t>Modest improvements in demand for recovered fibre are being reported in the global supply chain, in part due to Russia’s continuing war on Ukraine. Disruption to global pulp supplies is reportedly sustaining demand for recovered fibre.</w:t>
      </w:r>
    </w:p>
    <w:p w14:paraId="73D87231" w14:textId="55BB46B1" w:rsidR="00E708AA" w:rsidRDefault="00E708AA" w:rsidP="00E708AA">
      <w:pPr>
        <w:pStyle w:val="BodyText"/>
      </w:pPr>
      <w:r>
        <w:t xml:space="preserve">Only </w:t>
      </w:r>
      <w:r w:rsidR="007A7D5E">
        <w:t>2</w:t>
      </w:r>
      <w:r>
        <w:t xml:space="preserve"> major grades of recovered paper are traded in any significant volume: </w:t>
      </w:r>
      <w:r w:rsidR="00300E00">
        <w:t>old, corrugated</w:t>
      </w:r>
      <w:r>
        <w:t xml:space="preserve"> cardboard, including those sorted from kerbside collections and the mixed volume derived entirely from kerbside and municipal collections.</w:t>
      </w:r>
    </w:p>
    <w:p w14:paraId="535C9871" w14:textId="3A9A11DD" w:rsidR="00E708AA" w:rsidRDefault="00E708AA" w:rsidP="00E708AA">
      <w:pPr>
        <w:pStyle w:val="BodyText"/>
      </w:pPr>
      <w:r>
        <w:t>Other traditional grades derived from the commercial and industrial (C&amp;I) stream are dwindling as printed media and communications continue to decline. The packaging related C&amp;I materials, including liquid packaging board (LPB) and coated boards continue to have strong markets, almost entirely for export, underscoring the potential value from increased sorting of these materials, from the kerbside stream.</w:t>
      </w:r>
    </w:p>
    <w:p w14:paraId="428153FA" w14:textId="1A39D4F6" w:rsidR="006959BC" w:rsidRDefault="006959BC" w:rsidP="00E708AA">
      <w:pPr>
        <w:pStyle w:val="BodyText"/>
      </w:pPr>
      <w:r w:rsidRPr="00C674A5">
        <w:rPr>
          <w:rFonts w:asciiTheme="majorHAnsi" w:eastAsiaTheme="majorEastAsia" w:hAnsiTheme="majorHAnsi" w:cstheme="majorBidi"/>
          <w:b/>
          <w:bCs/>
          <w:iCs/>
          <w:noProof/>
          <w:color w:val="201547" w:themeColor="text2"/>
          <w:sz w:val="14"/>
          <w:szCs w:val="14"/>
          <w:lang w:eastAsia="en-AU"/>
        </w:rPr>
        <w:drawing>
          <wp:inline distT="0" distB="0" distL="0" distR="0" wp14:anchorId="37AB9B10" wp14:editId="1535A279">
            <wp:extent cx="4787900" cy="2997966"/>
            <wp:effectExtent l="0" t="0" r="0" b="0"/>
            <wp:docPr id="2" name="Picture 2" descr="Graph showing destination of Victorian material recovery facility kerbside paper and paperboard outputs from January 2017 to July 2022. The graph shows how many tonnes are going to local reprocessing or storage, export and landfil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 showing destination of Victorian material recovery facility kerbside paper and paperboard outputs from January 2017 to July 2022. The graph shows how many tonnes are going to local reprocessing or storage, export and landfill.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08619" cy="3010940"/>
                    </a:xfrm>
                    <a:prstGeom prst="rect">
                      <a:avLst/>
                    </a:prstGeom>
                    <a:noFill/>
                  </pic:spPr>
                </pic:pic>
              </a:graphicData>
            </a:graphic>
          </wp:inline>
        </w:drawing>
      </w:r>
    </w:p>
    <w:p w14:paraId="589E1B13" w14:textId="3C8FC7F0" w:rsidR="00DB3371" w:rsidRDefault="00E708AA" w:rsidP="00E708AA">
      <w:pPr>
        <w:pStyle w:val="CaptionImageorFigure"/>
      </w:pPr>
      <w:r>
        <w:t>Figure 1: Destination of Victorian material recovery facility (MRF) outputs (tonnes per month) – kerbside paper and paperboard</w:t>
      </w:r>
      <w:r w:rsidR="00DB3371">
        <w:t xml:space="preserve">. </w:t>
      </w:r>
    </w:p>
    <w:p w14:paraId="7BEA0615" w14:textId="44795D8B" w:rsidR="00E708AA" w:rsidRDefault="00DB3371" w:rsidP="458935C2">
      <w:pPr>
        <w:pStyle w:val="PhotoCredit"/>
      </w:pPr>
      <w:r>
        <w:t xml:space="preserve">Source: </w:t>
      </w:r>
      <w:r w:rsidR="00E22E51">
        <w:t>Australian Bureau of Statistics (</w:t>
      </w:r>
      <w:r>
        <w:t>ABS</w:t>
      </w:r>
      <w:r w:rsidR="00400250">
        <w:t>)</w:t>
      </w:r>
      <w:r>
        <w:t xml:space="preserve"> (Australian Harmonized Export Commodity Classification (AHECC) data by month, </w:t>
      </w:r>
      <w:r w:rsidR="00BA6768">
        <w:t>classification,</w:t>
      </w:r>
      <w:r>
        <w:t xml:space="preserve"> and destination country, 2022) and Blue Environment.</w:t>
      </w:r>
    </w:p>
    <w:p w14:paraId="5A131A12" w14:textId="20AEDC50" w:rsidR="00D30377" w:rsidRPr="00D30377" w:rsidRDefault="00E708AA" w:rsidP="00D30377">
      <w:pPr>
        <w:pStyle w:val="SmallBodyText"/>
        <w:rPr>
          <w:sz w:val="14"/>
          <w:szCs w:val="14"/>
        </w:rPr>
      </w:pPr>
      <w:r w:rsidRPr="00D30377">
        <w:rPr>
          <w:sz w:val="14"/>
          <w:szCs w:val="14"/>
        </w:rPr>
        <w:t xml:space="preserve">Note 1: Historical total monthly MRF outputs have been approximated in Figure 1 to enable comparison with monthly ABS customs export data. The overall trends are the key aspect of the figure. </w:t>
      </w:r>
    </w:p>
    <w:p w14:paraId="5377E182" w14:textId="6CD247A3" w:rsidR="00E708AA" w:rsidRPr="00D30377" w:rsidRDefault="00E708AA" w:rsidP="00D30377">
      <w:pPr>
        <w:pStyle w:val="SmallBodyText"/>
        <w:rPr>
          <w:sz w:val="14"/>
          <w:szCs w:val="14"/>
        </w:rPr>
      </w:pPr>
      <w:r w:rsidRPr="00D30377">
        <w:rPr>
          <w:sz w:val="14"/>
          <w:szCs w:val="14"/>
        </w:rPr>
        <w:t>Note 2: The combined ‘Local reprocessing or storage’ estimate is indicative only, and these fates will be presented separately if this level of data becomes available. Landfill excludes disposal from storage and is an approximation based on annual waste to landfill rates.</w:t>
      </w:r>
    </w:p>
    <w:p w14:paraId="06F554EC" w14:textId="2418FA46" w:rsidR="006959BC" w:rsidRDefault="006959BC" w:rsidP="00E27454">
      <w:pPr>
        <w:pStyle w:val="Heading3"/>
      </w:pPr>
      <w:r>
        <w:lastRenderedPageBreak/>
        <w:t xml:space="preserve">Prices, demand and supply </w:t>
      </w:r>
    </w:p>
    <w:p w14:paraId="0CC7A8D8" w14:textId="26E512C6" w:rsidR="006959BC" w:rsidRDefault="006959BC" w:rsidP="006959BC">
      <w:pPr>
        <w:pStyle w:val="BodyText"/>
      </w:pPr>
      <w:r>
        <w:t>Through to the end of August</w:t>
      </w:r>
      <w:r w:rsidR="0041028C">
        <w:t xml:space="preserve"> 2022</w:t>
      </w:r>
      <w:r>
        <w:t>, global fibre prices remained high, with virgin fibre pulp prices mainly at or near record levels. Virgin wood fibre prices</w:t>
      </w:r>
      <w:r w:rsidR="00D11DC2">
        <w:t xml:space="preserve">, such </w:t>
      </w:r>
      <w:r w:rsidR="00E855DD">
        <w:t>as woodchips</w:t>
      </w:r>
      <w:r>
        <w:t xml:space="preserve"> are in a similar position and consequently, sustaining high recovered fibre prices. </w:t>
      </w:r>
    </w:p>
    <w:p w14:paraId="750BF1A0" w14:textId="7DABC58B" w:rsidR="006959BC" w:rsidRDefault="006959BC" w:rsidP="006959BC">
      <w:pPr>
        <w:pStyle w:val="BodyText"/>
      </w:pPr>
      <w:r>
        <w:t xml:space="preserve">Recovered fibre prices were however moderating towards the end of August 2022 and dropped in September 2022. Asymmetry in global interest rate rises reduced the value of the Australian dollar relative </w:t>
      </w:r>
      <w:r w:rsidR="00D11DC2">
        <w:t xml:space="preserve">to </w:t>
      </w:r>
      <w:r>
        <w:t xml:space="preserve">the main trading currency: US dollars. Some exporters report </w:t>
      </w:r>
      <w:r w:rsidR="00D11DC2">
        <w:t xml:space="preserve">that </w:t>
      </w:r>
      <w:r>
        <w:t>they have been able to retain Australian dollar purchase prices, while absorbing the lower US dollar prices on offer.</w:t>
      </w:r>
    </w:p>
    <w:p w14:paraId="677D5358" w14:textId="7131E1B7" w:rsidR="006959BC" w:rsidRPr="00E708AA" w:rsidRDefault="006959BC" w:rsidP="006959BC">
      <w:pPr>
        <w:pStyle w:val="BodyText"/>
        <w:rPr>
          <w:sz w:val="14"/>
        </w:rPr>
      </w:pPr>
      <w:r>
        <w:t>Demand and supply positions have been little altered over the period to end September</w:t>
      </w:r>
      <w:r w:rsidR="0041028C">
        <w:t xml:space="preserve"> 2022</w:t>
      </w:r>
      <w:r>
        <w:t xml:space="preserve">. It is expected there will be </w:t>
      </w:r>
      <w:r w:rsidR="00634EE3">
        <w:t>fewer opportunities</w:t>
      </w:r>
      <w:r>
        <w:t xml:space="preserve"> to recover fibre from regions of Australia subject to floods and inundation. The impact is reportedly expected to include a modest reduction in exports of kerbside derived recovered fibre from New South Wales and Queensland and is not expected to impact domestic market volumes or prices.</w:t>
      </w:r>
    </w:p>
    <w:p w14:paraId="5E6C023A" w14:textId="7E2DD07C" w:rsidR="006959BC" w:rsidRDefault="006959BC" w:rsidP="006959BC">
      <w:pPr>
        <w:pStyle w:val="Heading3"/>
      </w:pPr>
      <w:r>
        <w:t>Key end</w:t>
      </w:r>
      <w:r w:rsidR="00B87FC7">
        <w:t xml:space="preserve"> </w:t>
      </w:r>
      <w:r>
        <w:t xml:space="preserve">markets and related specifications </w:t>
      </w:r>
    </w:p>
    <w:p w14:paraId="709E5AC9" w14:textId="00F0775A" w:rsidR="006959BC" w:rsidRPr="006959BC" w:rsidRDefault="006959BC" w:rsidP="006959BC">
      <w:pPr>
        <w:pStyle w:val="BodyText"/>
      </w:pPr>
      <w:r w:rsidRPr="006959BC">
        <w:t>There are no new end</w:t>
      </w:r>
      <w:r w:rsidR="00B87FC7">
        <w:t xml:space="preserve"> </w:t>
      </w:r>
      <w:r w:rsidRPr="006959BC">
        <w:t>markets for kerbside recovered paper, despite increased attention on a small number of solutions, from the production of solid board products, to moulded fibre and increasingly, for production of recycled pulp products. Some of these options are relatively small scale and require only limited capital.</w:t>
      </w:r>
    </w:p>
    <w:p w14:paraId="47FEA93E" w14:textId="678260DB" w:rsidR="00E708AA" w:rsidRDefault="006959BC" w:rsidP="006959BC">
      <w:pPr>
        <w:pStyle w:val="BodyText"/>
      </w:pPr>
      <w:r>
        <w:t xml:space="preserve">The greatest competition in recovered paper markets continues to </w:t>
      </w:r>
      <w:r w:rsidR="00914171">
        <w:t>be for</w:t>
      </w:r>
      <w:r>
        <w:t xml:space="preserve"> recovered office papers and newsprint, but these are obtained from commercial sources, not kerbside sources. Local paper producers in packaging, recovered paper and tissue products (noting that tissue products cannot go into kerbside collections) and pet care products, all seek office papers and newsprint for different purposes, but the volumes decreased significantly during the pandemic. This market has not recovered and is not anticipated to do so.</w:t>
      </w:r>
    </w:p>
    <w:p w14:paraId="08559FE1" w14:textId="77777777" w:rsidR="006959BC" w:rsidRDefault="006959BC" w:rsidP="006959BC">
      <w:pPr>
        <w:pStyle w:val="Heading3"/>
      </w:pPr>
      <w:r>
        <w:t xml:space="preserve">Export and interstate market review </w:t>
      </w:r>
    </w:p>
    <w:p w14:paraId="57E325F9" w14:textId="21AD1E5F" w:rsidR="006959BC" w:rsidRPr="006959BC" w:rsidRDefault="006959BC" w:rsidP="006959BC">
      <w:pPr>
        <w:pStyle w:val="BodyText"/>
      </w:pPr>
      <w:r w:rsidRPr="006959BC">
        <w:t xml:space="preserve">As Indonesia has grown its share of the Victorian (and Australian) export volumes, it has brought with it an unfamiliar experience for Australian trade: proximity. A major exporter advised recently they had been able to position their supply into the Indonesian market in part because of the </w:t>
      </w:r>
      <w:r w:rsidR="00914171">
        <w:t xml:space="preserve">cheaper </w:t>
      </w:r>
      <w:r w:rsidR="00914171" w:rsidRPr="006959BC">
        <w:t>freight</w:t>
      </w:r>
      <w:r w:rsidRPr="006959BC">
        <w:t xml:space="preserve"> cost </w:t>
      </w:r>
      <w:r w:rsidR="001F3A1A">
        <w:t xml:space="preserve">compared to </w:t>
      </w:r>
      <w:r w:rsidRPr="006959BC">
        <w:t>North America and Europe.</w:t>
      </w:r>
    </w:p>
    <w:p w14:paraId="3C19F116" w14:textId="0565E4D6" w:rsidR="006959BC" w:rsidRPr="006959BC" w:rsidRDefault="006959BC" w:rsidP="006959BC">
      <w:pPr>
        <w:pStyle w:val="BodyText"/>
      </w:pPr>
      <w:r w:rsidRPr="006959BC">
        <w:t xml:space="preserve">Recent reports indicate major buyers in Indonesia are aware the </w:t>
      </w:r>
      <w:r w:rsidR="001F3A1A">
        <w:t xml:space="preserve">Australian </w:t>
      </w:r>
      <w:r w:rsidR="00914171">
        <w:t xml:space="preserve">Government </w:t>
      </w:r>
      <w:r w:rsidR="00914171" w:rsidRPr="006959BC">
        <w:t>export</w:t>
      </w:r>
      <w:r w:rsidRPr="006959BC">
        <w:t xml:space="preserve"> licensing provisions for recovered fibre will </w:t>
      </w:r>
      <w:r w:rsidR="001F3A1A">
        <w:t xml:space="preserve">start </w:t>
      </w:r>
      <w:r w:rsidRPr="006959BC">
        <w:t xml:space="preserve">in mid-2024 and that the regulations and rules are being considered </w:t>
      </w:r>
      <w:r w:rsidR="001F3A1A">
        <w:t>now.</w:t>
      </w:r>
      <w:r w:rsidRPr="006959BC">
        <w:t xml:space="preserve"> Some buyers continue to describe the Australian laws as a blanket ‘ban’ and advise they intend to seek alternative supply. It seems some of this is fuelled by the commentary of suppliers in other countries.</w:t>
      </w:r>
    </w:p>
    <w:p w14:paraId="79A8A002" w14:textId="0972E3C7" w:rsidR="006959BC" w:rsidRPr="006959BC" w:rsidRDefault="006959BC" w:rsidP="006959BC">
      <w:pPr>
        <w:pStyle w:val="BodyText"/>
      </w:pPr>
      <w:r w:rsidRPr="006959BC">
        <w:t>Just as Australian exporters have an advantage to Indonesia, they have a significant freight disadvantage to India, a market dominated by European and North American suppliers. Although ocean freight rates are dec</w:t>
      </w:r>
      <w:r w:rsidR="00B13F32">
        <w:t xml:space="preserve">reasing </w:t>
      </w:r>
      <w:r w:rsidRPr="006959BC">
        <w:t>slowly from the peaks earlier in 2022, they are nowhere near as low as they need to be for Australian supply to be competitive into India.</w:t>
      </w:r>
    </w:p>
    <w:p w14:paraId="4BC0EF54" w14:textId="6566FE3A" w:rsidR="006959BC" w:rsidRDefault="006959BC" w:rsidP="006959BC">
      <w:pPr>
        <w:pStyle w:val="BodyText"/>
      </w:pPr>
      <w:r w:rsidRPr="006959BC">
        <w:t>In the meantime, despite volume stability, prices for unsorted or mixed recovered paper fell steeply through the middle of 2022. If the situation continues and prices deteriorate further, gate fees may again become an issue. That applies generally, but the market is aware there are sales of well</w:t>
      </w:r>
      <w:r w:rsidR="00914171">
        <w:t xml:space="preserve"> </w:t>
      </w:r>
      <w:r w:rsidRPr="006959BC">
        <w:t>sorted</w:t>
      </w:r>
      <w:r w:rsidR="00B13F32">
        <w:t>,</w:t>
      </w:r>
      <w:r w:rsidR="00914171">
        <w:t xml:space="preserve"> </w:t>
      </w:r>
      <w:r w:rsidRPr="006959BC">
        <w:t>low contamination mixed recovered paper for which a premium is still being commanded.</w:t>
      </w:r>
    </w:p>
    <w:p w14:paraId="208120A4" w14:textId="09EDE1D4" w:rsidR="006959BC" w:rsidRPr="006959BC" w:rsidRDefault="006959BC" w:rsidP="006959BC">
      <w:pPr>
        <w:pStyle w:val="BodyText"/>
      </w:pPr>
      <w:r>
        <w:rPr>
          <w:noProof/>
        </w:rPr>
        <w:lastRenderedPageBreak/>
        <w:drawing>
          <wp:inline distT="0" distB="0" distL="0" distR="0" wp14:anchorId="05FD4621" wp14:editId="195DDFC8">
            <wp:extent cx="5788801" cy="3625200"/>
            <wp:effectExtent l="0" t="0" r="2540" b="0"/>
            <wp:docPr id="1" name="Picture 1" descr="Graph showing recovered paper and paperboard exports to various countries between January 2015- July 2022. The graph shows that over this period exports peaked in January 2016 and have since shown a declining tre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1">
                      <a:extLst>
                        <a:ext uri="{28A0092B-C50C-407E-A947-70E740481C1C}">
                          <a14:useLocalDpi xmlns:a14="http://schemas.microsoft.com/office/drawing/2010/main" val="0"/>
                        </a:ext>
                      </a:extLst>
                    </a:blip>
                    <a:stretch>
                      <a:fillRect/>
                    </a:stretch>
                  </pic:blipFill>
                  <pic:spPr>
                    <a:xfrm>
                      <a:off x="0" y="0"/>
                      <a:ext cx="5788801" cy="3625200"/>
                    </a:xfrm>
                    <a:prstGeom prst="rect">
                      <a:avLst/>
                    </a:prstGeom>
                  </pic:spPr>
                </pic:pic>
              </a:graphicData>
            </a:graphic>
          </wp:inline>
        </w:drawing>
      </w:r>
    </w:p>
    <w:p w14:paraId="690B878C" w14:textId="633FA970" w:rsidR="006959BC" w:rsidRDefault="006959BC" w:rsidP="006959BC">
      <w:pPr>
        <w:pStyle w:val="CaptionImageorFigure"/>
        <w:rPr>
          <w:rFonts w:eastAsia="Microsoft JhengHei"/>
        </w:rPr>
      </w:pPr>
      <w:r w:rsidRPr="458935C2">
        <w:rPr>
          <w:rFonts w:eastAsia="Microsoft JhengHei"/>
        </w:rPr>
        <w:t>Figure 2: Victorian recovered kerbside paper and paperboard, to export country (tonnes per month)</w:t>
      </w:r>
      <w:r w:rsidR="00D30377" w:rsidRPr="458935C2">
        <w:rPr>
          <w:rFonts w:eastAsia="Microsoft JhengHei"/>
        </w:rPr>
        <w:t>.</w:t>
      </w:r>
    </w:p>
    <w:p w14:paraId="134A5B74" w14:textId="61D9C59D" w:rsidR="00197FFC" w:rsidRDefault="006959BC" w:rsidP="00DB3371">
      <w:pPr>
        <w:pStyle w:val="PhotoCredit"/>
      </w:pPr>
      <w:r>
        <w:t xml:space="preserve">Source: ABS and IndustryEdge (IE) (Australian Harmonized Export Commodity Classification (AHECC) data by month, </w:t>
      </w:r>
      <w:r w:rsidR="00BA6768">
        <w:t>classification,</w:t>
      </w:r>
      <w:r>
        <w:t xml:space="preserve"> and destination country, 2022) and Blue Environment</w:t>
      </w:r>
      <w:r w:rsidR="00DB3371">
        <w:t>.</w:t>
      </w:r>
    </w:p>
    <w:p w14:paraId="3FCF46D8" w14:textId="77777777" w:rsidR="00197FFC" w:rsidRPr="00197FFC" w:rsidRDefault="00197FFC" w:rsidP="00197FFC">
      <w:pPr>
        <w:pStyle w:val="BodyText"/>
      </w:pPr>
    </w:p>
    <w:p w14:paraId="349F76C0" w14:textId="002E470D" w:rsidR="00197FFC" w:rsidRDefault="00197FFC" w:rsidP="00197FFC">
      <w:pPr>
        <w:pStyle w:val="CaptionImageorFigure"/>
      </w:pPr>
      <w:r>
        <w:t>Table 1: Annual Victorian recovered kerbside paper and paperboard, to export country (tonnes per year)</w:t>
      </w:r>
      <w:r w:rsidR="00D30377">
        <w:t>.</w:t>
      </w:r>
    </w:p>
    <w:tbl>
      <w:tblPr>
        <w:tblStyle w:val="TableGrid"/>
        <w:tblW w:w="5000" w:type="pct"/>
        <w:tblLook w:val="04A0" w:firstRow="1" w:lastRow="0" w:firstColumn="1" w:lastColumn="0" w:noHBand="0" w:noVBand="1"/>
      </w:tblPr>
      <w:tblGrid>
        <w:gridCol w:w="1134"/>
        <w:gridCol w:w="1134"/>
        <w:gridCol w:w="1135"/>
        <w:gridCol w:w="1135"/>
        <w:gridCol w:w="1135"/>
        <w:gridCol w:w="1135"/>
        <w:gridCol w:w="1135"/>
        <w:gridCol w:w="1135"/>
        <w:gridCol w:w="1127"/>
      </w:tblGrid>
      <w:tr w:rsidR="00197FFC" w:rsidRPr="00226E30" w14:paraId="707E583B" w14:textId="77777777" w:rsidTr="458935C2">
        <w:trPr>
          <w:cnfStyle w:val="100000000000" w:firstRow="1" w:lastRow="0" w:firstColumn="0" w:lastColumn="0" w:oddVBand="0" w:evenVBand="0" w:oddHBand="0" w:evenHBand="0" w:firstRowFirstColumn="0" w:firstRowLastColumn="0" w:lastRowFirstColumn="0" w:lastRowLastColumn="0"/>
          <w:trHeight w:val="286"/>
        </w:trPr>
        <w:tc>
          <w:tcPr>
            <w:cnfStyle w:val="000000000100" w:firstRow="0" w:lastRow="0" w:firstColumn="0" w:lastColumn="0" w:oddVBand="0" w:evenVBand="0" w:oddHBand="0" w:evenHBand="0" w:firstRowFirstColumn="1" w:firstRowLastColumn="0" w:lastRowFirstColumn="0" w:lastRowLastColumn="0"/>
            <w:tcW w:w="556" w:type="pct"/>
            <w:noWrap/>
            <w:hideMark/>
          </w:tcPr>
          <w:p w14:paraId="71F6A117" w14:textId="77777777" w:rsidR="00197FFC" w:rsidRPr="00197FFC" w:rsidRDefault="00197FFC" w:rsidP="00197FFC">
            <w:pPr>
              <w:pStyle w:val="TableHeadingLeft"/>
            </w:pPr>
            <w:bookmarkStart w:id="0" w:name="_Hlk122533190"/>
            <w:r w:rsidRPr="00197FFC">
              <w:t>Country</w:t>
            </w:r>
            <w:r w:rsidRPr="00197FFC">
              <w:rPr>
                <w:vertAlign w:val="superscript"/>
              </w:rPr>
              <w:t>a</w:t>
            </w:r>
          </w:p>
        </w:tc>
        <w:tc>
          <w:tcPr>
            <w:tcW w:w="556" w:type="pct"/>
            <w:hideMark/>
          </w:tcPr>
          <w:p w14:paraId="1D8ED7F5" w14:textId="77777777" w:rsidR="00197FFC" w:rsidRPr="00197FFC" w:rsidRDefault="00197FFC" w:rsidP="00197FFC">
            <w:pPr>
              <w:pStyle w:val="TableHeadingLeft"/>
              <w:jc w:val="right"/>
              <w:cnfStyle w:val="100000000000" w:firstRow="1" w:lastRow="0" w:firstColumn="0" w:lastColumn="0" w:oddVBand="0" w:evenVBand="0" w:oddHBand="0" w:evenHBand="0" w:firstRowFirstColumn="0" w:firstRowLastColumn="0" w:lastRowFirstColumn="0" w:lastRowLastColumn="0"/>
            </w:pPr>
            <w:r w:rsidRPr="00197FFC">
              <w:t>2015–16</w:t>
            </w:r>
          </w:p>
          <w:p w14:paraId="0BFF9B5D" w14:textId="77777777" w:rsidR="00197FFC" w:rsidRPr="00197FFC" w:rsidRDefault="00197FFC" w:rsidP="00197FFC">
            <w:pPr>
              <w:pStyle w:val="TableHeadingLeft"/>
              <w:jc w:val="right"/>
              <w:cnfStyle w:val="100000000000" w:firstRow="1" w:lastRow="0" w:firstColumn="0" w:lastColumn="0" w:oddVBand="0" w:evenVBand="0" w:oddHBand="0" w:evenHBand="0" w:firstRowFirstColumn="0" w:firstRowLastColumn="0" w:lastRowFirstColumn="0" w:lastRowLastColumn="0"/>
            </w:pPr>
            <w:r w:rsidRPr="00197FFC">
              <w:t>(tonnes)</w:t>
            </w:r>
          </w:p>
        </w:tc>
        <w:tc>
          <w:tcPr>
            <w:tcW w:w="556" w:type="pct"/>
            <w:hideMark/>
          </w:tcPr>
          <w:p w14:paraId="67F7EB97" w14:textId="77777777" w:rsidR="00197FFC" w:rsidRPr="00197FFC" w:rsidRDefault="00197FFC" w:rsidP="00197FFC">
            <w:pPr>
              <w:pStyle w:val="TableHeadingLeft"/>
              <w:jc w:val="right"/>
              <w:cnfStyle w:val="100000000000" w:firstRow="1" w:lastRow="0" w:firstColumn="0" w:lastColumn="0" w:oddVBand="0" w:evenVBand="0" w:oddHBand="0" w:evenHBand="0" w:firstRowFirstColumn="0" w:firstRowLastColumn="0" w:lastRowFirstColumn="0" w:lastRowLastColumn="0"/>
            </w:pPr>
            <w:r w:rsidRPr="00197FFC">
              <w:t>2016–17</w:t>
            </w:r>
          </w:p>
          <w:p w14:paraId="2D15F186" w14:textId="77777777" w:rsidR="00197FFC" w:rsidRPr="00197FFC" w:rsidRDefault="00197FFC" w:rsidP="00197FFC">
            <w:pPr>
              <w:pStyle w:val="TableHeadingLeft"/>
              <w:jc w:val="right"/>
              <w:cnfStyle w:val="100000000000" w:firstRow="1" w:lastRow="0" w:firstColumn="0" w:lastColumn="0" w:oddVBand="0" w:evenVBand="0" w:oddHBand="0" w:evenHBand="0" w:firstRowFirstColumn="0" w:firstRowLastColumn="0" w:lastRowFirstColumn="0" w:lastRowLastColumn="0"/>
            </w:pPr>
            <w:r w:rsidRPr="00197FFC">
              <w:t>(tonnes)</w:t>
            </w:r>
          </w:p>
        </w:tc>
        <w:tc>
          <w:tcPr>
            <w:tcW w:w="556" w:type="pct"/>
          </w:tcPr>
          <w:p w14:paraId="3DDF6A36" w14:textId="77777777" w:rsidR="00197FFC" w:rsidRPr="00197FFC" w:rsidRDefault="00197FFC" w:rsidP="00197FFC">
            <w:pPr>
              <w:pStyle w:val="TableHeadingLeft"/>
              <w:jc w:val="right"/>
              <w:cnfStyle w:val="100000000000" w:firstRow="1" w:lastRow="0" w:firstColumn="0" w:lastColumn="0" w:oddVBand="0" w:evenVBand="0" w:oddHBand="0" w:evenHBand="0" w:firstRowFirstColumn="0" w:firstRowLastColumn="0" w:lastRowFirstColumn="0" w:lastRowLastColumn="0"/>
            </w:pPr>
            <w:r w:rsidRPr="00197FFC">
              <w:t>2017–18</w:t>
            </w:r>
          </w:p>
          <w:p w14:paraId="3EFA6CDD" w14:textId="77777777" w:rsidR="00197FFC" w:rsidRPr="00197FFC" w:rsidRDefault="00197FFC" w:rsidP="00197FFC">
            <w:pPr>
              <w:pStyle w:val="TableHeadingLeft"/>
              <w:jc w:val="right"/>
              <w:cnfStyle w:val="100000000000" w:firstRow="1" w:lastRow="0" w:firstColumn="0" w:lastColumn="0" w:oddVBand="0" w:evenVBand="0" w:oddHBand="0" w:evenHBand="0" w:firstRowFirstColumn="0" w:firstRowLastColumn="0" w:lastRowFirstColumn="0" w:lastRowLastColumn="0"/>
            </w:pPr>
            <w:r w:rsidRPr="00197FFC">
              <w:t>(tonnes)</w:t>
            </w:r>
          </w:p>
        </w:tc>
        <w:tc>
          <w:tcPr>
            <w:tcW w:w="556" w:type="pct"/>
          </w:tcPr>
          <w:p w14:paraId="282F2C8F" w14:textId="77777777" w:rsidR="00197FFC" w:rsidRPr="00197FFC" w:rsidRDefault="00197FFC" w:rsidP="00197FFC">
            <w:pPr>
              <w:pStyle w:val="TableHeadingLeft"/>
              <w:jc w:val="right"/>
              <w:cnfStyle w:val="100000000000" w:firstRow="1" w:lastRow="0" w:firstColumn="0" w:lastColumn="0" w:oddVBand="0" w:evenVBand="0" w:oddHBand="0" w:evenHBand="0" w:firstRowFirstColumn="0" w:firstRowLastColumn="0" w:lastRowFirstColumn="0" w:lastRowLastColumn="0"/>
            </w:pPr>
            <w:r w:rsidRPr="00197FFC">
              <w:t>2018–19</w:t>
            </w:r>
          </w:p>
          <w:p w14:paraId="34CD2E5C" w14:textId="77777777" w:rsidR="00197FFC" w:rsidRPr="00197FFC" w:rsidRDefault="00197FFC" w:rsidP="00197FFC">
            <w:pPr>
              <w:pStyle w:val="TableHeadingLeft"/>
              <w:jc w:val="right"/>
              <w:cnfStyle w:val="100000000000" w:firstRow="1" w:lastRow="0" w:firstColumn="0" w:lastColumn="0" w:oddVBand="0" w:evenVBand="0" w:oddHBand="0" w:evenHBand="0" w:firstRowFirstColumn="0" w:firstRowLastColumn="0" w:lastRowFirstColumn="0" w:lastRowLastColumn="0"/>
            </w:pPr>
            <w:r w:rsidRPr="00197FFC">
              <w:t>(tonnes)</w:t>
            </w:r>
          </w:p>
        </w:tc>
        <w:tc>
          <w:tcPr>
            <w:tcW w:w="556" w:type="pct"/>
          </w:tcPr>
          <w:p w14:paraId="3E78530B" w14:textId="77777777" w:rsidR="00197FFC" w:rsidRPr="00197FFC" w:rsidRDefault="00197FFC" w:rsidP="00197FFC">
            <w:pPr>
              <w:pStyle w:val="TableHeadingLeft"/>
              <w:jc w:val="right"/>
              <w:cnfStyle w:val="100000000000" w:firstRow="1" w:lastRow="0" w:firstColumn="0" w:lastColumn="0" w:oddVBand="0" w:evenVBand="0" w:oddHBand="0" w:evenHBand="0" w:firstRowFirstColumn="0" w:firstRowLastColumn="0" w:lastRowFirstColumn="0" w:lastRowLastColumn="0"/>
            </w:pPr>
            <w:r w:rsidRPr="00197FFC">
              <w:t>2019–20</w:t>
            </w:r>
          </w:p>
          <w:p w14:paraId="29169BBF" w14:textId="77777777" w:rsidR="00197FFC" w:rsidRPr="00197FFC" w:rsidRDefault="00197FFC" w:rsidP="00197FFC">
            <w:pPr>
              <w:pStyle w:val="TableHeadingLeft"/>
              <w:jc w:val="right"/>
              <w:cnfStyle w:val="100000000000" w:firstRow="1" w:lastRow="0" w:firstColumn="0" w:lastColumn="0" w:oddVBand="0" w:evenVBand="0" w:oddHBand="0" w:evenHBand="0" w:firstRowFirstColumn="0" w:firstRowLastColumn="0" w:lastRowFirstColumn="0" w:lastRowLastColumn="0"/>
            </w:pPr>
            <w:r w:rsidRPr="00197FFC">
              <w:t>(tonnes)</w:t>
            </w:r>
          </w:p>
        </w:tc>
        <w:tc>
          <w:tcPr>
            <w:tcW w:w="556" w:type="pct"/>
          </w:tcPr>
          <w:p w14:paraId="6361C48D" w14:textId="77777777" w:rsidR="00197FFC" w:rsidRPr="00197FFC" w:rsidRDefault="00197FFC" w:rsidP="00197FFC">
            <w:pPr>
              <w:pStyle w:val="TableHeadingLeft"/>
              <w:jc w:val="right"/>
              <w:cnfStyle w:val="100000000000" w:firstRow="1" w:lastRow="0" w:firstColumn="0" w:lastColumn="0" w:oddVBand="0" w:evenVBand="0" w:oddHBand="0" w:evenHBand="0" w:firstRowFirstColumn="0" w:firstRowLastColumn="0" w:lastRowFirstColumn="0" w:lastRowLastColumn="0"/>
            </w:pPr>
            <w:r w:rsidRPr="00197FFC">
              <w:t>2020–21</w:t>
            </w:r>
          </w:p>
          <w:p w14:paraId="38BE5114" w14:textId="77777777" w:rsidR="00197FFC" w:rsidRPr="00197FFC" w:rsidRDefault="00197FFC" w:rsidP="00197FFC">
            <w:pPr>
              <w:pStyle w:val="TableHeadingLeft"/>
              <w:jc w:val="right"/>
              <w:cnfStyle w:val="100000000000" w:firstRow="1" w:lastRow="0" w:firstColumn="0" w:lastColumn="0" w:oddVBand="0" w:evenVBand="0" w:oddHBand="0" w:evenHBand="0" w:firstRowFirstColumn="0" w:firstRowLastColumn="0" w:lastRowFirstColumn="0" w:lastRowLastColumn="0"/>
            </w:pPr>
            <w:r w:rsidRPr="00197FFC">
              <w:t>(tonnes)</w:t>
            </w:r>
          </w:p>
        </w:tc>
        <w:tc>
          <w:tcPr>
            <w:tcW w:w="556" w:type="pct"/>
          </w:tcPr>
          <w:p w14:paraId="78394FC4" w14:textId="77777777" w:rsidR="00197FFC" w:rsidRPr="00197FFC" w:rsidRDefault="00197FFC" w:rsidP="00197FFC">
            <w:pPr>
              <w:pStyle w:val="TableHeadingLeft"/>
              <w:jc w:val="right"/>
              <w:cnfStyle w:val="100000000000" w:firstRow="1" w:lastRow="0" w:firstColumn="0" w:lastColumn="0" w:oddVBand="0" w:evenVBand="0" w:oddHBand="0" w:evenHBand="0" w:firstRowFirstColumn="0" w:firstRowLastColumn="0" w:lastRowFirstColumn="0" w:lastRowLastColumn="0"/>
            </w:pPr>
            <w:r w:rsidRPr="00197FFC">
              <w:t>2021–22</w:t>
            </w:r>
          </w:p>
          <w:p w14:paraId="49B61ACC" w14:textId="77777777" w:rsidR="00197FFC" w:rsidRPr="00197FFC" w:rsidRDefault="00197FFC" w:rsidP="00197FFC">
            <w:pPr>
              <w:pStyle w:val="TableHeadingLeft"/>
              <w:jc w:val="right"/>
              <w:cnfStyle w:val="100000000000" w:firstRow="1" w:lastRow="0" w:firstColumn="0" w:lastColumn="0" w:oddVBand="0" w:evenVBand="0" w:oddHBand="0" w:evenHBand="0" w:firstRowFirstColumn="0" w:firstRowLastColumn="0" w:lastRowFirstColumn="0" w:lastRowLastColumn="0"/>
            </w:pPr>
            <w:r w:rsidRPr="00197FFC">
              <w:t>(tonnes)</w:t>
            </w:r>
          </w:p>
        </w:tc>
        <w:tc>
          <w:tcPr>
            <w:tcW w:w="556" w:type="pct"/>
          </w:tcPr>
          <w:p w14:paraId="6A2EE30B" w14:textId="77777777" w:rsidR="00197FFC" w:rsidRPr="00197FFC" w:rsidRDefault="00197FFC" w:rsidP="00197FFC">
            <w:pPr>
              <w:pStyle w:val="TableHeadingLeft"/>
              <w:jc w:val="right"/>
              <w:cnfStyle w:val="100000000000" w:firstRow="1" w:lastRow="0" w:firstColumn="0" w:lastColumn="0" w:oddVBand="0" w:evenVBand="0" w:oddHBand="0" w:evenHBand="0" w:firstRowFirstColumn="0" w:firstRowLastColumn="0" w:lastRowFirstColumn="0" w:lastRowLastColumn="0"/>
            </w:pPr>
            <w:r w:rsidRPr="00197FFC">
              <w:t>2022–23</w:t>
            </w:r>
            <w:r w:rsidRPr="00197FFC">
              <w:rPr>
                <w:vertAlign w:val="superscript"/>
              </w:rPr>
              <w:t>b</w:t>
            </w:r>
          </w:p>
          <w:p w14:paraId="23C8FC28" w14:textId="77777777" w:rsidR="00197FFC" w:rsidRPr="00197FFC" w:rsidRDefault="00197FFC" w:rsidP="00197FFC">
            <w:pPr>
              <w:pStyle w:val="TableHeadingLeft"/>
              <w:jc w:val="right"/>
              <w:cnfStyle w:val="100000000000" w:firstRow="1" w:lastRow="0" w:firstColumn="0" w:lastColumn="0" w:oddVBand="0" w:evenVBand="0" w:oddHBand="0" w:evenHBand="0" w:firstRowFirstColumn="0" w:firstRowLastColumn="0" w:lastRowFirstColumn="0" w:lastRowLastColumn="0"/>
            </w:pPr>
            <w:r w:rsidRPr="00197FFC">
              <w:t>(tonnes)</w:t>
            </w:r>
          </w:p>
        </w:tc>
      </w:tr>
      <w:tr w:rsidR="00197FFC" w:rsidRPr="00226E30" w14:paraId="22D3E71F" w14:textId="77777777" w:rsidTr="458935C2">
        <w:trPr>
          <w:trHeight w:val="286"/>
        </w:trPr>
        <w:tc>
          <w:tcPr>
            <w:tcW w:w="556" w:type="pct"/>
            <w:shd w:val="clear" w:color="auto" w:fill="DBF4F5" w:themeFill="background2"/>
            <w:noWrap/>
          </w:tcPr>
          <w:p w14:paraId="3A0BB723" w14:textId="77777777" w:rsidR="00197FFC" w:rsidRPr="004418F9" w:rsidRDefault="00197FFC" w:rsidP="00197FFC">
            <w:pPr>
              <w:pStyle w:val="TableTextLeft"/>
              <w:spacing w:line="240" w:lineRule="atLeast"/>
            </w:pPr>
            <w:r>
              <w:t>Indonesia</w:t>
            </w:r>
          </w:p>
        </w:tc>
        <w:tc>
          <w:tcPr>
            <w:tcW w:w="556" w:type="pct"/>
            <w:noWrap/>
          </w:tcPr>
          <w:p w14:paraId="6E7D7C2C" w14:textId="77777777" w:rsidR="00197FFC" w:rsidRPr="004418F9" w:rsidRDefault="00197FFC" w:rsidP="00197FFC">
            <w:pPr>
              <w:pStyle w:val="TableTextLeft"/>
              <w:spacing w:line="240" w:lineRule="atLeast"/>
              <w:jc w:val="right"/>
            </w:pPr>
            <w:r>
              <w:t>45,000</w:t>
            </w:r>
          </w:p>
        </w:tc>
        <w:tc>
          <w:tcPr>
            <w:tcW w:w="556" w:type="pct"/>
            <w:shd w:val="clear" w:color="auto" w:fill="DBF4F5" w:themeFill="background2"/>
            <w:noWrap/>
          </w:tcPr>
          <w:p w14:paraId="5F11A89B" w14:textId="77777777" w:rsidR="00197FFC" w:rsidRPr="004418F9" w:rsidRDefault="00197FFC" w:rsidP="00197FFC">
            <w:pPr>
              <w:pStyle w:val="TableTextLeft"/>
              <w:spacing w:line="240" w:lineRule="atLeast"/>
              <w:jc w:val="right"/>
            </w:pPr>
            <w:r>
              <w:t>22,000</w:t>
            </w:r>
          </w:p>
        </w:tc>
        <w:tc>
          <w:tcPr>
            <w:tcW w:w="556" w:type="pct"/>
          </w:tcPr>
          <w:p w14:paraId="437E2FA1" w14:textId="77777777" w:rsidR="00197FFC" w:rsidRPr="004418F9" w:rsidRDefault="00197FFC" w:rsidP="00197FFC">
            <w:pPr>
              <w:pStyle w:val="TableTextLeft"/>
              <w:spacing w:line="240" w:lineRule="atLeast"/>
              <w:jc w:val="right"/>
            </w:pPr>
            <w:r>
              <w:t>34,000</w:t>
            </w:r>
          </w:p>
        </w:tc>
        <w:tc>
          <w:tcPr>
            <w:tcW w:w="556" w:type="pct"/>
            <w:shd w:val="clear" w:color="auto" w:fill="DBF4F5" w:themeFill="background2"/>
          </w:tcPr>
          <w:p w14:paraId="5AF60DDA" w14:textId="77777777" w:rsidR="00197FFC" w:rsidRPr="004418F9" w:rsidRDefault="00197FFC" w:rsidP="00197FFC">
            <w:pPr>
              <w:pStyle w:val="TableTextLeft"/>
              <w:spacing w:line="240" w:lineRule="atLeast"/>
              <w:jc w:val="right"/>
            </w:pPr>
            <w:r>
              <w:t>32,000</w:t>
            </w:r>
          </w:p>
        </w:tc>
        <w:tc>
          <w:tcPr>
            <w:tcW w:w="556" w:type="pct"/>
          </w:tcPr>
          <w:p w14:paraId="2C7E4049" w14:textId="77777777" w:rsidR="00197FFC" w:rsidRPr="004418F9" w:rsidRDefault="00197FFC" w:rsidP="00197FFC">
            <w:pPr>
              <w:pStyle w:val="TableTextLeft"/>
              <w:spacing w:line="240" w:lineRule="atLeast"/>
              <w:jc w:val="right"/>
            </w:pPr>
            <w:r>
              <w:t>34,000</w:t>
            </w:r>
          </w:p>
        </w:tc>
        <w:tc>
          <w:tcPr>
            <w:tcW w:w="556" w:type="pct"/>
            <w:shd w:val="clear" w:color="auto" w:fill="DBF4F5" w:themeFill="background2"/>
          </w:tcPr>
          <w:p w14:paraId="0274ED11" w14:textId="77777777" w:rsidR="00197FFC" w:rsidRPr="004418F9" w:rsidRDefault="00197FFC" w:rsidP="00197FFC">
            <w:pPr>
              <w:pStyle w:val="TableTextLeft"/>
              <w:spacing w:line="240" w:lineRule="atLeast"/>
              <w:jc w:val="right"/>
            </w:pPr>
            <w:r>
              <w:t>51,000</w:t>
            </w:r>
          </w:p>
        </w:tc>
        <w:tc>
          <w:tcPr>
            <w:tcW w:w="556" w:type="pct"/>
          </w:tcPr>
          <w:p w14:paraId="5AB74FA9" w14:textId="77777777" w:rsidR="00197FFC" w:rsidRPr="004418F9" w:rsidRDefault="00197FFC" w:rsidP="00197FFC">
            <w:pPr>
              <w:pStyle w:val="TableTextLeft"/>
              <w:spacing w:line="240" w:lineRule="atLeast"/>
              <w:jc w:val="right"/>
            </w:pPr>
            <w:r>
              <w:t>68,000</w:t>
            </w:r>
          </w:p>
        </w:tc>
        <w:tc>
          <w:tcPr>
            <w:tcW w:w="556" w:type="pct"/>
            <w:shd w:val="clear" w:color="auto" w:fill="DBF4F5" w:themeFill="background2"/>
          </w:tcPr>
          <w:p w14:paraId="4577DFDC" w14:textId="77777777" w:rsidR="00197FFC" w:rsidRPr="004418F9" w:rsidRDefault="00197FFC" w:rsidP="00197FFC">
            <w:pPr>
              <w:pStyle w:val="TableTextLeft"/>
              <w:spacing w:line="240" w:lineRule="atLeast"/>
              <w:jc w:val="right"/>
            </w:pPr>
            <w:r>
              <w:t>12,000</w:t>
            </w:r>
          </w:p>
        </w:tc>
      </w:tr>
      <w:tr w:rsidR="00197FFC" w:rsidRPr="00226E30" w14:paraId="7566D665" w14:textId="77777777" w:rsidTr="458935C2">
        <w:trPr>
          <w:trHeight w:val="286"/>
        </w:trPr>
        <w:tc>
          <w:tcPr>
            <w:tcW w:w="556" w:type="pct"/>
            <w:shd w:val="clear" w:color="auto" w:fill="DBF4F5" w:themeFill="background2"/>
            <w:noWrap/>
          </w:tcPr>
          <w:p w14:paraId="36564ED4" w14:textId="77777777" w:rsidR="00197FFC" w:rsidRPr="004418F9" w:rsidRDefault="00197FFC" w:rsidP="00197FFC">
            <w:pPr>
              <w:pStyle w:val="TableTextLeft"/>
              <w:spacing w:line="240" w:lineRule="atLeast"/>
            </w:pPr>
            <w:r>
              <w:t>Korea</w:t>
            </w:r>
          </w:p>
        </w:tc>
        <w:tc>
          <w:tcPr>
            <w:tcW w:w="556" w:type="pct"/>
            <w:noWrap/>
          </w:tcPr>
          <w:p w14:paraId="281AE832" w14:textId="77777777" w:rsidR="00197FFC" w:rsidRPr="004418F9" w:rsidRDefault="00197FFC" w:rsidP="00197FFC">
            <w:pPr>
              <w:pStyle w:val="TableTextLeft"/>
              <w:spacing w:line="240" w:lineRule="atLeast"/>
              <w:jc w:val="right"/>
            </w:pPr>
            <w:r>
              <w:t>0</w:t>
            </w:r>
          </w:p>
        </w:tc>
        <w:tc>
          <w:tcPr>
            <w:tcW w:w="556" w:type="pct"/>
            <w:shd w:val="clear" w:color="auto" w:fill="DBF4F5" w:themeFill="background2"/>
            <w:noWrap/>
          </w:tcPr>
          <w:p w14:paraId="2B4A7D17" w14:textId="77777777" w:rsidR="00197FFC" w:rsidRPr="004418F9" w:rsidRDefault="00197FFC" w:rsidP="00197FFC">
            <w:pPr>
              <w:pStyle w:val="TableTextLeft"/>
              <w:spacing w:line="240" w:lineRule="atLeast"/>
              <w:jc w:val="right"/>
            </w:pPr>
            <w:r>
              <w:t>0</w:t>
            </w:r>
          </w:p>
        </w:tc>
        <w:tc>
          <w:tcPr>
            <w:tcW w:w="556" w:type="pct"/>
          </w:tcPr>
          <w:p w14:paraId="63AD944D" w14:textId="77777777" w:rsidR="00197FFC" w:rsidRPr="004418F9" w:rsidRDefault="00197FFC" w:rsidP="00197FFC">
            <w:pPr>
              <w:pStyle w:val="TableTextLeft"/>
              <w:spacing w:line="240" w:lineRule="atLeast"/>
              <w:jc w:val="right"/>
            </w:pPr>
            <w:r>
              <w:t>1,000</w:t>
            </w:r>
          </w:p>
        </w:tc>
        <w:tc>
          <w:tcPr>
            <w:tcW w:w="556" w:type="pct"/>
            <w:shd w:val="clear" w:color="auto" w:fill="DBF4F5" w:themeFill="background2"/>
          </w:tcPr>
          <w:p w14:paraId="151F299D" w14:textId="77777777" w:rsidR="00197FFC" w:rsidRPr="004418F9" w:rsidRDefault="00197FFC" w:rsidP="00197FFC">
            <w:pPr>
              <w:pStyle w:val="TableTextLeft"/>
              <w:spacing w:line="240" w:lineRule="atLeast"/>
              <w:jc w:val="right"/>
            </w:pPr>
            <w:r>
              <w:t>1,000</w:t>
            </w:r>
          </w:p>
        </w:tc>
        <w:tc>
          <w:tcPr>
            <w:tcW w:w="556" w:type="pct"/>
          </w:tcPr>
          <w:p w14:paraId="678C2521" w14:textId="77777777" w:rsidR="00197FFC" w:rsidRPr="004418F9" w:rsidRDefault="00197FFC" w:rsidP="00197FFC">
            <w:pPr>
              <w:pStyle w:val="TableTextLeft"/>
              <w:spacing w:line="240" w:lineRule="atLeast"/>
              <w:jc w:val="right"/>
            </w:pPr>
            <w:r>
              <w:t>1,000</w:t>
            </w:r>
          </w:p>
        </w:tc>
        <w:tc>
          <w:tcPr>
            <w:tcW w:w="556" w:type="pct"/>
            <w:shd w:val="clear" w:color="auto" w:fill="DBF4F5" w:themeFill="background2"/>
          </w:tcPr>
          <w:p w14:paraId="06794C91" w14:textId="77777777" w:rsidR="00197FFC" w:rsidRPr="004418F9" w:rsidRDefault="00197FFC" w:rsidP="00197FFC">
            <w:pPr>
              <w:pStyle w:val="TableTextLeft"/>
              <w:spacing w:line="240" w:lineRule="atLeast"/>
              <w:jc w:val="right"/>
            </w:pPr>
            <w:r>
              <w:t>1,000</w:t>
            </w:r>
          </w:p>
        </w:tc>
        <w:tc>
          <w:tcPr>
            <w:tcW w:w="556" w:type="pct"/>
          </w:tcPr>
          <w:p w14:paraId="767B0787" w14:textId="77777777" w:rsidR="00197FFC" w:rsidRPr="004418F9" w:rsidRDefault="00197FFC" w:rsidP="00197FFC">
            <w:pPr>
              <w:pStyle w:val="TableTextLeft"/>
              <w:spacing w:line="240" w:lineRule="atLeast"/>
              <w:jc w:val="right"/>
            </w:pPr>
            <w:r>
              <w:t>0</w:t>
            </w:r>
          </w:p>
        </w:tc>
        <w:tc>
          <w:tcPr>
            <w:tcW w:w="556" w:type="pct"/>
            <w:shd w:val="clear" w:color="auto" w:fill="DBF4F5" w:themeFill="background2"/>
          </w:tcPr>
          <w:p w14:paraId="68DCB05D" w14:textId="77777777" w:rsidR="00197FFC" w:rsidRPr="004418F9" w:rsidRDefault="00197FFC" w:rsidP="00197FFC">
            <w:pPr>
              <w:pStyle w:val="TableTextLeft"/>
              <w:spacing w:line="240" w:lineRule="atLeast"/>
              <w:jc w:val="right"/>
            </w:pPr>
            <w:r>
              <w:t>1,000</w:t>
            </w:r>
          </w:p>
        </w:tc>
      </w:tr>
      <w:tr w:rsidR="00197FFC" w:rsidRPr="00226E30" w14:paraId="1AB79B6B" w14:textId="77777777" w:rsidTr="458935C2">
        <w:trPr>
          <w:trHeight w:val="286"/>
        </w:trPr>
        <w:tc>
          <w:tcPr>
            <w:tcW w:w="556" w:type="pct"/>
            <w:shd w:val="clear" w:color="auto" w:fill="DBF4F5" w:themeFill="background2"/>
            <w:noWrap/>
          </w:tcPr>
          <w:p w14:paraId="053BCF24" w14:textId="77777777" w:rsidR="00197FFC" w:rsidRPr="004418F9" w:rsidRDefault="00197FFC" w:rsidP="00197FFC">
            <w:pPr>
              <w:pStyle w:val="TableTextLeft"/>
              <w:spacing w:line="240" w:lineRule="atLeast"/>
            </w:pPr>
            <w:r>
              <w:t>Vietnam</w:t>
            </w:r>
          </w:p>
        </w:tc>
        <w:tc>
          <w:tcPr>
            <w:tcW w:w="556" w:type="pct"/>
            <w:noWrap/>
          </w:tcPr>
          <w:p w14:paraId="628641A9" w14:textId="77777777" w:rsidR="00197FFC" w:rsidRPr="004418F9" w:rsidRDefault="00197FFC" w:rsidP="00197FFC">
            <w:pPr>
              <w:pStyle w:val="TableTextLeft"/>
              <w:spacing w:line="240" w:lineRule="atLeast"/>
              <w:jc w:val="right"/>
            </w:pPr>
            <w:r>
              <w:t>2,000</w:t>
            </w:r>
          </w:p>
        </w:tc>
        <w:tc>
          <w:tcPr>
            <w:tcW w:w="556" w:type="pct"/>
            <w:shd w:val="clear" w:color="auto" w:fill="DBF4F5" w:themeFill="background2"/>
            <w:noWrap/>
          </w:tcPr>
          <w:p w14:paraId="5391E954" w14:textId="77777777" w:rsidR="00197FFC" w:rsidRPr="004418F9" w:rsidRDefault="00197FFC" w:rsidP="00197FFC">
            <w:pPr>
              <w:pStyle w:val="TableTextLeft"/>
              <w:spacing w:line="240" w:lineRule="atLeast"/>
              <w:jc w:val="right"/>
            </w:pPr>
            <w:r>
              <w:t>3,000</w:t>
            </w:r>
          </w:p>
        </w:tc>
        <w:tc>
          <w:tcPr>
            <w:tcW w:w="556" w:type="pct"/>
          </w:tcPr>
          <w:p w14:paraId="1FB11BCD" w14:textId="77777777" w:rsidR="00197FFC" w:rsidRPr="004418F9" w:rsidRDefault="00197FFC" w:rsidP="00197FFC">
            <w:pPr>
              <w:pStyle w:val="TableTextLeft"/>
              <w:spacing w:line="240" w:lineRule="atLeast"/>
              <w:jc w:val="right"/>
            </w:pPr>
            <w:r>
              <w:t>7,000</w:t>
            </w:r>
          </w:p>
        </w:tc>
        <w:tc>
          <w:tcPr>
            <w:tcW w:w="556" w:type="pct"/>
            <w:shd w:val="clear" w:color="auto" w:fill="DBF4F5" w:themeFill="background2"/>
          </w:tcPr>
          <w:p w14:paraId="68844A9B" w14:textId="77777777" w:rsidR="00197FFC" w:rsidRPr="004418F9" w:rsidRDefault="00197FFC" w:rsidP="00197FFC">
            <w:pPr>
              <w:pStyle w:val="TableTextLeft"/>
              <w:spacing w:line="240" w:lineRule="atLeast"/>
              <w:jc w:val="right"/>
            </w:pPr>
            <w:r>
              <w:t>12,000</w:t>
            </w:r>
          </w:p>
        </w:tc>
        <w:tc>
          <w:tcPr>
            <w:tcW w:w="556" w:type="pct"/>
          </w:tcPr>
          <w:p w14:paraId="362F12EC" w14:textId="77777777" w:rsidR="00197FFC" w:rsidRPr="004418F9" w:rsidRDefault="00197FFC" w:rsidP="00197FFC">
            <w:pPr>
              <w:pStyle w:val="TableTextLeft"/>
              <w:spacing w:line="240" w:lineRule="atLeast"/>
              <w:jc w:val="right"/>
            </w:pPr>
            <w:r>
              <w:t>7,000</w:t>
            </w:r>
          </w:p>
        </w:tc>
        <w:tc>
          <w:tcPr>
            <w:tcW w:w="556" w:type="pct"/>
            <w:shd w:val="clear" w:color="auto" w:fill="DBF4F5" w:themeFill="background2"/>
          </w:tcPr>
          <w:p w14:paraId="46F5AFD1" w14:textId="77777777" w:rsidR="00197FFC" w:rsidRPr="004418F9" w:rsidRDefault="00197FFC" w:rsidP="00197FFC">
            <w:pPr>
              <w:pStyle w:val="TableTextLeft"/>
              <w:spacing w:line="240" w:lineRule="atLeast"/>
              <w:jc w:val="right"/>
            </w:pPr>
            <w:r>
              <w:t>9,000</w:t>
            </w:r>
          </w:p>
        </w:tc>
        <w:tc>
          <w:tcPr>
            <w:tcW w:w="556" w:type="pct"/>
          </w:tcPr>
          <w:p w14:paraId="5A66B4B9" w14:textId="77777777" w:rsidR="00197FFC" w:rsidRPr="004418F9" w:rsidRDefault="00197FFC" w:rsidP="00197FFC">
            <w:pPr>
              <w:pStyle w:val="TableTextLeft"/>
              <w:spacing w:line="240" w:lineRule="atLeast"/>
              <w:jc w:val="right"/>
            </w:pPr>
            <w:r>
              <w:t>9,000</w:t>
            </w:r>
          </w:p>
        </w:tc>
        <w:tc>
          <w:tcPr>
            <w:tcW w:w="556" w:type="pct"/>
            <w:shd w:val="clear" w:color="auto" w:fill="DBF4F5" w:themeFill="background2"/>
          </w:tcPr>
          <w:p w14:paraId="31300835" w14:textId="77777777" w:rsidR="00197FFC" w:rsidRPr="004418F9" w:rsidRDefault="00197FFC" w:rsidP="00197FFC">
            <w:pPr>
              <w:pStyle w:val="TableTextLeft"/>
              <w:spacing w:line="240" w:lineRule="atLeast"/>
              <w:jc w:val="right"/>
            </w:pPr>
            <w:r>
              <w:t>1,000</w:t>
            </w:r>
          </w:p>
        </w:tc>
      </w:tr>
      <w:tr w:rsidR="00197FFC" w:rsidRPr="00226E30" w14:paraId="4F25F9F1" w14:textId="77777777" w:rsidTr="458935C2">
        <w:trPr>
          <w:trHeight w:val="286"/>
        </w:trPr>
        <w:tc>
          <w:tcPr>
            <w:tcW w:w="556" w:type="pct"/>
            <w:shd w:val="clear" w:color="auto" w:fill="DBF4F5" w:themeFill="background2"/>
            <w:noWrap/>
          </w:tcPr>
          <w:p w14:paraId="10D21A43" w14:textId="77777777" w:rsidR="00197FFC" w:rsidRPr="004418F9" w:rsidRDefault="00197FFC" w:rsidP="00197FFC">
            <w:pPr>
              <w:pStyle w:val="TableTextLeft"/>
              <w:spacing w:line="240" w:lineRule="atLeast"/>
            </w:pPr>
            <w:r>
              <w:t>Malaysia</w:t>
            </w:r>
          </w:p>
        </w:tc>
        <w:tc>
          <w:tcPr>
            <w:tcW w:w="556" w:type="pct"/>
            <w:noWrap/>
          </w:tcPr>
          <w:p w14:paraId="67462D44" w14:textId="77777777" w:rsidR="00197FFC" w:rsidRPr="004418F9" w:rsidRDefault="00197FFC" w:rsidP="00197FFC">
            <w:pPr>
              <w:pStyle w:val="TableTextLeft"/>
              <w:spacing w:line="240" w:lineRule="atLeast"/>
              <w:jc w:val="right"/>
            </w:pPr>
            <w:r>
              <w:t>1,000</w:t>
            </w:r>
          </w:p>
        </w:tc>
        <w:tc>
          <w:tcPr>
            <w:tcW w:w="556" w:type="pct"/>
            <w:shd w:val="clear" w:color="auto" w:fill="DBF4F5" w:themeFill="background2"/>
            <w:noWrap/>
          </w:tcPr>
          <w:p w14:paraId="0A437B00" w14:textId="77777777" w:rsidR="00197FFC" w:rsidRPr="004418F9" w:rsidRDefault="00197FFC" w:rsidP="00197FFC">
            <w:pPr>
              <w:pStyle w:val="TableTextLeft"/>
              <w:spacing w:line="240" w:lineRule="atLeast"/>
              <w:jc w:val="right"/>
            </w:pPr>
            <w:r>
              <w:t>2,000</w:t>
            </w:r>
          </w:p>
        </w:tc>
        <w:tc>
          <w:tcPr>
            <w:tcW w:w="556" w:type="pct"/>
          </w:tcPr>
          <w:p w14:paraId="59D254B0" w14:textId="77777777" w:rsidR="00197FFC" w:rsidRPr="004418F9" w:rsidRDefault="00197FFC" w:rsidP="00197FFC">
            <w:pPr>
              <w:pStyle w:val="TableTextLeft"/>
              <w:spacing w:line="240" w:lineRule="atLeast"/>
              <w:jc w:val="right"/>
            </w:pPr>
            <w:r>
              <w:t>10,000</w:t>
            </w:r>
          </w:p>
        </w:tc>
        <w:tc>
          <w:tcPr>
            <w:tcW w:w="556" w:type="pct"/>
            <w:shd w:val="clear" w:color="auto" w:fill="DBF4F5" w:themeFill="background2"/>
          </w:tcPr>
          <w:p w14:paraId="7507CBC9" w14:textId="77777777" w:rsidR="00197FFC" w:rsidRPr="004418F9" w:rsidRDefault="00197FFC" w:rsidP="00197FFC">
            <w:pPr>
              <w:pStyle w:val="TableTextLeft"/>
              <w:spacing w:line="240" w:lineRule="atLeast"/>
              <w:jc w:val="right"/>
            </w:pPr>
            <w:r>
              <w:t>6,000</w:t>
            </w:r>
          </w:p>
        </w:tc>
        <w:tc>
          <w:tcPr>
            <w:tcW w:w="556" w:type="pct"/>
          </w:tcPr>
          <w:p w14:paraId="4721D4C8" w14:textId="77777777" w:rsidR="00197FFC" w:rsidRPr="004418F9" w:rsidRDefault="00197FFC" w:rsidP="00197FFC">
            <w:pPr>
              <w:pStyle w:val="TableTextLeft"/>
              <w:spacing w:line="240" w:lineRule="atLeast"/>
              <w:jc w:val="right"/>
            </w:pPr>
            <w:r>
              <w:t>16,000</w:t>
            </w:r>
          </w:p>
        </w:tc>
        <w:tc>
          <w:tcPr>
            <w:tcW w:w="556" w:type="pct"/>
            <w:shd w:val="clear" w:color="auto" w:fill="DBF4F5" w:themeFill="background2"/>
          </w:tcPr>
          <w:p w14:paraId="77ECD2BF" w14:textId="77777777" w:rsidR="00197FFC" w:rsidRPr="004418F9" w:rsidRDefault="00197FFC" w:rsidP="00197FFC">
            <w:pPr>
              <w:pStyle w:val="TableTextLeft"/>
              <w:spacing w:line="240" w:lineRule="atLeast"/>
              <w:jc w:val="right"/>
            </w:pPr>
            <w:r>
              <w:t>4,000</w:t>
            </w:r>
          </w:p>
        </w:tc>
        <w:tc>
          <w:tcPr>
            <w:tcW w:w="556" w:type="pct"/>
          </w:tcPr>
          <w:p w14:paraId="535DDE46" w14:textId="77777777" w:rsidR="00197FFC" w:rsidRPr="004418F9" w:rsidRDefault="00197FFC" w:rsidP="00197FFC">
            <w:pPr>
              <w:pStyle w:val="TableTextLeft"/>
              <w:spacing w:line="240" w:lineRule="atLeast"/>
              <w:jc w:val="right"/>
            </w:pPr>
            <w:r>
              <w:t>6,000</w:t>
            </w:r>
          </w:p>
        </w:tc>
        <w:tc>
          <w:tcPr>
            <w:tcW w:w="556" w:type="pct"/>
            <w:shd w:val="clear" w:color="auto" w:fill="DBF4F5" w:themeFill="background2"/>
          </w:tcPr>
          <w:p w14:paraId="53250B0E" w14:textId="77777777" w:rsidR="00197FFC" w:rsidRPr="004418F9" w:rsidRDefault="00197FFC" w:rsidP="00197FFC">
            <w:pPr>
              <w:pStyle w:val="TableTextLeft"/>
              <w:spacing w:line="240" w:lineRule="atLeast"/>
              <w:jc w:val="right"/>
            </w:pPr>
            <w:r>
              <w:t>2,000</w:t>
            </w:r>
          </w:p>
        </w:tc>
      </w:tr>
      <w:tr w:rsidR="00197FFC" w:rsidRPr="00226E30" w14:paraId="4A05AFB3" w14:textId="77777777" w:rsidTr="458935C2">
        <w:trPr>
          <w:trHeight w:val="286"/>
        </w:trPr>
        <w:tc>
          <w:tcPr>
            <w:tcW w:w="556" w:type="pct"/>
            <w:shd w:val="clear" w:color="auto" w:fill="DBF4F5" w:themeFill="background2"/>
            <w:noWrap/>
          </w:tcPr>
          <w:p w14:paraId="7EF274EE" w14:textId="77777777" w:rsidR="00197FFC" w:rsidRPr="004418F9" w:rsidRDefault="00197FFC" w:rsidP="00197FFC">
            <w:pPr>
              <w:pStyle w:val="TableTextLeft"/>
              <w:spacing w:line="240" w:lineRule="atLeast"/>
            </w:pPr>
            <w:r>
              <w:t>Thailand</w:t>
            </w:r>
          </w:p>
        </w:tc>
        <w:tc>
          <w:tcPr>
            <w:tcW w:w="556" w:type="pct"/>
            <w:noWrap/>
          </w:tcPr>
          <w:p w14:paraId="367CBB42" w14:textId="77777777" w:rsidR="00197FFC" w:rsidRPr="004418F9" w:rsidRDefault="00197FFC" w:rsidP="00197FFC">
            <w:pPr>
              <w:pStyle w:val="TableTextLeft"/>
              <w:spacing w:line="240" w:lineRule="atLeast"/>
              <w:jc w:val="right"/>
            </w:pPr>
            <w:r>
              <w:t>2,000</w:t>
            </w:r>
          </w:p>
        </w:tc>
        <w:tc>
          <w:tcPr>
            <w:tcW w:w="556" w:type="pct"/>
            <w:shd w:val="clear" w:color="auto" w:fill="DBF4F5" w:themeFill="background2"/>
            <w:noWrap/>
          </w:tcPr>
          <w:p w14:paraId="6A28A2EC" w14:textId="77777777" w:rsidR="00197FFC" w:rsidRPr="004418F9" w:rsidRDefault="00197FFC" w:rsidP="00197FFC">
            <w:pPr>
              <w:pStyle w:val="TableTextLeft"/>
              <w:spacing w:line="240" w:lineRule="atLeast"/>
              <w:jc w:val="right"/>
            </w:pPr>
            <w:r>
              <w:t>4,000</w:t>
            </w:r>
          </w:p>
        </w:tc>
        <w:tc>
          <w:tcPr>
            <w:tcW w:w="556" w:type="pct"/>
          </w:tcPr>
          <w:p w14:paraId="33FF30AB" w14:textId="77777777" w:rsidR="00197FFC" w:rsidRPr="004418F9" w:rsidRDefault="00197FFC" w:rsidP="00197FFC">
            <w:pPr>
              <w:pStyle w:val="TableTextLeft"/>
              <w:spacing w:line="240" w:lineRule="atLeast"/>
              <w:jc w:val="right"/>
            </w:pPr>
            <w:r>
              <w:t>14,000</w:t>
            </w:r>
          </w:p>
        </w:tc>
        <w:tc>
          <w:tcPr>
            <w:tcW w:w="556" w:type="pct"/>
            <w:shd w:val="clear" w:color="auto" w:fill="DBF4F5" w:themeFill="background2"/>
          </w:tcPr>
          <w:p w14:paraId="5FFAF067" w14:textId="77777777" w:rsidR="00197FFC" w:rsidRPr="004418F9" w:rsidRDefault="00197FFC" w:rsidP="00197FFC">
            <w:pPr>
              <w:pStyle w:val="TableTextLeft"/>
              <w:spacing w:line="240" w:lineRule="atLeast"/>
              <w:jc w:val="right"/>
            </w:pPr>
            <w:r>
              <w:t>11,000</w:t>
            </w:r>
          </w:p>
        </w:tc>
        <w:tc>
          <w:tcPr>
            <w:tcW w:w="556" w:type="pct"/>
          </w:tcPr>
          <w:p w14:paraId="38E588EB" w14:textId="77777777" w:rsidR="00197FFC" w:rsidRPr="004418F9" w:rsidRDefault="00197FFC" w:rsidP="00197FFC">
            <w:pPr>
              <w:pStyle w:val="TableTextLeft"/>
              <w:spacing w:line="240" w:lineRule="atLeast"/>
              <w:jc w:val="right"/>
            </w:pPr>
            <w:r>
              <w:t>24,000</w:t>
            </w:r>
          </w:p>
        </w:tc>
        <w:tc>
          <w:tcPr>
            <w:tcW w:w="556" w:type="pct"/>
            <w:shd w:val="clear" w:color="auto" w:fill="DBF4F5" w:themeFill="background2"/>
          </w:tcPr>
          <w:p w14:paraId="58C26F9E" w14:textId="77777777" w:rsidR="00197FFC" w:rsidRPr="004418F9" w:rsidRDefault="00197FFC" w:rsidP="00197FFC">
            <w:pPr>
              <w:pStyle w:val="TableTextLeft"/>
              <w:spacing w:line="240" w:lineRule="atLeast"/>
              <w:jc w:val="right"/>
            </w:pPr>
            <w:r>
              <w:t>19,000</w:t>
            </w:r>
          </w:p>
        </w:tc>
        <w:tc>
          <w:tcPr>
            <w:tcW w:w="556" w:type="pct"/>
          </w:tcPr>
          <w:p w14:paraId="3640EED8" w14:textId="77777777" w:rsidR="00197FFC" w:rsidRPr="004418F9" w:rsidRDefault="00197FFC" w:rsidP="00197FFC">
            <w:pPr>
              <w:pStyle w:val="TableTextLeft"/>
              <w:spacing w:line="240" w:lineRule="atLeast"/>
              <w:jc w:val="right"/>
            </w:pPr>
            <w:r>
              <w:t>13,000</w:t>
            </w:r>
          </w:p>
        </w:tc>
        <w:tc>
          <w:tcPr>
            <w:tcW w:w="556" w:type="pct"/>
            <w:shd w:val="clear" w:color="auto" w:fill="DBF4F5" w:themeFill="background2"/>
          </w:tcPr>
          <w:p w14:paraId="7417A444" w14:textId="77777777" w:rsidR="00197FFC" w:rsidRPr="004418F9" w:rsidRDefault="00197FFC" w:rsidP="00197FFC">
            <w:pPr>
              <w:pStyle w:val="TableTextLeft"/>
              <w:spacing w:line="240" w:lineRule="atLeast"/>
              <w:jc w:val="right"/>
            </w:pPr>
            <w:r>
              <w:t>1,000</w:t>
            </w:r>
          </w:p>
        </w:tc>
      </w:tr>
      <w:tr w:rsidR="00197FFC" w:rsidRPr="00226E30" w14:paraId="1EE5E155" w14:textId="77777777" w:rsidTr="458935C2">
        <w:trPr>
          <w:trHeight w:val="286"/>
        </w:trPr>
        <w:tc>
          <w:tcPr>
            <w:tcW w:w="556" w:type="pct"/>
            <w:shd w:val="clear" w:color="auto" w:fill="DBF4F5" w:themeFill="background2"/>
            <w:noWrap/>
          </w:tcPr>
          <w:p w14:paraId="57324E8D" w14:textId="77777777" w:rsidR="00197FFC" w:rsidRPr="004418F9" w:rsidRDefault="00197FFC" w:rsidP="00197FFC">
            <w:pPr>
              <w:pStyle w:val="TableTextLeft"/>
              <w:spacing w:line="240" w:lineRule="atLeast"/>
            </w:pPr>
            <w:r>
              <w:t>Pakistan</w:t>
            </w:r>
          </w:p>
        </w:tc>
        <w:tc>
          <w:tcPr>
            <w:tcW w:w="556" w:type="pct"/>
            <w:noWrap/>
          </w:tcPr>
          <w:p w14:paraId="3FFC5FF9" w14:textId="77777777" w:rsidR="00197FFC" w:rsidRPr="004418F9" w:rsidRDefault="00197FFC" w:rsidP="00197FFC">
            <w:pPr>
              <w:pStyle w:val="TableTextLeft"/>
              <w:spacing w:line="240" w:lineRule="atLeast"/>
              <w:jc w:val="right"/>
            </w:pPr>
            <w:r>
              <w:t>1,000</w:t>
            </w:r>
          </w:p>
        </w:tc>
        <w:tc>
          <w:tcPr>
            <w:tcW w:w="556" w:type="pct"/>
            <w:shd w:val="clear" w:color="auto" w:fill="DBF4F5" w:themeFill="background2"/>
            <w:noWrap/>
          </w:tcPr>
          <w:p w14:paraId="4FFAAABF" w14:textId="77777777" w:rsidR="00197FFC" w:rsidRPr="004418F9" w:rsidRDefault="00197FFC" w:rsidP="00197FFC">
            <w:pPr>
              <w:pStyle w:val="TableTextLeft"/>
              <w:spacing w:line="240" w:lineRule="atLeast"/>
              <w:jc w:val="right"/>
            </w:pPr>
            <w:r>
              <w:t>2,000</w:t>
            </w:r>
          </w:p>
        </w:tc>
        <w:tc>
          <w:tcPr>
            <w:tcW w:w="556" w:type="pct"/>
          </w:tcPr>
          <w:p w14:paraId="5E7552AD" w14:textId="77777777" w:rsidR="00197FFC" w:rsidRPr="004418F9" w:rsidRDefault="00197FFC" w:rsidP="00197FFC">
            <w:pPr>
              <w:pStyle w:val="TableTextLeft"/>
              <w:spacing w:line="240" w:lineRule="atLeast"/>
              <w:jc w:val="right"/>
            </w:pPr>
            <w:r>
              <w:t>1,000</w:t>
            </w:r>
          </w:p>
        </w:tc>
        <w:tc>
          <w:tcPr>
            <w:tcW w:w="556" w:type="pct"/>
            <w:shd w:val="clear" w:color="auto" w:fill="DBF4F5" w:themeFill="background2"/>
          </w:tcPr>
          <w:p w14:paraId="55F1A943" w14:textId="77777777" w:rsidR="00197FFC" w:rsidRPr="004418F9" w:rsidRDefault="00197FFC" w:rsidP="00197FFC">
            <w:pPr>
              <w:pStyle w:val="TableTextLeft"/>
              <w:spacing w:line="240" w:lineRule="atLeast"/>
              <w:jc w:val="right"/>
            </w:pPr>
            <w:r>
              <w:t>1,000</w:t>
            </w:r>
          </w:p>
        </w:tc>
        <w:tc>
          <w:tcPr>
            <w:tcW w:w="556" w:type="pct"/>
          </w:tcPr>
          <w:p w14:paraId="32F75731" w14:textId="77777777" w:rsidR="00197FFC" w:rsidRPr="004418F9" w:rsidRDefault="00197FFC" w:rsidP="00197FFC">
            <w:pPr>
              <w:pStyle w:val="TableTextLeft"/>
              <w:spacing w:line="240" w:lineRule="atLeast"/>
              <w:jc w:val="right"/>
            </w:pPr>
            <w:r>
              <w:t>2,000</w:t>
            </w:r>
          </w:p>
        </w:tc>
        <w:tc>
          <w:tcPr>
            <w:tcW w:w="556" w:type="pct"/>
            <w:shd w:val="clear" w:color="auto" w:fill="DBF4F5" w:themeFill="background2"/>
          </w:tcPr>
          <w:p w14:paraId="55D8C333" w14:textId="77777777" w:rsidR="00197FFC" w:rsidRPr="004418F9" w:rsidRDefault="00197FFC" w:rsidP="00197FFC">
            <w:pPr>
              <w:pStyle w:val="TableTextLeft"/>
              <w:spacing w:line="240" w:lineRule="atLeast"/>
              <w:jc w:val="right"/>
            </w:pPr>
            <w:r>
              <w:t>2,000</w:t>
            </w:r>
          </w:p>
        </w:tc>
        <w:tc>
          <w:tcPr>
            <w:tcW w:w="556" w:type="pct"/>
          </w:tcPr>
          <w:p w14:paraId="77C5518B" w14:textId="77777777" w:rsidR="00197FFC" w:rsidRPr="004418F9" w:rsidRDefault="00197FFC" w:rsidP="00197FFC">
            <w:pPr>
              <w:pStyle w:val="TableTextLeft"/>
              <w:spacing w:line="240" w:lineRule="atLeast"/>
              <w:jc w:val="right"/>
            </w:pPr>
            <w:r>
              <w:t>1,000</w:t>
            </w:r>
          </w:p>
        </w:tc>
        <w:tc>
          <w:tcPr>
            <w:tcW w:w="556" w:type="pct"/>
            <w:shd w:val="clear" w:color="auto" w:fill="DBF4F5" w:themeFill="background2"/>
          </w:tcPr>
          <w:p w14:paraId="67D62F6A" w14:textId="77777777" w:rsidR="00197FFC" w:rsidRPr="004418F9" w:rsidRDefault="00197FFC" w:rsidP="00197FFC">
            <w:pPr>
              <w:pStyle w:val="TableTextLeft"/>
              <w:spacing w:line="240" w:lineRule="atLeast"/>
              <w:jc w:val="right"/>
            </w:pPr>
            <w:r>
              <w:t>0</w:t>
            </w:r>
          </w:p>
        </w:tc>
      </w:tr>
      <w:tr w:rsidR="00197FFC" w:rsidRPr="00226E30" w14:paraId="56EF9AE3" w14:textId="77777777" w:rsidTr="458935C2">
        <w:trPr>
          <w:trHeight w:val="286"/>
        </w:trPr>
        <w:tc>
          <w:tcPr>
            <w:tcW w:w="556" w:type="pct"/>
            <w:shd w:val="clear" w:color="auto" w:fill="DBF4F5" w:themeFill="background2"/>
            <w:noWrap/>
          </w:tcPr>
          <w:p w14:paraId="74023BF6" w14:textId="77777777" w:rsidR="00197FFC" w:rsidRPr="004418F9" w:rsidRDefault="00197FFC" w:rsidP="00197FFC">
            <w:pPr>
              <w:pStyle w:val="TableTextLeft"/>
              <w:spacing w:line="240" w:lineRule="atLeast"/>
            </w:pPr>
            <w:r>
              <w:t>All other</w:t>
            </w:r>
          </w:p>
        </w:tc>
        <w:tc>
          <w:tcPr>
            <w:tcW w:w="556" w:type="pct"/>
            <w:noWrap/>
          </w:tcPr>
          <w:p w14:paraId="14C35484" w14:textId="77777777" w:rsidR="00197FFC" w:rsidRPr="004418F9" w:rsidRDefault="00197FFC" w:rsidP="00197FFC">
            <w:pPr>
              <w:pStyle w:val="TableTextLeft"/>
              <w:spacing w:line="240" w:lineRule="atLeast"/>
              <w:jc w:val="right"/>
            </w:pPr>
            <w:r>
              <w:t>214,000</w:t>
            </w:r>
          </w:p>
        </w:tc>
        <w:tc>
          <w:tcPr>
            <w:tcW w:w="556" w:type="pct"/>
            <w:shd w:val="clear" w:color="auto" w:fill="DBF4F5" w:themeFill="background2"/>
            <w:noWrap/>
          </w:tcPr>
          <w:p w14:paraId="248E0114" w14:textId="77777777" w:rsidR="00197FFC" w:rsidRPr="004418F9" w:rsidRDefault="00197FFC" w:rsidP="00197FFC">
            <w:pPr>
              <w:pStyle w:val="TableTextLeft"/>
              <w:spacing w:line="240" w:lineRule="atLeast"/>
              <w:jc w:val="right"/>
            </w:pPr>
            <w:r>
              <w:t>184,000</w:t>
            </w:r>
          </w:p>
        </w:tc>
        <w:tc>
          <w:tcPr>
            <w:tcW w:w="556" w:type="pct"/>
          </w:tcPr>
          <w:p w14:paraId="76CC2DC9" w14:textId="77777777" w:rsidR="00197FFC" w:rsidRPr="004418F9" w:rsidRDefault="00197FFC" w:rsidP="00197FFC">
            <w:pPr>
              <w:pStyle w:val="TableTextLeft"/>
              <w:spacing w:line="240" w:lineRule="atLeast"/>
              <w:jc w:val="right"/>
            </w:pPr>
            <w:r>
              <w:t>81,000</w:t>
            </w:r>
          </w:p>
        </w:tc>
        <w:tc>
          <w:tcPr>
            <w:tcW w:w="556" w:type="pct"/>
            <w:shd w:val="clear" w:color="auto" w:fill="DBF4F5" w:themeFill="background2"/>
          </w:tcPr>
          <w:p w14:paraId="120569D7" w14:textId="77777777" w:rsidR="00197FFC" w:rsidRPr="004418F9" w:rsidRDefault="00197FFC" w:rsidP="00197FFC">
            <w:pPr>
              <w:pStyle w:val="TableTextLeft"/>
              <w:spacing w:line="240" w:lineRule="atLeast"/>
              <w:jc w:val="right"/>
            </w:pPr>
            <w:r>
              <w:t>67,000</w:t>
            </w:r>
          </w:p>
        </w:tc>
        <w:tc>
          <w:tcPr>
            <w:tcW w:w="556" w:type="pct"/>
          </w:tcPr>
          <w:p w14:paraId="74BA0D48" w14:textId="77777777" w:rsidR="00197FFC" w:rsidRPr="004418F9" w:rsidRDefault="00197FFC" w:rsidP="00197FFC">
            <w:pPr>
              <w:pStyle w:val="TableTextLeft"/>
              <w:spacing w:line="240" w:lineRule="atLeast"/>
              <w:jc w:val="right"/>
            </w:pPr>
            <w:r>
              <w:t>45,000</w:t>
            </w:r>
          </w:p>
        </w:tc>
        <w:tc>
          <w:tcPr>
            <w:tcW w:w="556" w:type="pct"/>
            <w:shd w:val="clear" w:color="auto" w:fill="DBF4F5" w:themeFill="background2"/>
          </w:tcPr>
          <w:p w14:paraId="209C7B7E" w14:textId="77777777" w:rsidR="00197FFC" w:rsidRPr="004418F9" w:rsidRDefault="00197FFC" w:rsidP="00197FFC">
            <w:pPr>
              <w:pStyle w:val="TableTextLeft"/>
              <w:spacing w:line="240" w:lineRule="atLeast"/>
              <w:jc w:val="right"/>
            </w:pPr>
            <w:r>
              <w:t>18,000</w:t>
            </w:r>
          </w:p>
        </w:tc>
        <w:tc>
          <w:tcPr>
            <w:tcW w:w="556" w:type="pct"/>
          </w:tcPr>
          <w:p w14:paraId="2E3A5FD3" w14:textId="77777777" w:rsidR="00197FFC" w:rsidRPr="004418F9" w:rsidRDefault="00197FFC" w:rsidP="00197FFC">
            <w:pPr>
              <w:pStyle w:val="TableTextLeft"/>
              <w:spacing w:line="240" w:lineRule="atLeast"/>
              <w:jc w:val="right"/>
            </w:pPr>
            <w:r>
              <w:t>3,000</w:t>
            </w:r>
          </w:p>
        </w:tc>
        <w:tc>
          <w:tcPr>
            <w:tcW w:w="556" w:type="pct"/>
            <w:shd w:val="clear" w:color="auto" w:fill="DBF4F5" w:themeFill="background2"/>
          </w:tcPr>
          <w:p w14:paraId="107AED55" w14:textId="77777777" w:rsidR="00197FFC" w:rsidRPr="004418F9" w:rsidRDefault="00197FFC" w:rsidP="00197FFC">
            <w:pPr>
              <w:pStyle w:val="TableTextLeft"/>
              <w:spacing w:line="240" w:lineRule="atLeast"/>
              <w:jc w:val="right"/>
            </w:pPr>
            <w:r>
              <w:t>0</w:t>
            </w:r>
          </w:p>
        </w:tc>
      </w:tr>
      <w:tr w:rsidR="00197FFC" w:rsidRPr="00226E30" w14:paraId="4A64DDE8" w14:textId="77777777" w:rsidTr="458935C2">
        <w:trPr>
          <w:trHeight w:val="286"/>
        </w:trPr>
        <w:tc>
          <w:tcPr>
            <w:tcW w:w="556" w:type="pct"/>
            <w:shd w:val="clear" w:color="auto" w:fill="DBF4F5" w:themeFill="background2"/>
            <w:noWrap/>
          </w:tcPr>
          <w:p w14:paraId="4115DB78" w14:textId="77777777" w:rsidR="00197FFC" w:rsidRPr="004418F9" w:rsidRDefault="00197FFC" w:rsidP="00197FFC">
            <w:pPr>
              <w:pStyle w:val="TableTextLeftBold"/>
              <w:rPr>
                <w:sz w:val="18"/>
                <w:szCs w:val="18"/>
              </w:rPr>
            </w:pPr>
            <w:r w:rsidRPr="458935C2">
              <w:rPr>
                <w:sz w:val="18"/>
                <w:szCs w:val="18"/>
              </w:rPr>
              <w:t>Total</w:t>
            </w:r>
          </w:p>
        </w:tc>
        <w:tc>
          <w:tcPr>
            <w:tcW w:w="556" w:type="pct"/>
            <w:noWrap/>
          </w:tcPr>
          <w:p w14:paraId="7E915EBC" w14:textId="77777777" w:rsidR="00197FFC" w:rsidRPr="004418F9" w:rsidRDefault="00197FFC" w:rsidP="00197FFC">
            <w:pPr>
              <w:pStyle w:val="TableTextLeftBold"/>
              <w:jc w:val="right"/>
              <w:rPr>
                <w:sz w:val="18"/>
                <w:szCs w:val="18"/>
              </w:rPr>
            </w:pPr>
            <w:r w:rsidRPr="458935C2">
              <w:rPr>
                <w:sz w:val="18"/>
                <w:szCs w:val="18"/>
              </w:rPr>
              <w:t>265,000</w:t>
            </w:r>
          </w:p>
        </w:tc>
        <w:tc>
          <w:tcPr>
            <w:tcW w:w="556" w:type="pct"/>
            <w:shd w:val="clear" w:color="auto" w:fill="DBF4F5" w:themeFill="background2"/>
            <w:noWrap/>
          </w:tcPr>
          <w:p w14:paraId="29EC51D4" w14:textId="77777777" w:rsidR="00197FFC" w:rsidRPr="004418F9" w:rsidRDefault="00197FFC" w:rsidP="00197FFC">
            <w:pPr>
              <w:pStyle w:val="TableTextLeftBold"/>
              <w:jc w:val="right"/>
              <w:rPr>
                <w:sz w:val="18"/>
                <w:szCs w:val="18"/>
              </w:rPr>
            </w:pPr>
            <w:r w:rsidRPr="458935C2">
              <w:rPr>
                <w:sz w:val="18"/>
                <w:szCs w:val="18"/>
              </w:rPr>
              <w:t>217,000</w:t>
            </w:r>
          </w:p>
        </w:tc>
        <w:tc>
          <w:tcPr>
            <w:tcW w:w="556" w:type="pct"/>
          </w:tcPr>
          <w:p w14:paraId="6A0BEB7C" w14:textId="77777777" w:rsidR="00197FFC" w:rsidRPr="004418F9" w:rsidRDefault="00197FFC" w:rsidP="00197FFC">
            <w:pPr>
              <w:pStyle w:val="TableTextLeftBold"/>
              <w:jc w:val="right"/>
              <w:rPr>
                <w:sz w:val="18"/>
                <w:szCs w:val="18"/>
              </w:rPr>
            </w:pPr>
            <w:r w:rsidRPr="458935C2">
              <w:rPr>
                <w:sz w:val="18"/>
                <w:szCs w:val="18"/>
              </w:rPr>
              <w:t>148,000</w:t>
            </w:r>
          </w:p>
        </w:tc>
        <w:tc>
          <w:tcPr>
            <w:tcW w:w="556" w:type="pct"/>
            <w:shd w:val="clear" w:color="auto" w:fill="DBF4F5" w:themeFill="background2"/>
          </w:tcPr>
          <w:p w14:paraId="6655DA19" w14:textId="77777777" w:rsidR="00197FFC" w:rsidRPr="004418F9" w:rsidRDefault="00197FFC" w:rsidP="00197FFC">
            <w:pPr>
              <w:pStyle w:val="TableTextLeftBold"/>
              <w:jc w:val="right"/>
              <w:rPr>
                <w:sz w:val="18"/>
                <w:szCs w:val="18"/>
              </w:rPr>
            </w:pPr>
            <w:r w:rsidRPr="458935C2">
              <w:rPr>
                <w:sz w:val="18"/>
                <w:szCs w:val="18"/>
              </w:rPr>
              <w:t>130,000</w:t>
            </w:r>
          </w:p>
        </w:tc>
        <w:tc>
          <w:tcPr>
            <w:tcW w:w="556" w:type="pct"/>
          </w:tcPr>
          <w:p w14:paraId="069CDA0F" w14:textId="77777777" w:rsidR="00197FFC" w:rsidRPr="004418F9" w:rsidRDefault="00197FFC" w:rsidP="00197FFC">
            <w:pPr>
              <w:pStyle w:val="TableTextLeftBold"/>
              <w:jc w:val="right"/>
              <w:rPr>
                <w:sz w:val="18"/>
                <w:szCs w:val="18"/>
              </w:rPr>
            </w:pPr>
            <w:r w:rsidRPr="458935C2">
              <w:rPr>
                <w:sz w:val="18"/>
                <w:szCs w:val="18"/>
              </w:rPr>
              <w:t>129,000</w:t>
            </w:r>
          </w:p>
        </w:tc>
        <w:tc>
          <w:tcPr>
            <w:tcW w:w="556" w:type="pct"/>
            <w:shd w:val="clear" w:color="auto" w:fill="DBF4F5" w:themeFill="background2"/>
          </w:tcPr>
          <w:p w14:paraId="4A663748" w14:textId="77777777" w:rsidR="00197FFC" w:rsidRPr="004418F9" w:rsidRDefault="00197FFC" w:rsidP="00197FFC">
            <w:pPr>
              <w:pStyle w:val="TableTextLeftBold"/>
              <w:jc w:val="right"/>
              <w:rPr>
                <w:sz w:val="18"/>
                <w:szCs w:val="18"/>
              </w:rPr>
            </w:pPr>
            <w:r w:rsidRPr="458935C2">
              <w:rPr>
                <w:sz w:val="18"/>
                <w:szCs w:val="18"/>
              </w:rPr>
              <w:t>104,000</w:t>
            </w:r>
          </w:p>
        </w:tc>
        <w:tc>
          <w:tcPr>
            <w:tcW w:w="556" w:type="pct"/>
          </w:tcPr>
          <w:p w14:paraId="4E63AA16" w14:textId="77777777" w:rsidR="00197FFC" w:rsidRPr="004418F9" w:rsidRDefault="00197FFC" w:rsidP="00197FFC">
            <w:pPr>
              <w:pStyle w:val="TableTextLeftBold"/>
              <w:jc w:val="right"/>
              <w:rPr>
                <w:sz w:val="18"/>
                <w:szCs w:val="18"/>
              </w:rPr>
            </w:pPr>
            <w:r w:rsidRPr="458935C2">
              <w:rPr>
                <w:sz w:val="18"/>
                <w:szCs w:val="18"/>
              </w:rPr>
              <w:t>100,000</w:t>
            </w:r>
          </w:p>
        </w:tc>
        <w:tc>
          <w:tcPr>
            <w:tcW w:w="556" w:type="pct"/>
            <w:shd w:val="clear" w:color="auto" w:fill="DBF4F5" w:themeFill="background2"/>
          </w:tcPr>
          <w:p w14:paraId="6080DB2B" w14:textId="77777777" w:rsidR="00197FFC" w:rsidRPr="004418F9" w:rsidRDefault="00197FFC" w:rsidP="00197FFC">
            <w:pPr>
              <w:pStyle w:val="TableTextLeftBold"/>
              <w:jc w:val="right"/>
              <w:rPr>
                <w:sz w:val="18"/>
                <w:szCs w:val="18"/>
              </w:rPr>
            </w:pPr>
            <w:r w:rsidRPr="458935C2">
              <w:rPr>
                <w:sz w:val="18"/>
                <w:szCs w:val="18"/>
              </w:rPr>
              <w:t>17,000</w:t>
            </w:r>
          </w:p>
        </w:tc>
      </w:tr>
    </w:tbl>
    <w:bookmarkEnd w:id="0"/>
    <w:p w14:paraId="1B5FB187" w14:textId="669CE54F" w:rsidR="00EB50C5" w:rsidRDefault="00197FFC">
      <w:pPr>
        <w:rPr>
          <w:rFonts w:cs="Times New Roman"/>
          <w:lang w:eastAsia="en-US"/>
        </w:rPr>
      </w:pPr>
      <w:r w:rsidRPr="458935C2">
        <w:rPr>
          <w:rFonts w:cs="Times New Roman"/>
          <w:lang w:eastAsia="en-US"/>
        </w:rPr>
        <w:t>Source: ABS and IE (Australian Harmonized Export Commodity Classification (AHECC) data by month, classification and destination country, 2022) and Blue Environment.</w:t>
      </w:r>
    </w:p>
    <w:p w14:paraId="74B20B13" w14:textId="29A2AA90" w:rsidR="00197FFC" w:rsidRPr="00197FFC" w:rsidRDefault="00197FFC" w:rsidP="00197FFC">
      <w:pPr>
        <w:pStyle w:val="Footnotes"/>
      </w:pPr>
      <w:r w:rsidRPr="00197FFC">
        <w:t>Countries ranked by average of last 3 months of exports.</w:t>
      </w:r>
    </w:p>
    <w:p w14:paraId="6D5FC572" w14:textId="1AA0A7D1" w:rsidR="00197FFC" w:rsidRPr="00197FFC" w:rsidRDefault="00197FFC" w:rsidP="00197FFC">
      <w:pPr>
        <w:pStyle w:val="Footnotes"/>
      </w:pPr>
      <w:r w:rsidRPr="00197FFC">
        <w:t>Partial year across July 2022 to August 2022.</w:t>
      </w:r>
    </w:p>
    <w:p w14:paraId="3A2058A0" w14:textId="77777777" w:rsidR="00824DB8" w:rsidRDefault="00824DB8">
      <w:pPr>
        <w:rPr>
          <w:b/>
          <w:bCs/>
        </w:rPr>
      </w:pPr>
      <w:r>
        <w:br w:type="page"/>
      </w:r>
    </w:p>
    <w:p w14:paraId="236FB6C0" w14:textId="735DB404" w:rsidR="00197FFC" w:rsidRDefault="00D30377" w:rsidP="00D30377">
      <w:pPr>
        <w:pStyle w:val="CaptionImageorFigure"/>
      </w:pPr>
      <w:r>
        <w:lastRenderedPageBreak/>
        <w:t xml:space="preserve">Table 2: </w:t>
      </w:r>
      <w:r w:rsidR="5F4C0BD1">
        <w:t>Example</w:t>
      </w:r>
      <w:r>
        <w:t xml:space="preserve"> monthly change in Victorian recovered kerbside paper and paperboard, to export country (tonnes per month).</w:t>
      </w:r>
    </w:p>
    <w:tbl>
      <w:tblPr>
        <w:tblStyle w:val="TableGrid"/>
        <w:tblW w:w="0" w:type="auto"/>
        <w:tblLook w:val="04A0" w:firstRow="1" w:lastRow="0" w:firstColumn="1" w:lastColumn="0" w:noHBand="0" w:noVBand="1"/>
      </w:tblPr>
      <w:tblGrid>
        <w:gridCol w:w="1007"/>
        <w:gridCol w:w="1127"/>
        <w:gridCol w:w="1416"/>
        <w:gridCol w:w="1015"/>
      </w:tblGrid>
      <w:tr w:rsidR="00D30377" w:rsidRPr="00362D19" w14:paraId="5DF9EFA0" w14:textId="77777777" w:rsidTr="458935C2">
        <w:trPr>
          <w:cnfStyle w:val="100000000000" w:firstRow="1" w:lastRow="0" w:firstColumn="0" w:lastColumn="0" w:oddVBand="0" w:evenVBand="0" w:oddHBand="0" w:evenHBand="0" w:firstRowFirstColumn="0" w:firstRowLastColumn="0" w:lastRowFirstColumn="0" w:lastRowLastColumn="0"/>
          <w:trHeight w:val="286"/>
        </w:trPr>
        <w:tc>
          <w:tcPr>
            <w:cnfStyle w:val="000000000100" w:firstRow="0" w:lastRow="0" w:firstColumn="0" w:lastColumn="0" w:oddVBand="0" w:evenVBand="0" w:oddHBand="0" w:evenHBand="0" w:firstRowFirstColumn="1" w:firstRowLastColumn="0" w:lastRowFirstColumn="0" w:lastRowLastColumn="0"/>
            <w:tcW w:w="0" w:type="auto"/>
            <w:noWrap/>
            <w:hideMark/>
          </w:tcPr>
          <w:p w14:paraId="42F2FB5F" w14:textId="77777777" w:rsidR="00D30377" w:rsidRPr="00D30377" w:rsidRDefault="00D30377" w:rsidP="00D30377">
            <w:pPr>
              <w:pStyle w:val="TableHeadingLeft"/>
            </w:pPr>
            <w:r w:rsidRPr="00D30377">
              <w:t>Country</w:t>
            </w:r>
          </w:p>
        </w:tc>
        <w:tc>
          <w:tcPr>
            <w:tcW w:w="0" w:type="auto"/>
            <w:hideMark/>
          </w:tcPr>
          <w:p w14:paraId="7EA23AC8" w14:textId="77777777" w:rsidR="00D30377" w:rsidRPr="00D30377" w:rsidRDefault="00D30377" w:rsidP="00D30377">
            <w:pPr>
              <w:pStyle w:val="TableHeadingLeft"/>
              <w:jc w:val="right"/>
              <w:cnfStyle w:val="100000000000" w:firstRow="1" w:lastRow="0" w:firstColumn="0" w:lastColumn="0" w:oddVBand="0" w:evenVBand="0" w:oddHBand="0" w:evenHBand="0" w:firstRowFirstColumn="0" w:firstRowLastColumn="0" w:lastRowFirstColumn="0" w:lastRowLastColumn="0"/>
            </w:pPr>
            <w:r w:rsidRPr="00D30377">
              <w:t>July 2022</w:t>
            </w:r>
          </w:p>
          <w:p w14:paraId="30B6119A" w14:textId="77777777" w:rsidR="00D30377" w:rsidRPr="00D30377" w:rsidRDefault="00D30377" w:rsidP="00D30377">
            <w:pPr>
              <w:pStyle w:val="TableHeadingLeft"/>
              <w:jc w:val="right"/>
              <w:cnfStyle w:val="100000000000" w:firstRow="1" w:lastRow="0" w:firstColumn="0" w:lastColumn="0" w:oddVBand="0" w:evenVBand="0" w:oddHBand="0" w:evenHBand="0" w:firstRowFirstColumn="0" w:firstRowLastColumn="0" w:lastRowFirstColumn="0" w:lastRowLastColumn="0"/>
            </w:pPr>
            <w:r w:rsidRPr="00D30377">
              <w:t>(tonnes)</w:t>
            </w:r>
          </w:p>
        </w:tc>
        <w:tc>
          <w:tcPr>
            <w:tcW w:w="0" w:type="auto"/>
            <w:hideMark/>
          </w:tcPr>
          <w:p w14:paraId="53CE2007" w14:textId="77777777" w:rsidR="00D30377" w:rsidRPr="00D30377" w:rsidRDefault="00D30377" w:rsidP="00D30377">
            <w:pPr>
              <w:pStyle w:val="TableHeadingLeft"/>
              <w:jc w:val="right"/>
              <w:cnfStyle w:val="100000000000" w:firstRow="1" w:lastRow="0" w:firstColumn="0" w:lastColumn="0" w:oddVBand="0" w:evenVBand="0" w:oddHBand="0" w:evenHBand="0" w:firstRowFirstColumn="0" w:firstRowLastColumn="0" w:lastRowFirstColumn="0" w:lastRowLastColumn="0"/>
            </w:pPr>
            <w:r w:rsidRPr="00D30377">
              <w:t>August 2022</w:t>
            </w:r>
          </w:p>
          <w:p w14:paraId="25AF99A4" w14:textId="77777777" w:rsidR="00D30377" w:rsidRPr="00D30377" w:rsidRDefault="00D30377" w:rsidP="00D30377">
            <w:pPr>
              <w:pStyle w:val="TableHeadingLeft"/>
              <w:jc w:val="right"/>
              <w:cnfStyle w:val="100000000000" w:firstRow="1" w:lastRow="0" w:firstColumn="0" w:lastColumn="0" w:oddVBand="0" w:evenVBand="0" w:oddHBand="0" w:evenHBand="0" w:firstRowFirstColumn="0" w:firstRowLastColumn="0" w:lastRowFirstColumn="0" w:lastRowLastColumn="0"/>
            </w:pPr>
            <w:r w:rsidRPr="00D30377">
              <w:t>(tonnes)</w:t>
            </w:r>
          </w:p>
        </w:tc>
        <w:tc>
          <w:tcPr>
            <w:tcW w:w="0" w:type="auto"/>
          </w:tcPr>
          <w:p w14:paraId="228B0399" w14:textId="62176264" w:rsidR="00400250" w:rsidRDefault="00D30377" w:rsidP="00400250">
            <w:pPr>
              <w:pStyle w:val="TableHeadingLeft"/>
              <w:jc w:val="right"/>
              <w:cnfStyle w:val="100000000000" w:firstRow="1" w:lastRow="0" w:firstColumn="0" w:lastColumn="0" w:oddVBand="0" w:evenVBand="0" w:oddHBand="0" w:evenHBand="0" w:firstRowFirstColumn="0" w:firstRowLastColumn="0" w:lastRowFirstColumn="0" w:lastRowLastColumn="0"/>
            </w:pPr>
            <w:r>
              <w:t xml:space="preserve"> </w:t>
            </w:r>
            <w:r w:rsidR="00400250">
              <w:t>Change</w:t>
            </w:r>
          </w:p>
          <w:p w14:paraId="64A9B7B8" w14:textId="4A15D68E" w:rsidR="00D30377" w:rsidRPr="00D30377" w:rsidRDefault="00400250" w:rsidP="00400250">
            <w:pPr>
              <w:pStyle w:val="TableHeadingLeft"/>
              <w:jc w:val="right"/>
              <w:cnfStyle w:val="100000000000" w:firstRow="1" w:lastRow="0" w:firstColumn="0" w:lastColumn="0" w:oddVBand="0" w:evenVBand="0" w:oddHBand="0" w:evenHBand="0" w:firstRowFirstColumn="0" w:firstRowLastColumn="0" w:lastRowFirstColumn="0" w:lastRowLastColumn="0"/>
            </w:pPr>
            <w:r>
              <w:t>(%)</w:t>
            </w:r>
          </w:p>
        </w:tc>
      </w:tr>
      <w:tr w:rsidR="00D30377" w:rsidRPr="00362D19" w14:paraId="4625AA2D" w14:textId="77777777" w:rsidTr="458935C2">
        <w:trPr>
          <w:trHeight w:val="286"/>
        </w:trPr>
        <w:tc>
          <w:tcPr>
            <w:tcW w:w="0" w:type="auto"/>
            <w:shd w:val="clear" w:color="auto" w:fill="DBF4F5" w:themeFill="background2"/>
            <w:noWrap/>
          </w:tcPr>
          <w:p w14:paraId="586AA889" w14:textId="77777777" w:rsidR="00D30377" w:rsidRPr="004418F9" w:rsidRDefault="00D30377" w:rsidP="458935C2">
            <w:pPr>
              <w:pStyle w:val="TableTextLeft"/>
            </w:pPr>
            <w:r>
              <w:t>Indonesia</w:t>
            </w:r>
          </w:p>
        </w:tc>
        <w:tc>
          <w:tcPr>
            <w:tcW w:w="0" w:type="auto"/>
            <w:noWrap/>
          </w:tcPr>
          <w:p w14:paraId="0ED080B1" w14:textId="77777777" w:rsidR="00D30377" w:rsidRPr="00D30377" w:rsidRDefault="00D30377" w:rsidP="458935C2">
            <w:pPr>
              <w:pStyle w:val="TableTextRight"/>
            </w:pPr>
            <w:r>
              <w:t>6,400</w:t>
            </w:r>
          </w:p>
        </w:tc>
        <w:tc>
          <w:tcPr>
            <w:tcW w:w="0" w:type="auto"/>
            <w:shd w:val="clear" w:color="auto" w:fill="DBF4F5" w:themeFill="background2"/>
            <w:noWrap/>
          </w:tcPr>
          <w:p w14:paraId="6FE5AF82" w14:textId="77777777" w:rsidR="00D30377" w:rsidRPr="00D30377" w:rsidRDefault="00D30377" w:rsidP="458935C2">
            <w:pPr>
              <w:pStyle w:val="TableTextRight"/>
            </w:pPr>
            <w:r>
              <w:t>5,300</w:t>
            </w:r>
          </w:p>
        </w:tc>
        <w:tc>
          <w:tcPr>
            <w:tcW w:w="0" w:type="auto"/>
          </w:tcPr>
          <w:p w14:paraId="598B0AAE" w14:textId="77777777" w:rsidR="00D30377" w:rsidRPr="00D30377" w:rsidRDefault="00D30377" w:rsidP="458935C2">
            <w:pPr>
              <w:pStyle w:val="TableTextRight"/>
            </w:pPr>
            <w:r>
              <w:t>-17%</w:t>
            </w:r>
          </w:p>
        </w:tc>
      </w:tr>
      <w:tr w:rsidR="00D30377" w:rsidRPr="00362D19" w14:paraId="4B9F8C2C" w14:textId="77777777" w:rsidTr="458935C2">
        <w:trPr>
          <w:trHeight w:val="286"/>
        </w:trPr>
        <w:tc>
          <w:tcPr>
            <w:tcW w:w="0" w:type="auto"/>
            <w:shd w:val="clear" w:color="auto" w:fill="DBF4F5" w:themeFill="background2"/>
            <w:noWrap/>
          </w:tcPr>
          <w:p w14:paraId="2DFE4894" w14:textId="77777777" w:rsidR="00D30377" w:rsidRPr="004418F9" w:rsidRDefault="00D30377" w:rsidP="458935C2">
            <w:pPr>
              <w:pStyle w:val="TableTextLeft"/>
            </w:pPr>
            <w:r>
              <w:t>Thailand</w:t>
            </w:r>
          </w:p>
        </w:tc>
        <w:tc>
          <w:tcPr>
            <w:tcW w:w="0" w:type="auto"/>
            <w:noWrap/>
          </w:tcPr>
          <w:p w14:paraId="0F333381" w14:textId="77777777" w:rsidR="00D30377" w:rsidRPr="00D30377" w:rsidRDefault="00D30377" w:rsidP="458935C2">
            <w:pPr>
              <w:pStyle w:val="TableTextRight"/>
            </w:pPr>
            <w:r>
              <w:t>200</w:t>
            </w:r>
          </w:p>
        </w:tc>
        <w:tc>
          <w:tcPr>
            <w:tcW w:w="0" w:type="auto"/>
            <w:shd w:val="clear" w:color="auto" w:fill="DBF4F5" w:themeFill="background2"/>
            <w:noWrap/>
          </w:tcPr>
          <w:p w14:paraId="3A4B9842" w14:textId="77777777" w:rsidR="00D30377" w:rsidRPr="00D30377" w:rsidRDefault="00D30377" w:rsidP="458935C2">
            <w:pPr>
              <w:pStyle w:val="TableTextRight"/>
            </w:pPr>
            <w:r>
              <w:t>400</w:t>
            </w:r>
          </w:p>
        </w:tc>
        <w:tc>
          <w:tcPr>
            <w:tcW w:w="0" w:type="auto"/>
          </w:tcPr>
          <w:p w14:paraId="011CDEE4" w14:textId="77777777" w:rsidR="00D30377" w:rsidRPr="00D30377" w:rsidRDefault="00D30377" w:rsidP="458935C2">
            <w:pPr>
              <w:pStyle w:val="TableTextRight"/>
            </w:pPr>
            <w:r>
              <w:t>100%</w:t>
            </w:r>
          </w:p>
        </w:tc>
      </w:tr>
      <w:tr w:rsidR="00D30377" w:rsidRPr="00362D19" w14:paraId="6AC9D93B" w14:textId="77777777" w:rsidTr="458935C2">
        <w:trPr>
          <w:trHeight w:val="286"/>
        </w:trPr>
        <w:tc>
          <w:tcPr>
            <w:tcW w:w="0" w:type="auto"/>
            <w:shd w:val="clear" w:color="auto" w:fill="DBF4F5" w:themeFill="background2"/>
            <w:noWrap/>
          </w:tcPr>
          <w:p w14:paraId="42D1486E" w14:textId="77777777" w:rsidR="00D30377" w:rsidRPr="004418F9" w:rsidRDefault="00D30377" w:rsidP="458935C2">
            <w:pPr>
              <w:pStyle w:val="TableTextLeft"/>
            </w:pPr>
            <w:r>
              <w:t>Vietnam</w:t>
            </w:r>
          </w:p>
        </w:tc>
        <w:tc>
          <w:tcPr>
            <w:tcW w:w="0" w:type="auto"/>
            <w:noWrap/>
          </w:tcPr>
          <w:p w14:paraId="71D47E19" w14:textId="77777777" w:rsidR="00D30377" w:rsidRPr="00D30377" w:rsidRDefault="00D30377" w:rsidP="458935C2">
            <w:pPr>
              <w:pStyle w:val="TableTextRight"/>
            </w:pPr>
            <w:r>
              <w:t>400</w:t>
            </w:r>
          </w:p>
        </w:tc>
        <w:tc>
          <w:tcPr>
            <w:tcW w:w="0" w:type="auto"/>
            <w:shd w:val="clear" w:color="auto" w:fill="DBF4F5" w:themeFill="background2"/>
            <w:noWrap/>
          </w:tcPr>
          <w:p w14:paraId="7FF672A0" w14:textId="77777777" w:rsidR="00D30377" w:rsidRPr="00D30377" w:rsidRDefault="00D30377" w:rsidP="458935C2">
            <w:pPr>
              <w:pStyle w:val="TableTextRight"/>
            </w:pPr>
            <w:r>
              <w:t>300</w:t>
            </w:r>
          </w:p>
        </w:tc>
        <w:tc>
          <w:tcPr>
            <w:tcW w:w="0" w:type="auto"/>
          </w:tcPr>
          <w:p w14:paraId="2C98538B" w14:textId="77777777" w:rsidR="00D30377" w:rsidRPr="00D30377" w:rsidRDefault="00D30377" w:rsidP="458935C2">
            <w:pPr>
              <w:pStyle w:val="TableTextRight"/>
            </w:pPr>
            <w:r>
              <w:t>-25%</w:t>
            </w:r>
          </w:p>
        </w:tc>
      </w:tr>
      <w:tr w:rsidR="00D30377" w:rsidRPr="00362D19" w14:paraId="04B994E8" w14:textId="77777777" w:rsidTr="458935C2">
        <w:trPr>
          <w:trHeight w:val="286"/>
        </w:trPr>
        <w:tc>
          <w:tcPr>
            <w:tcW w:w="0" w:type="auto"/>
            <w:shd w:val="clear" w:color="auto" w:fill="DBF4F5" w:themeFill="background2"/>
            <w:noWrap/>
          </w:tcPr>
          <w:p w14:paraId="5C9F8F30" w14:textId="77777777" w:rsidR="00D30377" w:rsidRPr="004418F9" w:rsidRDefault="00D30377" w:rsidP="458935C2">
            <w:pPr>
              <w:pStyle w:val="TableTextLeft"/>
            </w:pPr>
            <w:r>
              <w:t>Malaysia</w:t>
            </w:r>
          </w:p>
        </w:tc>
        <w:tc>
          <w:tcPr>
            <w:tcW w:w="0" w:type="auto"/>
            <w:noWrap/>
          </w:tcPr>
          <w:p w14:paraId="70450DDC" w14:textId="77777777" w:rsidR="00D30377" w:rsidRPr="00D30377" w:rsidRDefault="00D30377" w:rsidP="458935C2">
            <w:pPr>
              <w:pStyle w:val="TableTextRight"/>
            </w:pPr>
            <w:r>
              <w:t>1,300</w:t>
            </w:r>
          </w:p>
        </w:tc>
        <w:tc>
          <w:tcPr>
            <w:tcW w:w="0" w:type="auto"/>
            <w:shd w:val="clear" w:color="auto" w:fill="DBF4F5" w:themeFill="background2"/>
            <w:noWrap/>
          </w:tcPr>
          <w:p w14:paraId="2431A091" w14:textId="77777777" w:rsidR="00D30377" w:rsidRPr="00D30377" w:rsidRDefault="00D30377" w:rsidP="458935C2">
            <w:pPr>
              <w:pStyle w:val="TableTextRight"/>
            </w:pPr>
            <w:r>
              <w:t>1,000</w:t>
            </w:r>
          </w:p>
        </w:tc>
        <w:tc>
          <w:tcPr>
            <w:tcW w:w="0" w:type="auto"/>
          </w:tcPr>
          <w:p w14:paraId="1EE9A708" w14:textId="77777777" w:rsidR="00D30377" w:rsidRPr="00D30377" w:rsidRDefault="00D30377" w:rsidP="458935C2">
            <w:pPr>
              <w:pStyle w:val="TableTextRight"/>
            </w:pPr>
            <w:r>
              <w:t>-23%</w:t>
            </w:r>
          </w:p>
        </w:tc>
      </w:tr>
      <w:tr w:rsidR="00D30377" w:rsidRPr="00362D19" w14:paraId="014DCD7D" w14:textId="77777777" w:rsidTr="458935C2">
        <w:trPr>
          <w:trHeight w:val="286"/>
        </w:trPr>
        <w:tc>
          <w:tcPr>
            <w:tcW w:w="0" w:type="auto"/>
            <w:shd w:val="clear" w:color="auto" w:fill="DBF4F5" w:themeFill="background2"/>
            <w:noWrap/>
          </w:tcPr>
          <w:p w14:paraId="5E924832" w14:textId="77777777" w:rsidR="00D30377" w:rsidRPr="004418F9" w:rsidRDefault="00D30377" w:rsidP="458935C2">
            <w:pPr>
              <w:pStyle w:val="TableTextLeft"/>
            </w:pPr>
            <w:r>
              <w:t>India</w:t>
            </w:r>
          </w:p>
        </w:tc>
        <w:tc>
          <w:tcPr>
            <w:tcW w:w="0" w:type="auto"/>
            <w:noWrap/>
          </w:tcPr>
          <w:p w14:paraId="2CE87DAF" w14:textId="77777777" w:rsidR="00D30377" w:rsidRPr="00D30377" w:rsidRDefault="00D30377" w:rsidP="458935C2">
            <w:pPr>
              <w:pStyle w:val="TableTextRight"/>
            </w:pPr>
            <w:r>
              <w:t>800</w:t>
            </w:r>
          </w:p>
        </w:tc>
        <w:tc>
          <w:tcPr>
            <w:tcW w:w="0" w:type="auto"/>
            <w:shd w:val="clear" w:color="auto" w:fill="DBF4F5" w:themeFill="background2"/>
            <w:noWrap/>
          </w:tcPr>
          <w:p w14:paraId="6E2A5C0B" w14:textId="77777777" w:rsidR="00D30377" w:rsidRPr="00D30377" w:rsidRDefault="00D30377" w:rsidP="458935C2">
            <w:pPr>
              <w:pStyle w:val="TableTextRight"/>
            </w:pPr>
            <w:r>
              <w:t>600</w:t>
            </w:r>
          </w:p>
        </w:tc>
        <w:tc>
          <w:tcPr>
            <w:tcW w:w="0" w:type="auto"/>
          </w:tcPr>
          <w:p w14:paraId="6A19F80C" w14:textId="77777777" w:rsidR="00D30377" w:rsidRPr="00D30377" w:rsidRDefault="00D30377" w:rsidP="458935C2">
            <w:pPr>
              <w:pStyle w:val="TableTextRight"/>
            </w:pPr>
            <w:r>
              <w:t>-25%</w:t>
            </w:r>
          </w:p>
        </w:tc>
      </w:tr>
      <w:tr w:rsidR="00D30377" w:rsidRPr="00362D19" w14:paraId="34624D64" w14:textId="77777777" w:rsidTr="458935C2">
        <w:trPr>
          <w:trHeight w:val="286"/>
        </w:trPr>
        <w:tc>
          <w:tcPr>
            <w:tcW w:w="0" w:type="auto"/>
            <w:shd w:val="clear" w:color="auto" w:fill="DBF4F5" w:themeFill="background2"/>
            <w:noWrap/>
          </w:tcPr>
          <w:p w14:paraId="20D0E1D2" w14:textId="77777777" w:rsidR="00D30377" w:rsidRPr="004418F9" w:rsidRDefault="00D30377" w:rsidP="458935C2">
            <w:pPr>
              <w:pStyle w:val="TableTextLeft"/>
            </w:pPr>
            <w:r>
              <w:t>Pakistan</w:t>
            </w:r>
          </w:p>
        </w:tc>
        <w:tc>
          <w:tcPr>
            <w:tcW w:w="0" w:type="auto"/>
            <w:noWrap/>
          </w:tcPr>
          <w:p w14:paraId="0873EB9E" w14:textId="77777777" w:rsidR="00D30377" w:rsidRPr="00D30377" w:rsidRDefault="00D30377" w:rsidP="458935C2">
            <w:pPr>
              <w:pStyle w:val="TableTextRight"/>
            </w:pPr>
            <w:r>
              <w:t>100</w:t>
            </w:r>
          </w:p>
        </w:tc>
        <w:tc>
          <w:tcPr>
            <w:tcW w:w="0" w:type="auto"/>
            <w:shd w:val="clear" w:color="auto" w:fill="DBF4F5" w:themeFill="background2"/>
            <w:noWrap/>
          </w:tcPr>
          <w:p w14:paraId="6222BF76" w14:textId="77777777" w:rsidR="00D30377" w:rsidRPr="00D30377" w:rsidRDefault="00D30377" w:rsidP="458935C2">
            <w:pPr>
              <w:pStyle w:val="TableTextRight"/>
            </w:pPr>
            <w:r>
              <w:t>200</w:t>
            </w:r>
          </w:p>
        </w:tc>
        <w:tc>
          <w:tcPr>
            <w:tcW w:w="0" w:type="auto"/>
          </w:tcPr>
          <w:p w14:paraId="6A17F6C2" w14:textId="77777777" w:rsidR="00D30377" w:rsidRPr="00D30377" w:rsidRDefault="00D30377" w:rsidP="458935C2">
            <w:pPr>
              <w:pStyle w:val="TableTextRight"/>
            </w:pPr>
            <w:r>
              <w:t>100%</w:t>
            </w:r>
          </w:p>
        </w:tc>
      </w:tr>
      <w:tr w:rsidR="00D30377" w:rsidRPr="00362D19" w14:paraId="375CF528" w14:textId="77777777" w:rsidTr="458935C2">
        <w:trPr>
          <w:trHeight w:val="286"/>
        </w:trPr>
        <w:tc>
          <w:tcPr>
            <w:tcW w:w="0" w:type="auto"/>
            <w:shd w:val="clear" w:color="auto" w:fill="DBF4F5" w:themeFill="background2"/>
            <w:noWrap/>
          </w:tcPr>
          <w:p w14:paraId="3A3FB1CC" w14:textId="77777777" w:rsidR="00D30377" w:rsidRPr="004418F9" w:rsidRDefault="00D30377" w:rsidP="458935C2">
            <w:pPr>
              <w:pStyle w:val="TableTextLeft"/>
            </w:pPr>
            <w:r>
              <w:t>All other</w:t>
            </w:r>
          </w:p>
        </w:tc>
        <w:tc>
          <w:tcPr>
            <w:tcW w:w="0" w:type="auto"/>
            <w:noWrap/>
          </w:tcPr>
          <w:p w14:paraId="3894A8FD" w14:textId="77777777" w:rsidR="00D30377" w:rsidRPr="00D30377" w:rsidRDefault="00D30377" w:rsidP="458935C2">
            <w:pPr>
              <w:pStyle w:val="TableTextRight"/>
            </w:pPr>
            <w:r>
              <w:t>100</w:t>
            </w:r>
          </w:p>
        </w:tc>
        <w:tc>
          <w:tcPr>
            <w:tcW w:w="0" w:type="auto"/>
            <w:shd w:val="clear" w:color="auto" w:fill="DBF4F5" w:themeFill="background2"/>
            <w:noWrap/>
          </w:tcPr>
          <w:p w14:paraId="3A23CF7F" w14:textId="77777777" w:rsidR="00D30377" w:rsidRPr="00D30377" w:rsidRDefault="00D30377" w:rsidP="458935C2">
            <w:pPr>
              <w:pStyle w:val="TableTextRight"/>
            </w:pPr>
            <w:r>
              <w:t>100</w:t>
            </w:r>
          </w:p>
        </w:tc>
        <w:tc>
          <w:tcPr>
            <w:tcW w:w="0" w:type="auto"/>
          </w:tcPr>
          <w:p w14:paraId="0ADC0FF6" w14:textId="77777777" w:rsidR="00D30377" w:rsidRPr="00D30377" w:rsidRDefault="00D30377" w:rsidP="458935C2">
            <w:pPr>
              <w:pStyle w:val="TableTextRight"/>
            </w:pPr>
            <w:r>
              <w:t>0%</w:t>
            </w:r>
          </w:p>
        </w:tc>
      </w:tr>
      <w:tr w:rsidR="00D30377" w:rsidRPr="00362D19" w14:paraId="73CFEA4F" w14:textId="77777777" w:rsidTr="458935C2">
        <w:trPr>
          <w:trHeight w:val="286"/>
        </w:trPr>
        <w:tc>
          <w:tcPr>
            <w:tcW w:w="0" w:type="auto"/>
            <w:shd w:val="clear" w:color="auto" w:fill="DBF4F5" w:themeFill="background2"/>
            <w:noWrap/>
          </w:tcPr>
          <w:p w14:paraId="0435E07E" w14:textId="77777777" w:rsidR="00D30377" w:rsidRPr="00362D19" w:rsidRDefault="00D30377" w:rsidP="00D30377">
            <w:pPr>
              <w:pStyle w:val="TableTextLeftBold"/>
              <w:rPr>
                <w:rFonts w:ascii="Arial" w:hAnsi="Arial" w:cs="Arial"/>
                <w:b w:val="0"/>
                <w:bCs/>
                <w:color w:val="000000"/>
                <w:sz w:val="18"/>
                <w:szCs w:val="18"/>
              </w:rPr>
            </w:pPr>
            <w:r w:rsidRPr="00362D19">
              <w:rPr>
                <w:rFonts w:ascii="Arial" w:hAnsi="Arial" w:cs="Arial"/>
                <w:bCs/>
                <w:color w:val="000000"/>
                <w:sz w:val="18"/>
                <w:szCs w:val="18"/>
              </w:rPr>
              <w:t>Total</w:t>
            </w:r>
          </w:p>
        </w:tc>
        <w:tc>
          <w:tcPr>
            <w:tcW w:w="0" w:type="auto"/>
            <w:noWrap/>
          </w:tcPr>
          <w:p w14:paraId="21F1F6E6" w14:textId="77777777" w:rsidR="00D30377" w:rsidRPr="004418F9" w:rsidRDefault="00D30377" w:rsidP="458935C2">
            <w:pPr>
              <w:pStyle w:val="TableTextRight"/>
              <w:rPr>
                <w:b/>
                <w:bCs/>
              </w:rPr>
            </w:pPr>
            <w:r w:rsidRPr="458935C2">
              <w:rPr>
                <w:b/>
                <w:bCs/>
              </w:rPr>
              <w:t>9,300</w:t>
            </w:r>
          </w:p>
        </w:tc>
        <w:tc>
          <w:tcPr>
            <w:tcW w:w="0" w:type="auto"/>
            <w:shd w:val="clear" w:color="auto" w:fill="DBF4F5" w:themeFill="background2"/>
            <w:noWrap/>
          </w:tcPr>
          <w:p w14:paraId="5A99A713" w14:textId="77777777" w:rsidR="00D30377" w:rsidRPr="004418F9" w:rsidRDefault="00D30377" w:rsidP="458935C2">
            <w:pPr>
              <w:pStyle w:val="TableTextRight"/>
              <w:rPr>
                <w:b/>
                <w:bCs/>
              </w:rPr>
            </w:pPr>
            <w:r w:rsidRPr="458935C2">
              <w:rPr>
                <w:b/>
                <w:bCs/>
              </w:rPr>
              <w:t>7,900</w:t>
            </w:r>
          </w:p>
        </w:tc>
        <w:tc>
          <w:tcPr>
            <w:tcW w:w="0" w:type="auto"/>
          </w:tcPr>
          <w:p w14:paraId="53AB75B8" w14:textId="77777777" w:rsidR="00D30377" w:rsidRPr="004418F9" w:rsidRDefault="00D30377" w:rsidP="458935C2">
            <w:pPr>
              <w:pStyle w:val="TableTextRight"/>
              <w:rPr>
                <w:b/>
                <w:bCs/>
              </w:rPr>
            </w:pPr>
            <w:r w:rsidRPr="458935C2">
              <w:rPr>
                <w:b/>
                <w:bCs/>
              </w:rPr>
              <w:t>-15%</w:t>
            </w:r>
          </w:p>
        </w:tc>
      </w:tr>
    </w:tbl>
    <w:p w14:paraId="4227374F" w14:textId="79C312E6" w:rsidR="00D30377" w:rsidRDefault="00D30377" w:rsidP="00D30377">
      <w:pPr>
        <w:pStyle w:val="Heading3"/>
      </w:pPr>
      <w:r>
        <w:t xml:space="preserve">Market opportunities </w:t>
      </w:r>
    </w:p>
    <w:p w14:paraId="75819A4D" w14:textId="73540D12" w:rsidR="00D30377" w:rsidRDefault="00D30377" w:rsidP="00D30377">
      <w:pPr>
        <w:pStyle w:val="BodyText"/>
      </w:pPr>
      <w:r>
        <w:t xml:space="preserve">The market continues to expect consolidation that will tighten the recovered paper supply </w:t>
      </w:r>
      <w:r w:rsidR="00BA6768">
        <w:t>chain.</w:t>
      </w:r>
      <w:r>
        <w:t xml:space="preserve"> A smaller number of larger market participants increases the prospects for higher levels of domestic recovered fibre processing.</w:t>
      </w:r>
    </w:p>
    <w:p w14:paraId="6EFBFB5F" w14:textId="004B7094" w:rsidR="00D30377" w:rsidRDefault="00D30377" w:rsidP="00D30377">
      <w:pPr>
        <w:pStyle w:val="BodyText"/>
      </w:pPr>
      <w:r>
        <w:t>In September</w:t>
      </w:r>
      <w:r w:rsidR="00441288">
        <w:t xml:space="preserve"> 2022</w:t>
      </w:r>
      <w:r>
        <w:t>, the Victorian Government announced funding support under the Circular Economy Infrastructure Fund. This included a significant activity to recycle LPB of various types, extending to numerous polymer coated packaging formats (e.g. coffee cups).</w:t>
      </w:r>
    </w:p>
    <w:p w14:paraId="5DC274A4" w14:textId="3C169A67" w:rsidR="00D30377" w:rsidRDefault="00D30377" w:rsidP="00D30377">
      <w:pPr>
        <w:pStyle w:val="BodyText"/>
      </w:pPr>
      <w:r>
        <w:t xml:space="preserve">The recycling process creates a fibre-polymer composite board product, suitable for a range of building and construction activities. This development of saveBOARD products (see https://www.saveboard.nz/ for further details) could result in increased </w:t>
      </w:r>
      <w:r w:rsidRPr="00A16AF1">
        <w:t>sorting</w:t>
      </w:r>
      <w:r>
        <w:t xml:space="preserve"> and recycling of the target materials, with the </w:t>
      </w:r>
      <w:r w:rsidR="00DB0653">
        <w:t xml:space="preserve">added </w:t>
      </w:r>
      <w:r>
        <w:t>benefit of improving the quality of the residual mixed recovered paper sorted from kerbside collections.</w:t>
      </w:r>
    </w:p>
    <w:p w14:paraId="1C8665CA" w14:textId="77777777" w:rsidR="00824DB8" w:rsidRDefault="00824DB8">
      <w:pPr>
        <w:rPr>
          <w:rFonts w:eastAsia="Arial"/>
          <w:b/>
          <w:color w:val="004C97" w:themeColor="accent3"/>
          <w:sz w:val="28"/>
          <w:szCs w:val="28"/>
        </w:rPr>
      </w:pPr>
      <w:r>
        <w:rPr>
          <w:rFonts w:eastAsia="Arial"/>
        </w:rPr>
        <w:br w:type="page"/>
      </w:r>
    </w:p>
    <w:p w14:paraId="27683DFC" w14:textId="05F4D46F" w:rsidR="00833D9B" w:rsidRPr="00FC722B" w:rsidRDefault="00833D9B" w:rsidP="00833D9B">
      <w:pPr>
        <w:pStyle w:val="Heading3"/>
        <w:rPr>
          <w:rFonts w:eastAsia="Arial"/>
        </w:rPr>
      </w:pPr>
      <w:r w:rsidRPr="00FC722B">
        <w:rPr>
          <w:rFonts w:eastAsia="Arial"/>
        </w:rPr>
        <w:lastRenderedPageBreak/>
        <w:t>Disclaimer</w:t>
      </w:r>
    </w:p>
    <w:p w14:paraId="651EA2DE" w14:textId="77777777" w:rsidR="00833D9B" w:rsidRPr="00FC722B" w:rsidRDefault="00833D9B" w:rsidP="00833D9B">
      <w:pPr>
        <w:pStyle w:val="BodyText"/>
        <w:rPr>
          <w:rFonts w:eastAsia="Arial"/>
        </w:rPr>
      </w:pPr>
      <w:r w:rsidRPr="00FC722B">
        <w:rPr>
          <w:rFonts w:eastAsia="Arial"/>
        </w:rPr>
        <w:t xml:space="preserve">The information on this </w:t>
      </w:r>
      <w:r>
        <w:rPr>
          <w:rFonts w:eastAsia="Arial"/>
        </w:rPr>
        <w:t>report</w:t>
      </w:r>
      <w:r w:rsidRPr="00FC722B">
        <w:rPr>
          <w:rFonts w:eastAsia="Arial"/>
        </w:rPr>
        <w:t xml:space="preserve"> was prepared in conjunction with Blue Environment, IndustryEdge and Sustainable Resource Use (SRU).</w:t>
      </w:r>
    </w:p>
    <w:p w14:paraId="635B12EF" w14:textId="454A46C7" w:rsidR="00833D9B" w:rsidRPr="00FC722B" w:rsidRDefault="00833D9B" w:rsidP="00833D9B">
      <w:pPr>
        <w:pStyle w:val="BodyText"/>
        <w:rPr>
          <w:rFonts w:eastAsia="Arial"/>
        </w:rPr>
      </w:pPr>
      <w:r w:rsidRPr="00FC722B">
        <w:rPr>
          <w:rFonts w:eastAsia="Arial"/>
        </w:rPr>
        <w:t>While reasonable efforts have been made to ensure that the contents of this publication are factually correct, Recycling Victoria gives no warranty regarding its accuracy, completeness, currency or suitability for any particular purpose and to the extent permitted by law, does not accept any liability for loss or damages incurred as a result of placed upon the content of this publication</w:t>
      </w:r>
      <w:r w:rsidR="00B51B1F">
        <w:rPr>
          <w:rFonts w:eastAsia="Arial"/>
        </w:rPr>
        <w:t>.</w:t>
      </w:r>
    </w:p>
    <w:p w14:paraId="37F2576E" w14:textId="77777777" w:rsidR="00833D9B" w:rsidRPr="00FC722B" w:rsidRDefault="00833D9B" w:rsidP="00833D9B">
      <w:pPr>
        <w:pStyle w:val="BodyText"/>
        <w:rPr>
          <w:rFonts w:eastAsia="Arial"/>
        </w:rPr>
      </w:pPr>
      <w:r w:rsidRPr="00FC722B">
        <w:rPr>
          <w:rFonts w:eastAsia="Arial"/>
        </w:rPr>
        <w:t>This publication is provided on the basis that all persons accessing it undertake responsibility for assessing the relevance and accuracy of its content.</w:t>
      </w:r>
    </w:p>
    <w:p w14:paraId="771B84F5" w14:textId="41606587" w:rsidR="00D30377" w:rsidRPr="00824DB8" w:rsidRDefault="00833D9B" w:rsidP="00D30377">
      <w:pPr>
        <w:pStyle w:val="BodyText"/>
        <w:rPr>
          <w:rFonts w:eastAsia="Arial"/>
        </w:rPr>
      </w:pPr>
      <w:r w:rsidRPr="00FC722B">
        <w:rPr>
          <w:rFonts w:eastAsia="Arial"/>
        </w:rPr>
        <w:t>Recycling Victoria does not accept any liability for loss or damage arising from your use of or reliance on the Data. The inclusion of information in this report does not constitute Recycling Victoria’s endorsement of any particular facility, or any associated organisation, product or service.</w:t>
      </w:r>
    </w:p>
    <w:tbl>
      <w:tblPr>
        <w:tblpPr w:leftFromText="181" w:rightFromText="181" w:topFromText="113" w:horzAnchor="page" w:tblpX="852" w:tblpYSpec="bottom"/>
        <w:tblOverlap w:val="never"/>
        <w:tblW w:w="10205" w:type="dxa"/>
        <w:tblLayout w:type="fixed"/>
        <w:tblCellMar>
          <w:top w:w="170" w:type="dxa"/>
          <w:left w:w="0" w:type="dxa"/>
          <w:right w:w="0" w:type="dxa"/>
        </w:tblCellMar>
        <w:tblLook w:val="01E0" w:firstRow="1" w:lastRow="1" w:firstColumn="1" w:lastColumn="1" w:noHBand="0" w:noVBand="0"/>
      </w:tblPr>
      <w:tblGrid>
        <w:gridCol w:w="5216"/>
        <w:gridCol w:w="4989"/>
      </w:tblGrid>
      <w:tr w:rsidR="00254A01" w14:paraId="6B5727B5" w14:textId="77777777" w:rsidTr="458935C2">
        <w:trPr>
          <w:trHeight w:val="3175"/>
        </w:trPr>
        <w:tc>
          <w:tcPr>
            <w:tcW w:w="5216" w:type="dxa"/>
            <w:shd w:val="clear" w:color="auto" w:fill="auto"/>
          </w:tcPr>
          <w:p w14:paraId="63D31F2F" w14:textId="18ACF9A4" w:rsidR="00BF56B2" w:rsidRPr="00472CF9" w:rsidRDefault="00BF56B2" w:rsidP="00437A2E">
            <w:pPr>
              <w:pStyle w:val="SmallBodyText"/>
              <w:rPr>
                <w:sz w:val="14"/>
                <w:szCs w:val="22"/>
              </w:rPr>
            </w:pPr>
            <w:r w:rsidRPr="00472CF9">
              <w:rPr>
                <w:sz w:val="14"/>
                <w:szCs w:val="22"/>
              </w:rPr>
              <w:t xml:space="preserve">© The State of Victoria </w:t>
            </w:r>
            <w:r w:rsidR="00752437" w:rsidRPr="00752437">
              <w:rPr>
                <w:sz w:val="14"/>
                <w:szCs w:val="22"/>
              </w:rPr>
              <w:t>Department of Energy, Environment and Climate Action</w:t>
            </w:r>
            <w:r w:rsidR="00EB50C5">
              <w:rPr>
                <w:sz w:val="14"/>
                <w:szCs w:val="22"/>
              </w:rPr>
              <w:t xml:space="preserve"> </w:t>
            </w:r>
            <w:r w:rsidR="00EB50C5" w:rsidRPr="00EB50C5">
              <w:rPr>
                <w:sz w:val="14"/>
                <w:szCs w:val="22"/>
              </w:rPr>
              <w:t>2023</w:t>
            </w:r>
          </w:p>
          <w:p w14:paraId="35603E2B" w14:textId="015EE9AF" w:rsidR="00BF56B2" w:rsidRDefault="00BF56B2" w:rsidP="00437A2E">
            <w:pPr>
              <w:pStyle w:val="SmallBodyText"/>
              <w:rPr>
                <w:color w:val="auto"/>
                <w:sz w:val="14"/>
                <w:szCs w:val="14"/>
              </w:rPr>
            </w:pPr>
            <w:r w:rsidRPr="00472CF9">
              <w:rPr>
                <w:noProof/>
                <w:sz w:val="14"/>
                <w:szCs w:val="22"/>
              </w:rPr>
              <w:drawing>
                <wp:anchor distT="0" distB="0" distL="114300" distR="36195" simplePos="0" relativeHeight="251658241" behindDoc="0" locked="1" layoutInCell="1" allowOverlap="1" wp14:anchorId="1D6837BC" wp14:editId="40E4B0B3">
                  <wp:simplePos x="0" y="0"/>
                  <wp:positionH relativeFrom="column">
                    <wp:posOffset>0</wp:posOffset>
                  </wp:positionH>
                  <wp:positionV relativeFrom="paragraph">
                    <wp:posOffset>28575</wp:posOffset>
                  </wp:positionV>
                  <wp:extent cx="658495" cy="237490"/>
                  <wp:effectExtent l="0" t="0" r="8255" b="0"/>
                  <wp:wrapSquare wrapText="bothSides"/>
                  <wp:docPr id="25" name="Picture 25" descr="Creative Commons BY"/>
                  <wp:cNvGraphicFramePr/>
                  <a:graphic xmlns:a="http://schemas.openxmlformats.org/drawingml/2006/main">
                    <a:graphicData uri="http://schemas.openxmlformats.org/drawingml/2006/picture">
                      <pic:pic xmlns:pic="http://schemas.openxmlformats.org/drawingml/2006/picture">
                        <pic:nvPicPr>
                          <pic:cNvPr id="25" name="Picture 25" descr="Creative Commons BY"/>
                          <pic:cNvPicPr/>
                        </pic:nvPicPr>
                        <pic:blipFill>
                          <a:blip r:embed="rId22">
                            <a:extLst>
                              <a:ext uri="{28A0092B-C50C-407E-A947-70E740481C1C}">
                                <a14:useLocalDpi xmlns:a14="http://schemas.microsoft.com/office/drawing/2010/main" val="0"/>
                              </a:ext>
                            </a:extLst>
                          </a:blip>
                          <a:stretch>
                            <a:fillRect/>
                          </a:stretch>
                        </pic:blipFill>
                        <pic:spPr>
                          <a:xfrm>
                            <a:off x="0" y="0"/>
                            <a:ext cx="658495" cy="237490"/>
                          </a:xfrm>
                          <a:prstGeom prst="rect">
                            <a:avLst/>
                          </a:prstGeom>
                        </pic:spPr>
                      </pic:pic>
                    </a:graphicData>
                  </a:graphic>
                  <wp14:sizeRelH relativeFrom="page">
                    <wp14:pctWidth>0</wp14:pctWidth>
                  </wp14:sizeRelH>
                  <wp14:sizeRelV relativeFrom="page">
                    <wp14:pctHeight>0</wp14:pctHeight>
                  </wp14:sizeRelV>
                </wp:anchor>
              </w:drawing>
            </w:r>
            <w:bookmarkStart w:id="1" w:name="_ImprintPageOne"/>
            <w:bookmarkEnd w:id="1"/>
            <w:r w:rsidR="3486A5D3" w:rsidRPr="00472CF9">
              <w:rPr>
                <w:sz w:val="14"/>
                <w:szCs w:val="14"/>
              </w:rPr>
              <w:t xml:space="preserve">This </w:t>
            </w:r>
            <w:r w:rsidR="37DF33D4">
              <w:rPr>
                <w:color w:val="auto"/>
                <w:sz w:val="14"/>
                <w:szCs w:val="14"/>
              </w:rPr>
              <w:t xml:space="preserve">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Energy, Environment and Climate Action (DEECA) logo. To view a copy of this licence, visit </w:t>
            </w:r>
            <w:hyperlink r:id="rId23" w:history="1">
              <w:r w:rsidR="57359F9F" w:rsidRPr="002A3A85">
                <w:rPr>
                  <w:rStyle w:val="Hyperlink"/>
                  <w:sz w:val="14"/>
                  <w:szCs w:val="14"/>
                </w:rPr>
                <w:t>http://creativecommons.org/licenses/by/4.0/</w:t>
              </w:r>
            </w:hyperlink>
          </w:p>
          <w:p w14:paraId="0244E564" w14:textId="77777777" w:rsidR="00594D12" w:rsidRPr="00472CF9" w:rsidRDefault="00594D12" w:rsidP="00437A2E">
            <w:pPr>
              <w:pStyle w:val="SmallBodyText"/>
              <w:rPr>
                <w:sz w:val="14"/>
                <w:szCs w:val="22"/>
              </w:rPr>
            </w:pPr>
          </w:p>
          <w:p w14:paraId="31A3DF65" w14:textId="77777777" w:rsidR="00BF56B2" w:rsidRPr="00472CF9" w:rsidRDefault="00BF56B2" w:rsidP="00437A2E">
            <w:pPr>
              <w:pStyle w:val="SmallHeading"/>
              <w:rPr>
                <w:sz w:val="14"/>
                <w:szCs w:val="22"/>
              </w:rPr>
            </w:pPr>
            <w:r w:rsidRPr="00472CF9">
              <w:rPr>
                <w:sz w:val="14"/>
                <w:szCs w:val="22"/>
              </w:rPr>
              <w:t>Disclaimer</w:t>
            </w:r>
          </w:p>
          <w:p w14:paraId="76BDE753" w14:textId="77777777" w:rsidR="00B47C79" w:rsidRDefault="00BF56B2" w:rsidP="00437A2E">
            <w:pPr>
              <w:pStyle w:val="SmallBodyText"/>
            </w:pPr>
            <w:r w:rsidRPr="00472CF9">
              <w:rPr>
                <w:sz w:val="14"/>
                <w:szCs w:val="22"/>
              </w:rPr>
              <w:t xml:space="preserve">This publication may be of assistance to </w:t>
            </w:r>
            <w:r w:rsidR="00AB2E02" w:rsidRPr="00472CF9">
              <w:rPr>
                <w:sz w:val="14"/>
                <w:szCs w:val="22"/>
              </w:rPr>
              <w:t>you,</w:t>
            </w:r>
            <w:r w:rsidRPr="00472CF9">
              <w:rPr>
                <w:sz w:val="14"/>
                <w:szCs w:val="22"/>
              </w:rPr>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c>
          <w:tcPr>
            <w:tcW w:w="4989" w:type="dxa"/>
            <w:shd w:val="clear" w:color="auto" w:fill="auto"/>
          </w:tcPr>
          <w:p w14:paraId="6E605FD9" w14:textId="77777777" w:rsidR="00254A01" w:rsidRPr="00E97294" w:rsidRDefault="00254A01" w:rsidP="00437A2E">
            <w:pPr>
              <w:pStyle w:val="xAccessibilityHeading"/>
            </w:pPr>
            <w:bookmarkStart w:id="2" w:name="_Accessibility"/>
            <w:bookmarkEnd w:id="2"/>
            <w:r w:rsidRPr="00E97294">
              <w:t>Accessibility</w:t>
            </w:r>
          </w:p>
          <w:p w14:paraId="0249FC0D" w14:textId="77777777" w:rsidR="00254A01" w:rsidRDefault="00254A01" w:rsidP="00437A2E">
            <w:pPr>
              <w:pStyle w:val="xAccessibilityText"/>
            </w:pPr>
            <w:r>
              <w:t xml:space="preserve">If you would like to receive this publication in an alternative format, please telephone the </w:t>
            </w:r>
            <w:r w:rsidR="00752437">
              <w:t>DEECA</w:t>
            </w:r>
            <w:r>
              <w:t xml:space="preserve"> Customer Service Centre on 136186, email </w:t>
            </w:r>
            <w:hyperlink r:id="rId24" w:history="1">
              <w:r w:rsidRPr="00BF56B2">
                <w:rPr>
                  <w:rStyle w:val="Hyperlink"/>
                </w:rPr>
                <w:t>customer.service@delwp.vic.gov.au</w:t>
              </w:r>
            </w:hyperlink>
            <w:r w:rsidRPr="003C5C56">
              <w:t xml:space="preserve"> </w:t>
            </w:r>
            <w:r>
              <w:t xml:space="preserve">or via the National Relay Service on 133 677 </w:t>
            </w:r>
            <w:hyperlink r:id="rId25" w:history="1">
              <w:r w:rsidRPr="00BF56B2">
                <w:rPr>
                  <w:rStyle w:val="Hyperlink"/>
                </w:rPr>
                <w:t>www.relayservice.com.au</w:t>
              </w:r>
            </w:hyperlink>
            <w:r>
              <w:t xml:space="preserve">. This document is also available on the internet </w:t>
            </w:r>
            <w:r w:rsidR="00E977FE">
              <w:rPr>
                <w:color w:val="auto"/>
              </w:rPr>
              <w:t xml:space="preserve">at </w:t>
            </w:r>
            <w:hyperlink r:id="rId26" w:history="1">
              <w:r w:rsidR="00E977FE">
                <w:rPr>
                  <w:rStyle w:val="Hyperlink"/>
                </w:rPr>
                <w:t>www.recycling.vic.gov.au</w:t>
              </w:r>
            </w:hyperlink>
          </w:p>
        </w:tc>
      </w:tr>
    </w:tbl>
    <w:p w14:paraId="099B3250" w14:textId="77777777" w:rsidR="00254A01" w:rsidRDefault="007362BC" w:rsidP="00254A01">
      <w:pPr>
        <w:pStyle w:val="SmallBodyText"/>
      </w:pPr>
      <w:r w:rsidRPr="00204FF8">
        <w:rPr>
          <w:rStyle w:val="HiddenText"/>
        </w:rPr>
        <w:t>Keep all content above this instruction text line. Delete only when document formatting is complete.</w:t>
      </w:r>
      <w:r w:rsidR="00254A01">
        <w:t xml:space="preserve"> </w:t>
      </w:r>
    </w:p>
    <w:p w14:paraId="21E5CC4E" w14:textId="77777777" w:rsidR="006E1C8D" w:rsidRPr="00BF56B2" w:rsidRDefault="00437A2E" w:rsidP="00BF56B2">
      <w:pPr>
        <w:pStyle w:val="SmallBodyText"/>
      </w:pPr>
      <w:r w:rsidRPr="00AE6B68">
        <w:rPr>
          <w:b/>
          <w:bCs/>
          <w:noProof/>
          <w:sz w:val="28"/>
          <w:szCs w:val="32"/>
        </w:rPr>
        <w:drawing>
          <wp:anchor distT="0" distB="0" distL="114300" distR="114300" simplePos="0" relativeHeight="251658242" behindDoc="1" locked="0" layoutInCell="1" allowOverlap="1" wp14:anchorId="1AC52D05" wp14:editId="195CC627">
            <wp:simplePos x="0" y="0"/>
            <wp:positionH relativeFrom="page">
              <wp:align>right</wp:align>
            </wp:positionH>
            <wp:positionV relativeFrom="page">
              <wp:align>bottom</wp:align>
            </wp:positionV>
            <wp:extent cx="2491200" cy="907200"/>
            <wp:effectExtent l="0" t="0" r="0" b="0"/>
            <wp:wrapNone/>
            <wp:docPr id="4" name="Victoria" descr="Recycling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Victoria" descr="Recycling Victoria logo"/>
                    <pic:cNvPicPr/>
                  </pic:nvPicPr>
                  <pic:blipFill rotWithShape="1">
                    <a:blip r:embed="rId27" cstate="print">
                      <a:extLst>
                        <a:ext uri="{28A0092B-C50C-407E-A947-70E740481C1C}">
                          <a14:useLocalDpi xmlns:a14="http://schemas.microsoft.com/office/drawing/2010/main" val="0"/>
                        </a:ext>
                      </a:extLst>
                    </a:blip>
                    <a:srcRect b="14825"/>
                    <a:stretch/>
                  </pic:blipFill>
                  <pic:spPr bwMode="auto">
                    <a:xfrm>
                      <a:off x="0" y="0"/>
                      <a:ext cx="2491200" cy="907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F56B2">
        <w:rPr>
          <w:noProof/>
        </w:rPr>
        <mc:AlternateContent>
          <mc:Choice Requires="wps">
            <w:drawing>
              <wp:anchor distT="0" distB="0" distL="114300" distR="114300" simplePos="0" relativeHeight="251658240" behindDoc="1" locked="1" layoutInCell="1" allowOverlap="1" wp14:anchorId="172A7587" wp14:editId="52EB67BA">
                <wp:simplePos x="0" y="0"/>
                <wp:positionH relativeFrom="page">
                  <wp:align>left</wp:align>
                </wp:positionH>
                <wp:positionV relativeFrom="page">
                  <wp:posOffset>7687310</wp:posOffset>
                </wp:positionV>
                <wp:extent cx="7559675" cy="3004185"/>
                <wp:effectExtent l="0" t="0" r="3175" b="5715"/>
                <wp:wrapNone/>
                <wp:docPr id="22" name="Footer Rectangl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00418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14="http://schemas.microsoft.com/office/drawing/2010/main" xmlns:pic="http://schemas.openxmlformats.org/drawingml/2006/picture" xmlns:a="http://schemas.openxmlformats.org/drawingml/2006/main">
            <w:pict w14:anchorId="631E67FA">
              <v:rect id="Footer Rectangle" style="position:absolute;margin-left:0;margin-top:605.3pt;width:595.25pt;height:236.55pt;z-index:-25166489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alt="&quot;&quot;" o:spid="_x0000_s1026" fillcolor="#dbf4f5 [3214]" stroked="f" strokeweight="1.5pt" w14:anchorId="5ECF06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">
                <v:stroke endcap="round"/>
                <w10:wrap anchorx="page" anchory="page"/>
                <w10:anchorlock/>
              </v:rect>
            </w:pict>
          </mc:Fallback>
        </mc:AlternateContent>
      </w:r>
    </w:p>
    <w:sectPr w:rsidR="006E1C8D" w:rsidRPr="00BF56B2" w:rsidSect="006959BC">
      <w:headerReference w:type="default" r:id="rId28"/>
      <w:footerReference w:type="default" r:id="rId29"/>
      <w:type w:val="continuous"/>
      <w:pgSz w:w="11907" w:h="16840" w:code="9"/>
      <w:pgMar w:top="1134" w:right="851" w:bottom="1418" w:left="851" w:header="567" w:footer="851"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65C77" w14:textId="77777777" w:rsidR="001F43A6" w:rsidRDefault="001F43A6">
      <w:r>
        <w:separator/>
      </w:r>
    </w:p>
    <w:p w14:paraId="7006421B" w14:textId="77777777" w:rsidR="001F43A6" w:rsidRDefault="001F43A6"/>
    <w:p w14:paraId="3B22EFD5" w14:textId="77777777" w:rsidR="001F43A6" w:rsidRDefault="001F43A6"/>
  </w:endnote>
  <w:endnote w:type="continuationSeparator" w:id="0">
    <w:p w14:paraId="2999EC77" w14:textId="77777777" w:rsidR="001F43A6" w:rsidRDefault="001F43A6">
      <w:r>
        <w:continuationSeparator/>
      </w:r>
    </w:p>
    <w:p w14:paraId="11115F89" w14:textId="77777777" w:rsidR="001F43A6" w:rsidRDefault="001F43A6"/>
    <w:p w14:paraId="628AB720" w14:textId="77777777" w:rsidR="001F43A6" w:rsidRDefault="001F43A6"/>
  </w:endnote>
  <w:endnote w:type="continuationNotice" w:id="1">
    <w:p w14:paraId="631823B9" w14:textId="77777777" w:rsidR="001F43A6" w:rsidRDefault="001F43A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9361F" w14:textId="77777777" w:rsidR="00947066" w:rsidRPr="00AE6B68" w:rsidRDefault="001138E9">
    <w:pPr>
      <w:pStyle w:val="Footer"/>
      <w:rPr>
        <w:b/>
        <w:bCs/>
        <w:color w:val="201547" w:themeColor="text2"/>
        <w:sz w:val="20"/>
        <w:szCs w:val="24"/>
      </w:rPr>
    </w:pPr>
    <w:r>
      <w:rPr>
        <w:noProof/>
      </w:rPr>
      <mc:AlternateContent>
        <mc:Choice Requires="wps">
          <w:drawing>
            <wp:anchor distT="0" distB="0" distL="114300" distR="114300" simplePos="0" relativeHeight="251658245" behindDoc="0" locked="0" layoutInCell="0" allowOverlap="1" wp14:anchorId="7436A123" wp14:editId="052E4CBD">
              <wp:simplePos x="0" y="0"/>
              <wp:positionH relativeFrom="page">
                <wp:posOffset>0</wp:posOffset>
              </wp:positionH>
              <wp:positionV relativeFrom="page">
                <wp:posOffset>10229850</wp:posOffset>
              </wp:positionV>
              <wp:extent cx="7560945" cy="273050"/>
              <wp:effectExtent l="0" t="0" r="0" b="12700"/>
              <wp:wrapNone/>
              <wp:docPr id="101" name="MSIPCM629b43bca69a7f6222fca942"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352FEA" w14:textId="6CB5FF39" w:rsidR="001138E9" w:rsidRPr="00400250" w:rsidRDefault="00400250" w:rsidP="00400250">
                          <w:pPr>
                            <w:jc w:val="center"/>
                            <w:rPr>
                              <w:rFonts w:ascii="Calibri" w:hAnsi="Calibri" w:cs="Calibri"/>
                              <w:color w:val="000000"/>
                              <w:sz w:val="24"/>
                            </w:rPr>
                          </w:pPr>
                          <w:r w:rsidRPr="0040025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436A123" id="_x0000_t202" coordsize="21600,21600" o:spt="202" path="m,l,21600r21600,l21600,xe">
              <v:stroke joinstyle="miter"/>
              <v:path gradientshapeok="t" o:connecttype="rect"/>
            </v:shapetype>
            <v:shape id="MSIPCM629b43bca69a7f6222fca942" o:spid="_x0000_s1026" type="#_x0000_t202" alt="{&quot;HashCode&quot;:-1264680268,&quot;Height&quot;:842.0,&quot;Width&quot;:595.0,&quot;Placement&quot;:&quot;Footer&quot;,&quot;Index&quot;:&quot;OddAndEven&quot;,&quot;Section&quot;:1,&quot;Top&quot;:0.0,&quot;Left&quot;:0.0}" style="position:absolute;margin-left:0;margin-top:805.5pt;width:595.35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" o:allowincell="f" filled="f" stroked="f" strokeweight=".5pt">
              <v:textbox inset=",0,,0">
                <w:txbxContent>
                  <w:p w14:paraId="2E352FEA" w14:textId="6CB5FF39" w:rsidR="001138E9" w:rsidRPr="00400250" w:rsidRDefault="00400250" w:rsidP="00400250">
                    <w:pPr>
                      <w:jc w:val="center"/>
                      <w:rPr>
                        <w:rFonts w:ascii="Calibri" w:hAnsi="Calibri" w:cs="Calibri"/>
                        <w:color w:val="000000"/>
                        <w:sz w:val="24"/>
                      </w:rPr>
                    </w:pPr>
                    <w:r w:rsidRPr="00400250">
                      <w:rPr>
                        <w:rFonts w:ascii="Calibri" w:hAnsi="Calibri" w:cs="Calibri"/>
                        <w:color w:val="000000"/>
                        <w:sz w:val="24"/>
                      </w:rPr>
                      <w:t>OFFICIAL</w:t>
                    </w:r>
                  </w:p>
                </w:txbxContent>
              </v:textbox>
              <w10:wrap anchorx="page" anchory="page"/>
            </v:shape>
          </w:pict>
        </mc:Fallback>
      </mc:AlternateContent>
    </w:r>
    <w:sdt>
      <w:sdtPr>
        <w:id w:val="-2122751450"/>
        <w:docPartObj>
          <w:docPartGallery w:val="Page Numbers (Bottom of Page)"/>
          <w:docPartUnique/>
        </w:docPartObj>
      </w:sdtPr>
      <w:sdtEndPr>
        <w:rPr>
          <w:b/>
          <w:bCs/>
          <w:noProof/>
          <w:color w:val="201547" w:themeColor="text2"/>
          <w:sz w:val="32"/>
          <w:szCs w:val="40"/>
        </w:rPr>
      </w:sdtEndPr>
      <w:sdtContent>
        <w:r w:rsidR="00AE6B68" w:rsidRPr="00AE6B68">
          <w:rPr>
            <w:b/>
            <w:bCs/>
            <w:color w:val="201547" w:themeColor="text2"/>
            <w:sz w:val="20"/>
            <w:szCs w:val="24"/>
          </w:rPr>
          <w:fldChar w:fldCharType="begin"/>
        </w:r>
        <w:r w:rsidR="00AE6B68" w:rsidRPr="00AE6B68">
          <w:rPr>
            <w:b/>
            <w:bCs/>
            <w:color w:val="201547" w:themeColor="text2"/>
            <w:sz w:val="20"/>
            <w:szCs w:val="24"/>
          </w:rPr>
          <w:instrText xml:space="preserve"> PAGE   \* MERGEFORMAT </w:instrText>
        </w:r>
        <w:r w:rsidR="00AE6B68" w:rsidRPr="00AE6B68">
          <w:rPr>
            <w:b/>
            <w:bCs/>
            <w:color w:val="201547" w:themeColor="text2"/>
            <w:sz w:val="20"/>
            <w:szCs w:val="24"/>
          </w:rPr>
          <w:fldChar w:fldCharType="separate"/>
        </w:r>
        <w:r w:rsidR="00AE6B68" w:rsidRPr="00AE6B68">
          <w:rPr>
            <w:b/>
            <w:bCs/>
            <w:noProof/>
            <w:color w:val="201547" w:themeColor="text2"/>
            <w:sz w:val="20"/>
            <w:szCs w:val="24"/>
          </w:rPr>
          <w:t>2</w:t>
        </w:r>
        <w:r w:rsidR="00AE6B68" w:rsidRPr="00AE6B68">
          <w:rPr>
            <w:b/>
            <w:bCs/>
            <w:noProof/>
            <w:color w:val="201547" w:themeColor="text2"/>
            <w:sz w:val="20"/>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3F24B" w14:textId="77777777" w:rsidR="00947066" w:rsidRDefault="00EA0C6A" w:rsidP="00296569">
    <w:pPr>
      <w:pStyle w:val="xWeb"/>
      <w:spacing w:after="960"/>
    </w:pPr>
    <w:r>
      <w:rPr>
        <w:noProof/>
        <w:sz w:val="18"/>
      </w:rPr>
      <mc:AlternateContent>
        <mc:Choice Requires="wps">
          <w:drawing>
            <wp:anchor distT="0" distB="0" distL="114300" distR="114300" simplePos="0" relativeHeight="251658243" behindDoc="0" locked="0" layoutInCell="0" allowOverlap="1" wp14:anchorId="59CB97D0" wp14:editId="68B800D6">
              <wp:simplePos x="0" y="0"/>
              <wp:positionH relativeFrom="page">
                <wp:posOffset>0</wp:posOffset>
              </wp:positionH>
              <wp:positionV relativeFrom="page">
                <wp:posOffset>10229850</wp:posOffset>
              </wp:positionV>
              <wp:extent cx="7560945" cy="273050"/>
              <wp:effectExtent l="0" t="0" r="0" b="12700"/>
              <wp:wrapNone/>
              <wp:docPr id="9" name="MSIPCM764c40c1b14beb4154cb51dd"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FA7FB5" w14:textId="75C78EA7" w:rsidR="00EA0C6A" w:rsidRPr="00400250" w:rsidRDefault="00400250" w:rsidP="00400250">
                          <w:pPr>
                            <w:jc w:val="center"/>
                            <w:rPr>
                              <w:rFonts w:ascii="Calibri" w:hAnsi="Calibri" w:cs="Calibri"/>
                              <w:color w:val="000000"/>
                              <w:sz w:val="24"/>
                            </w:rPr>
                          </w:pPr>
                          <w:r w:rsidRPr="0040025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9CB97D0" id="_x0000_t202" coordsize="21600,21600" o:spt="202" path="m,l,21600r21600,l21600,xe">
              <v:stroke joinstyle="miter"/>
              <v:path gradientshapeok="t" o:connecttype="rect"/>
            </v:shapetype>
            <v:shape id="MSIPCM764c40c1b14beb4154cb51dd" o:spid="_x0000_s1027" type="#_x0000_t202" alt="{&quot;HashCode&quot;:-1264680268,&quot;Height&quot;:842.0,&quot;Width&quot;:595.0,&quot;Placement&quot;:&quot;Footer&quot;,&quot;Index&quot;:&quot;Primary&quot;,&quot;Section&quot;:1,&quot;Top&quot;:0.0,&quot;Left&quot;:0.0}" style="position:absolute;margin-left:0;margin-top:805.5pt;width:595.3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" o:allowincell="f" filled="f" stroked="f" strokeweight=".5pt">
              <v:textbox inset=",0,,0">
                <w:txbxContent>
                  <w:p w14:paraId="31FA7FB5" w14:textId="75C78EA7" w:rsidR="00EA0C6A" w:rsidRPr="00400250" w:rsidRDefault="00400250" w:rsidP="00400250">
                    <w:pPr>
                      <w:jc w:val="center"/>
                      <w:rPr>
                        <w:rFonts w:ascii="Calibri" w:hAnsi="Calibri" w:cs="Calibri"/>
                        <w:color w:val="000000"/>
                        <w:sz w:val="24"/>
                      </w:rPr>
                    </w:pPr>
                    <w:r w:rsidRPr="00400250">
                      <w:rPr>
                        <w:rFonts w:ascii="Calibri" w:hAnsi="Calibri" w:cs="Calibri"/>
                        <w:color w:val="000000"/>
                        <w:sz w:val="24"/>
                      </w:rPr>
                      <w:t>OFFICIAL</w:t>
                    </w:r>
                  </w:p>
                </w:txbxContent>
              </v:textbox>
              <w10:wrap anchorx="page" anchory="page"/>
            </v:shape>
          </w:pict>
        </mc:Fallback>
      </mc:AlternateContent>
    </w:r>
    <w:r w:rsidR="00890D78">
      <w:t>recycling.vic.gov.au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A965F" w14:textId="77777777" w:rsidR="00B40C2E" w:rsidRPr="002131E7" w:rsidRDefault="00AF174F" w:rsidP="000721CE">
    <w:pPr>
      <w:pStyle w:val="Footer"/>
      <w:rPr>
        <w:b/>
        <w:bCs/>
        <w:color w:val="201547" w:themeColor="text2"/>
        <w:sz w:val="24"/>
        <w:szCs w:val="32"/>
      </w:rPr>
    </w:pPr>
    <w:r w:rsidRPr="002131E7">
      <w:rPr>
        <w:b/>
        <w:bCs/>
        <w:noProof/>
        <w:color w:val="201547" w:themeColor="text2"/>
        <w:sz w:val="28"/>
        <w:szCs w:val="32"/>
      </w:rPr>
      <w:drawing>
        <wp:anchor distT="0" distB="0" distL="114300" distR="114300" simplePos="0" relativeHeight="251658240" behindDoc="1" locked="0" layoutInCell="1" allowOverlap="1" wp14:anchorId="5FC1E8E4" wp14:editId="2D106ADD">
          <wp:simplePos x="0" y="0"/>
          <wp:positionH relativeFrom="page">
            <wp:align>right</wp:align>
          </wp:positionH>
          <wp:positionV relativeFrom="page">
            <wp:align>bottom</wp:align>
          </wp:positionV>
          <wp:extent cx="2491285" cy="906344"/>
          <wp:effectExtent l="0" t="0" r="0" b="0"/>
          <wp:wrapNone/>
          <wp:docPr id="6" name="Victoria" descr="Recycling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Victoria" descr="Recycling Victoria logo"/>
                  <pic:cNvPicPr/>
                </pic:nvPicPr>
                <pic:blipFill rotWithShape="1">
                  <a:blip r:embed="rId1">
                    <a:extLst>
                      <a:ext uri="{28A0092B-C50C-407E-A947-70E740481C1C}">
                        <a14:useLocalDpi xmlns:a14="http://schemas.microsoft.com/office/drawing/2010/main" val="0"/>
                      </a:ext>
                    </a:extLst>
                  </a:blip>
                  <a:srcRect b="14825"/>
                  <a:stretch/>
                </pic:blipFill>
                <pic:spPr bwMode="auto">
                  <a:xfrm>
                    <a:off x="0" y="0"/>
                    <a:ext cx="2494800" cy="9076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138E9" w:rsidRPr="002131E7">
      <w:rPr>
        <w:b/>
        <w:bCs/>
        <w:noProof/>
        <w:color w:val="201547" w:themeColor="text2"/>
        <w:sz w:val="28"/>
        <w:szCs w:val="32"/>
      </w:rPr>
      <mc:AlternateContent>
        <mc:Choice Requires="wps">
          <w:drawing>
            <wp:anchor distT="0" distB="0" distL="114300" distR="114300" simplePos="0" relativeHeight="251658244" behindDoc="0" locked="0" layoutInCell="0" allowOverlap="1" wp14:anchorId="69E079AC" wp14:editId="1F4E595E">
              <wp:simplePos x="0" y="0"/>
              <wp:positionH relativeFrom="page">
                <wp:posOffset>0</wp:posOffset>
              </wp:positionH>
              <wp:positionV relativeFrom="page">
                <wp:posOffset>10229850</wp:posOffset>
              </wp:positionV>
              <wp:extent cx="7560945" cy="273050"/>
              <wp:effectExtent l="0" t="0" r="0" b="12700"/>
              <wp:wrapNone/>
              <wp:docPr id="100" name="MSIPCM66c84e86a76733f08158ff23"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8BB659" w14:textId="2D5AB28E" w:rsidR="001138E9" w:rsidRPr="00400250" w:rsidRDefault="00400250" w:rsidP="00400250">
                          <w:pPr>
                            <w:jc w:val="center"/>
                            <w:rPr>
                              <w:rFonts w:ascii="Calibri" w:hAnsi="Calibri" w:cs="Calibri"/>
                              <w:color w:val="000000"/>
                              <w:sz w:val="24"/>
                            </w:rPr>
                          </w:pPr>
                          <w:r w:rsidRPr="0040025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9E079AC" id="_x0000_t202" coordsize="21600,21600" o:spt="202" path="m,l,21600r21600,l21600,xe">
              <v:stroke joinstyle="miter"/>
              <v:path gradientshapeok="t" o:connecttype="rect"/>
            </v:shapetype>
            <v:shape id="MSIPCM66c84e86a76733f08158ff23" o:spid="_x0000_s1028" type="#_x0000_t202" alt="{&quot;HashCode&quot;:-1264680268,&quot;Height&quot;:842.0,&quot;Width&quot;:595.0,&quot;Placement&quot;:&quot;Footer&quot;,&quot;Index&quot;:&quot;FirstPage&quot;,&quot;Section&quot;:1,&quot;Top&quot;:0.0,&quot;Left&quot;:0.0}" style="position:absolute;margin-left:0;margin-top:805.5pt;width:595.3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" o:allowincell="f" filled="f" stroked="f" strokeweight=".5pt">
              <v:textbox inset=",0,,0">
                <w:txbxContent>
                  <w:p w14:paraId="548BB659" w14:textId="2D5AB28E" w:rsidR="001138E9" w:rsidRPr="00400250" w:rsidRDefault="00400250" w:rsidP="00400250">
                    <w:pPr>
                      <w:jc w:val="center"/>
                      <w:rPr>
                        <w:rFonts w:ascii="Calibri" w:hAnsi="Calibri" w:cs="Calibri"/>
                        <w:color w:val="000000"/>
                        <w:sz w:val="24"/>
                      </w:rPr>
                    </w:pPr>
                    <w:r w:rsidRPr="00400250">
                      <w:rPr>
                        <w:rFonts w:ascii="Calibri" w:hAnsi="Calibri" w:cs="Calibri"/>
                        <w:color w:val="000000"/>
                        <w:sz w:val="24"/>
                      </w:rPr>
                      <w:t>OFFICIAL</w:t>
                    </w:r>
                  </w:p>
                </w:txbxContent>
              </v:textbox>
              <w10:wrap anchorx="page" anchory="page"/>
            </v:shape>
          </w:pict>
        </mc:Fallback>
      </mc:AlternateContent>
    </w:r>
    <w:r w:rsidR="00AE6B68" w:rsidRPr="002131E7">
      <w:rPr>
        <w:b/>
        <w:bCs/>
        <w:color w:val="201547" w:themeColor="text2"/>
        <w:sz w:val="24"/>
        <w:szCs w:val="32"/>
      </w:rPr>
      <w:t>recycling.vic.gov.au</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C7BCE" w14:textId="77777777" w:rsidR="007C3531" w:rsidRPr="007C3531" w:rsidRDefault="001138E9" w:rsidP="00861EF9">
    <w:pPr>
      <w:pStyle w:val="Footer"/>
      <w:jc w:val="right"/>
      <w:rPr>
        <w:b/>
        <w:bCs/>
        <w:color w:val="201547" w:themeColor="text2"/>
        <w:sz w:val="20"/>
        <w:szCs w:val="24"/>
      </w:rPr>
    </w:pPr>
    <w:r>
      <w:rPr>
        <w:noProof/>
      </w:rPr>
      <mc:AlternateContent>
        <mc:Choice Requires="wps">
          <w:drawing>
            <wp:anchor distT="0" distB="0" distL="114300" distR="114300" simplePos="0" relativeHeight="251658246" behindDoc="0" locked="0" layoutInCell="0" allowOverlap="1" wp14:anchorId="597794A7" wp14:editId="02AE9B24">
              <wp:simplePos x="0" y="0"/>
              <wp:positionH relativeFrom="page">
                <wp:posOffset>0</wp:posOffset>
              </wp:positionH>
              <wp:positionV relativeFrom="page">
                <wp:posOffset>10229850</wp:posOffset>
              </wp:positionV>
              <wp:extent cx="7560945" cy="273050"/>
              <wp:effectExtent l="0" t="0" r="0" b="12700"/>
              <wp:wrapNone/>
              <wp:docPr id="102" name="MSIPCM265743cca9a8391e2283d638" descr="{&quot;HashCode&quot;:-1264680268,&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9B1F11" w14:textId="59FEB222" w:rsidR="001138E9" w:rsidRPr="00400250" w:rsidRDefault="00400250" w:rsidP="00400250">
                          <w:pPr>
                            <w:jc w:val="center"/>
                            <w:rPr>
                              <w:rFonts w:ascii="Calibri" w:hAnsi="Calibri" w:cs="Calibri"/>
                              <w:color w:val="000000"/>
                              <w:sz w:val="24"/>
                            </w:rPr>
                          </w:pPr>
                          <w:r w:rsidRPr="0040025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97794A7" id="_x0000_t202" coordsize="21600,21600" o:spt="202" path="m,l,21600r21600,l21600,xe">
              <v:stroke joinstyle="miter"/>
              <v:path gradientshapeok="t" o:connecttype="rect"/>
            </v:shapetype>
            <v:shape id="MSIPCM265743cca9a8391e2283d638" o:spid="_x0000_s1029" type="#_x0000_t202" alt="{&quot;HashCode&quot;:-1264680268,&quot;Height&quot;:842.0,&quot;Width&quot;:595.0,&quot;Placement&quot;:&quot;Footer&quot;,&quot;Index&quot;:&quot;Primary&quot;,&quot;Section&quot;:2,&quot;Top&quot;:0.0,&quot;Left&quot;:0.0}" style="position:absolute;left:0;text-align:left;margin-left:0;margin-top:805.5pt;width:595.35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" o:allowincell="f" filled="f" stroked="f" strokeweight=".5pt">
              <v:textbox inset=",0,,0">
                <w:txbxContent>
                  <w:p w14:paraId="2A9B1F11" w14:textId="59FEB222" w:rsidR="001138E9" w:rsidRPr="00400250" w:rsidRDefault="00400250" w:rsidP="00400250">
                    <w:pPr>
                      <w:jc w:val="center"/>
                      <w:rPr>
                        <w:rFonts w:ascii="Calibri" w:hAnsi="Calibri" w:cs="Calibri"/>
                        <w:color w:val="000000"/>
                        <w:sz w:val="24"/>
                      </w:rPr>
                    </w:pPr>
                    <w:r w:rsidRPr="00400250">
                      <w:rPr>
                        <w:rFonts w:ascii="Calibri" w:hAnsi="Calibri" w:cs="Calibri"/>
                        <w:color w:val="000000"/>
                        <w:sz w:val="24"/>
                      </w:rPr>
                      <w:t>OFFICIAL</w:t>
                    </w:r>
                  </w:p>
                </w:txbxContent>
              </v:textbox>
              <w10:wrap anchorx="page" anchory="page"/>
            </v:shape>
          </w:pict>
        </mc:Fallback>
      </mc:AlternateContent>
    </w:r>
    <w:sdt>
      <w:sdtPr>
        <w:id w:val="-757904798"/>
        <w:docPartObj>
          <w:docPartGallery w:val="Page Numbers (Bottom of Page)"/>
          <w:docPartUnique/>
        </w:docPartObj>
      </w:sdtPr>
      <w:sdtEndPr>
        <w:rPr>
          <w:b/>
          <w:bCs/>
          <w:noProof/>
          <w:color w:val="201547" w:themeColor="text2"/>
          <w:sz w:val="20"/>
          <w:szCs w:val="24"/>
        </w:rPr>
      </w:sdtEndPr>
      <w:sdtContent>
        <w:r w:rsidR="007C3531" w:rsidRPr="007C3531">
          <w:rPr>
            <w:b/>
            <w:bCs/>
            <w:color w:val="201547" w:themeColor="text2"/>
            <w:sz w:val="20"/>
            <w:szCs w:val="24"/>
          </w:rPr>
          <w:fldChar w:fldCharType="begin"/>
        </w:r>
        <w:r w:rsidR="007C3531" w:rsidRPr="007C3531">
          <w:rPr>
            <w:b/>
            <w:bCs/>
            <w:color w:val="201547" w:themeColor="text2"/>
            <w:sz w:val="20"/>
            <w:szCs w:val="24"/>
          </w:rPr>
          <w:instrText xml:space="preserve"> PAGE   \* MERGEFORMAT </w:instrText>
        </w:r>
        <w:r w:rsidR="007C3531" w:rsidRPr="007C3531">
          <w:rPr>
            <w:b/>
            <w:bCs/>
            <w:color w:val="201547" w:themeColor="text2"/>
            <w:sz w:val="20"/>
            <w:szCs w:val="24"/>
          </w:rPr>
          <w:fldChar w:fldCharType="separate"/>
        </w:r>
        <w:r w:rsidR="007C3531" w:rsidRPr="007C3531">
          <w:rPr>
            <w:b/>
            <w:bCs/>
            <w:noProof/>
            <w:color w:val="201547" w:themeColor="text2"/>
            <w:sz w:val="20"/>
            <w:szCs w:val="24"/>
          </w:rPr>
          <w:t>2</w:t>
        </w:r>
        <w:r w:rsidR="007C3531" w:rsidRPr="007C3531">
          <w:rPr>
            <w:b/>
            <w:bCs/>
            <w:noProof/>
            <w:color w:val="201547" w:themeColor="text2"/>
            <w:sz w:val="20"/>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09CE3" w14:textId="77777777" w:rsidR="001F43A6" w:rsidRPr="008F5280" w:rsidRDefault="001F43A6" w:rsidP="008F5280">
      <w:pPr>
        <w:pStyle w:val="FootnoteSeparator"/>
      </w:pPr>
    </w:p>
    <w:p w14:paraId="50AFA5F4" w14:textId="77777777" w:rsidR="001F43A6" w:rsidRDefault="001F43A6"/>
  </w:footnote>
  <w:footnote w:type="continuationSeparator" w:id="0">
    <w:p w14:paraId="72745BC5" w14:textId="77777777" w:rsidR="001F43A6" w:rsidRDefault="001F43A6" w:rsidP="008F5280">
      <w:pPr>
        <w:pStyle w:val="FootnoteSeparator"/>
      </w:pPr>
    </w:p>
    <w:p w14:paraId="74F17A17" w14:textId="77777777" w:rsidR="001F43A6" w:rsidRDefault="001F43A6"/>
    <w:p w14:paraId="6EE5C95A" w14:textId="77777777" w:rsidR="001F43A6" w:rsidRDefault="001F43A6"/>
  </w:footnote>
  <w:footnote w:type="continuationNotice" w:id="1">
    <w:p w14:paraId="0DA7CD1A" w14:textId="77777777" w:rsidR="001F43A6" w:rsidRDefault="001F43A6" w:rsidP="00D55628"/>
    <w:p w14:paraId="79742121" w14:textId="77777777" w:rsidR="001F43A6" w:rsidRDefault="001F43A6"/>
    <w:p w14:paraId="7727EDA7" w14:textId="77777777" w:rsidR="001F43A6" w:rsidRDefault="001F43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9487B" w14:textId="77777777" w:rsidR="002D7700" w:rsidRDefault="002D77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4522A" w14:textId="77777777" w:rsidR="00501F49" w:rsidRDefault="00501F49" w:rsidP="00501F49">
    <w:pPr>
      <w:pStyle w:val="Header"/>
      <w:spacing w:before="240"/>
      <w:jc w:val="right"/>
    </w:pPr>
    <w:r>
      <w:rPr>
        <w:noProof/>
        <w:color w:val="004C97" w:themeColor="accent3"/>
      </w:rPr>
      <w:drawing>
        <wp:anchor distT="0" distB="0" distL="114300" distR="114300" simplePos="0" relativeHeight="251658241" behindDoc="1" locked="0" layoutInCell="1" allowOverlap="1" wp14:anchorId="219C33C2" wp14:editId="007A7066">
          <wp:simplePos x="0" y="0"/>
          <wp:positionH relativeFrom="page">
            <wp:posOffset>4622800</wp:posOffset>
          </wp:positionH>
          <wp:positionV relativeFrom="page">
            <wp:posOffset>330200</wp:posOffset>
          </wp:positionV>
          <wp:extent cx="2395220" cy="965200"/>
          <wp:effectExtent l="0" t="0" r="5080" b="635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95220" cy="9652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48E6F" w14:textId="77777777" w:rsidR="007C3531" w:rsidRDefault="007C3531">
    <w:pPr>
      <w:pStyle w:val="Header"/>
    </w:pPr>
    <w:r>
      <w:rPr>
        <w:noProof/>
        <w:color w:val="004C97" w:themeColor="accent3"/>
      </w:rPr>
      <w:drawing>
        <wp:anchor distT="0" distB="0" distL="114300" distR="114300" simplePos="0" relativeHeight="251658242" behindDoc="1" locked="0" layoutInCell="1" allowOverlap="1" wp14:anchorId="7C4094AC" wp14:editId="54947E66">
          <wp:simplePos x="0" y="0"/>
          <wp:positionH relativeFrom="margin">
            <wp:align>right</wp:align>
          </wp:positionH>
          <wp:positionV relativeFrom="page">
            <wp:posOffset>360045</wp:posOffset>
          </wp:positionV>
          <wp:extent cx="2145600" cy="864000"/>
          <wp:effectExtent l="0" t="0" r="7620" b="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5600" cy="8640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18074" w14:textId="77777777" w:rsidR="007C3531" w:rsidRPr="00AE6B68" w:rsidRDefault="007C3531" w:rsidP="00AE6B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8CCD7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5EA7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40D5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8094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9E27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9BCC82DC"/>
    <w:name w:val="DEPIListBullets"/>
    <w:lvl w:ilvl="0">
      <w:start w:val="1"/>
      <w:numFmt w:val="bullet"/>
      <w:pStyle w:val="ListBullet"/>
      <w:lvlText w:val="•"/>
      <w:lvlJc w:val="left"/>
      <w:pPr>
        <w:tabs>
          <w:tab w:val="num" w:pos="340"/>
        </w:tabs>
        <w:ind w:left="340" w:hanging="170"/>
      </w:pPr>
      <w:rPr>
        <w:rFonts w:ascii="Times New Roman" w:hAnsi="Times New Roman" w:cs="Times New Roman" w:hint="default"/>
        <w:b w:val="0"/>
        <w:i w:val="0"/>
        <w:color w:val="000000"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000000"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1" w15:restartNumberingAfterBreak="0">
    <w:nsid w:val="0C351215"/>
    <w:multiLevelType w:val="multilevel"/>
    <w:tmpl w:val="7DBAE920"/>
    <w:name w:val="DELWPHeadings"/>
    <w:lvl w:ilvl="0">
      <w:start w:val="1"/>
      <w:numFmt w:val="none"/>
      <w:lvlRestart w:val="0"/>
      <w:suff w:val="nothing"/>
      <w:lvlText w:val=""/>
      <w:lvlJc w:val="left"/>
      <w:pPr>
        <w:ind w:left="0" w:firstLine="0"/>
      </w:pPr>
      <w:rPr>
        <w:rFonts w:hint="default"/>
        <w:color w:val="201547" w:themeColor="text2"/>
        <w:sz w:val="40"/>
      </w:rPr>
    </w:lvl>
    <w:lvl w:ilvl="1">
      <w:start w:val="1"/>
      <w:numFmt w:val="none"/>
      <w:pStyle w:val="Heading2"/>
      <w:suff w:val="nothing"/>
      <w:lvlText w:val=""/>
      <w:lvlJc w:val="left"/>
      <w:pPr>
        <w:ind w:left="0" w:firstLine="0"/>
      </w:pPr>
      <w:rPr>
        <w:rFonts w:hint="default"/>
      </w:rPr>
    </w:lvl>
    <w:lvl w:ilvl="2">
      <w:start w:val="1"/>
      <w:numFmt w:val="decimal"/>
      <w:pStyle w:val="Heading3"/>
      <w:suff w:val="nothing"/>
      <w:lvlText w:val=""/>
      <w:lvlJc w:val="left"/>
      <w:pPr>
        <w:ind w:left="0" w:firstLine="0"/>
      </w:p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000000"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067382C"/>
    <w:multiLevelType w:val="hybridMultilevel"/>
    <w:tmpl w:val="669CD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000000" w:themeColor="text1"/>
      </w:rPr>
    </w:lvl>
    <w:lvl w:ilvl="2">
      <w:start w:val="1"/>
      <w:numFmt w:val="lowerRoman"/>
      <w:pStyle w:val="PullOutBoxNumbered3"/>
      <w:lvlText w:val="%3."/>
      <w:lvlJc w:val="left"/>
      <w:pPr>
        <w:tabs>
          <w:tab w:val="num" w:pos="1219"/>
        </w:tabs>
        <w:ind w:left="1219" w:hanging="397"/>
      </w:pPr>
      <w:rPr>
        <w:rFonts w:hint="default"/>
        <w:color w:val="000000"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000000"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000000"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000000"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545EC4"/>
    <w:multiLevelType w:val="multilevel"/>
    <w:tmpl w:val="97286222"/>
    <w:name w:val="HighlightBoxBullet"/>
    <w:lvl w:ilvl="0">
      <w:start w:val="1"/>
      <w:numFmt w:val="bullet"/>
      <w:lvlText w:val=""/>
      <w:lvlJc w:val="left"/>
      <w:pPr>
        <w:ind w:left="587" w:hanging="360"/>
      </w:pPr>
      <w:rPr>
        <w:rFonts w:ascii="Symbol" w:hAnsi="Symbo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2" w15:restartNumberingAfterBreak="0">
    <w:nsid w:val="4E130285"/>
    <w:multiLevelType w:val="hybridMultilevel"/>
    <w:tmpl w:val="192AD0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4"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5"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7"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8"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000000"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0"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000000"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1"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000000" w:themeColor="text1"/>
        <w:spacing w:val="0"/>
        <w:sz w:val="22"/>
      </w:rPr>
    </w:lvl>
    <w:lvl w:ilvl="1">
      <w:start w:val="1"/>
      <w:numFmt w:val="lowerLetter"/>
      <w:lvlText w:val="%2."/>
      <w:lvlJc w:val="left"/>
      <w:pPr>
        <w:tabs>
          <w:tab w:val="num" w:pos="680"/>
        </w:tabs>
        <w:ind w:left="680" w:hanging="340"/>
      </w:pPr>
      <w:rPr>
        <w:rFonts w:hint="default"/>
        <w:color w:val="000000" w:themeColor="text1"/>
        <w:spacing w:val="0"/>
        <w:sz w:val="22"/>
      </w:rPr>
    </w:lvl>
    <w:lvl w:ilvl="2">
      <w:start w:val="1"/>
      <w:numFmt w:val="lowerRoman"/>
      <w:lvlText w:val="%3."/>
      <w:lvlJc w:val="left"/>
      <w:pPr>
        <w:tabs>
          <w:tab w:val="num" w:pos="1049"/>
        </w:tabs>
        <w:ind w:left="1049" w:hanging="369"/>
      </w:pPr>
      <w:rPr>
        <w:rFonts w:hint="default"/>
        <w:color w:val="000000"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2" w15:restartNumberingAfterBreak="0">
    <w:nsid w:val="73F12C63"/>
    <w:multiLevelType w:val="hybridMultilevel"/>
    <w:tmpl w:val="8EF02F7A"/>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B1D82F74">
      <w:start w:val="1"/>
      <w:numFmt w:val="bullet"/>
      <w:pStyle w:val="HighlightBox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3"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000000" w:themeColor="text1"/>
        <w:spacing w:val="0"/>
        <w:sz w:val="20"/>
      </w:rPr>
    </w:lvl>
    <w:lvl w:ilvl="1">
      <w:start w:val="1"/>
      <w:numFmt w:val="lowerLetter"/>
      <w:pStyle w:val="ListNumber2"/>
      <w:lvlText w:val="%2."/>
      <w:lvlJc w:val="left"/>
      <w:pPr>
        <w:tabs>
          <w:tab w:val="num" w:pos="680"/>
        </w:tabs>
        <w:ind w:left="680" w:hanging="340"/>
      </w:pPr>
      <w:rPr>
        <w:rFonts w:hint="default"/>
        <w:color w:val="000000" w:themeColor="text1"/>
        <w:spacing w:val="0"/>
        <w:sz w:val="20"/>
      </w:rPr>
    </w:lvl>
    <w:lvl w:ilvl="2">
      <w:start w:val="1"/>
      <w:numFmt w:val="lowerRoman"/>
      <w:pStyle w:val="ListNumber3"/>
      <w:lvlText w:val="%3."/>
      <w:lvlJc w:val="left"/>
      <w:pPr>
        <w:tabs>
          <w:tab w:val="num" w:pos="1049"/>
        </w:tabs>
        <w:ind w:left="1049" w:hanging="369"/>
      </w:pPr>
      <w:rPr>
        <w:rFonts w:hint="default"/>
        <w:color w:val="000000"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4" w15:restartNumberingAfterBreak="0">
    <w:nsid w:val="7D86DCCD"/>
    <w:multiLevelType w:val="multilevel"/>
    <w:tmpl w:val="9790F53C"/>
    <w:lvl w:ilvl="0">
      <w:start w:val="1"/>
      <w:numFmt w:val="decimal"/>
      <w:lvlText w:val=""/>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99670985">
    <w:abstractNumId w:val="34"/>
  </w:num>
  <w:num w:numId="2" w16cid:durableId="1798598108">
    <w:abstractNumId w:val="19"/>
  </w:num>
  <w:num w:numId="3" w16cid:durableId="438643702">
    <w:abstractNumId w:val="29"/>
  </w:num>
  <w:num w:numId="4" w16cid:durableId="811873596">
    <w:abstractNumId w:val="26"/>
  </w:num>
  <w:num w:numId="5" w16cid:durableId="319582888">
    <w:abstractNumId w:val="33"/>
  </w:num>
  <w:num w:numId="6" w16cid:durableId="1076174753">
    <w:abstractNumId w:val="16"/>
  </w:num>
  <w:num w:numId="7" w16cid:durableId="292516072">
    <w:abstractNumId w:val="12"/>
  </w:num>
  <w:num w:numId="8" w16cid:durableId="1172524432">
    <w:abstractNumId w:val="11"/>
  </w:num>
  <w:num w:numId="9" w16cid:durableId="1315180453">
    <w:abstractNumId w:val="10"/>
  </w:num>
  <w:num w:numId="10" w16cid:durableId="1349404002">
    <w:abstractNumId w:val="30"/>
  </w:num>
  <w:num w:numId="11" w16cid:durableId="819467687">
    <w:abstractNumId w:val="13"/>
  </w:num>
  <w:num w:numId="12" w16cid:durableId="809905462">
    <w:abstractNumId w:val="17"/>
  </w:num>
  <w:num w:numId="13" w16cid:durableId="16007918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0854364">
    <w:abstractNumId w:val="14"/>
  </w:num>
  <w:num w:numId="15" w16cid:durableId="1663466441">
    <w:abstractNumId w:val="25"/>
  </w:num>
  <w:num w:numId="16" w16cid:durableId="7990346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932134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29433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453446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412788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877537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925166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515464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164782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73128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320983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772690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97447447">
    <w:abstractNumId w:val="32"/>
  </w:num>
  <w:num w:numId="29" w16cid:durableId="1583174723">
    <w:abstractNumId w:val="32"/>
    <w:lvlOverride w:ilvl="0">
      <w:startOverride w:val="1"/>
    </w:lvlOverride>
  </w:num>
  <w:num w:numId="30" w16cid:durableId="718287114">
    <w:abstractNumId w:val="20"/>
  </w:num>
  <w:num w:numId="31" w16cid:durableId="1884947190">
    <w:abstractNumId w:val="31"/>
  </w:num>
  <w:num w:numId="32" w16cid:durableId="349450452">
    <w:abstractNumId w:val="8"/>
  </w:num>
  <w:num w:numId="33" w16cid:durableId="207618233">
    <w:abstractNumId w:val="28"/>
  </w:num>
  <w:num w:numId="34" w16cid:durableId="88164185">
    <w:abstractNumId w:val="21"/>
  </w:num>
  <w:num w:numId="35" w16cid:durableId="1705714345">
    <w:abstractNumId w:val="9"/>
  </w:num>
  <w:num w:numId="36" w16cid:durableId="1576236858">
    <w:abstractNumId w:val="7"/>
  </w:num>
  <w:num w:numId="37" w16cid:durableId="945236494">
    <w:abstractNumId w:val="6"/>
  </w:num>
  <w:num w:numId="38" w16cid:durableId="1731076899">
    <w:abstractNumId w:val="5"/>
  </w:num>
  <w:num w:numId="39" w16cid:durableId="753357915">
    <w:abstractNumId w:val="4"/>
  </w:num>
  <w:num w:numId="40" w16cid:durableId="1213426985">
    <w:abstractNumId w:val="1"/>
  </w:num>
  <w:num w:numId="41" w16cid:durableId="868765469">
    <w:abstractNumId w:val="0"/>
  </w:num>
  <w:num w:numId="42" w16cid:durableId="1423180784">
    <w:abstractNumId w:val="3"/>
  </w:num>
  <w:num w:numId="43" w16cid:durableId="603003525">
    <w:abstractNumId w:val="2"/>
  </w:num>
  <w:num w:numId="44" w16cid:durableId="315307501">
    <w:abstractNumId w:val="22"/>
  </w:num>
  <w:num w:numId="45" w16cid:durableId="520818062">
    <w:abstractNumId w:val="12"/>
  </w:num>
  <w:num w:numId="46" w16cid:durableId="667176070">
    <w:abstractNumId w:val="12"/>
  </w:num>
  <w:num w:numId="47" w16cid:durableId="1861819216">
    <w:abstractNumId w:val="12"/>
  </w:num>
  <w:num w:numId="48" w16cid:durableId="868570168">
    <w:abstractNumId w:val="12"/>
  </w:num>
  <w:num w:numId="49" w16cid:durableId="1833522549">
    <w:abstractNumId w:val="12"/>
  </w:num>
  <w:num w:numId="50" w16cid:durableId="1053114886">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0" w:nlCheck="1" w:checkStyle="0"/>
  <w:activeWritingStyle w:appName="MSWord" w:lang="en-US" w:vendorID="64" w:dllVersion="0" w:nlCheck="1" w:checkStyle="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50"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ergy"/>
    <w:docVar w:name="TOC" w:val="True"/>
    <w:docVar w:name="TOCNew" w:val="True"/>
    <w:docVar w:name="Version" w:val="3"/>
    <w:docVar w:name="WebAddress" w:val="True"/>
  </w:docVars>
  <w:rsids>
    <w:rsidRoot w:val="00EB50C5"/>
    <w:rsid w:val="0000017F"/>
    <w:rsid w:val="00000279"/>
    <w:rsid w:val="000004BD"/>
    <w:rsid w:val="00000B7A"/>
    <w:rsid w:val="00000C89"/>
    <w:rsid w:val="00000FEB"/>
    <w:rsid w:val="000012BE"/>
    <w:rsid w:val="00001BD3"/>
    <w:rsid w:val="00001E86"/>
    <w:rsid w:val="00001F76"/>
    <w:rsid w:val="000022E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1DB"/>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0E1"/>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207"/>
    <w:rsid w:val="000473A1"/>
    <w:rsid w:val="0004761D"/>
    <w:rsid w:val="00047C72"/>
    <w:rsid w:val="00047CE9"/>
    <w:rsid w:val="000501F1"/>
    <w:rsid w:val="00050257"/>
    <w:rsid w:val="00050487"/>
    <w:rsid w:val="000504A5"/>
    <w:rsid w:val="000507C3"/>
    <w:rsid w:val="000509CB"/>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1F5F"/>
    <w:rsid w:val="00072074"/>
    <w:rsid w:val="000721CE"/>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25E5"/>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19D0"/>
    <w:rsid w:val="000A2315"/>
    <w:rsid w:val="000A28BD"/>
    <w:rsid w:val="000A2A90"/>
    <w:rsid w:val="000A2C62"/>
    <w:rsid w:val="000A2E96"/>
    <w:rsid w:val="000A30F9"/>
    <w:rsid w:val="000A3721"/>
    <w:rsid w:val="000A3841"/>
    <w:rsid w:val="000A3B01"/>
    <w:rsid w:val="000A4734"/>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6BB"/>
    <w:rsid w:val="000B6A13"/>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9A5"/>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091"/>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921"/>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25C"/>
    <w:rsid w:val="001054A3"/>
    <w:rsid w:val="0010559C"/>
    <w:rsid w:val="00105C32"/>
    <w:rsid w:val="00105CD3"/>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8E9"/>
    <w:rsid w:val="00113C4C"/>
    <w:rsid w:val="00113CDC"/>
    <w:rsid w:val="00113DD9"/>
    <w:rsid w:val="0011467A"/>
    <w:rsid w:val="00114751"/>
    <w:rsid w:val="0011484F"/>
    <w:rsid w:val="001148DA"/>
    <w:rsid w:val="00114F21"/>
    <w:rsid w:val="00114F4E"/>
    <w:rsid w:val="00115310"/>
    <w:rsid w:val="00115E3D"/>
    <w:rsid w:val="00116FC7"/>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906"/>
    <w:rsid w:val="00122A3C"/>
    <w:rsid w:val="00122AE8"/>
    <w:rsid w:val="00122C72"/>
    <w:rsid w:val="001230A5"/>
    <w:rsid w:val="00123733"/>
    <w:rsid w:val="00123A43"/>
    <w:rsid w:val="00123ACC"/>
    <w:rsid w:val="00123FDE"/>
    <w:rsid w:val="00124482"/>
    <w:rsid w:val="00124611"/>
    <w:rsid w:val="00124797"/>
    <w:rsid w:val="00124A78"/>
    <w:rsid w:val="00124C3D"/>
    <w:rsid w:val="00124D82"/>
    <w:rsid w:val="00124E8F"/>
    <w:rsid w:val="001250AF"/>
    <w:rsid w:val="001253D5"/>
    <w:rsid w:val="00125A6C"/>
    <w:rsid w:val="00125C50"/>
    <w:rsid w:val="00125F99"/>
    <w:rsid w:val="001262FB"/>
    <w:rsid w:val="001266B1"/>
    <w:rsid w:val="001266CC"/>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0A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729"/>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B7"/>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8C0"/>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6FE8"/>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036"/>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97FFC"/>
    <w:rsid w:val="001A0827"/>
    <w:rsid w:val="001A0EF8"/>
    <w:rsid w:val="001A13E9"/>
    <w:rsid w:val="001A150E"/>
    <w:rsid w:val="001A18D2"/>
    <w:rsid w:val="001A245B"/>
    <w:rsid w:val="001A25AC"/>
    <w:rsid w:val="001A37A6"/>
    <w:rsid w:val="001A3DE2"/>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3F"/>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A1A"/>
    <w:rsid w:val="001F3D89"/>
    <w:rsid w:val="001F4052"/>
    <w:rsid w:val="001F43A6"/>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22B"/>
    <w:rsid w:val="00201324"/>
    <w:rsid w:val="00201841"/>
    <w:rsid w:val="0020194C"/>
    <w:rsid w:val="0020205B"/>
    <w:rsid w:val="00202C45"/>
    <w:rsid w:val="00202E4A"/>
    <w:rsid w:val="00203011"/>
    <w:rsid w:val="002031FC"/>
    <w:rsid w:val="0020332E"/>
    <w:rsid w:val="00203733"/>
    <w:rsid w:val="0020390A"/>
    <w:rsid w:val="002041DB"/>
    <w:rsid w:val="0020460C"/>
    <w:rsid w:val="00204FF8"/>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1E7"/>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618"/>
    <w:rsid w:val="00222A71"/>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698D"/>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92F"/>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226"/>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9A1"/>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3EB4"/>
    <w:rsid w:val="00264677"/>
    <w:rsid w:val="00264A62"/>
    <w:rsid w:val="00265045"/>
    <w:rsid w:val="00265096"/>
    <w:rsid w:val="0026589E"/>
    <w:rsid w:val="002659C1"/>
    <w:rsid w:val="002662BA"/>
    <w:rsid w:val="00266EB3"/>
    <w:rsid w:val="00267541"/>
    <w:rsid w:val="00267693"/>
    <w:rsid w:val="00267CB6"/>
    <w:rsid w:val="00267EF8"/>
    <w:rsid w:val="002709E9"/>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409"/>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6D9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569"/>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07"/>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7E1"/>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72B"/>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700"/>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0E00"/>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5C71"/>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67D42"/>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59AC"/>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2C39"/>
    <w:rsid w:val="00382ECF"/>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4D67"/>
    <w:rsid w:val="003A5365"/>
    <w:rsid w:val="003A546D"/>
    <w:rsid w:val="003A634F"/>
    <w:rsid w:val="003A6451"/>
    <w:rsid w:val="003A64FA"/>
    <w:rsid w:val="003A6513"/>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50"/>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5DE5"/>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28C"/>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4A2"/>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2E"/>
    <w:rsid w:val="00437A5E"/>
    <w:rsid w:val="004400F1"/>
    <w:rsid w:val="0044019A"/>
    <w:rsid w:val="004403B8"/>
    <w:rsid w:val="00440734"/>
    <w:rsid w:val="00440870"/>
    <w:rsid w:val="00441288"/>
    <w:rsid w:val="00441569"/>
    <w:rsid w:val="004418F9"/>
    <w:rsid w:val="00441A0D"/>
    <w:rsid w:val="00441B87"/>
    <w:rsid w:val="004422DF"/>
    <w:rsid w:val="00442BAA"/>
    <w:rsid w:val="00442D95"/>
    <w:rsid w:val="00442FB4"/>
    <w:rsid w:val="004430B1"/>
    <w:rsid w:val="00443176"/>
    <w:rsid w:val="00443310"/>
    <w:rsid w:val="004440E9"/>
    <w:rsid w:val="004454C2"/>
    <w:rsid w:val="00445CA0"/>
    <w:rsid w:val="00446176"/>
    <w:rsid w:val="0044618B"/>
    <w:rsid w:val="004461E1"/>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6424"/>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CF9"/>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A0"/>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32E"/>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97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9CA"/>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3EE1"/>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33"/>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6ED"/>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1F49"/>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15A"/>
    <w:rsid w:val="0052438E"/>
    <w:rsid w:val="005243B8"/>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45"/>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5F3"/>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2C1"/>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1F5"/>
    <w:rsid w:val="005922AA"/>
    <w:rsid w:val="00592D66"/>
    <w:rsid w:val="00592E64"/>
    <w:rsid w:val="00593021"/>
    <w:rsid w:val="005930BC"/>
    <w:rsid w:val="005938B8"/>
    <w:rsid w:val="00594595"/>
    <w:rsid w:val="00594764"/>
    <w:rsid w:val="0059485F"/>
    <w:rsid w:val="005949B0"/>
    <w:rsid w:val="00594D12"/>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8C4"/>
    <w:rsid w:val="005C0FC8"/>
    <w:rsid w:val="005C104B"/>
    <w:rsid w:val="005C23E4"/>
    <w:rsid w:val="005C246E"/>
    <w:rsid w:val="005C2571"/>
    <w:rsid w:val="005C2763"/>
    <w:rsid w:val="005C28E9"/>
    <w:rsid w:val="005C2AAF"/>
    <w:rsid w:val="005C2C1D"/>
    <w:rsid w:val="005C2E37"/>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2C1"/>
    <w:rsid w:val="005F1B40"/>
    <w:rsid w:val="005F1F06"/>
    <w:rsid w:val="005F2030"/>
    <w:rsid w:val="005F2104"/>
    <w:rsid w:val="005F2738"/>
    <w:rsid w:val="005F2CD9"/>
    <w:rsid w:val="005F2DD4"/>
    <w:rsid w:val="005F40BB"/>
    <w:rsid w:val="005F4CC2"/>
    <w:rsid w:val="005F4FED"/>
    <w:rsid w:val="005F551C"/>
    <w:rsid w:val="005F5CE7"/>
    <w:rsid w:val="005F5E45"/>
    <w:rsid w:val="005F5F36"/>
    <w:rsid w:val="005F618D"/>
    <w:rsid w:val="005F6F53"/>
    <w:rsid w:val="005F70DA"/>
    <w:rsid w:val="005F73D0"/>
    <w:rsid w:val="005F7770"/>
    <w:rsid w:val="005F78C8"/>
    <w:rsid w:val="005F7C8F"/>
    <w:rsid w:val="0060043D"/>
    <w:rsid w:val="0060058E"/>
    <w:rsid w:val="006008D1"/>
    <w:rsid w:val="006009A8"/>
    <w:rsid w:val="00600A53"/>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448"/>
    <w:rsid w:val="00620A75"/>
    <w:rsid w:val="00620CBE"/>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4EE3"/>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EDD"/>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9B"/>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0E53"/>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59BC"/>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1B"/>
    <w:rsid w:val="006B36E4"/>
    <w:rsid w:val="006B41FB"/>
    <w:rsid w:val="006B4212"/>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5E8"/>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54D"/>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6CB0"/>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7B"/>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8F1"/>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6D36"/>
    <w:rsid w:val="007172B7"/>
    <w:rsid w:val="007178CC"/>
    <w:rsid w:val="00717B97"/>
    <w:rsid w:val="00720154"/>
    <w:rsid w:val="007202E0"/>
    <w:rsid w:val="007209C2"/>
    <w:rsid w:val="00720CF3"/>
    <w:rsid w:val="00720D32"/>
    <w:rsid w:val="00720D3D"/>
    <w:rsid w:val="00720D5C"/>
    <w:rsid w:val="007219AA"/>
    <w:rsid w:val="007219FD"/>
    <w:rsid w:val="00721A9C"/>
    <w:rsid w:val="0072212E"/>
    <w:rsid w:val="007221FA"/>
    <w:rsid w:val="0072239F"/>
    <w:rsid w:val="0072260B"/>
    <w:rsid w:val="00722A0A"/>
    <w:rsid w:val="00722F51"/>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437"/>
    <w:rsid w:val="007525FC"/>
    <w:rsid w:val="00752726"/>
    <w:rsid w:val="0075295B"/>
    <w:rsid w:val="00753414"/>
    <w:rsid w:val="0075353F"/>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10"/>
    <w:rsid w:val="00756552"/>
    <w:rsid w:val="00756FFA"/>
    <w:rsid w:val="007579AE"/>
    <w:rsid w:val="007579E2"/>
    <w:rsid w:val="00760543"/>
    <w:rsid w:val="00760556"/>
    <w:rsid w:val="007608FB"/>
    <w:rsid w:val="00760BA0"/>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4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76F"/>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6DFF"/>
    <w:rsid w:val="007B74C4"/>
    <w:rsid w:val="007B7559"/>
    <w:rsid w:val="007B76C3"/>
    <w:rsid w:val="007B76F2"/>
    <w:rsid w:val="007B79DC"/>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531"/>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C7D"/>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DF5"/>
    <w:rsid w:val="007E3F5A"/>
    <w:rsid w:val="007E5278"/>
    <w:rsid w:val="007E536E"/>
    <w:rsid w:val="007E5C43"/>
    <w:rsid w:val="007E5F8D"/>
    <w:rsid w:val="007E679C"/>
    <w:rsid w:val="007E6818"/>
    <w:rsid w:val="007E6819"/>
    <w:rsid w:val="007E6F77"/>
    <w:rsid w:val="007E7B22"/>
    <w:rsid w:val="007E7E4B"/>
    <w:rsid w:val="007E7F34"/>
    <w:rsid w:val="007F17C0"/>
    <w:rsid w:val="007F1A6B"/>
    <w:rsid w:val="007F1D7C"/>
    <w:rsid w:val="007F2545"/>
    <w:rsid w:val="007F26D5"/>
    <w:rsid w:val="007F297D"/>
    <w:rsid w:val="007F2BA6"/>
    <w:rsid w:val="007F3088"/>
    <w:rsid w:val="007F32C9"/>
    <w:rsid w:val="007F35A0"/>
    <w:rsid w:val="007F4249"/>
    <w:rsid w:val="007F4643"/>
    <w:rsid w:val="007F52F1"/>
    <w:rsid w:val="007F57BA"/>
    <w:rsid w:val="007F5B9D"/>
    <w:rsid w:val="007F5E2A"/>
    <w:rsid w:val="007F66D7"/>
    <w:rsid w:val="007F68B8"/>
    <w:rsid w:val="007F6F7A"/>
    <w:rsid w:val="007F7420"/>
    <w:rsid w:val="007F756E"/>
    <w:rsid w:val="007F75BE"/>
    <w:rsid w:val="007F7FB2"/>
    <w:rsid w:val="008000C5"/>
    <w:rsid w:val="00800745"/>
    <w:rsid w:val="0080079F"/>
    <w:rsid w:val="00801416"/>
    <w:rsid w:val="00801B7F"/>
    <w:rsid w:val="00801F39"/>
    <w:rsid w:val="00802595"/>
    <w:rsid w:val="00802698"/>
    <w:rsid w:val="00802711"/>
    <w:rsid w:val="00802A6A"/>
    <w:rsid w:val="00803081"/>
    <w:rsid w:val="008037C4"/>
    <w:rsid w:val="0080394D"/>
    <w:rsid w:val="00803E7F"/>
    <w:rsid w:val="00803F2B"/>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98B"/>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3F7E"/>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DB8"/>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9B"/>
    <w:rsid w:val="00833DD1"/>
    <w:rsid w:val="00834526"/>
    <w:rsid w:val="00834719"/>
    <w:rsid w:val="008352BE"/>
    <w:rsid w:val="0083594F"/>
    <w:rsid w:val="0083644E"/>
    <w:rsid w:val="00836702"/>
    <w:rsid w:val="00836A4F"/>
    <w:rsid w:val="00836DDA"/>
    <w:rsid w:val="00836EF0"/>
    <w:rsid w:val="0083775B"/>
    <w:rsid w:val="00840665"/>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5F37"/>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0FE"/>
    <w:rsid w:val="00856840"/>
    <w:rsid w:val="00856B69"/>
    <w:rsid w:val="008577AF"/>
    <w:rsid w:val="008579A6"/>
    <w:rsid w:val="0086000C"/>
    <w:rsid w:val="008601F2"/>
    <w:rsid w:val="008602BB"/>
    <w:rsid w:val="00860EA0"/>
    <w:rsid w:val="00860FAB"/>
    <w:rsid w:val="00861101"/>
    <w:rsid w:val="00861311"/>
    <w:rsid w:val="00861AF5"/>
    <w:rsid w:val="00861EF9"/>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BE"/>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66F"/>
    <w:rsid w:val="00874B42"/>
    <w:rsid w:val="00874BB1"/>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A2B"/>
    <w:rsid w:val="00886BDE"/>
    <w:rsid w:val="00886E96"/>
    <w:rsid w:val="00887CC1"/>
    <w:rsid w:val="00887D0A"/>
    <w:rsid w:val="0089049E"/>
    <w:rsid w:val="00890838"/>
    <w:rsid w:val="0089091A"/>
    <w:rsid w:val="00890D78"/>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552"/>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54F"/>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1D9"/>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417"/>
    <w:rsid w:val="008C5691"/>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3F37"/>
    <w:rsid w:val="008D4368"/>
    <w:rsid w:val="008D4A26"/>
    <w:rsid w:val="008D53EE"/>
    <w:rsid w:val="008D5511"/>
    <w:rsid w:val="008D5930"/>
    <w:rsid w:val="008D6084"/>
    <w:rsid w:val="008D6611"/>
    <w:rsid w:val="008D6740"/>
    <w:rsid w:val="008D6D9B"/>
    <w:rsid w:val="008D6E00"/>
    <w:rsid w:val="008D72E6"/>
    <w:rsid w:val="008D72F7"/>
    <w:rsid w:val="008D736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3E03"/>
    <w:rsid w:val="008E46FA"/>
    <w:rsid w:val="008E55E1"/>
    <w:rsid w:val="008E5BC6"/>
    <w:rsid w:val="008E6A3D"/>
    <w:rsid w:val="008E6D8A"/>
    <w:rsid w:val="008E77A1"/>
    <w:rsid w:val="008E78E9"/>
    <w:rsid w:val="008E7C84"/>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07D"/>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4171"/>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DC0"/>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29"/>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62C"/>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6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04D"/>
    <w:rsid w:val="009536CB"/>
    <w:rsid w:val="00953C2D"/>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D80"/>
    <w:rsid w:val="00965E31"/>
    <w:rsid w:val="00966A50"/>
    <w:rsid w:val="00966CA6"/>
    <w:rsid w:val="00966ED7"/>
    <w:rsid w:val="00967571"/>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669"/>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3AA"/>
    <w:rsid w:val="009B14D7"/>
    <w:rsid w:val="009B1665"/>
    <w:rsid w:val="009B241F"/>
    <w:rsid w:val="009B27B5"/>
    <w:rsid w:val="009B31D6"/>
    <w:rsid w:val="009B385E"/>
    <w:rsid w:val="009B3AE9"/>
    <w:rsid w:val="009B4456"/>
    <w:rsid w:val="009B4E07"/>
    <w:rsid w:val="009B5C61"/>
    <w:rsid w:val="009B5CA5"/>
    <w:rsid w:val="009B5EB0"/>
    <w:rsid w:val="009B5EF9"/>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99"/>
    <w:rsid w:val="00A025B3"/>
    <w:rsid w:val="00A0276E"/>
    <w:rsid w:val="00A028C3"/>
    <w:rsid w:val="00A0310E"/>
    <w:rsid w:val="00A0424C"/>
    <w:rsid w:val="00A0498E"/>
    <w:rsid w:val="00A049CA"/>
    <w:rsid w:val="00A04A55"/>
    <w:rsid w:val="00A04BF7"/>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0E74"/>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AF1"/>
    <w:rsid w:val="00A16B92"/>
    <w:rsid w:val="00A1747D"/>
    <w:rsid w:val="00A17AB7"/>
    <w:rsid w:val="00A17CDF"/>
    <w:rsid w:val="00A17DD5"/>
    <w:rsid w:val="00A208AA"/>
    <w:rsid w:val="00A209C4"/>
    <w:rsid w:val="00A20FFB"/>
    <w:rsid w:val="00A2103D"/>
    <w:rsid w:val="00A21346"/>
    <w:rsid w:val="00A2167F"/>
    <w:rsid w:val="00A219F9"/>
    <w:rsid w:val="00A21F9F"/>
    <w:rsid w:val="00A226E6"/>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7E6"/>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5CE7"/>
    <w:rsid w:val="00A665C7"/>
    <w:rsid w:val="00A66C93"/>
    <w:rsid w:val="00A66F00"/>
    <w:rsid w:val="00A67702"/>
    <w:rsid w:val="00A67E3F"/>
    <w:rsid w:val="00A70ECB"/>
    <w:rsid w:val="00A70F74"/>
    <w:rsid w:val="00A712F7"/>
    <w:rsid w:val="00A71437"/>
    <w:rsid w:val="00A7235A"/>
    <w:rsid w:val="00A72531"/>
    <w:rsid w:val="00A7288D"/>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30E"/>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02"/>
    <w:rsid w:val="00AB2EB2"/>
    <w:rsid w:val="00AB325D"/>
    <w:rsid w:val="00AB34B4"/>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59"/>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0C5"/>
    <w:rsid w:val="00AD3296"/>
    <w:rsid w:val="00AD33BC"/>
    <w:rsid w:val="00AD391C"/>
    <w:rsid w:val="00AD49FA"/>
    <w:rsid w:val="00AD4C26"/>
    <w:rsid w:val="00AD52BD"/>
    <w:rsid w:val="00AD5DB5"/>
    <w:rsid w:val="00AD67D6"/>
    <w:rsid w:val="00AD6B3E"/>
    <w:rsid w:val="00AD70E2"/>
    <w:rsid w:val="00AD7588"/>
    <w:rsid w:val="00AD7C28"/>
    <w:rsid w:val="00AD7C88"/>
    <w:rsid w:val="00AD7D99"/>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68"/>
    <w:rsid w:val="00AE6BCD"/>
    <w:rsid w:val="00AE710C"/>
    <w:rsid w:val="00AE7375"/>
    <w:rsid w:val="00AE76F3"/>
    <w:rsid w:val="00AE77D6"/>
    <w:rsid w:val="00AF0002"/>
    <w:rsid w:val="00AF0481"/>
    <w:rsid w:val="00AF0AEB"/>
    <w:rsid w:val="00AF0C58"/>
    <w:rsid w:val="00AF1079"/>
    <w:rsid w:val="00AF174F"/>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289"/>
    <w:rsid w:val="00B124BB"/>
    <w:rsid w:val="00B12647"/>
    <w:rsid w:val="00B1287F"/>
    <w:rsid w:val="00B12922"/>
    <w:rsid w:val="00B12BBF"/>
    <w:rsid w:val="00B12F5A"/>
    <w:rsid w:val="00B1392B"/>
    <w:rsid w:val="00B13AF4"/>
    <w:rsid w:val="00B13F32"/>
    <w:rsid w:val="00B13F63"/>
    <w:rsid w:val="00B14196"/>
    <w:rsid w:val="00B1487F"/>
    <w:rsid w:val="00B14921"/>
    <w:rsid w:val="00B14C18"/>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60"/>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2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47C79"/>
    <w:rsid w:val="00B50F32"/>
    <w:rsid w:val="00B512C9"/>
    <w:rsid w:val="00B51B1F"/>
    <w:rsid w:val="00B52051"/>
    <w:rsid w:val="00B5221E"/>
    <w:rsid w:val="00B5248C"/>
    <w:rsid w:val="00B526A3"/>
    <w:rsid w:val="00B52D73"/>
    <w:rsid w:val="00B52F1E"/>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2CCE"/>
    <w:rsid w:val="00B72DCF"/>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87FC7"/>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2A9"/>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6768"/>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717"/>
    <w:rsid w:val="00BB4B4F"/>
    <w:rsid w:val="00BB5913"/>
    <w:rsid w:val="00BB5B40"/>
    <w:rsid w:val="00BB5B68"/>
    <w:rsid w:val="00BB5B8A"/>
    <w:rsid w:val="00BB6023"/>
    <w:rsid w:val="00BB6235"/>
    <w:rsid w:val="00BB6C03"/>
    <w:rsid w:val="00BB6DCE"/>
    <w:rsid w:val="00BB71F4"/>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4C2A"/>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6B2"/>
    <w:rsid w:val="00BF5778"/>
    <w:rsid w:val="00BF57DE"/>
    <w:rsid w:val="00BF5D87"/>
    <w:rsid w:val="00BF5E1E"/>
    <w:rsid w:val="00BF5ECF"/>
    <w:rsid w:val="00BF5F98"/>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57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639"/>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0CD6"/>
    <w:rsid w:val="00C51011"/>
    <w:rsid w:val="00C51174"/>
    <w:rsid w:val="00C515D3"/>
    <w:rsid w:val="00C51B84"/>
    <w:rsid w:val="00C52067"/>
    <w:rsid w:val="00C52634"/>
    <w:rsid w:val="00C52B31"/>
    <w:rsid w:val="00C5304D"/>
    <w:rsid w:val="00C532A1"/>
    <w:rsid w:val="00C537ED"/>
    <w:rsid w:val="00C53AA8"/>
    <w:rsid w:val="00C5431F"/>
    <w:rsid w:val="00C5456C"/>
    <w:rsid w:val="00C546F5"/>
    <w:rsid w:val="00C54994"/>
    <w:rsid w:val="00C54DE2"/>
    <w:rsid w:val="00C54E27"/>
    <w:rsid w:val="00C5546B"/>
    <w:rsid w:val="00C557C0"/>
    <w:rsid w:val="00C56020"/>
    <w:rsid w:val="00C565FD"/>
    <w:rsid w:val="00C56C50"/>
    <w:rsid w:val="00C575DC"/>
    <w:rsid w:val="00C579C8"/>
    <w:rsid w:val="00C57C36"/>
    <w:rsid w:val="00C6039F"/>
    <w:rsid w:val="00C60451"/>
    <w:rsid w:val="00C60670"/>
    <w:rsid w:val="00C60737"/>
    <w:rsid w:val="00C61257"/>
    <w:rsid w:val="00C6136E"/>
    <w:rsid w:val="00C617D8"/>
    <w:rsid w:val="00C61968"/>
    <w:rsid w:val="00C61B60"/>
    <w:rsid w:val="00C629D9"/>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67DB2"/>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5C7"/>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4B0"/>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0D8"/>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DC2"/>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8D2"/>
    <w:rsid w:val="00D23D0E"/>
    <w:rsid w:val="00D24D9F"/>
    <w:rsid w:val="00D25604"/>
    <w:rsid w:val="00D25B8C"/>
    <w:rsid w:val="00D26FC2"/>
    <w:rsid w:val="00D270B3"/>
    <w:rsid w:val="00D27135"/>
    <w:rsid w:val="00D2725B"/>
    <w:rsid w:val="00D30377"/>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928"/>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2958"/>
    <w:rsid w:val="00D52BDF"/>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A34"/>
    <w:rsid w:val="00D67BAA"/>
    <w:rsid w:val="00D67EC9"/>
    <w:rsid w:val="00D70537"/>
    <w:rsid w:val="00D7066E"/>
    <w:rsid w:val="00D70792"/>
    <w:rsid w:val="00D70C58"/>
    <w:rsid w:val="00D710A9"/>
    <w:rsid w:val="00D71424"/>
    <w:rsid w:val="00D7153E"/>
    <w:rsid w:val="00D7179C"/>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97EBB"/>
    <w:rsid w:val="00DA0680"/>
    <w:rsid w:val="00DA09FE"/>
    <w:rsid w:val="00DA0D82"/>
    <w:rsid w:val="00DA1542"/>
    <w:rsid w:val="00DA172A"/>
    <w:rsid w:val="00DA1753"/>
    <w:rsid w:val="00DA1F6B"/>
    <w:rsid w:val="00DA1F8E"/>
    <w:rsid w:val="00DA2A2F"/>
    <w:rsid w:val="00DA2BA1"/>
    <w:rsid w:val="00DA365A"/>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653"/>
    <w:rsid w:val="00DB0F93"/>
    <w:rsid w:val="00DB17F5"/>
    <w:rsid w:val="00DB19B1"/>
    <w:rsid w:val="00DB1D06"/>
    <w:rsid w:val="00DB230F"/>
    <w:rsid w:val="00DB278D"/>
    <w:rsid w:val="00DB2A8D"/>
    <w:rsid w:val="00DB2AD1"/>
    <w:rsid w:val="00DB2F5C"/>
    <w:rsid w:val="00DB3371"/>
    <w:rsid w:val="00DB38A0"/>
    <w:rsid w:val="00DB3C59"/>
    <w:rsid w:val="00DB3CBC"/>
    <w:rsid w:val="00DB4162"/>
    <w:rsid w:val="00DB49DE"/>
    <w:rsid w:val="00DB4AB0"/>
    <w:rsid w:val="00DB4BD2"/>
    <w:rsid w:val="00DB4EA5"/>
    <w:rsid w:val="00DB571D"/>
    <w:rsid w:val="00DB59FD"/>
    <w:rsid w:val="00DB5A9B"/>
    <w:rsid w:val="00DB5E3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944"/>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4756"/>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E51"/>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454"/>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5E1"/>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3AC"/>
    <w:rsid w:val="00E57739"/>
    <w:rsid w:val="00E57777"/>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8AA"/>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6598"/>
    <w:rsid w:val="00E768AA"/>
    <w:rsid w:val="00E776DD"/>
    <w:rsid w:val="00E77CAE"/>
    <w:rsid w:val="00E77DDD"/>
    <w:rsid w:val="00E8018B"/>
    <w:rsid w:val="00E803C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5DD"/>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7FE"/>
    <w:rsid w:val="00E979FE"/>
    <w:rsid w:val="00EA08B3"/>
    <w:rsid w:val="00EA09C8"/>
    <w:rsid w:val="00EA0AC5"/>
    <w:rsid w:val="00EA0C6A"/>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0C5"/>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2AB7"/>
    <w:rsid w:val="00EE36B2"/>
    <w:rsid w:val="00EE3A69"/>
    <w:rsid w:val="00EE3D13"/>
    <w:rsid w:val="00EE3D35"/>
    <w:rsid w:val="00EE3EBB"/>
    <w:rsid w:val="00EE4997"/>
    <w:rsid w:val="00EE4AFC"/>
    <w:rsid w:val="00EE5046"/>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927"/>
    <w:rsid w:val="00EF3458"/>
    <w:rsid w:val="00EF373E"/>
    <w:rsid w:val="00EF3D3F"/>
    <w:rsid w:val="00EF3F56"/>
    <w:rsid w:val="00EF4075"/>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6A"/>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171"/>
    <w:rsid w:val="00F25298"/>
    <w:rsid w:val="00F25616"/>
    <w:rsid w:val="00F25B71"/>
    <w:rsid w:val="00F25BE9"/>
    <w:rsid w:val="00F26603"/>
    <w:rsid w:val="00F267DB"/>
    <w:rsid w:val="00F269A3"/>
    <w:rsid w:val="00F271BB"/>
    <w:rsid w:val="00F272C0"/>
    <w:rsid w:val="00F27780"/>
    <w:rsid w:val="00F277A6"/>
    <w:rsid w:val="00F27A37"/>
    <w:rsid w:val="00F27A3F"/>
    <w:rsid w:val="00F27AB5"/>
    <w:rsid w:val="00F301A3"/>
    <w:rsid w:val="00F301CC"/>
    <w:rsid w:val="00F303A1"/>
    <w:rsid w:val="00F304DF"/>
    <w:rsid w:val="00F3084A"/>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74"/>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3CB0"/>
    <w:rsid w:val="00F440C9"/>
    <w:rsid w:val="00F440EE"/>
    <w:rsid w:val="00F44818"/>
    <w:rsid w:val="00F451F3"/>
    <w:rsid w:val="00F4541A"/>
    <w:rsid w:val="00F45AD0"/>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1E"/>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B48"/>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0DB"/>
    <w:rsid w:val="00F861CF"/>
    <w:rsid w:val="00F864E7"/>
    <w:rsid w:val="00F8670F"/>
    <w:rsid w:val="00F86963"/>
    <w:rsid w:val="00F87086"/>
    <w:rsid w:val="00F90134"/>
    <w:rsid w:val="00F907C7"/>
    <w:rsid w:val="00F9198D"/>
    <w:rsid w:val="00F91B15"/>
    <w:rsid w:val="00F91B7E"/>
    <w:rsid w:val="00F92016"/>
    <w:rsid w:val="00F925B4"/>
    <w:rsid w:val="00F925F6"/>
    <w:rsid w:val="00F92A8D"/>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17"/>
    <w:rsid w:val="00FA5750"/>
    <w:rsid w:val="00FA5863"/>
    <w:rsid w:val="00FA5874"/>
    <w:rsid w:val="00FA627B"/>
    <w:rsid w:val="00FA6476"/>
    <w:rsid w:val="00FA6A95"/>
    <w:rsid w:val="00FA6E13"/>
    <w:rsid w:val="00FA70CC"/>
    <w:rsid w:val="00FA7316"/>
    <w:rsid w:val="00FA77D4"/>
    <w:rsid w:val="00FA798A"/>
    <w:rsid w:val="00FA7E20"/>
    <w:rsid w:val="00FB0FF2"/>
    <w:rsid w:val="00FB18B5"/>
    <w:rsid w:val="00FB197F"/>
    <w:rsid w:val="00FB203C"/>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B89"/>
    <w:rsid w:val="00FC1D06"/>
    <w:rsid w:val="00FC1F16"/>
    <w:rsid w:val="00FC1FB3"/>
    <w:rsid w:val="00FC200E"/>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174"/>
    <w:rsid w:val="00FF5328"/>
    <w:rsid w:val="00FF5399"/>
    <w:rsid w:val="00FF58A7"/>
    <w:rsid w:val="00FF6263"/>
    <w:rsid w:val="00FF6A50"/>
    <w:rsid w:val="00FF6D0F"/>
    <w:rsid w:val="00FF74EF"/>
    <w:rsid w:val="00FF75FD"/>
    <w:rsid w:val="00FF786F"/>
    <w:rsid w:val="0FEBC848"/>
    <w:rsid w:val="183ECAFE"/>
    <w:rsid w:val="31B610D1"/>
    <w:rsid w:val="3486A5D3"/>
    <w:rsid w:val="37DF33D4"/>
    <w:rsid w:val="458935C2"/>
    <w:rsid w:val="57359F9F"/>
    <w:rsid w:val="5F4C0BD1"/>
    <w:rsid w:val="69311D72"/>
    <w:rsid w:val="755427A1"/>
    <w:rsid w:val="76D6AC46"/>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f">
      <v:stroke on="f"/>
      <o:colormru v:ext="edit" colors="white"/>
    </o:shapedefaults>
    <o:shapelayout v:ext="edit">
      <o:idmap v:ext="edit" data="2"/>
    </o:shapelayout>
  </w:shapeDefaults>
  <w:decimalSymbol w:val="."/>
  <w:listSeparator w:val=","/>
  <w14:docId w14:val="3211802A"/>
  <w15:docId w15:val="{E512245A-9B6A-4BBE-8D61-DF2322F0F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000000"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2B7"/>
  </w:style>
  <w:style w:type="paragraph" w:styleId="Heading1">
    <w:name w:val="heading 1"/>
    <w:basedOn w:val="CaptionImageorFigure"/>
    <w:next w:val="BodyText"/>
    <w:link w:val="Heading1Char"/>
    <w:qFormat/>
    <w:rsid w:val="00E573AC"/>
    <w:pPr>
      <w:spacing w:before="360" w:line="440" w:lineRule="exact"/>
      <w:outlineLvl w:val="0"/>
    </w:pPr>
    <w:rPr>
      <w:color w:val="004C97" w:themeColor="accent3"/>
      <w:sz w:val="36"/>
    </w:rPr>
  </w:style>
  <w:style w:type="paragraph" w:styleId="Heading2">
    <w:name w:val="heading 2"/>
    <w:basedOn w:val="Normal"/>
    <w:next w:val="BodyText"/>
    <w:link w:val="Heading2Char"/>
    <w:qFormat/>
    <w:rsid w:val="00F861CF"/>
    <w:pPr>
      <w:keepNext/>
      <w:keepLines/>
      <w:numPr>
        <w:ilvl w:val="1"/>
        <w:numId w:val="8"/>
      </w:numPr>
      <w:tabs>
        <w:tab w:val="left" w:pos="1418"/>
        <w:tab w:val="left" w:pos="1701"/>
        <w:tab w:val="left" w:pos="1985"/>
      </w:tabs>
      <w:spacing w:before="240" w:after="120" w:line="360" w:lineRule="exact"/>
      <w:outlineLvl w:val="1"/>
    </w:pPr>
    <w:rPr>
      <w:b/>
      <w:bCs/>
      <w:iCs/>
      <w:color w:val="004C97" w:themeColor="accent3"/>
      <w:kern w:val="20"/>
      <w:sz w:val="32"/>
      <w:szCs w:val="32"/>
    </w:rPr>
  </w:style>
  <w:style w:type="paragraph" w:styleId="Heading3">
    <w:name w:val="heading 3"/>
    <w:basedOn w:val="Normal"/>
    <w:next w:val="BodyText"/>
    <w:link w:val="Heading3Char"/>
    <w:qFormat/>
    <w:rsid w:val="00AD30C5"/>
    <w:pPr>
      <w:keepNext/>
      <w:keepLines/>
      <w:numPr>
        <w:ilvl w:val="2"/>
        <w:numId w:val="8"/>
      </w:numPr>
      <w:tabs>
        <w:tab w:val="left" w:pos="1418"/>
        <w:tab w:val="left" w:pos="1701"/>
        <w:tab w:val="left" w:pos="1985"/>
      </w:tabs>
      <w:spacing w:before="240" w:after="120" w:line="320" w:lineRule="exact"/>
      <w:outlineLvl w:val="2"/>
    </w:pPr>
    <w:rPr>
      <w:b/>
      <w:color w:val="004C97" w:themeColor="accent3"/>
      <w:sz w:val="28"/>
      <w:szCs w:val="28"/>
    </w:rPr>
  </w:style>
  <w:style w:type="paragraph" w:styleId="Heading4">
    <w:name w:val="heading 4"/>
    <w:basedOn w:val="Normal"/>
    <w:next w:val="BodyText"/>
    <w:link w:val="Heading4Char"/>
    <w:qFormat/>
    <w:rsid w:val="007B79DC"/>
    <w:pPr>
      <w:keepNext/>
      <w:keepLines/>
      <w:tabs>
        <w:tab w:val="left" w:pos="1418"/>
        <w:tab w:val="left" w:pos="1701"/>
        <w:tab w:val="left" w:pos="1985"/>
      </w:tabs>
      <w:spacing w:before="200" w:after="100" w:line="280" w:lineRule="atLeast"/>
      <w:outlineLvl w:val="3"/>
    </w:pPr>
    <w:rPr>
      <w:rFonts w:asciiTheme="majorHAnsi" w:eastAsiaTheme="majorEastAsia" w:hAnsiTheme="majorHAnsi" w:cstheme="majorBidi"/>
      <w:b/>
      <w:bCs/>
      <w:color w:val="201547" w:themeColor="text2"/>
      <w:sz w:val="24"/>
      <w:szCs w:val="24"/>
    </w:rPr>
  </w:style>
  <w:style w:type="paragraph" w:styleId="Heading5">
    <w:name w:val="heading 5"/>
    <w:basedOn w:val="Normal"/>
    <w:next w:val="BodyText"/>
    <w:link w:val="Heading5Char"/>
    <w:qFormat/>
    <w:rsid w:val="007B79DC"/>
    <w:pPr>
      <w:keepNext/>
      <w:keepLines/>
      <w:spacing w:before="200" w:after="100"/>
      <w:outlineLvl w:val="4"/>
    </w:pPr>
    <w:rPr>
      <w:rFonts w:asciiTheme="majorHAnsi" w:eastAsiaTheme="majorEastAsia" w:hAnsiTheme="majorHAnsi" w:cstheme="majorBidi"/>
      <w:b/>
      <w:color w:val="201547" w:themeColor="text2"/>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201547"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4"/>
      </w:numPr>
      <w:spacing w:before="1300" w:after="440" w:line="440" w:lineRule="exact"/>
      <w:ind w:right="1134"/>
      <w:outlineLvl w:val="7"/>
    </w:pPr>
    <w:rPr>
      <w:rFonts w:asciiTheme="majorHAnsi" w:eastAsiaTheme="majorEastAsia" w:hAnsiTheme="majorHAnsi" w:cstheme="majorBidi"/>
      <w:b/>
      <w:color w:val="201547"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201547"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154F"/>
    <w:pPr>
      <w:tabs>
        <w:tab w:val="center" w:pos="4513"/>
        <w:tab w:val="right" w:pos="9026"/>
      </w:tabs>
      <w:spacing w:line="240" w:lineRule="auto"/>
    </w:p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CC04B0"/>
    <w:pPr>
      <w:spacing w:before="60" w:after="60" w:line="220" w:lineRule="atLeast"/>
      <w:ind w:left="113" w:right="113"/>
    </w:pPr>
    <w:rPr>
      <w:rFonts w:cs="Times New Roman"/>
      <w:color w:val="201547" w:themeColor="text2"/>
      <w:sz w:val="18"/>
    </w:rPr>
    <w:tblPr>
      <w:tblStyleRowBandSize w:val="1"/>
      <w:tblStyleColBandSize w:val="1"/>
      <w:tblBorders>
        <w:top w:val="single" w:sz="8" w:space="0" w:color="201547" w:themeColor="text2"/>
        <w:bottom w:val="single" w:sz="8" w:space="0" w:color="201547" w:themeColor="text2"/>
        <w:insideH w:val="single" w:sz="8" w:space="0" w:color="201547" w:themeColor="text2"/>
      </w:tblBorders>
      <w:tblCellMar>
        <w:left w:w="0" w:type="dxa"/>
        <w:right w:w="0" w:type="dxa"/>
      </w:tblCellMar>
    </w:tblPr>
    <w:tcPr>
      <w:shd w:val="clear" w:color="auto" w:fill="auto"/>
    </w:tcPr>
    <w:tblStylePr w:type="firstRow">
      <w:pPr>
        <w:wordWrap/>
        <w:spacing w:beforeLines="0" w:before="60" w:beforeAutospacing="0" w:afterLines="0" w:after="60" w:afterAutospacing="0" w:line="220" w:lineRule="atLeast"/>
        <w:jc w:val="left"/>
      </w:pPr>
      <w:rPr>
        <w:rFonts w:asciiTheme="minorHAnsi" w:hAnsiTheme="minorHAnsi"/>
        <w:b w:val="0"/>
        <w:color w:val="FFFFFF" w:themeColor="background1"/>
        <w:sz w:val="20"/>
      </w:rPr>
      <w:tblPr/>
      <w:tcPr>
        <w:shd w:val="clear" w:color="auto" w:fill="201547" w:themeFill="text2"/>
      </w:tcPr>
    </w:tblStylePr>
    <w:tblStylePr w:type="lastRow">
      <w:rPr>
        <w:b w:val="0"/>
      </w:rPr>
    </w:tblStylePr>
    <w:tblStylePr w:type="lastCol">
      <w:pPr>
        <w:jc w:val="left"/>
      </w:p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uiPriority w:val="99"/>
    <w:rsid w:val="00C328E9"/>
    <w:rPr>
      <w:sz w:val="16"/>
    </w:rPr>
  </w:style>
  <w:style w:type="paragraph" w:customStyle="1" w:styleId="FooterOddPageNumber">
    <w:name w:val="Footer Odd Page Number"/>
    <w:basedOn w:val="FooterOdd"/>
    <w:semiHidden/>
    <w:rsid w:val="001748A0"/>
    <w:pPr>
      <w:ind w:right="28"/>
    </w:pPr>
    <w:rPr>
      <w:b/>
      <w:color w:val="88DBE9" w:themeColor="accent1"/>
    </w:rPr>
  </w:style>
  <w:style w:type="paragraph" w:customStyle="1" w:styleId="FootnoteSeparator">
    <w:name w:val="Footnote Separator"/>
    <w:basedOn w:val="Normal"/>
    <w:unhideWhenUsed/>
    <w:rsid w:val="0086233C"/>
    <w:pPr>
      <w:pBdr>
        <w:top w:val="dotted" w:sz="8" w:space="0" w:color="000000"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5"/>
      </w:numPr>
      <w:spacing w:before="120" w:after="120"/>
    </w:pPr>
  </w:style>
  <w:style w:type="paragraph" w:styleId="ListNumber2">
    <w:name w:val="List Number 2"/>
    <w:basedOn w:val="Normal"/>
    <w:qFormat/>
    <w:rsid w:val="00781566"/>
    <w:pPr>
      <w:numPr>
        <w:ilvl w:val="1"/>
        <w:numId w:val="5"/>
      </w:numPr>
      <w:spacing w:before="120" w:after="120"/>
    </w:pPr>
  </w:style>
  <w:style w:type="paragraph" w:styleId="ListNumber3">
    <w:name w:val="List Number 3"/>
    <w:basedOn w:val="Normal"/>
    <w:qFormat/>
    <w:rsid w:val="00781566"/>
    <w:pPr>
      <w:numPr>
        <w:ilvl w:val="2"/>
        <w:numId w:val="5"/>
      </w:numPr>
      <w:spacing w:before="120" w:after="120"/>
    </w:pPr>
  </w:style>
  <w:style w:type="numbering" w:styleId="1ai">
    <w:name w:val="Outline List 1"/>
    <w:basedOn w:val="NoList"/>
    <w:rsid w:val="00606818"/>
    <w:pPr>
      <w:numPr>
        <w:numId w:val="2"/>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8A154F"/>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472CF9"/>
    <w:pPr>
      <w:spacing w:before="60" w:after="120" w:line="260" w:lineRule="atLeast"/>
    </w:pPr>
    <w:rPr>
      <w:rFonts w:cs="Times New Roman"/>
      <w:lang w:eastAsia="en-US"/>
    </w:rPr>
  </w:style>
  <w:style w:type="character" w:customStyle="1" w:styleId="BodyTextChar">
    <w:name w:val="Body Text Char"/>
    <w:basedOn w:val="DefaultParagraphFont"/>
    <w:link w:val="BodyText"/>
    <w:rsid w:val="00472CF9"/>
    <w:rPr>
      <w:rFonts w:cs="Times New Roman"/>
      <w:lang w:eastAsia="en-US"/>
    </w:rPr>
  </w:style>
  <w:style w:type="paragraph" w:customStyle="1" w:styleId="Footnotes">
    <w:name w:val="Footnotes"/>
    <w:basedOn w:val="Normal"/>
    <w:rsid w:val="0016301C"/>
    <w:pPr>
      <w:keepLines/>
      <w:numPr>
        <w:numId w:val="7"/>
      </w:numPr>
      <w:spacing w:before="60" w:after="100" w:afterAutospacing="1" w:line="180" w:lineRule="exact"/>
    </w:pPr>
    <w:rPr>
      <w:sz w:val="14"/>
    </w:rPr>
  </w:style>
  <w:style w:type="paragraph" w:customStyle="1" w:styleId="TableHeadingLeft">
    <w:name w:val="Table Heading Left"/>
    <w:basedOn w:val="TableTextLeft"/>
    <w:qFormat/>
    <w:rsid w:val="00BB71F4"/>
    <w:pPr>
      <w:keepNext/>
      <w:keepLines/>
      <w:spacing w:line="240" w:lineRule="atLeast"/>
    </w:pPr>
    <w:rPr>
      <w:rFonts w:cs="Times New Roman"/>
      <w:b/>
      <w:color w:val="FFFFFF"/>
      <w:sz w:val="20"/>
      <w:szCs w:val="22"/>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character" w:styleId="UnresolvedMention">
    <w:name w:val="Unresolved Mention"/>
    <w:basedOn w:val="DefaultParagraphFont"/>
    <w:uiPriority w:val="99"/>
    <w:semiHidden/>
    <w:unhideWhenUsed/>
    <w:rsid w:val="00122906"/>
    <w:rPr>
      <w:color w:val="605E5C"/>
      <w:shd w:val="clear" w:color="auto" w:fill="E1DFDD"/>
    </w:rPr>
  </w:style>
  <w:style w:type="character" w:styleId="FootnoteReference">
    <w:name w:val="footnote reference"/>
    <w:basedOn w:val="DefaultParagraphFont"/>
    <w:rsid w:val="00810B9B"/>
    <w:rPr>
      <w:color w:val="000000" w:themeColor="text1"/>
      <w:vertAlign w:val="superscript"/>
    </w:rPr>
  </w:style>
  <w:style w:type="paragraph" w:styleId="FootnoteText">
    <w:name w:val="footnote text"/>
    <w:basedOn w:val="Normal"/>
    <w:link w:val="FootnoteTextChar"/>
    <w:rsid w:val="001A3DE2"/>
    <w:pPr>
      <w:tabs>
        <w:tab w:val="left" w:pos="284"/>
      </w:tabs>
      <w:spacing w:after="60" w:line="200" w:lineRule="atLeast"/>
      <w:ind w:left="284" w:hanging="284"/>
    </w:pPr>
    <w:rPr>
      <w:kern w:val="16"/>
      <w:sz w:val="16"/>
    </w:rPr>
  </w:style>
  <w:style w:type="character" w:customStyle="1" w:styleId="FootnoteTextChar">
    <w:name w:val="Footnote Text Char"/>
    <w:basedOn w:val="DefaultParagraphFont"/>
    <w:link w:val="FootnoteText"/>
    <w:rsid w:val="001A3DE2"/>
    <w:rPr>
      <w:kern w:val="16"/>
      <w:sz w:val="16"/>
    </w:rPr>
  </w:style>
  <w:style w:type="paragraph" w:styleId="ListBullet">
    <w:name w:val="List Bullet"/>
    <w:basedOn w:val="Normal"/>
    <w:unhideWhenUsed/>
    <w:qFormat/>
    <w:rsid w:val="00001E86"/>
    <w:pPr>
      <w:numPr>
        <w:numId w:val="9"/>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9"/>
      </w:numPr>
      <w:spacing w:before="120" w:after="120"/>
    </w:pPr>
  </w:style>
  <w:style w:type="paragraph" w:styleId="Subtitle">
    <w:name w:val="Subtitle"/>
    <w:basedOn w:val="Normal"/>
    <w:next w:val="Normal"/>
    <w:link w:val="SubtitleChar"/>
    <w:uiPriority w:val="99"/>
    <w:qFormat/>
    <w:rsid w:val="003759AC"/>
    <w:pPr>
      <w:numPr>
        <w:ilvl w:val="1"/>
      </w:numPr>
      <w:spacing w:after="240" w:line="360" w:lineRule="exact"/>
      <w:ind w:right="4253"/>
    </w:pPr>
    <w:rPr>
      <w:rFonts w:asciiTheme="majorHAnsi" w:eastAsiaTheme="majorEastAsia" w:hAnsiTheme="majorHAnsi" w:cstheme="majorBidi"/>
      <w:iCs/>
      <w:color w:val="004C97" w:themeColor="accent3"/>
      <w:spacing w:val="-2"/>
      <w:sz w:val="32"/>
      <w:szCs w:val="24"/>
      <w:lang w:val="en-US"/>
    </w:rPr>
  </w:style>
  <w:style w:type="character" w:customStyle="1" w:styleId="SubtitleChar">
    <w:name w:val="Subtitle Char"/>
    <w:basedOn w:val="DefaultParagraphFont"/>
    <w:link w:val="Subtitle"/>
    <w:uiPriority w:val="99"/>
    <w:rsid w:val="003759AC"/>
    <w:rPr>
      <w:rFonts w:asciiTheme="majorHAnsi" w:eastAsiaTheme="majorEastAsia" w:hAnsiTheme="majorHAnsi" w:cstheme="majorBidi"/>
      <w:iCs/>
      <w:color w:val="004C97" w:themeColor="accent3"/>
      <w:spacing w:val="-2"/>
      <w:sz w:val="32"/>
      <w:szCs w:val="24"/>
      <w:lang w:val="en-US"/>
    </w:rPr>
  </w:style>
  <w:style w:type="paragraph" w:customStyle="1" w:styleId="TableTextLeft">
    <w:name w:val="Table Text Left"/>
    <w:basedOn w:val="Normal"/>
    <w:qFormat/>
    <w:rsid w:val="006669FB"/>
    <w:pPr>
      <w:spacing w:before="60" w:after="60" w:line="220" w:lineRule="atLeast"/>
      <w:ind w:left="113" w:right="113"/>
    </w:pPr>
    <w:rPr>
      <w:sz w:val="18"/>
    </w:rPr>
  </w:style>
  <w:style w:type="paragraph" w:customStyle="1" w:styleId="TableTextBullet">
    <w:name w:val="Table Text Bullet"/>
    <w:basedOn w:val="TableTextLeft"/>
    <w:qFormat/>
    <w:rsid w:val="00BB71F4"/>
    <w:pPr>
      <w:numPr>
        <w:numId w:val="11"/>
      </w:numPr>
      <w:spacing w:line="280" w:lineRule="atLeast"/>
      <w:ind w:left="283" w:hanging="170"/>
    </w:pPr>
    <w:rPr>
      <w:sz w:val="20"/>
    </w:rPr>
  </w:style>
  <w:style w:type="paragraph" w:customStyle="1" w:styleId="TableTextNumbered">
    <w:name w:val="Table Text Numbered"/>
    <w:basedOn w:val="TableTextLeft"/>
    <w:qFormat/>
    <w:rsid w:val="00BB71F4"/>
    <w:pPr>
      <w:numPr>
        <w:numId w:val="3"/>
      </w:numPr>
      <w:spacing w:line="240" w:lineRule="atLeast"/>
    </w:pPr>
    <w:rPr>
      <w:sz w:val="20"/>
    </w:r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BB71F4"/>
    <w:pPr>
      <w:spacing w:line="240" w:lineRule="atLeast"/>
    </w:pPr>
    <w:rPr>
      <w:b/>
      <w:sz w:val="20"/>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7B79DC"/>
    <w:rPr>
      <w:rFonts w:asciiTheme="majorHAnsi" w:eastAsiaTheme="majorEastAsia" w:hAnsiTheme="majorHAnsi" w:cstheme="majorBidi"/>
      <w:b/>
      <w:bCs/>
      <w:color w:val="201547" w:themeColor="text2"/>
      <w:sz w:val="24"/>
      <w:szCs w:val="24"/>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qFormat/>
    <w:rsid w:val="008560FE"/>
    <w:pPr>
      <w:spacing w:after="360" w:line="480" w:lineRule="exact"/>
      <w:ind w:right="3969"/>
      <w:contextualSpacing/>
    </w:pPr>
    <w:rPr>
      <w:rFonts w:asciiTheme="majorHAnsi" w:eastAsiaTheme="majorEastAsia" w:hAnsiTheme="majorHAnsi" w:cstheme="majorBidi"/>
      <w:b/>
      <w:color w:val="004C97" w:themeColor="accent3"/>
      <w:spacing w:val="-2"/>
      <w:sz w:val="40"/>
      <w:szCs w:val="52"/>
      <w:lang w:val="en-US"/>
    </w:rPr>
  </w:style>
  <w:style w:type="character" w:customStyle="1" w:styleId="TitleChar">
    <w:name w:val="Title Char"/>
    <w:basedOn w:val="DefaultParagraphFont"/>
    <w:link w:val="Title"/>
    <w:uiPriority w:val="99"/>
    <w:rsid w:val="008560FE"/>
    <w:rPr>
      <w:rFonts w:asciiTheme="majorHAnsi" w:eastAsiaTheme="majorEastAsia" w:hAnsiTheme="majorHAnsi" w:cstheme="majorBidi"/>
      <w:b/>
      <w:color w:val="004C97" w:themeColor="accent3"/>
      <w:spacing w:val="-2"/>
      <w:sz w:val="40"/>
      <w:szCs w:val="52"/>
      <w:lang w:val="en-US"/>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201547"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201547"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201547"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201547"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201547"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201547"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201547"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201547" w:themeColor="text2"/>
    </w:rPr>
  </w:style>
  <w:style w:type="character" w:customStyle="1" w:styleId="Heading5Char">
    <w:name w:val="Heading 5 Char"/>
    <w:basedOn w:val="DefaultParagraphFont"/>
    <w:link w:val="Heading5"/>
    <w:rsid w:val="007B79DC"/>
    <w:rPr>
      <w:rFonts w:asciiTheme="majorHAnsi" w:eastAsiaTheme="majorEastAsia" w:hAnsiTheme="majorHAnsi" w:cstheme="majorBidi"/>
      <w:b/>
      <w:color w:val="201547" w:themeColor="text2"/>
    </w:rPr>
  </w:style>
  <w:style w:type="paragraph" w:styleId="BlockText">
    <w:name w:val="Block Text"/>
    <w:basedOn w:val="Normal"/>
    <w:semiHidden/>
    <w:unhideWhenUsed/>
    <w:rsid w:val="0049165E"/>
    <w:pPr>
      <w:pBdr>
        <w:top w:val="single" w:sz="2" w:space="10" w:color="88DBE9" w:themeColor="accent1" w:frame="1"/>
        <w:left w:val="single" w:sz="2" w:space="10" w:color="88DBE9" w:themeColor="accent1" w:frame="1"/>
        <w:bottom w:val="single" w:sz="2" w:space="10" w:color="88DBE9" w:themeColor="accent1" w:frame="1"/>
        <w:right w:val="single" w:sz="2" w:space="10" w:color="88DBE9" w:themeColor="accent1" w:frame="1"/>
      </w:pBdr>
      <w:ind w:left="1152" w:right="1152"/>
    </w:pPr>
    <w:rPr>
      <w:rFonts w:eastAsiaTheme="minorEastAsia" w:cstheme="minorBidi"/>
      <w:i/>
      <w:iCs/>
      <w:color w:val="201547" w:themeColor="text2"/>
    </w:rPr>
  </w:style>
  <w:style w:type="paragraph" w:styleId="IntenseQuote">
    <w:name w:val="Intense Quote"/>
    <w:basedOn w:val="Normal"/>
    <w:next w:val="Normal"/>
    <w:link w:val="IntenseQuoteChar"/>
    <w:semiHidden/>
    <w:rsid w:val="00315585"/>
    <w:pPr>
      <w:pBdr>
        <w:bottom w:val="single" w:sz="4" w:space="4" w:color="88DBE9" w:themeColor="accent1"/>
      </w:pBdr>
      <w:spacing w:before="200" w:after="280"/>
      <w:ind w:left="936" w:right="936"/>
    </w:pPr>
    <w:rPr>
      <w:b/>
      <w:bCs/>
      <w:i/>
      <w:iCs/>
      <w:color w:val="DBF4F5"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DBF4F5"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0D7091"/>
    <w:pPr>
      <w:keepNext/>
      <w:keepLines/>
      <w:spacing w:line="240" w:lineRule="auto"/>
    </w:pPr>
    <w:rPr>
      <w:b/>
      <w:color w:val="004C97" w:themeColor="accent3"/>
      <w:szCs w:val="24"/>
    </w:rPr>
  </w:style>
  <w:style w:type="paragraph" w:customStyle="1" w:styleId="PullOutBoxBullet">
    <w:name w:val="Pull Out Box Bullet"/>
    <w:basedOn w:val="PullOutBoxBodyText"/>
    <w:qFormat/>
    <w:rsid w:val="004D4063"/>
    <w:pPr>
      <w:numPr>
        <w:numId w:val="12"/>
      </w:numPr>
    </w:pPr>
  </w:style>
  <w:style w:type="paragraph" w:customStyle="1" w:styleId="PullOutBoxBullet2">
    <w:name w:val="Pull Out Box Bullet 2"/>
    <w:basedOn w:val="PullOutBoxBodyText"/>
    <w:qFormat/>
    <w:rsid w:val="004D4063"/>
    <w:pPr>
      <w:numPr>
        <w:ilvl w:val="1"/>
        <w:numId w:val="12"/>
      </w:numPr>
    </w:pPr>
  </w:style>
  <w:style w:type="paragraph" w:customStyle="1" w:styleId="PullOutBoxBullet3">
    <w:name w:val="Pull Out Box Bullet 3"/>
    <w:basedOn w:val="PullOutBoxBodyText"/>
    <w:qFormat/>
    <w:rsid w:val="004D4063"/>
    <w:pPr>
      <w:numPr>
        <w:ilvl w:val="2"/>
        <w:numId w:val="12"/>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1A3DE2"/>
    <w:pPr>
      <w:spacing w:before="60" w:after="60" w:line="180" w:lineRule="atLeast"/>
    </w:pPr>
    <w:rPr>
      <w:b/>
      <w:i/>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3759AC"/>
    <w:pPr>
      <w:spacing w:before="240" w:after="240" w:line="360" w:lineRule="exact"/>
    </w:pPr>
    <w:rPr>
      <w:color w:val="201547"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table" w:customStyle="1" w:styleId="PullOutBoxTable">
    <w:name w:val="Pull Out Box Table"/>
    <w:basedOn w:val="TableNormal"/>
    <w:uiPriority w:val="99"/>
    <w:rsid w:val="00443176"/>
    <w:pPr>
      <w:spacing w:line="240" w:lineRule="auto"/>
    </w:pPr>
    <w:tblPr>
      <w:tblBorders>
        <w:top w:val="single" w:sz="4" w:space="0" w:color="201547" w:themeColor="text2"/>
        <w:left w:val="single" w:sz="4" w:space="0" w:color="201547" w:themeColor="text2"/>
        <w:bottom w:val="single" w:sz="4" w:space="0" w:color="201547" w:themeColor="text2"/>
        <w:right w:val="single" w:sz="4" w:space="0" w:color="201547"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10"/>
      </w:numPr>
    </w:pPr>
  </w:style>
  <w:style w:type="paragraph" w:customStyle="1" w:styleId="QuoteBullet2">
    <w:name w:val="Quote Bullet 2"/>
    <w:basedOn w:val="Quote"/>
    <w:qFormat/>
    <w:rsid w:val="004D4063"/>
    <w:pPr>
      <w:numPr>
        <w:ilvl w:val="1"/>
        <w:numId w:val="10"/>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6"/>
      </w:numPr>
    </w:pPr>
  </w:style>
  <w:style w:type="paragraph" w:customStyle="1" w:styleId="PullOutBoxNumbered2">
    <w:name w:val="Pull Out Box Numbered 2"/>
    <w:basedOn w:val="PullOutBoxBodyText"/>
    <w:qFormat/>
    <w:rsid w:val="007A4BA3"/>
    <w:pPr>
      <w:numPr>
        <w:ilvl w:val="1"/>
        <w:numId w:val="6"/>
      </w:numPr>
    </w:pPr>
  </w:style>
  <w:style w:type="paragraph" w:customStyle="1" w:styleId="PullOutBoxNumbered3">
    <w:name w:val="Pull Out Box Numbered 3"/>
    <w:basedOn w:val="PullOutBoxBodyText"/>
    <w:qFormat/>
    <w:rsid w:val="007879D1"/>
    <w:pPr>
      <w:numPr>
        <w:ilvl w:val="2"/>
        <w:numId w:val="6"/>
      </w:numPr>
    </w:p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2"/>
    <w:next w:val="BodyText"/>
    <w:qFormat/>
    <w:rsid w:val="00E573AC"/>
    <w:pPr>
      <w:spacing w:before="0" w:line="440" w:lineRule="exact"/>
    </w:pPr>
    <w:rPr>
      <w:sz w:val="36"/>
      <w:szCs w:val="36"/>
    </w:r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201547" w:themeColor="text2"/>
      <w:sz w:val="40"/>
      <w:szCs w:val="40"/>
    </w:rPr>
  </w:style>
  <w:style w:type="paragraph" w:customStyle="1" w:styleId="HighlightBoxText">
    <w:name w:val="Highlight Box Text"/>
    <w:basedOn w:val="Normal"/>
    <w:qFormat/>
    <w:rsid w:val="006D454D"/>
    <w:pPr>
      <w:spacing w:before="120" w:after="120" w:line="300" w:lineRule="atLeast"/>
      <w:ind w:left="227" w:right="227"/>
    </w:pPr>
    <w:rPr>
      <w:color w:val="004C97" w:themeColor="accent3"/>
      <w:spacing w:val="-2"/>
      <w:sz w:val="24"/>
    </w:rPr>
  </w:style>
  <w:style w:type="character" w:styleId="FollowedHyperlink">
    <w:name w:val="FollowedHyperlink"/>
    <w:basedOn w:val="DefaultParagraphFont"/>
    <w:rsid w:val="00502E1D"/>
    <w:rPr>
      <w:color w:val="004C97" w:themeColor="followedHyperlink"/>
      <w:u w:val="single"/>
    </w:rPr>
  </w:style>
  <w:style w:type="paragraph" w:customStyle="1" w:styleId="TableHeadingRight">
    <w:name w:val="Table Heading Right"/>
    <w:basedOn w:val="TableHeadingLeft"/>
    <w:qFormat/>
    <w:rsid w:val="0086233C"/>
    <w:pPr>
      <w:jc w:val="right"/>
    </w:p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BB71F4"/>
    <w:pPr>
      <w:jc w:val="center"/>
    </w:pPr>
  </w:style>
  <w:style w:type="paragraph" w:customStyle="1" w:styleId="Footnotes2">
    <w:name w:val="Footnotes 2"/>
    <w:basedOn w:val="Normal"/>
    <w:rsid w:val="001A3DE2"/>
    <w:pPr>
      <w:numPr>
        <w:ilvl w:val="1"/>
        <w:numId w:val="7"/>
      </w:numPr>
      <w:spacing w:after="100" w:afterAutospacing="1" w:line="200" w:lineRule="atLeast"/>
      <w:ind w:left="568" w:hanging="284"/>
      <w:contextualSpacing/>
    </w:pPr>
    <w:rPr>
      <w:sz w:val="16"/>
    </w:rPr>
  </w:style>
  <w:style w:type="table" w:customStyle="1" w:styleId="HighlightTable">
    <w:name w:val="Highlight Table"/>
    <w:basedOn w:val="TableNormal"/>
    <w:uiPriority w:val="99"/>
    <w:rsid w:val="008A154F"/>
    <w:pPr>
      <w:spacing w:line="240" w:lineRule="auto"/>
    </w:pPr>
    <w:rPr>
      <w:color w:val="FFFFFF"/>
      <w:sz w:val="24"/>
    </w:rPr>
    <w:tblPr>
      <w:tblCellMar>
        <w:top w:w="227" w:type="dxa"/>
        <w:left w:w="0" w:type="dxa"/>
        <w:bottom w:w="227" w:type="dxa"/>
        <w:right w:w="0" w:type="dxa"/>
      </w:tblCellMar>
    </w:tblPr>
    <w:tcPr>
      <w:shd w:val="clear" w:color="auto" w:fill="201547" w:themeFill="text2"/>
    </w:tcPr>
  </w:style>
  <w:style w:type="paragraph" w:customStyle="1" w:styleId="BodyText100ThemeColour">
    <w:name w:val="Body Text 100% Theme Colour"/>
    <w:basedOn w:val="BodyText"/>
    <w:qFormat/>
    <w:rsid w:val="00096B2D"/>
    <w:rPr>
      <w:color w:val="201547" w:themeColor="text2"/>
    </w:rPr>
  </w:style>
  <w:style w:type="paragraph" w:customStyle="1" w:styleId="CaptionImageorFigure">
    <w:name w:val="Caption Image or Figure"/>
    <w:basedOn w:val="Normal"/>
    <w:qFormat/>
    <w:rsid w:val="001A3DE2"/>
    <w:pPr>
      <w:keepNext/>
      <w:spacing w:before="60" w:after="120" w:line="200" w:lineRule="atLeast"/>
    </w:pPr>
    <w:rPr>
      <w:b/>
      <w:bCs/>
    </w:rPr>
  </w:style>
  <w:style w:type="paragraph" w:customStyle="1" w:styleId="PhotoCredit">
    <w:name w:val="Photo Credit"/>
    <w:basedOn w:val="Normal"/>
    <w:next w:val="BodyText"/>
    <w:qFormat/>
    <w:rsid w:val="001A3DE2"/>
    <w:pPr>
      <w:spacing w:before="60" w:after="60" w:line="240" w:lineRule="auto"/>
      <w:ind w:right="227"/>
    </w:pPr>
    <w:rPr>
      <w:rFonts w:cs="Times New Roman"/>
      <w:lang w:eastAsia="en-US"/>
    </w:rPr>
  </w:style>
  <w:style w:type="paragraph" w:customStyle="1" w:styleId="ListAlpha">
    <w:name w:val="List Alpha"/>
    <w:basedOn w:val="Normal"/>
    <w:qFormat/>
    <w:rsid w:val="00893106"/>
    <w:pPr>
      <w:numPr>
        <w:numId w:val="14"/>
      </w:numPr>
      <w:spacing w:before="120" w:after="120"/>
    </w:pPr>
  </w:style>
  <w:style w:type="paragraph" w:customStyle="1" w:styleId="ListAlpha2">
    <w:name w:val="List Alpha 2"/>
    <w:basedOn w:val="Normal"/>
    <w:qFormat/>
    <w:rsid w:val="00893106"/>
    <w:pPr>
      <w:numPr>
        <w:ilvl w:val="1"/>
        <w:numId w:val="14"/>
      </w:numPr>
      <w:spacing w:before="120" w:after="120"/>
    </w:pPr>
  </w:style>
  <w:style w:type="paragraph" w:customStyle="1" w:styleId="ListAlpha3">
    <w:name w:val="List Alpha 3"/>
    <w:basedOn w:val="Normal"/>
    <w:qFormat/>
    <w:rsid w:val="00893106"/>
    <w:pPr>
      <w:numPr>
        <w:ilvl w:val="2"/>
        <w:numId w:val="14"/>
      </w:numPr>
      <w:spacing w:before="120" w:after="120"/>
    </w:pPr>
  </w:style>
  <w:style w:type="paragraph" w:customStyle="1" w:styleId="HighlightBoxHeading">
    <w:name w:val="Highlight Box Heading"/>
    <w:basedOn w:val="HighlightBoxText"/>
    <w:qFormat/>
    <w:rsid w:val="006D454D"/>
    <w:rPr>
      <w:b/>
    </w:rPr>
  </w:style>
  <w:style w:type="paragraph" w:customStyle="1" w:styleId="HighlightBoxBullet">
    <w:name w:val="Highlight Box Bullet"/>
    <w:basedOn w:val="HighlightBoxText"/>
    <w:qFormat/>
    <w:rsid w:val="005702C1"/>
    <w:pPr>
      <w:numPr>
        <w:ilvl w:val="3"/>
        <w:numId w:val="28"/>
      </w:numPr>
      <w:ind w:left="511" w:hanging="284"/>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30"/>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E535E1"/>
    <w:pPr>
      <w:spacing w:line="240" w:lineRule="auto"/>
    </w:pPr>
    <w:rPr>
      <w:b/>
      <w:color w:val="797391" w:themeColor="accent4"/>
      <w:spacing w:val="-4"/>
      <w:sz w:val="22"/>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88DBE9" w:themeColor="accent1"/>
    </w:rPr>
  </w:style>
  <w:style w:type="character" w:customStyle="1" w:styleId="HiddenText">
    <w:name w:val="Hidden Text"/>
    <w:basedOn w:val="DefaultParagraphFont"/>
    <w:uiPriority w:val="1"/>
    <w:rsid w:val="00204FF8"/>
    <w:rPr>
      <w:vanish/>
      <w:color w:val="FF0000"/>
      <w:sz w:val="20"/>
      <w:szCs w:val="24"/>
      <w:u w:val="dotted"/>
    </w:rPr>
  </w:style>
  <w:style w:type="character" w:customStyle="1" w:styleId="Heading1Char">
    <w:name w:val="Heading 1 Char"/>
    <w:basedOn w:val="DefaultParagraphFont"/>
    <w:link w:val="Heading1"/>
    <w:rsid w:val="00E573AC"/>
    <w:rPr>
      <w:b/>
      <w:bCs/>
      <w:color w:val="004C97" w:themeColor="accent3"/>
      <w:sz w:val="36"/>
    </w:rPr>
  </w:style>
  <w:style w:type="character" w:customStyle="1" w:styleId="Heading2Char">
    <w:name w:val="Heading 2 Char"/>
    <w:basedOn w:val="DefaultParagraphFont"/>
    <w:link w:val="Heading2"/>
    <w:rsid w:val="00F861CF"/>
    <w:rPr>
      <w:b/>
      <w:bCs/>
      <w:iCs/>
      <w:color w:val="004C97" w:themeColor="accent3"/>
      <w:kern w:val="20"/>
      <w:sz w:val="32"/>
      <w:szCs w:val="32"/>
    </w:rPr>
  </w:style>
  <w:style w:type="character" w:customStyle="1" w:styleId="Heading3Char">
    <w:name w:val="Heading 3 Char"/>
    <w:basedOn w:val="DefaultParagraphFont"/>
    <w:link w:val="Heading3"/>
    <w:rsid w:val="00AD30C5"/>
    <w:rPr>
      <w:b/>
      <w:color w:val="004C97" w:themeColor="accent3"/>
      <w:sz w:val="28"/>
      <w:szCs w:val="28"/>
    </w:rPr>
  </w:style>
  <w:style w:type="table" w:styleId="ColorfulGrid">
    <w:name w:val="Colorful Grid"/>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E7F7FA" w:themeFill="accent1" w:themeFillTint="33"/>
    </w:tcPr>
    <w:tblStylePr w:type="firstRow">
      <w:rPr>
        <w:b/>
        <w:bCs/>
      </w:rPr>
      <w:tblPr/>
      <w:tcPr>
        <w:shd w:val="clear" w:color="auto" w:fill="CFF0F6" w:themeFill="accent1" w:themeFillTint="66"/>
      </w:tcPr>
    </w:tblStylePr>
    <w:tblStylePr w:type="lastRow">
      <w:rPr>
        <w:b/>
        <w:bCs/>
        <w:color w:val="000000" w:themeColor="text1"/>
      </w:rPr>
      <w:tblPr/>
      <w:tcPr>
        <w:shd w:val="clear" w:color="auto" w:fill="CFF0F6" w:themeFill="accent1" w:themeFillTint="66"/>
      </w:tcPr>
    </w:tblStylePr>
    <w:tblStylePr w:type="firstCol">
      <w:rPr>
        <w:color w:val="FFFFFF" w:themeColor="background1"/>
      </w:rPr>
      <w:tblPr/>
      <w:tcPr>
        <w:shd w:val="clear" w:color="auto" w:fill="39C3DA" w:themeFill="accent1" w:themeFillShade="BF"/>
      </w:tcPr>
    </w:tblStylePr>
    <w:tblStylePr w:type="lastCol">
      <w:rPr>
        <w:color w:val="FFFFFF" w:themeColor="background1"/>
      </w:rPr>
      <w:tblPr/>
      <w:tcPr>
        <w:shd w:val="clear" w:color="auto" w:fill="39C3DA" w:themeFill="accent1" w:themeFillShade="BF"/>
      </w:tcPr>
    </w:tblStylePr>
    <w:tblStylePr w:type="band1Vert">
      <w:tblPr/>
      <w:tcPr>
        <w:shd w:val="clear" w:color="auto" w:fill="C3EDF4" w:themeFill="accent1" w:themeFillTint="7F"/>
      </w:tcPr>
    </w:tblStylePr>
    <w:tblStylePr w:type="band1Horz">
      <w:tblPr/>
      <w:tcPr>
        <w:shd w:val="clear" w:color="auto" w:fill="C3EDF4" w:themeFill="accent1" w:themeFillTint="7F"/>
      </w:tcPr>
    </w:tblStylePr>
  </w:style>
  <w:style w:type="table" w:styleId="ColorfulGrid-Accent2">
    <w:name w:val="Colorful Grid Accent 2"/>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FDDAC8" w:themeFill="accent2" w:themeFillTint="33"/>
    </w:tcPr>
    <w:tblStylePr w:type="firstRow">
      <w:rPr>
        <w:b/>
        <w:bCs/>
      </w:rPr>
      <w:tblPr/>
      <w:tcPr>
        <w:shd w:val="clear" w:color="auto" w:fill="FCB692" w:themeFill="accent2" w:themeFillTint="66"/>
      </w:tcPr>
    </w:tblStylePr>
    <w:tblStylePr w:type="lastRow">
      <w:rPr>
        <w:b/>
        <w:bCs/>
        <w:color w:val="000000" w:themeColor="text1"/>
      </w:rPr>
      <w:tblPr/>
      <w:tcPr>
        <w:shd w:val="clear" w:color="auto" w:fill="FCB692" w:themeFill="accent2" w:themeFillTint="66"/>
      </w:tcPr>
    </w:tblStylePr>
    <w:tblStylePr w:type="firstCol">
      <w:rPr>
        <w:color w:val="FFFFFF" w:themeColor="background1"/>
      </w:rPr>
      <w:tblPr/>
      <w:tcPr>
        <w:shd w:val="clear" w:color="auto" w:fill="A93D03" w:themeFill="accent2" w:themeFillShade="BF"/>
      </w:tcPr>
    </w:tblStylePr>
    <w:tblStylePr w:type="lastCol">
      <w:rPr>
        <w:color w:val="FFFFFF" w:themeColor="background1"/>
      </w:rPr>
      <w:tblPr/>
      <w:tcPr>
        <w:shd w:val="clear" w:color="auto" w:fill="A93D03" w:themeFill="accent2" w:themeFillShade="BF"/>
      </w:tcPr>
    </w:tblStylePr>
    <w:tblStylePr w:type="band1Vert">
      <w:tblPr/>
      <w:tcPr>
        <w:shd w:val="clear" w:color="auto" w:fill="FCA577" w:themeFill="accent2" w:themeFillTint="7F"/>
      </w:tcPr>
    </w:tblStylePr>
    <w:tblStylePr w:type="band1Horz">
      <w:tblPr/>
      <w:tcPr>
        <w:shd w:val="clear" w:color="auto" w:fill="FCA577" w:themeFill="accent2" w:themeFillTint="7F"/>
      </w:tcPr>
    </w:tblStylePr>
  </w:style>
  <w:style w:type="table" w:styleId="ColorfulGrid-Accent3">
    <w:name w:val="Colorful Grid Accent 3"/>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B7DBFF" w:themeFill="accent3" w:themeFillTint="33"/>
    </w:tcPr>
    <w:tblStylePr w:type="firstRow">
      <w:rPr>
        <w:b/>
        <w:bCs/>
      </w:rPr>
      <w:tblPr/>
      <w:tcPr>
        <w:shd w:val="clear" w:color="auto" w:fill="6FB7FF" w:themeFill="accent3" w:themeFillTint="66"/>
      </w:tcPr>
    </w:tblStylePr>
    <w:tblStylePr w:type="lastRow">
      <w:rPr>
        <w:b/>
        <w:bCs/>
        <w:color w:val="000000" w:themeColor="text1"/>
      </w:rPr>
      <w:tblPr/>
      <w:tcPr>
        <w:shd w:val="clear" w:color="auto" w:fill="6FB7FF" w:themeFill="accent3" w:themeFillTint="66"/>
      </w:tcPr>
    </w:tblStylePr>
    <w:tblStylePr w:type="firstCol">
      <w:rPr>
        <w:color w:val="FFFFFF" w:themeColor="background1"/>
      </w:rPr>
      <w:tblPr/>
      <w:tcPr>
        <w:shd w:val="clear" w:color="auto" w:fill="003871" w:themeFill="accent3" w:themeFillShade="BF"/>
      </w:tcPr>
    </w:tblStylePr>
    <w:tblStylePr w:type="lastCol">
      <w:rPr>
        <w:color w:val="FFFFFF" w:themeColor="background1"/>
      </w:rPr>
      <w:tblPr/>
      <w:tcPr>
        <w:shd w:val="clear" w:color="auto" w:fill="003871" w:themeFill="accent3" w:themeFillShade="BF"/>
      </w:tcPr>
    </w:tblStylePr>
    <w:tblStylePr w:type="band1Vert">
      <w:tblPr/>
      <w:tcPr>
        <w:shd w:val="clear" w:color="auto" w:fill="4CA5FF" w:themeFill="accent3" w:themeFillTint="7F"/>
      </w:tcPr>
    </w:tblStylePr>
    <w:tblStylePr w:type="band1Horz">
      <w:tblPr/>
      <w:tcPr>
        <w:shd w:val="clear" w:color="auto" w:fill="4CA5FF" w:themeFill="accent3" w:themeFillTint="7F"/>
      </w:tcPr>
    </w:tblStylePr>
  </w:style>
  <w:style w:type="table" w:styleId="ColorfulGrid-Accent4">
    <w:name w:val="Colorful Grid Accent 4"/>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E4E3E9" w:themeFill="accent4" w:themeFillTint="33"/>
    </w:tcPr>
    <w:tblStylePr w:type="firstRow">
      <w:rPr>
        <w:b/>
        <w:bCs/>
      </w:rPr>
      <w:tblPr/>
      <w:tcPr>
        <w:shd w:val="clear" w:color="auto" w:fill="C9C7D3" w:themeFill="accent4" w:themeFillTint="66"/>
      </w:tcPr>
    </w:tblStylePr>
    <w:tblStylePr w:type="lastRow">
      <w:rPr>
        <w:b/>
        <w:bCs/>
        <w:color w:val="000000" w:themeColor="text1"/>
      </w:rPr>
      <w:tblPr/>
      <w:tcPr>
        <w:shd w:val="clear" w:color="auto" w:fill="C9C7D3" w:themeFill="accent4" w:themeFillTint="66"/>
      </w:tcPr>
    </w:tblStylePr>
    <w:tblStylePr w:type="firstCol">
      <w:rPr>
        <w:color w:val="FFFFFF" w:themeColor="background1"/>
      </w:rPr>
      <w:tblPr/>
      <w:tcPr>
        <w:shd w:val="clear" w:color="auto" w:fill="5A556C" w:themeFill="accent4" w:themeFillShade="BF"/>
      </w:tcPr>
    </w:tblStylePr>
    <w:tblStylePr w:type="lastCol">
      <w:rPr>
        <w:color w:val="FFFFFF" w:themeColor="background1"/>
      </w:rPr>
      <w:tblPr/>
      <w:tcPr>
        <w:shd w:val="clear" w:color="auto" w:fill="5A556C" w:themeFill="accent4" w:themeFillShade="BF"/>
      </w:tcPr>
    </w:tblStylePr>
    <w:tblStylePr w:type="band1Vert">
      <w:tblPr/>
      <w:tcPr>
        <w:shd w:val="clear" w:color="auto" w:fill="BCB9C8" w:themeFill="accent4" w:themeFillTint="7F"/>
      </w:tcPr>
    </w:tblStylePr>
    <w:tblStylePr w:type="band1Horz">
      <w:tblPr/>
      <w:tcPr>
        <w:shd w:val="clear" w:color="auto" w:fill="BCB9C8" w:themeFill="accent4" w:themeFillTint="7F"/>
      </w:tcPr>
    </w:tblStylePr>
  </w:style>
  <w:style w:type="table" w:styleId="ColorfulGrid-Accent5">
    <w:name w:val="Colorful Grid Accent 5"/>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000000"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FBE9E0" w:themeFill="accent6" w:themeFillTint="33"/>
    </w:tcPr>
    <w:tblStylePr w:type="firstRow">
      <w:rPr>
        <w:b/>
        <w:bCs/>
      </w:rPr>
      <w:tblPr/>
      <w:tcPr>
        <w:shd w:val="clear" w:color="auto" w:fill="F8D5C2" w:themeFill="accent6" w:themeFillTint="66"/>
      </w:tcPr>
    </w:tblStylePr>
    <w:tblStylePr w:type="lastRow">
      <w:rPr>
        <w:b/>
        <w:bCs/>
        <w:color w:val="000000" w:themeColor="text1"/>
      </w:rPr>
      <w:tblPr/>
      <w:tcPr>
        <w:shd w:val="clear" w:color="auto" w:fill="F8D5C2" w:themeFill="accent6" w:themeFillTint="66"/>
      </w:tcPr>
    </w:tblStylePr>
    <w:tblStylePr w:type="firstCol">
      <w:rPr>
        <w:color w:val="FFFFFF" w:themeColor="background1"/>
      </w:rPr>
      <w:tblPr/>
      <w:tcPr>
        <w:shd w:val="clear" w:color="auto" w:fill="E5611B" w:themeFill="accent6" w:themeFillShade="BF"/>
      </w:tcPr>
    </w:tblStylePr>
    <w:tblStylePr w:type="lastCol">
      <w:rPr>
        <w:color w:val="FFFFFF" w:themeColor="background1"/>
      </w:rPr>
      <w:tblPr/>
      <w:tcPr>
        <w:shd w:val="clear" w:color="auto" w:fill="E5611B" w:themeFill="accent6" w:themeFillShade="BF"/>
      </w:tcPr>
    </w:tblStylePr>
    <w:tblStylePr w:type="band1Vert">
      <w:tblPr/>
      <w:tcPr>
        <w:shd w:val="clear" w:color="auto" w:fill="F6CBB4" w:themeFill="accent6" w:themeFillTint="7F"/>
      </w:tcPr>
    </w:tblStylePr>
    <w:tblStylePr w:type="band1Horz">
      <w:tblPr/>
      <w:tcPr>
        <w:shd w:val="clear" w:color="auto" w:fill="F6CBB4" w:themeFill="accent6" w:themeFillTint="7F"/>
      </w:tcPr>
    </w:tblStylePr>
  </w:style>
  <w:style w:type="table" w:styleId="ColorfulList">
    <w:name w:val="Colorful List"/>
    <w:basedOn w:val="TableNormal"/>
    <w:uiPriority w:val="72"/>
    <w:semiHidden/>
    <w:rsid w:val="0022698D"/>
    <w:pPr>
      <w:spacing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4104" w:themeFill="accent2" w:themeFillShade="CC"/>
      </w:tcPr>
    </w:tblStylePr>
    <w:tblStylePr w:type="lastRow">
      <w:rPr>
        <w:b/>
        <w:bCs/>
        <w:color w:val="B5410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2698D"/>
    <w:pPr>
      <w:spacing w:line="240" w:lineRule="auto"/>
    </w:pPr>
    <w:tblPr>
      <w:tblStyleRowBandSize w:val="1"/>
      <w:tblStyleColBandSize w:val="1"/>
    </w:tblPr>
    <w:tcPr>
      <w:shd w:val="clear" w:color="auto" w:fill="F3FBFC" w:themeFill="accent1" w:themeFillTint="19"/>
    </w:tcPr>
    <w:tblStylePr w:type="firstRow">
      <w:rPr>
        <w:b/>
        <w:bCs/>
        <w:color w:val="FFFFFF" w:themeColor="background1"/>
      </w:rPr>
      <w:tblPr/>
      <w:tcPr>
        <w:tcBorders>
          <w:bottom w:val="single" w:sz="12" w:space="0" w:color="FFFFFF" w:themeColor="background1"/>
        </w:tcBorders>
        <w:shd w:val="clear" w:color="auto" w:fill="B54104" w:themeFill="accent2" w:themeFillShade="CC"/>
      </w:tcPr>
    </w:tblStylePr>
    <w:tblStylePr w:type="lastRow">
      <w:rPr>
        <w:b/>
        <w:bCs/>
        <w:color w:val="B5410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9" w:themeFill="accent1" w:themeFillTint="3F"/>
      </w:tcPr>
    </w:tblStylePr>
    <w:tblStylePr w:type="band1Horz">
      <w:tblPr/>
      <w:tcPr>
        <w:shd w:val="clear" w:color="auto" w:fill="E7F7FA" w:themeFill="accent1" w:themeFillTint="33"/>
      </w:tcPr>
    </w:tblStylePr>
  </w:style>
  <w:style w:type="table" w:styleId="ColorfulList-Accent2">
    <w:name w:val="Colorful List Accent 2"/>
    <w:basedOn w:val="TableNormal"/>
    <w:uiPriority w:val="72"/>
    <w:semiHidden/>
    <w:rsid w:val="0022698D"/>
    <w:pPr>
      <w:spacing w:line="240" w:lineRule="auto"/>
    </w:pPr>
    <w:tblPr>
      <w:tblStyleRowBandSize w:val="1"/>
      <w:tblStyleColBandSize w:val="1"/>
    </w:tblPr>
    <w:tcPr>
      <w:shd w:val="clear" w:color="auto" w:fill="FEEDE4" w:themeFill="accent2" w:themeFillTint="19"/>
    </w:tcPr>
    <w:tblStylePr w:type="firstRow">
      <w:rPr>
        <w:b/>
        <w:bCs/>
        <w:color w:val="FFFFFF" w:themeColor="background1"/>
      </w:rPr>
      <w:tblPr/>
      <w:tcPr>
        <w:tcBorders>
          <w:bottom w:val="single" w:sz="12" w:space="0" w:color="FFFFFF" w:themeColor="background1"/>
        </w:tcBorders>
        <w:shd w:val="clear" w:color="auto" w:fill="B54104" w:themeFill="accent2" w:themeFillShade="CC"/>
      </w:tcPr>
    </w:tblStylePr>
    <w:tblStylePr w:type="lastRow">
      <w:rPr>
        <w:b/>
        <w:bCs/>
        <w:color w:val="B5410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D2BB" w:themeFill="accent2" w:themeFillTint="3F"/>
      </w:tcPr>
    </w:tblStylePr>
    <w:tblStylePr w:type="band1Horz">
      <w:tblPr/>
      <w:tcPr>
        <w:shd w:val="clear" w:color="auto" w:fill="FDDAC8" w:themeFill="accent2" w:themeFillTint="33"/>
      </w:tcPr>
    </w:tblStylePr>
  </w:style>
  <w:style w:type="table" w:styleId="ColorfulList-Accent3">
    <w:name w:val="Colorful List Accent 3"/>
    <w:basedOn w:val="TableNormal"/>
    <w:uiPriority w:val="72"/>
    <w:semiHidden/>
    <w:rsid w:val="0022698D"/>
    <w:pPr>
      <w:spacing w:line="240" w:lineRule="auto"/>
    </w:pPr>
    <w:tblPr>
      <w:tblStyleRowBandSize w:val="1"/>
      <w:tblStyleColBandSize w:val="1"/>
    </w:tblPr>
    <w:tcPr>
      <w:shd w:val="clear" w:color="auto" w:fill="DBEDFF" w:themeFill="accent3" w:themeFillTint="19"/>
    </w:tcPr>
    <w:tblStylePr w:type="firstRow">
      <w:rPr>
        <w:b/>
        <w:bCs/>
        <w:color w:val="FFFFFF" w:themeColor="background1"/>
      </w:rPr>
      <w:tblPr/>
      <w:tcPr>
        <w:tcBorders>
          <w:bottom w:val="single" w:sz="12" w:space="0" w:color="FFFFFF" w:themeColor="background1"/>
        </w:tcBorders>
        <w:shd w:val="clear" w:color="auto" w:fill="605B74" w:themeFill="accent4" w:themeFillShade="CC"/>
      </w:tcPr>
    </w:tblStylePr>
    <w:tblStylePr w:type="lastRow">
      <w:rPr>
        <w:b/>
        <w:bCs/>
        <w:color w:val="605B7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3" w:themeFillTint="3F"/>
      </w:tcPr>
    </w:tblStylePr>
    <w:tblStylePr w:type="band1Horz">
      <w:tblPr/>
      <w:tcPr>
        <w:shd w:val="clear" w:color="auto" w:fill="B7DBFF" w:themeFill="accent3" w:themeFillTint="33"/>
      </w:tcPr>
    </w:tblStylePr>
  </w:style>
  <w:style w:type="table" w:styleId="ColorfulList-Accent4">
    <w:name w:val="Colorful List Accent 4"/>
    <w:basedOn w:val="TableNormal"/>
    <w:uiPriority w:val="72"/>
    <w:semiHidden/>
    <w:rsid w:val="0022698D"/>
    <w:pPr>
      <w:spacing w:line="240" w:lineRule="auto"/>
    </w:pPr>
    <w:tblPr>
      <w:tblStyleRowBandSize w:val="1"/>
      <w:tblStyleColBandSize w:val="1"/>
    </w:tblPr>
    <w:tcPr>
      <w:shd w:val="clear" w:color="auto" w:fill="F1F1F4" w:themeFill="accent4" w:themeFillTint="19"/>
    </w:tcPr>
    <w:tblStylePr w:type="firstRow">
      <w:rPr>
        <w:b/>
        <w:bCs/>
        <w:color w:val="FFFFFF" w:themeColor="background1"/>
      </w:rPr>
      <w:tblPr/>
      <w:tcPr>
        <w:tcBorders>
          <w:bottom w:val="single" w:sz="12" w:space="0" w:color="FFFFFF" w:themeColor="background1"/>
        </w:tcBorders>
        <w:shd w:val="clear" w:color="auto" w:fill="003C78" w:themeFill="accent3" w:themeFillShade="CC"/>
      </w:tcPr>
    </w:tblStylePr>
    <w:tblStylePr w:type="lastRow">
      <w:rPr>
        <w:b/>
        <w:bCs/>
        <w:color w:val="003C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CE3" w:themeFill="accent4" w:themeFillTint="3F"/>
      </w:tcPr>
    </w:tblStylePr>
    <w:tblStylePr w:type="band1Horz">
      <w:tblPr/>
      <w:tcPr>
        <w:shd w:val="clear" w:color="auto" w:fill="E4E3E9" w:themeFill="accent4" w:themeFillTint="33"/>
      </w:tcPr>
    </w:tblStylePr>
  </w:style>
  <w:style w:type="table" w:styleId="ColorfulList-Accent5">
    <w:name w:val="Colorful List Accent 5"/>
    <w:basedOn w:val="TableNormal"/>
    <w:uiPriority w:val="72"/>
    <w:semiHidden/>
    <w:rsid w:val="0022698D"/>
    <w:pPr>
      <w:spacing w:line="240" w:lineRule="auto"/>
    </w:pPr>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E76C2B" w:themeFill="accent6" w:themeFillShade="CC"/>
      </w:tcPr>
    </w:tblStylePr>
    <w:tblStylePr w:type="lastRow">
      <w:rPr>
        <w:b/>
        <w:bCs/>
        <w:color w:val="E76C2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22698D"/>
    <w:pPr>
      <w:spacing w:line="240" w:lineRule="auto"/>
    </w:pPr>
    <w:tblPr>
      <w:tblStyleRowBandSize w:val="1"/>
      <w:tblStyleColBandSize w:val="1"/>
    </w:tblPr>
    <w:tcPr>
      <w:shd w:val="clear" w:color="auto" w:fill="FDF4F0"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5D9" w:themeFill="accent6" w:themeFillTint="3F"/>
      </w:tcPr>
    </w:tblStylePr>
    <w:tblStylePr w:type="band1Horz">
      <w:tblPr/>
      <w:tcPr>
        <w:shd w:val="clear" w:color="auto" w:fill="FBE9E0" w:themeFill="accent6" w:themeFillTint="33"/>
      </w:tcPr>
    </w:tblStylePr>
  </w:style>
  <w:style w:type="table" w:styleId="ColorfulShading">
    <w:name w:val="Colorful Shading"/>
    <w:basedOn w:val="TableNormal"/>
    <w:uiPriority w:val="71"/>
    <w:semiHidden/>
    <w:rsid w:val="0022698D"/>
    <w:pPr>
      <w:spacing w:line="240" w:lineRule="auto"/>
    </w:pPr>
    <w:tblPr>
      <w:tblStyleRowBandSize w:val="1"/>
      <w:tblStyleColBandSize w:val="1"/>
      <w:tblBorders>
        <w:top w:val="single" w:sz="24" w:space="0" w:color="E3520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3520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2698D"/>
    <w:pPr>
      <w:spacing w:line="240" w:lineRule="auto"/>
    </w:pPr>
    <w:tblPr>
      <w:tblStyleRowBandSize w:val="1"/>
      <w:tblStyleColBandSize w:val="1"/>
      <w:tblBorders>
        <w:top w:val="single" w:sz="24" w:space="0" w:color="E35205" w:themeColor="accent2"/>
        <w:left w:val="single" w:sz="4" w:space="0" w:color="88DBE9" w:themeColor="accent1"/>
        <w:bottom w:val="single" w:sz="4" w:space="0" w:color="88DBE9" w:themeColor="accent1"/>
        <w:right w:val="single" w:sz="4" w:space="0" w:color="88DBE9" w:themeColor="accent1"/>
        <w:insideH w:val="single" w:sz="4" w:space="0" w:color="FFFFFF" w:themeColor="background1"/>
        <w:insideV w:val="single" w:sz="4" w:space="0" w:color="FFFFFF" w:themeColor="background1"/>
      </w:tblBorders>
    </w:tblPr>
    <w:tcPr>
      <w:shd w:val="clear" w:color="auto" w:fill="F3FBFC" w:themeFill="accent1" w:themeFillTint="19"/>
    </w:tcPr>
    <w:tblStylePr w:type="firstRow">
      <w:rPr>
        <w:b/>
        <w:bCs/>
      </w:rPr>
      <w:tblPr/>
      <w:tcPr>
        <w:tcBorders>
          <w:top w:val="nil"/>
          <w:left w:val="nil"/>
          <w:bottom w:val="single" w:sz="24" w:space="0" w:color="E3520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2A4BA" w:themeFill="accent1" w:themeFillShade="99"/>
      </w:tcPr>
    </w:tblStylePr>
    <w:tblStylePr w:type="firstCol">
      <w:rPr>
        <w:color w:val="FFFFFF" w:themeColor="background1"/>
      </w:rPr>
      <w:tblPr/>
      <w:tcPr>
        <w:tcBorders>
          <w:top w:val="nil"/>
          <w:left w:val="nil"/>
          <w:bottom w:val="nil"/>
          <w:right w:val="nil"/>
          <w:insideH w:val="single" w:sz="4" w:space="0" w:color="22A4BA" w:themeColor="accent1" w:themeShade="99"/>
          <w:insideV w:val="nil"/>
        </w:tcBorders>
        <w:shd w:val="clear" w:color="auto" w:fill="22A4B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2A4BA" w:themeFill="accent1" w:themeFillShade="99"/>
      </w:tcPr>
    </w:tblStylePr>
    <w:tblStylePr w:type="band1Vert">
      <w:tblPr/>
      <w:tcPr>
        <w:shd w:val="clear" w:color="auto" w:fill="CFF0F6" w:themeFill="accent1" w:themeFillTint="66"/>
      </w:tcPr>
    </w:tblStylePr>
    <w:tblStylePr w:type="band1Horz">
      <w:tblPr/>
      <w:tcPr>
        <w:shd w:val="clear" w:color="auto" w:fill="C3EDF4"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2698D"/>
    <w:pPr>
      <w:spacing w:line="240" w:lineRule="auto"/>
    </w:pPr>
    <w:tblPr>
      <w:tblStyleRowBandSize w:val="1"/>
      <w:tblStyleColBandSize w:val="1"/>
      <w:tblBorders>
        <w:top w:val="single" w:sz="24" w:space="0" w:color="E35205" w:themeColor="accent2"/>
        <w:left w:val="single" w:sz="4" w:space="0" w:color="E35205" w:themeColor="accent2"/>
        <w:bottom w:val="single" w:sz="4" w:space="0" w:color="E35205" w:themeColor="accent2"/>
        <w:right w:val="single" w:sz="4" w:space="0" w:color="E35205" w:themeColor="accent2"/>
        <w:insideH w:val="single" w:sz="4" w:space="0" w:color="FFFFFF" w:themeColor="background1"/>
        <w:insideV w:val="single" w:sz="4" w:space="0" w:color="FFFFFF" w:themeColor="background1"/>
      </w:tblBorders>
    </w:tblPr>
    <w:tcPr>
      <w:shd w:val="clear" w:color="auto" w:fill="FEEDE4" w:themeFill="accent2" w:themeFillTint="19"/>
    </w:tcPr>
    <w:tblStylePr w:type="firstRow">
      <w:rPr>
        <w:b/>
        <w:bCs/>
      </w:rPr>
      <w:tblPr/>
      <w:tcPr>
        <w:tcBorders>
          <w:top w:val="nil"/>
          <w:left w:val="nil"/>
          <w:bottom w:val="single" w:sz="24" w:space="0" w:color="E3520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3003" w:themeFill="accent2" w:themeFillShade="99"/>
      </w:tcPr>
    </w:tblStylePr>
    <w:tblStylePr w:type="firstCol">
      <w:rPr>
        <w:color w:val="FFFFFF" w:themeColor="background1"/>
      </w:rPr>
      <w:tblPr/>
      <w:tcPr>
        <w:tcBorders>
          <w:top w:val="nil"/>
          <w:left w:val="nil"/>
          <w:bottom w:val="nil"/>
          <w:right w:val="nil"/>
          <w:insideH w:val="single" w:sz="4" w:space="0" w:color="883003" w:themeColor="accent2" w:themeShade="99"/>
          <w:insideV w:val="nil"/>
        </w:tcBorders>
        <w:shd w:val="clear" w:color="auto" w:fill="88300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3003" w:themeFill="accent2" w:themeFillShade="99"/>
      </w:tcPr>
    </w:tblStylePr>
    <w:tblStylePr w:type="band1Vert">
      <w:tblPr/>
      <w:tcPr>
        <w:shd w:val="clear" w:color="auto" w:fill="FCB692" w:themeFill="accent2" w:themeFillTint="66"/>
      </w:tcPr>
    </w:tblStylePr>
    <w:tblStylePr w:type="band1Horz">
      <w:tblPr/>
      <w:tcPr>
        <w:shd w:val="clear" w:color="auto" w:fill="FCA577"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2698D"/>
    <w:pPr>
      <w:spacing w:line="240" w:lineRule="auto"/>
    </w:pPr>
    <w:tblPr>
      <w:tblStyleRowBandSize w:val="1"/>
      <w:tblStyleColBandSize w:val="1"/>
      <w:tblBorders>
        <w:top w:val="single" w:sz="24" w:space="0" w:color="797391" w:themeColor="accent4"/>
        <w:left w:val="single" w:sz="4" w:space="0" w:color="004C97" w:themeColor="accent3"/>
        <w:bottom w:val="single" w:sz="4" w:space="0" w:color="004C97" w:themeColor="accent3"/>
        <w:right w:val="single" w:sz="4" w:space="0" w:color="004C97" w:themeColor="accent3"/>
        <w:insideH w:val="single" w:sz="4" w:space="0" w:color="FFFFFF" w:themeColor="background1"/>
        <w:insideV w:val="single" w:sz="4" w:space="0" w:color="FFFFFF" w:themeColor="background1"/>
      </w:tblBorders>
    </w:tblPr>
    <w:tcPr>
      <w:shd w:val="clear" w:color="auto" w:fill="DBEDFF" w:themeFill="accent3" w:themeFillTint="19"/>
    </w:tcPr>
    <w:tblStylePr w:type="firstRow">
      <w:rPr>
        <w:b/>
        <w:bCs/>
      </w:rPr>
      <w:tblPr/>
      <w:tcPr>
        <w:tcBorders>
          <w:top w:val="nil"/>
          <w:left w:val="nil"/>
          <w:bottom w:val="single" w:sz="24" w:space="0" w:color="79739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3" w:themeFillShade="99"/>
      </w:tcPr>
    </w:tblStylePr>
    <w:tblStylePr w:type="firstCol">
      <w:rPr>
        <w:color w:val="FFFFFF" w:themeColor="background1"/>
      </w:rPr>
      <w:tblPr/>
      <w:tcPr>
        <w:tcBorders>
          <w:top w:val="nil"/>
          <w:left w:val="nil"/>
          <w:bottom w:val="nil"/>
          <w:right w:val="nil"/>
          <w:insideH w:val="single" w:sz="4" w:space="0" w:color="002D5A" w:themeColor="accent3" w:themeShade="99"/>
          <w:insideV w:val="nil"/>
        </w:tcBorders>
        <w:shd w:val="clear" w:color="auto" w:fill="002D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3" w:themeFillShade="99"/>
      </w:tcPr>
    </w:tblStylePr>
    <w:tblStylePr w:type="band1Vert">
      <w:tblPr/>
      <w:tcPr>
        <w:shd w:val="clear" w:color="auto" w:fill="6FB7FF" w:themeFill="accent3" w:themeFillTint="66"/>
      </w:tcPr>
    </w:tblStylePr>
    <w:tblStylePr w:type="band1Horz">
      <w:tblPr/>
      <w:tcPr>
        <w:shd w:val="clear" w:color="auto" w:fill="4CA5FF" w:themeFill="accent3" w:themeFillTint="7F"/>
      </w:tcPr>
    </w:tblStylePr>
  </w:style>
  <w:style w:type="table" w:styleId="ColorfulShading-Accent4">
    <w:name w:val="Colorful Shading Accent 4"/>
    <w:basedOn w:val="TableNormal"/>
    <w:uiPriority w:val="71"/>
    <w:semiHidden/>
    <w:rsid w:val="0022698D"/>
    <w:pPr>
      <w:spacing w:line="240" w:lineRule="auto"/>
    </w:pPr>
    <w:tblPr>
      <w:tblStyleRowBandSize w:val="1"/>
      <w:tblStyleColBandSize w:val="1"/>
      <w:tblBorders>
        <w:top w:val="single" w:sz="24" w:space="0" w:color="004C97" w:themeColor="accent3"/>
        <w:left w:val="single" w:sz="4" w:space="0" w:color="797391" w:themeColor="accent4"/>
        <w:bottom w:val="single" w:sz="4" w:space="0" w:color="797391" w:themeColor="accent4"/>
        <w:right w:val="single" w:sz="4" w:space="0" w:color="797391" w:themeColor="accent4"/>
        <w:insideH w:val="single" w:sz="4" w:space="0" w:color="FFFFFF" w:themeColor="background1"/>
        <w:insideV w:val="single" w:sz="4" w:space="0" w:color="FFFFFF" w:themeColor="background1"/>
      </w:tblBorders>
    </w:tblPr>
    <w:tcPr>
      <w:shd w:val="clear" w:color="auto" w:fill="F1F1F4" w:themeFill="accent4" w:themeFillTint="19"/>
    </w:tcPr>
    <w:tblStylePr w:type="firstRow">
      <w:rPr>
        <w:b/>
        <w:bCs/>
      </w:rPr>
      <w:tblPr/>
      <w:tcPr>
        <w:tcBorders>
          <w:top w:val="nil"/>
          <w:left w:val="nil"/>
          <w:bottom w:val="single" w:sz="24" w:space="0" w:color="004C9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4457" w:themeFill="accent4" w:themeFillShade="99"/>
      </w:tcPr>
    </w:tblStylePr>
    <w:tblStylePr w:type="firstCol">
      <w:rPr>
        <w:color w:val="FFFFFF" w:themeColor="background1"/>
      </w:rPr>
      <w:tblPr/>
      <w:tcPr>
        <w:tcBorders>
          <w:top w:val="nil"/>
          <w:left w:val="nil"/>
          <w:bottom w:val="nil"/>
          <w:right w:val="nil"/>
          <w:insideH w:val="single" w:sz="4" w:space="0" w:color="484457" w:themeColor="accent4" w:themeShade="99"/>
          <w:insideV w:val="nil"/>
        </w:tcBorders>
        <w:shd w:val="clear" w:color="auto" w:fill="48445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84457" w:themeFill="accent4" w:themeFillShade="99"/>
      </w:tcPr>
    </w:tblStylePr>
    <w:tblStylePr w:type="band1Vert">
      <w:tblPr/>
      <w:tcPr>
        <w:shd w:val="clear" w:color="auto" w:fill="C9C7D3" w:themeFill="accent4" w:themeFillTint="66"/>
      </w:tcPr>
    </w:tblStylePr>
    <w:tblStylePr w:type="band1Horz">
      <w:tblPr/>
      <w:tcPr>
        <w:shd w:val="clear" w:color="auto" w:fill="BCB9C8"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2698D"/>
    <w:pPr>
      <w:spacing w:line="240" w:lineRule="auto"/>
    </w:pPr>
    <w:tblPr>
      <w:tblStyleRowBandSize w:val="1"/>
      <w:tblStyleColBandSize w:val="1"/>
      <w:tblBorders>
        <w:top w:val="single" w:sz="24" w:space="0" w:color="EE9769"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EE976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2698D"/>
    <w:pPr>
      <w:spacing w:line="240" w:lineRule="auto"/>
    </w:pPr>
    <w:tblPr>
      <w:tblStyleRowBandSize w:val="1"/>
      <w:tblStyleColBandSize w:val="1"/>
      <w:tblBorders>
        <w:top w:val="single" w:sz="24" w:space="0" w:color="6694C1" w:themeColor="accent5"/>
        <w:left w:val="single" w:sz="4" w:space="0" w:color="EE9769" w:themeColor="accent6"/>
        <w:bottom w:val="single" w:sz="4" w:space="0" w:color="EE9769" w:themeColor="accent6"/>
        <w:right w:val="single" w:sz="4" w:space="0" w:color="EE9769" w:themeColor="accent6"/>
        <w:insideH w:val="single" w:sz="4" w:space="0" w:color="FFFFFF" w:themeColor="background1"/>
        <w:insideV w:val="single" w:sz="4" w:space="0" w:color="FFFFFF" w:themeColor="background1"/>
      </w:tblBorders>
    </w:tblPr>
    <w:tcPr>
      <w:shd w:val="clear" w:color="auto" w:fill="FDF4F0"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84D15" w:themeFill="accent6" w:themeFillShade="99"/>
      </w:tcPr>
    </w:tblStylePr>
    <w:tblStylePr w:type="firstCol">
      <w:rPr>
        <w:color w:val="FFFFFF" w:themeColor="background1"/>
      </w:rPr>
      <w:tblPr/>
      <w:tcPr>
        <w:tcBorders>
          <w:top w:val="nil"/>
          <w:left w:val="nil"/>
          <w:bottom w:val="nil"/>
          <w:right w:val="nil"/>
          <w:insideH w:val="single" w:sz="4" w:space="0" w:color="B84D15" w:themeColor="accent6" w:themeShade="99"/>
          <w:insideV w:val="nil"/>
        </w:tcBorders>
        <w:shd w:val="clear" w:color="auto" w:fill="B84D1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84D15" w:themeFill="accent6" w:themeFillShade="99"/>
      </w:tcPr>
    </w:tblStylePr>
    <w:tblStylePr w:type="band1Vert">
      <w:tblPr/>
      <w:tcPr>
        <w:shd w:val="clear" w:color="auto" w:fill="F8D5C2" w:themeFill="accent6" w:themeFillTint="66"/>
      </w:tcPr>
    </w:tblStylePr>
    <w:tblStylePr w:type="band1Horz">
      <w:tblPr/>
      <w:tcPr>
        <w:shd w:val="clear" w:color="auto" w:fill="F6CBB4"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2698D"/>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2698D"/>
    <w:pPr>
      <w:spacing w:line="240" w:lineRule="auto"/>
    </w:pPr>
    <w:rPr>
      <w:color w:val="FFFFFF" w:themeColor="background1"/>
    </w:rPr>
    <w:tblPr>
      <w:tblStyleRowBandSize w:val="1"/>
      <w:tblStyleColBandSize w:val="1"/>
    </w:tblPr>
    <w:tcPr>
      <w:shd w:val="clear" w:color="auto" w:fill="88DBE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889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9C3D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9C3DA" w:themeFill="accent1" w:themeFillShade="BF"/>
      </w:tcPr>
    </w:tblStylePr>
    <w:tblStylePr w:type="band1Vert">
      <w:tblPr/>
      <w:tcPr>
        <w:tcBorders>
          <w:top w:val="nil"/>
          <w:left w:val="nil"/>
          <w:bottom w:val="nil"/>
          <w:right w:val="nil"/>
          <w:insideH w:val="nil"/>
          <w:insideV w:val="nil"/>
        </w:tcBorders>
        <w:shd w:val="clear" w:color="auto" w:fill="39C3DA" w:themeFill="accent1" w:themeFillShade="BF"/>
      </w:tcPr>
    </w:tblStylePr>
    <w:tblStylePr w:type="band1Horz">
      <w:tblPr/>
      <w:tcPr>
        <w:tcBorders>
          <w:top w:val="nil"/>
          <w:left w:val="nil"/>
          <w:bottom w:val="nil"/>
          <w:right w:val="nil"/>
          <w:insideH w:val="nil"/>
          <w:insideV w:val="nil"/>
        </w:tcBorders>
        <w:shd w:val="clear" w:color="auto" w:fill="39C3DA" w:themeFill="accent1" w:themeFillShade="BF"/>
      </w:tcPr>
    </w:tblStylePr>
  </w:style>
  <w:style w:type="table" w:styleId="DarkList-Accent2">
    <w:name w:val="Dark List Accent 2"/>
    <w:basedOn w:val="TableNormal"/>
    <w:uiPriority w:val="70"/>
    <w:semiHidden/>
    <w:rsid w:val="0022698D"/>
    <w:pPr>
      <w:spacing w:line="240" w:lineRule="auto"/>
    </w:pPr>
    <w:rPr>
      <w:color w:val="FFFFFF" w:themeColor="background1"/>
    </w:rPr>
    <w:tblPr>
      <w:tblStyleRowBandSize w:val="1"/>
      <w:tblStyleColBandSize w:val="1"/>
    </w:tblPr>
    <w:tcPr>
      <w:shd w:val="clear" w:color="auto" w:fill="E3520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280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93D0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93D03" w:themeFill="accent2" w:themeFillShade="BF"/>
      </w:tcPr>
    </w:tblStylePr>
    <w:tblStylePr w:type="band1Vert">
      <w:tblPr/>
      <w:tcPr>
        <w:tcBorders>
          <w:top w:val="nil"/>
          <w:left w:val="nil"/>
          <w:bottom w:val="nil"/>
          <w:right w:val="nil"/>
          <w:insideH w:val="nil"/>
          <w:insideV w:val="nil"/>
        </w:tcBorders>
        <w:shd w:val="clear" w:color="auto" w:fill="A93D03" w:themeFill="accent2" w:themeFillShade="BF"/>
      </w:tcPr>
    </w:tblStylePr>
    <w:tblStylePr w:type="band1Horz">
      <w:tblPr/>
      <w:tcPr>
        <w:tcBorders>
          <w:top w:val="nil"/>
          <w:left w:val="nil"/>
          <w:bottom w:val="nil"/>
          <w:right w:val="nil"/>
          <w:insideH w:val="nil"/>
          <w:insideV w:val="nil"/>
        </w:tcBorders>
        <w:shd w:val="clear" w:color="auto" w:fill="A93D03" w:themeFill="accent2" w:themeFillShade="BF"/>
      </w:tcPr>
    </w:tblStylePr>
  </w:style>
  <w:style w:type="table" w:styleId="DarkList-Accent3">
    <w:name w:val="Dark List Accent 3"/>
    <w:basedOn w:val="TableNormal"/>
    <w:uiPriority w:val="70"/>
    <w:semiHidden/>
    <w:rsid w:val="0022698D"/>
    <w:pPr>
      <w:spacing w:line="240" w:lineRule="auto"/>
    </w:pPr>
    <w:rPr>
      <w:color w:val="FFFFFF" w:themeColor="background1"/>
    </w:rPr>
    <w:tblPr>
      <w:tblStyleRowBandSize w:val="1"/>
      <w:tblStyleColBandSize w:val="1"/>
    </w:tblPr>
    <w:tcPr>
      <w:shd w:val="clear" w:color="auto" w:fill="004C9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3" w:themeFillShade="BF"/>
      </w:tcPr>
    </w:tblStylePr>
    <w:tblStylePr w:type="band1Vert">
      <w:tblPr/>
      <w:tcPr>
        <w:tcBorders>
          <w:top w:val="nil"/>
          <w:left w:val="nil"/>
          <w:bottom w:val="nil"/>
          <w:right w:val="nil"/>
          <w:insideH w:val="nil"/>
          <w:insideV w:val="nil"/>
        </w:tcBorders>
        <w:shd w:val="clear" w:color="auto" w:fill="003871" w:themeFill="accent3" w:themeFillShade="BF"/>
      </w:tcPr>
    </w:tblStylePr>
    <w:tblStylePr w:type="band1Horz">
      <w:tblPr/>
      <w:tcPr>
        <w:tcBorders>
          <w:top w:val="nil"/>
          <w:left w:val="nil"/>
          <w:bottom w:val="nil"/>
          <w:right w:val="nil"/>
          <w:insideH w:val="nil"/>
          <w:insideV w:val="nil"/>
        </w:tcBorders>
        <w:shd w:val="clear" w:color="auto" w:fill="003871" w:themeFill="accent3" w:themeFillShade="BF"/>
      </w:tcPr>
    </w:tblStylePr>
  </w:style>
  <w:style w:type="table" w:styleId="DarkList-Accent4">
    <w:name w:val="Dark List Accent 4"/>
    <w:basedOn w:val="TableNormal"/>
    <w:uiPriority w:val="70"/>
    <w:semiHidden/>
    <w:rsid w:val="0022698D"/>
    <w:pPr>
      <w:spacing w:line="240" w:lineRule="auto"/>
    </w:pPr>
    <w:rPr>
      <w:color w:val="FFFFFF" w:themeColor="background1"/>
    </w:rPr>
    <w:tblPr>
      <w:tblStyleRowBandSize w:val="1"/>
      <w:tblStyleColBandSize w:val="1"/>
    </w:tblPr>
    <w:tcPr>
      <w:shd w:val="clear" w:color="auto" w:fill="79739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94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A556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A556C" w:themeFill="accent4" w:themeFillShade="BF"/>
      </w:tcPr>
    </w:tblStylePr>
    <w:tblStylePr w:type="band1Vert">
      <w:tblPr/>
      <w:tcPr>
        <w:tcBorders>
          <w:top w:val="nil"/>
          <w:left w:val="nil"/>
          <w:bottom w:val="nil"/>
          <w:right w:val="nil"/>
          <w:insideH w:val="nil"/>
          <w:insideV w:val="nil"/>
        </w:tcBorders>
        <w:shd w:val="clear" w:color="auto" w:fill="5A556C" w:themeFill="accent4" w:themeFillShade="BF"/>
      </w:tcPr>
    </w:tblStylePr>
    <w:tblStylePr w:type="band1Horz">
      <w:tblPr/>
      <w:tcPr>
        <w:tcBorders>
          <w:top w:val="nil"/>
          <w:left w:val="nil"/>
          <w:bottom w:val="nil"/>
          <w:right w:val="nil"/>
          <w:insideH w:val="nil"/>
          <w:insideV w:val="nil"/>
        </w:tcBorders>
        <w:shd w:val="clear" w:color="auto" w:fill="5A556C" w:themeFill="accent4" w:themeFillShade="BF"/>
      </w:tcPr>
    </w:tblStylePr>
  </w:style>
  <w:style w:type="table" w:styleId="DarkList-Accent5">
    <w:name w:val="Dark List Accent 5"/>
    <w:basedOn w:val="TableNormal"/>
    <w:uiPriority w:val="70"/>
    <w:semiHidden/>
    <w:rsid w:val="0022698D"/>
    <w:pPr>
      <w:spacing w:line="240" w:lineRule="auto"/>
    </w:pPr>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22698D"/>
    <w:pPr>
      <w:spacing w:line="240" w:lineRule="auto"/>
    </w:pPr>
    <w:rPr>
      <w:color w:val="FFFFFF" w:themeColor="background1"/>
    </w:rPr>
    <w:tblPr>
      <w:tblStyleRowBandSize w:val="1"/>
      <w:tblStyleColBandSize w:val="1"/>
    </w:tblPr>
    <w:tcPr>
      <w:shd w:val="clear" w:color="auto" w:fill="EE976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940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5611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5611B" w:themeFill="accent6" w:themeFillShade="BF"/>
      </w:tcPr>
    </w:tblStylePr>
    <w:tblStylePr w:type="band1Vert">
      <w:tblPr/>
      <w:tcPr>
        <w:tcBorders>
          <w:top w:val="nil"/>
          <w:left w:val="nil"/>
          <w:bottom w:val="nil"/>
          <w:right w:val="nil"/>
          <w:insideH w:val="nil"/>
          <w:insideV w:val="nil"/>
        </w:tcBorders>
        <w:shd w:val="clear" w:color="auto" w:fill="E5611B" w:themeFill="accent6" w:themeFillShade="BF"/>
      </w:tcPr>
    </w:tblStylePr>
    <w:tblStylePr w:type="band1Horz">
      <w:tblPr/>
      <w:tcPr>
        <w:tcBorders>
          <w:top w:val="nil"/>
          <w:left w:val="nil"/>
          <w:bottom w:val="nil"/>
          <w:right w:val="nil"/>
          <w:insideH w:val="nil"/>
          <w:insideV w:val="nil"/>
        </w:tcBorders>
        <w:shd w:val="clear" w:color="auto" w:fill="E5611B" w:themeFill="accent6" w:themeFillShade="BF"/>
      </w:tcPr>
    </w:tblStylePr>
  </w:style>
  <w:style w:type="table" w:styleId="GridTable1Light">
    <w:name w:val="Grid Table 1 Light"/>
    <w:basedOn w:val="TableNormal"/>
    <w:uiPriority w:val="46"/>
    <w:semiHidden/>
    <w:rsid w:val="0022698D"/>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2698D"/>
    <w:pPr>
      <w:spacing w:line="240" w:lineRule="auto"/>
    </w:pPr>
    <w:tblPr>
      <w:tblStyleRowBandSize w:val="1"/>
      <w:tblStyleColBandSize w:val="1"/>
      <w:tblBorders>
        <w:top w:val="single" w:sz="4" w:space="0" w:color="CFF0F6" w:themeColor="accent1" w:themeTint="66"/>
        <w:left w:val="single" w:sz="4" w:space="0" w:color="CFF0F6" w:themeColor="accent1" w:themeTint="66"/>
        <w:bottom w:val="single" w:sz="4" w:space="0" w:color="CFF0F6" w:themeColor="accent1" w:themeTint="66"/>
        <w:right w:val="single" w:sz="4" w:space="0" w:color="CFF0F6" w:themeColor="accent1" w:themeTint="66"/>
        <w:insideH w:val="single" w:sz="4" w:space="0" w:color="CFF0F6" w:themeColor="accent1" w:themeTint="66"/>
        <w:insideV w:val="single" w:sz="4" w:space="0" w:color="CFF0F6" w:themeColor="accent1" w:themeTint="66"/>
      </w:tblBorders>
    </w:tblPr>
    <w:tblStylePr w:type="firstRow">
      <w:rPr>
        <w:b/>
        <w:bCs/>
      </w:rPr>
      <w:tblPr/>
      <w:tcPr>
        <w:tcBorders>
          <w:bottom w:val="single" w:sz="12" w:space="0" w:color="B7E9F1" w:themeColor="accent1" w:themeTint="99"/>
        </w:tcBorders>
      </w:tcPr>
    </w:tblStylePr>
    <w:tblStylePr w:type="lastRow">
      <w:rPr>
        <w:b/>
        <w:bCs/>
      </w:rPr>
      <w:tblPr/>
      <w:tcPr>
        <w:tcBorders>
          <w:top w:val="double" w:sz="2" w:space="0" w:color="B7E9F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2698D"/>
    <w:pPr>
      <w:spacing w:line="240" w:lineRule="auto"/>
    </w:pPr>
    <w:tblPr>
      <w:tblStyleRowBandSize w:val="1"/>
      <w:tblStyleColBandSize w:val="1"/>
      <w:tblBorders>
        <w:top w:val="single" w:sz="4" w:space="0" w:color="FCB692" w:themeColor="accent2" w:themeTint="66"/>
        <w:left w:val="single" w:sz="4" w:space="0" w:color="FCB692" w:themeColor="accent2" w:themeTint="66"/>
        <w:bottom w:val="single" w:sz="4" w:space="0" w:color="FCB692" w:themeColor="accent2" w:themeTint="66"/>
        <w:right w:val="single" w:sz="4" w:space="0" w:color="FCB692" w:themeColor="accent2" w:themeTint="66"/>
        <w:insideH w:val="single" w:sz="4" w:space="0" w:color="FCB692" w:themeColor="accent2" w:themeTint="66"/>
        <w:insideV w:val="single" w:sz="4" w:space="0" w:color="FCB692" w:themeColor="accent2" w:themeTint="66"/>
      </w:tblBorders>
    </w:tblPr>
    <w:tblStylePr w:type="firstRow">
      <w:rPr>
        <w:b/>
        <w:bCs/>
      </w:rPr>
      <w:tblPr/>
      <w:tcPr>
        <w:tcBorders>
          <w:bottom w:val="single" w:sz="12" w:space="0" w:color="FB925B" w:themeColor="accent2" w:themeTint="99"/>
        </w:tcBorders>
      </w:tcPr>
    </w:tblStylePr>
    <w:tblStylePr w:type="lastRow">
      <w:rPr>
        <w:b/>
        <w:bCs/>
      </w:rPr>
      <w:tblPr/>
      <w:tcPr>
        <w:tcBorders>
          <w:top w:val="double" w:sz="2" w:space="0" w:color="FB925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2698D"/>
    <w:pPr>
      <w:spacing w:line="240" w:lineRule="auto"/>
    </w:pPr>
    <w:tblPr>
      <w:tblStyleRowBandSize w:val="1"/>
      <w:tblStyleColBandSize w:val="1"/>
      <w:tblBorders>
        <w:top w:val="single" w:sz="4" w:space="0" w:color="6FB7FF" w:themeColor="accent3" w:themeTint="66"/>
        <w:left w:val="single" w:sz="4" w:space="0" w:color="6FB7FF" w:themeColor="accent3" w:themeTint="66"/>
        <w:bottom w:val="single" w:sz="4" w:space="0" w:color="6FB7FF" w:themeColor="accent3" w:themeTint="66"/>
        <w:right w:val="single" w:sz="4" w:space="0" w:color="6FB7FF" w:themeColor="accent3" w:themeTint="66"/>
        <w:insideH w:val="single" w:sz="4" w:space="0" w:color="6FB7FF" w:themeColor="accent3" w:themeTint="66"/>
        <w:insideV w:val="single" w:sz="4" w:space="0" w:color="6FB7FF" w:themeColor="accent3" w:themeTint="66"/>
      </w:tblBorders>
    </w:tblPr>
    <w:tblStylePr w:type="firstRow">
      <w:rPr>
        <w:b/>
        <w:bCs/>
      </w:rPr>
      <w:tblPr/>
      <w:tcPr>
        <w:tcBorders>
          <w:bottom w:val="single" w:sz="12" w:space="0" w:color="2793FF" w:themeColor="accent3" w:themeTint="99"/>
        </w:tcBorders>
      </w:tcPr>
    </w:tblStylePr>
    <w:tblStylePr w:type="lastRow">
      <w:rPr>
        <w:b/>
        <w:bCs/>
      </w:rPr>
      <w:tblPr/>
      <w:tcPr>
        <w:tcBorders>
          <w:top w:val="double" w:sz="2" w:space="0" w:color="2793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2698D"/>
    <w:pPr>
      <w:spacing w:line="240" w:lineRule="auto"/>
    </w:pPr>
    <w:tblPr>
      <w:tblStyleRowBandSize w:val="1"/>
      <w:tblStyleColBandSize w:val="1"/>
      <w:tblBorders>
        <w:top w:val="single" w:sz="4" w:space="0" w:color="C9C7D3" w:themeColor="accent4" w:themeTint="66"/>
        <w:left w:val="single" w:sz="4" w:space="0" w:color="C9C7D3" w:themeColor="accent4" w:themeTint="66"/>
        <w:bottom w:val="single" w:sz="4" w:space="0" w:color="C9C7D3" w:themeColor="accent4" w:themeTint="66"/>
        <w:right w:val="single" w:sz="4" w:space="0" w:color="C9C7D3" w:themeColor="accent4" w:themeTint="66"/>
        <w:insideH w:val="single" w:sz="4" w:space="0" w:color="C9C7D3" w:themeColor="accent4" w:themeTint="66"/>
        <w:insideV w:val="single" w:sz="4" w:space="0" w:color="C9C7D3" w:themeColor="accent4" w:themeTint="66"/>
      </w:tblBorders>
    </w:tblPr>
    <w:tblStylePr w:type="firstRow">
      <w:rPr>
        <w:b/>
        <w:bCs/>
      </w:rPr>
      <w:tblPr/>
      <w:tcPr>
        <w:tcBorders>
          <w:bottom w:val="single" w:sz="12" w:space="0" w:color="AEABBD" w:themeColor="accent4" w:themeTint="99"/>
        </w:tcBorders>
      </w:tcPr>
    </w:tblStylePr>
    <w:tblStylePr w:type="lastRow">
      <w:rPr>
        <w:b/>
        <w:bCs/>
      </w:rPr>
      <w:tblPr/>
      <w:tcPr>
        <w:tcBorders>
          <w:top w:val="double" w:sz="2" w:space="0" w:color="AEABB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2698D"/>
    <w:pPr>
      <w:spacing w:line="240" w:lineRule="auto"/>
    </w:pPr>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2698D"/>
    <w:pPr>
      <w:spacing w:line="240" w:lineRule="auto"/>
    </w:pPr>
    <w:tblPr>
      <w:tblStyleRowBandSize w:val="1"/>
      <w:tblStyleColBandSize w:val="1"/>
      <w:tblBorders>
        <w:top w:val="single" w:sz="4" w:space="0" w:color="F8D5C2" w:themeColor="accent6" w:themeTint="66"/>
        <w:left w:val="single" w:sz="4" w:space="0" w:color="F8D5C2" w:themeColor="accent6" w:themeTint="66"/>
        <w:bottom w:val="single" w:sz="4" w:space="0" w:color="F8D5C2" w:themeColor="accent6" w:themeTint="66"/>
        <w:right w:val="single" w:sz="4" w:space="0" w:color="F8D5C2" w:themeColor="accent6" w:themeTint="66"/>
        <w:insideH w:val="single" w:sz="4" w:space="0" w:color="F8D5C2" w:themeColor="accent6" w:themeTint="66"/>
        <w:insideV w:val="single" w:sz="4" w:space="0" w:color="F8D5C2" w:themeColor="accent6" w:themeTint="66"/>
      </w:tblBorders>
    </w:tblPr>
    <w:tblStylePr w:type="firstRow">
      <w:rPr>
        <w:b/>
        <w:bCs/>
      </w:rPr>
      <w:tblPr/>
      <w:tcPr>
        <w:tcBorders>
          <w:bottom w:val="single" w:sz="12" w:space="0" w:color="F4C0A4" w:themeColor="accent6" w:themeTint="99"/>
        </w:tcBorders>
      </w:tcPr>
    </w:tblStylePr>
    <w:tblStylePr w:type="lastRow">
      <w:rPr>
        <w:b/>
        <w:bCs/>
      </w:rPr>
      <w:tblPr/>
      <w:tcPr>
        <w:tcBorders>
          <w:top w:val="double" w:sz="2" w:space="0" w:color="F4C0A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2698D"/>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2698D"/>
    <w:pPr>
      <w:spacing w:line="240" w:lineRule="auto"/>
    </w:pPr>
    <w:tblPr>
      <w:tblStyleRowBandSize w:val="1"/>
      <w:tblStyleColBandSize w:val="1"/>
      <w:tblBorders>
        <w:top w:val="single" w:sz="2" w:space="0" w:color="B7E9F1" w:themeColor="accent1" w:themeTint="99"/>
        <w:bottom w:val="single" w:sz="2" w:space="0" w:color="B7E9F1" w:themeColor="accent1" w:themeTint="99"/>
        <w:insideH w:val="single" w:sz="2" w:space="0" w:color="B7E9F1" w:themeColor="accent1" w:themeTint="99"/>
        <w:insideV w:val="single" w:sz="2" w:space="0" w:color="B7E9F1" w:themeColor="accent1" w:themeTint="99"/>
      </w:tblBorders>
    </w:tblPr>
    <w:tblStylePr w:type="firstRow">
      <w:rPr>
        <w:b/>
        <w:bCs/>
      </w:rPr>
      <w:tblPr/>
      <w:tcPr>
        <w:tcBorders>
          <w:top w:val="nil"/>
          <w:bottom w:val="single" w:sz="12" w:space="0" w:color="B7E9F1" w:themeColor="accent1" w:themeTint="99"/>
          <w:insideH w:val="nil"/>
          <w:insideV w:val="nil"/>
        </w:tcBorders>
        <w:shd w:val="clear" w:color="auto" w:fill="FFFFFF" w:themeFill="background1"/>
      </w:tcPr>
    </w:tblStylePr>
    <w:tblStylePr w:type="lastRow">
      <w:rPr>
        <w:b/>
        <w:bCs/>
      </w:rPr>
      <w:tblPr/>
      <w:tcPr>
        <w:tcBorders>
          <w:top w:val="double" w:sz="2" w:space="0" w:color="B7E9F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GridTable2-Accent2">
    <w:name w:val="Grid Table 2 Accent 2"/>
    <w:basedOn w:val="TableNormal"/>
    <w:uiPriority w:val="47"/>
    <w:semiHidden/>
    <w:rsid w:val="0022698D"/>
    <w:pPr>
      <w:spacing w:line="240" w:lineRule="auto"/>
    </w:pPr>
    <w:tblPr>
      <w:tblStyleRowBandSize w:val="1"/>
      <w:tblStyleColBandSize w:val="1"/>
      <w:tblBorders>
        <w:top w:val="single" w:sz="2" w:space="0" w:color="FB925B" w:themeColor="accent2" w:themeTint="99"/>
        <w:bottom w:val="single" w:sz="2" w:space="0" w:color="FB925B" w:themeColor="accent2" w:themeTint="99"/>
        <w:insideH w:val="single" w:sz="2" w:space="0" w:color="FB925B" w:themeColor="accent2" w:themeTint="99"/>
        <w:insideV w:val="single" w:sz="2" w:space="0" w:color="FB925B" w:themeColor="accent2" w:themeTint="99"/>
      </w:tblBorders>
    </w:tblPr>
    <w:tblStylePr w:type="firstRow">
      <w:rPr>
        <w:b/>
        <w:bCs/>
      </w:rPr>
      <w:tblPr/>
      <w:tcPr>
        <w:tcBorders>
          <w:top w:val="nil"/>
          <w:bottom w:val="single" w:sz="12" w:space="0" w:color="FB925B" w:themeColor="accent2" w:themeTint="99"/>
          <w:insideH w:val="nil"/>
          <w:insideV w:val="nil"/>
        </w:tcBorders>
        <w:shd w:val="clear" w:color="auto" w:fill="FFFFFF" w:themeFill="background1"/>
      </w:tcPr>
    </w:tblStylePr>
    <w:tblStylePr w:type="lastRow">
      <w:rPr>
        <w:b/>
        <w:bCs/>
      </w:rPr>
      <w:tblPr/>
      <w:tcPr>
        <w:tcBorders>
          <w:top w:val="double" w:sz="2" w:space="0" w:color="FB925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GridTable2-Accent3">
    <w:name w:val="Grid Table 2 Accent 3"/>
    <w:basedOn w:val="TableNormal"/>
    <w:uiPriority w:val="47"/>
    <w:semiHidden/>
    <w:rsid w:val="0022698D"/>
    <w:pPr>
      <w:spacing w:line="240" w:lineRule="auto"/>
    </w:pPr>
    <w:tblPr>
      <w:tblStyleRowBandSize w:val="1"/>
      <w:tblStyleColBandSize w:val="1"/>
      <w:tblBorders>
        <w:top w:val="single" w:sz="2" w:space="0" w:color="2793FF" w:themeColor="accent3" w:themeTint="99"/>
        <w:bottom w:val="single" w:sz="2" w:space="0" w:color="2793FF" w:themeColor="accent3" w:themeTint="99"/>
        <w:insideH w:val="single" w:sz="2" w:space="0" w:color="2793FF" w:themeColor="accent3" w:themeTint="99"/>
        <w:insideV w:val="single" w:sz="2" w:space="0" w:color="2793FF" w:themeColor="accent3" w:themeTint="99"/>
      </w:tblBorders>
    </w:tblPr>
    <w:tblStylePr w:type="firstRow">
      <w:rPr>
        <w:b/>
        <w:bCs/>
      </w:rPr>
      <w:tblPr/>
      <w:tcPr>
        <w:tcBorders>
          <w:top w:val="nil"/>
          <w:bottom w:val="single" w:sz="12" w:space="0" w:color="2793FF" w:themeColor="accent3" w:themeTint="99"/>
          <w:insideH w:val="nil"/>
          <w:insideV w:val="nil"/>
        </w:tcBorders>
        <w:shd w:val="clear" w:color="auto" w:fill="FFFFFF" w:themeFill="background1"/>
      </w:tcPr>
    </w:tblStylePr>
    <w:tblStylePr w:type="lastRow">
      <w:rPr>
        <w:b/>
        <w:bCs/>
      </w:rPr>
      <w:tblPr/>
      <w:tcPr>
        <w:tcBorders>
          <w:top w:val="double" w:sz="2" w:space="0" w:color="2793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GridTable2-Accent4">
    <w:name w:val="Grid Table 2 Accent 4"/>
    <w:basedOn w:val="TableNormal"/>
    <w:uiPriority w:val="47"/>
    <w:semiHidden/>
    <w:rsid w:val="0022698D"/>
    <w:pPr>
      <w:spacing w:line="240" w:lineRule="auto"/>
    </w:pPr>
    <w:tblPr>
      <w:tblStyleRowBandSize w:val="1"/>
      <w:tblStyleColBandSize w:val="1"/>
      <w:tblBorders>
        <w:top w:val="single" w:sz="2" w:space="0" w:color="AEABBD" w:themeColor="accent4" w:themeTint="99"/>
        <w:bottom w:val="single" w:sz="2" w:space="0" w:color="AEABBD" w:themeColor="accent4" w:themeTint="99"/>
        <w:insideH w:val="single" w:sz="2" w:space="0" w:color="AEABBD" w:themeColor="accent4" w:themeTint="99"/>
        <w:insideV w:val="single" w:sz="2" w:space="0" w:color="AEABBD" w:themeColor="accent4" w:themeTint="99"/>
      </w:tblBorders>
    </w:tblPr>
    <w:tblStylePr w:type="firstRow">
      <w:rPr>
        <w:b/>
        <w:bCs/>
      </w:rPr>
      <w:tblPr/>
      <w:tcPr>
        <w:tcBorders>
          <w:top w:val="nil"/>
          <w:bottom w:val="single" w:sz="12" w:space="0" w:color="AEABBD" w:themeColor="accent4" w:themeTint="99"/>
          <w:insideH w:val="nil"/>
          <w:insideV w:val="nil"/>
        </w:tcBorders>
        <w:shd w:val="clear" w:color="auto" w:fill="FFFFFF" w:themeFill="background1"/>
      </w:tcPr>
    </w:tblStylePr>
    <w:tblStylePr w:type="lastRow">
      <w:rPr>
        <w:b/>
        <w:bCs/>
      </w:rPr>
      <w:tblPr/>
      <w:tcPr>
        <w:tcBorders>
          <w:top w:val="double" w:sz="2" w:space="0" w:color="AEABB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GridTable2-Accent5">
    <w:name w:val="Grid Table 2 Accent 5"/>
    <w:basedOn w:val="TableNormal"/>
    <w:uiPriority w:val="47"/>
    <w:semiHidden/>
    <w:rsid w:val="0022698D"/>
    <w:pPr>
      <w:spacing w:line="240" w:lineRule="auto"/>
    </w:pPr>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22698D"/>
    <w:pPr>
      <w:spacing w:line="240" w:lineRule="auto"/>
    </w:pPr>
    <w:tblPr>
      <w:tblStyleRowBandSize w:val="1"/>
      <w:tblStyleColBandSize w:val="1"/>
      <w:tblBorders>
        <w:top w:val="single" w:sz="2" w:space="0" w:color="F4C0A4" w:themeColor="accent6" w:themeTint="99"/>
        <w:bottom w:val="single" w:sz="2" w:space="0" w:color="F4C0A4" w:themeColor="accent6" w:themeTint="99"/>
        <w:insideH w:val="single" w:sz="2" w:space="0" w:color="F4C0A4" w:themeColor="accent6" w:themeTint="99"/>
        <w:insideV w:val="single" w:sz="2" w:space="0" w:color="F4C0A4" w:themeColor="accent6" w:themeTint="99"/>
      </w:tblBorders>
    </w:tblPr>
    <w:tblStylePr w:type="firstRow">
      <w:rPr>
        <w:b/>
        <w:bCs/>
      </w:rPr>
      <w:tblPr/>
      <w:tcPr>
        <w:tcBorders>
          <w:top w:val="nil"/>
          <w:bottom w:val="single" w:sz="12" w:space="0" w:color="F4C0A4" w:themeColor="accent6" w:themeTint="99"/>
          <w:insideH w:val="nil"/>
          <w:insideV w:val="nil"/>
        </w:tcBorders>
        <w:shd w:val="clear" w:color="auto" w:fill="FFFFFF" w:themeFill="background1"/>
      </w:tcPr>
    </w:tblStylePr>
    <w:tblStylePr w:type="lastRow">
      <w:rPr>
        <w:b/>
        <w:bCs/>
      </w:rPr>
      <w:tblPr/>
      <w:tcPr>
        <w:tcBorders>
          <w:top w:val="double" w:sz="2" w:space="0" w:color="F4C0A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GridTable3">
    <w:name w:val="Grid Table 3"/>
    <w:basedOn w:val="TableNormal"/>
    <w:uiPriority w:val="48"/>
    <w:semiHidden/>
    <w:rsid w:val="0022698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2698D"/>
    <w:pPr>
      <w:spacing w:line="240" w:lineRule="auto"/>
    </w:pPr>
    <w:tblPr>
      <w:tblStyleRowBandSize w:val="1"/>
      <w:tblStyleColBandSize w:val="1"/>
      <w:tblBorders>
        <w:top w:val="single" w:sz="4" w:space="0" w:color="B7E9F1" w:themeColor="accent1" w:themeTint="99"/>
        <w:left w:val="single" w:sz="4" w:space="0" w:color="B7E9F1" w:themeColor="accent1" w:themeTint="99"/>
        <w:bottom w:val="single" w:sz="4" w:space="0" w:color="B7E9F1" w:themeColor="accent1" w:themeTint="99"/>
        <w:right w:val="single" w:sz="4" w:space="0" w:color="B7E9F1" w:themeColor="accent1" w:themeTint="99"/>
        <w:insideH w:val="single" w:sz="4" w:space="0" w:color="B7E9F1" w:themeColor="accent1" w:themeTint="99"/>
        <w:insideV w:val="single" w:sz="4" w:space="0" w:color="B7E9F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A" w:themeFill="accent1" w:themeFillTint="33"/>
      </w:tcPr>
    </w:tblStylePr>
    <w:tblStylePr w:type="band1Horz">
      <w:tblPr/>
      <w:tcPr>
        <w:shd w:val="clear" w:color="auto" w:fill="E7F7FA" w:themeFill="accent1" w:themeFillTint="33"/>
      </w:tcPr>
    </w:tblStylePr>
    <w:tblStylePr w:type="neCell">
      <w:tblPr/>
      <w:tcPr>
        <w:tcBorders>
          <w:bottom w:val="single" w:sz="4" w:space="0" w:color="B7E9F1" w:themeColor="accent1" w:themeTint="99"/>
        </w:tcBorders>
      </w:tcPr>
    </w:tblStylePr>
    <w:tblStylePr w:type="nwCell">
      <w:tblPr/>
      <w:tcPr>
        <w:tcBorders>
          <w:bottom w:val="single" w:sz="4" w:space="0" w:color="B7E9F1" w:themeColor="accent1" w:themeTint="99"/>
        </w:tcBorders>
      </w:tcPr>
    </w:tblStylePr>
    <w:tblStylePr w:type="seCell">
      <w:tblPr/>
      <w:tcPr>
        <w:tcBorders>
          <w:top w:val="single" w:sz="4" w:space="0" w:color="B7E9F1" w:themeColor="accent1" w:themeTint="99"/>
        </w:tcBorders>
      </w:tcPr>
    </w:tblStylePr>
    <w:tblStylePr w:type="swCell">
      <w:tblPr/>
      <w:tcPr>
        <w:tcBorders>
          <w:top w:val="single" w:sz="4" w:space="0" w:color="B7E9F1" w:themeColor="accent1" w:themeTint="99"/>
        </w:tcBorders>
      </w:tcPr>
    </w:tblStylePr>
  </w:style>
  <w:style w:type="table" w:styleId="GridTable3-Accent2">
    <w:name w:val="Grid Table 3 Accent 2"/>
    <w:basedOn w:val="TableNormal"/>
    <w:uiPriority w:val="48"/>
    <w:semiHidden/>
    <w:rsid w:val="0022698D"/>
    <w:pPr>
      <w:spacing w:line="240" w:lineRule="auto"/>
    </w:pPr>
    <w:tblPr>
      <w:tblStyleRowBandSize w:val="1"/>
      <w:tblStyleColBandSize w:val="1"/>
      <w:tblBorders>
        <w:top w:val="single" w:sz="4" w:space="0" w:color="FB925B" w:themeColor="accent2" w:themeTint="99"/>
        <w:left w:val="single" w:sz="4" w:space="0" w:color="FB925B" w:themeColor="accent2" w:themeTint="99"/>
        <w:bottom w:val="single" w:sz="4" w:space="0" w:color="FB925B" w:themeColor="accent2" w:themeTint="99"/>
        <w:right w:val="single" w:sz="4" w:space="0" w:color="FB925B" w:themeColor="accent2" w:themeTint="99"/>
        <w:insideH w:val="single" w:sz="4" w:space="0" w:color="FB925B" w:themeColor="accent2" w:themeTint="99"/>
        <w:insideV w:val="single" w:sz="4" w:space="0" w:color="FB925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AC8" w:themeFill="accent2" w:themeFillTint="33"/>
      </w:tcPr>
    </w:tblStylePr>
    <w:tblStylePr w:type="band1Horz">
      <w:tblPr/>
      <w:tcPr>
        <w:shd w:val="clear" w:color="auto" w:fill="FDDAC8" w:themeFill="accent2" w:themeFillTint="33"/>
      </w:tcPr>
    </w:tblStylePr>
    <w:tblStylePr w:type="neCell">
      <w:tblPr/>
      <w:tcPr>
        <w:tcBorders>
          <w:bottom w:val="single" w:sz="4" w:space="0" w:color="FB925B" w:themeColor="accent2" w:themeTint="99"/>
        </w:tcBorders>
      </w:tcPr>
    </w:tblStylePr>
    <w:tblStylePr w:type="nwCell">
      <w:tblPr/>
      <w:tcPr>
        <w:tcBorders>
          <w:bottom w:val="single" w:sz="4" w:space="0" w:color="FB925B" w:themeColor="accent2" w:themeTint="99"/>
        </w:tcBorders>
      </w:tcPr>
    </w:tblStylePr>
    <w:tblStylePr w:type="seCell">
      <w:tblPr/>
      <w:tcPr>
        <w:tcBorders>
          <w:top w:val="single" w:sz="4" w:space="0" w:color="FB925B" w:themeColor="accent2" w:themeTint="99"/>
        </w:tcBorders>
      </w:tcPr>
    </w:tblStylePr>
    <w:tblStylePr w:type="swCell">
      <w:tblPr/>
      <w:tcPr>
        <w:tcBorders>
          <w:top w:val="single" w:sz="4" w:space="0" w:color="FB925B" w:themeColor="accent2" w:themeTint="99"/>
        </w:tcBorders>
      </w:tcPr>
    </w:tblStylePr>
  </w:style>
  <w:style w:type="table" w:styleId="GridTable3-Accent3">
    <w:name w:val="Grid Table 3 Accent 3"/>
    <w:basedOn w:val="TableNormal"/>
    <w:uiPriority w:val="48"/>
    <w:semiHidden/>
    <w:rsid w:val="0022698D"/>
    <w:pPr>
      <w:spacing w:line="240" w:lineRule="auto"/>
    </w:pPr>
    <w:tblPr>
      <w:tblStyleRowBandSize w:val="1"/>
      <w:tblStyleColBandSize w:val="1"/>
      <w:tblBorders>
        <w:top w:val="single" w:sz="4" w:space="0" w:color="2793FF" w:themeColor="accent3" w:themeTint="99"/>
        <w:left w:val="single" w:sz="4" w:space="0" w:color="2793FF" w:themeColor="accent3" w:themeTint="99"/>
        <w:bottom w:val="single" w:sz="4" w:space="0" w:color="2793FF" w:themeColor="accent3" w:themeTint="99"/>
        <w:right w:val="single" w:sz="4" w:space="0" w:color="2793FF" w:themeColor="accent3" w:themeTint="99"/>
        <w:insideH w:val="single" w:sz="4" w:space="0" w:color="2793FF" w:themeColor="accent3" w:themeTint="99"/>
        <w:insideV w:val="single" w:sz="4" w:space="0" w:color="279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3" w:themeFillTint="33"/>
      </w:tcPr>
    </w:tblStylePr>
    <w:tblStylePr w:type="band1Horz">
      <w:tblPr/>
      <w:tcPr>
        <w:shd w:val="clear" w:color="auto" w:fill="B7DBFF" w:themeFill="accent3" w:themeFillTint="33"/>
      </w:tcPr>
    </w:tblStylePr>
    <w:tblStylePr w:type="neCell">
      <w:tblPr/>
      <w:tcPr>
        <w:tcBorders>
          <w:bottom w:val="single" w:sz="4" w:space="0" w:color="2793FF" w:themeColor="accent3" w:themeTint="99"/>
        </w:tcBorders>
      </w:tcPr>
    </w:tblStylePr>
    <w:tblStylePr w:type="nwCell">
      <w:tblPr/>
      <w:tcPr>
        <w:tcBorders>
          <w:bottom w:val="single" w:sz="4" w:space="0" w:color="2793FF" w:themeColor="accent3" w:themeTint="99"/>
        </w:tcBorders>
      </w:tcPr>
    </w:tblStylePr>
    <w:tblStylePr w:type="seCell">
      <w:tblPr/>
      <w:tcPr>
        <w:tcBorders>
          <w:top w:val="single" w:sz="4" w:space="0" w:color="2793FF" w:themeColor="accent3" w:themeTint="99"/>
        </w:tcBorders>
      </w:tcPr>
    </w:tblStylePr>
    <w:tblStylePr w:type="swCell">
      <w:tblPr/>
      <w:tcPr>
        <w:tcBorders>
          <w:top w:val="single" w:sz="4" w:space="0" w:color="2793FF" w:themeColor="accent3" w:themeTint="99"/>
        </w:tcBorders>
      </w:tcPr>
    </w:tblStylePr>
  </w:style>
  <w:style w:type="table" w:styleId="GridTable3-Accent4">
    <w:name w:val="Grid Table 3 Accent 4"/>
    <w:basedOn w:val="TableNormal"/>
    <w:uiPriority w:val="48"/>
    <w:semiHidden/>
    <w:rsid w:val="0022698D"/>
    <w:pPr>
      <w:spacing w:line="240" w:lineRule="auto"/>
    </w:pPr>
    <w:tblPr>
      <w:tblStyleRowBandSize w:val="1"/>
      <w:tblStyleColBandSize w:val="1"/>
      <w:tblBorders>
        <w:top w:val="single" w:sz="4" w:space="0" w:color="AEABBD" w:themeColor="accent4" w:themeTint="99"/>
        <w:left w:val="single" w:sz="4" w:space="0" w:color="AEABBD" w:themeColor="accent4" w:themeTint="99"/>
        <w:bottom w:val="single" w:sz="4" w:space="0" w:color="AEABBD" w:themeColor="accent4" w:themeTint="99"/>
        <w:right w:val="single" w:sz="4" w:space="0" w:color="AEABBD" w:themeColor="accent4" w:themeTint="99"/>
        <w:insideH w:val="single" w:sz="4" w:space="0" w:color="AEABBD" w:themeColor="accent4" w:themeTint="99"/>
        <w:insideV w:val="single" w:sz="4" w:space="0" w:color="AEABB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3E9" w:themeFill="accent4" w:themeFillTint="33"/>
      </w:tcPr>
    </w:tblStylePr>
    <w:tblStylePr w:type="band1Horz">
      <w:tblPr/>
      <w:tcPr>
        <w:shd w:val="clear" w:color="auto" w:fill="E4E3E9" w:themeFill="accent4" w:themeFillTint="33"/>
      </w:tcPr>
    </w:tblStylePr>
    <w:tblStylePr w:type="neCell">
      <w:tblPr/>
      <w:tcPr>
        <w:tcBorders>
          <w:bottom w:val="single" w:sz="4" w:space="0" w:color="AEABBD" w:themeColor="accent4" w:themeTint="99"/>
        </w:tcBorders>
      </w:tcPr>
    </w:tblStylePr>
    <w:tblStylePr w:type="nwCell">
      <w:tblPr/>
      <w:tcPr>
        <w:tcBorders>
          <w:bottom w:val="single" w:sz="4" w:space="0" w:color="AEABBD" w:themeColor="accent4" w:themeTint="99"/>
        </w:tcBorders>
      </w:tcPr>
    </w:tblStylePr>
    <w:tblStylePr w:type="seCell">
      <w:tblPr/>
      <w:tcPr>
        <w:tcBorders>
          <w:top w:val="single" w:sz="4" w:space="0" w:color="AEABBD" w:themeColor="accent4" w:themeTint="99"/>
        </w:tcBorders>
      </w:tcPr>
    </w:tblStylePr>
    <w:tblStylePr w:type="swCell">
      <w:tblPr/>
      <w:tcPr>
        <w:tcBorders>
          <w:top w:val="single" w:sz="4" w:space="0" w:color="AEABBD" w:themeColor="accent4" w:themeTint="99"/>
        </w:tcBorders>
      </w:tcPr>
    </w:tblStylePr>
  </w:style>
  <w:style w:type="table" w:styleId="GridTable3-Accent5">
    <w:name w:val="Grid Table 3 Accent 5"/>
    <w:basedOn w:val="TableNormal"/>
    <w:uiPriority w:val="48"/>
    <w:semiHidden/>
    <w:rsid w:val="0022698D"/>
    <w:pPr>
      <w:spacing w:line="240" w:lineRule="auto"/>
    </w:p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22698D"/>
    <w:pPr>
      <w:spacing w:line="240" w:lineRule="auto"/>
    </w:pPr>
    <w:tblPr>
      <w:tblStyleRowBandSize w:val="1"/>
      <w:tblStyleColBandSize w:val="1"/>
      <w:tblBorders>
        <w:top w:val="single" w:sz="4" w:space="0" w:color="F4C0A4" w:themeColor="accent6" w:themeTint="99"/>
        <w:left w:val="single" w:sz="4" w:space="0" w:color="F4C0A4" w:themeColor="accent6" w:themeTint="99"/>
        <w:bottom w:val="single" w:sz="4" w:space="0" w:color="F4C0A4" w:themeColor="accent6" w:themeTint="99"/>
        <w:right w:val="single" w:sz="4" w:space="0" w:color="F4C0A4" w:themeColor="accent6" w:themeTint="99"/>
        <w:insideH w:val="single" w:sz="4" w:space="0" w:color="F4C0A4" w:themeColor="accent6" w:themeTint="99"/>
        <w:insideV w:val="single" w:sz="4" w:space="0" w:color="F4C0A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9E0" w:themeFill="accent6" w:themeFillTint="33"/>
      </w:tcPr>
    </w:tblStylePr>
    <w:tblStylePr w:type="band1Horz">
      <w:tblPr/>
      <w:tcPr>
        <w:shd w:val="clear" w:color="auto" w:fill="FBE9E0" w:themeFill="accent6" w:themeFillTint="33"/>
      </w:tcPr>
    </w:tblStylePr>
    <w:tblStylePr w:type="neCell">
      <w:tblPr/>
      <w:tcPr>
        <w:tcBorders>
          <w:bottom w:val="single" w:sz="4" w:space="0" w:color="F4C0A4" w:themeColor="accent6" w:themeTint="99"/>
        </w:tcBorders>
      </w:tcPr>
    </w:tblStylePr>
    <w:tblStylePr w:type="nwCell">
      <w:tblPr/>
      <w:tcPr>
        <w:tcBorders>
          <w:bottom w:val="single" w:sz="4" w:space="0" w:color="F4C0A4" w:themeColor="accent6" w:themeTint="99"/>
        </w:tcBorders>
      </w:tcPr>
    </w:tblStylePr>
    <w:tblStylePr w:type="seCell">
      <w:tblPr/>
      <w:tcPr>
        <w:tcBorders>
          <w:top w:val="single" w:sz="4" w:space="0" w:color="F4C0A4" w:themeColor="accent6" w:themeTint="99"/>
        </w:tcBorders>
      </w:tcPr>
    </w:tblStylePr>
    <w:tblStylePr w:type="swCell">
      <w:tblPr/>
      <w:tcPr>
        <w:tcBorders>
          <w:top w:val="single" w:sz="4" w:space="0" w:color="F4C0A4" w:themeColor="accent6" w:themeTint="99"/>
        </w:tcBorders>
      </w:tcPr>
    </w:tblStylePr>
  </w:style>
  <w:style w:type="table" w:styleId="GridTable4">
    <w:name w:val="Grid Table 4"/>
    <w:basedOn w:val="TableNormal"/>
    <w:uiPriority w:val="49"/>
    <w:semiHidden/>
    <w:rsid w:val="0022698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2698D"/>
    <w:pPr>
      <w:spacing w:line="240" w:lineRule="auto"/>
    </w:pPr>
    <w:tblPr>
      <w:tblStyleRowBandSize w:val="1"/>
      <w:tblStyleColBandSize w:val="1"/>
      <w:tblBorders>
        <w:top w:val="single" w:sz="4" w:space="0" w:color="B7E9F1" w:themeColor="accent1" w:themeTint="99"/>
        <w:left w:val="single" w:sz="4" w:space="0" w:color="B7E9F1" w:themeColor="accent1" w:themeTint="99"/>
        <w:bottom w:val="single" w:sz="4" w:space="0" w:color="B7E9F1" w:themeColor="accent1" w:themeTint="99"/>
        <w:right w:val="single" w:sz="4" w:space="0" w:color="B7E9F1" w:themeColor="accent1" w:themeTint="99"/>
        <w:insideH w:val="single" w:sz="4" w:space="0" w:color="B7E9F1" w:themeColor="accent1" w:themeTint="99"/>
        <w:insideV w:val="single" w:sz="4" w:space="0" w:color="B7E9F1" w:themeColor="accent1" w:themeTint="99"/>
      </w:tblBorders>
    </w:tblPr>
    <w:tblStylePr w:type="firstRow">
      <w:rPr>
        <w:b/>
        <w:bCs/>
        <w:color w:val="FFFFFF" w:themeColor="background1"/>
      </w:rPr>
      <w:tblPr/>
      <w:tcPr>
        <w:tcBorders>
          <w:top w:val="single" w:sz="4" w:space="0" w:color="88DBE9" w:themeColor="accent1"/>
          <w:left w:val="single" w:sz="4" w:space="0" w:color="88DBE9" w:themeColor="accent1"/>
          <w:bottom w:val="single" w:sz="4" w:space="0" w:color="88DBE9" w:themeColor="accent1"/>
          <w:right w:val="single" w:sz="4" w:space="0" w:color="88DBE9" w:themeColor="accent1"/>
          <w:insideH w:val="nil"/>
          <w:insideV w:val="nil"/>
        </w:tcBorders>
        <w:shd w:val="clear" w:color="auto" w:fill="88DBE9" w:themeFill="accent1"/>
      </w:tcPr>
    </w:tblStylePr>
    <w:tblStylePr w:type="lastRow">
      <w:rPr>
        <w:b/>
        <w:bCs/>
      </w:rPr>
      <w:tblPr/>
      <w:tcPr>
        <w:tcBorders>
          <w:top w:val="double" w:sz="4" w:space="0" w:color="88DBE9" w:themeColor="accent1"/>
        </w:tcBorders>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GridTable4-Accent2">
    <w:name w:val="Grid Table 4 Accent 2"/>
    <w:basedOn w:val="TableNormal"/>
    <w:uiPriority w:val="49"/>
    <w:semiHidden/>
    <w:rsid w:val="0022698D"/>
    <w:pPr>
      <w:spacing w:line="240" w:lineRule="auto"/>
    </w:pPr>
    <w:tblPr>
      <w:tblStyleRowBandSize w:val="1"/>
      <w:tblStyleColBandSize w:val="1"/>
      <w:tblBorders>
        <w:top w:val="single" w:sz="4" w:space="0" w:color="FB925B" w:themeColor="accent2" w:themeTint="99"/>
        <w:left w:val="single" w:sz="4" w:space="0" w:color="FB925B" w:themeColor="accent2" w:themeTint="99"/>
        <w:bottom w:val="single" w:sz="4" w:space="0" w:color="FB925B" w:themeColor="accent2" w:themeTint="99"/>
        <w:right w:val="single" w:sz="4" w:space="0" w:color="FB925B" w:themeColor="accent2" w:themeTint="99"/>
        <w:insideH w:val="single" w:sz="4" w:space="0" w:color="FB925B" w:themeColor="accent2" w:themeTint="99"/>
        <w:insideV w:val="single" w:sz="4" w:space="0" w:color="FB925B" w:themeColor="accent2" w:themeTint="99"/>
      </w:tblBorders>
    </w:tblPr>
    <w:tblStylePr w:type="firstRow">
      <w:rPr>
        <w:b/>
        <w:bCs/>
        <w:color w:val="FFFFFF" w:themeColor="background1"/>
      </w:rPr>
      <w:tblPr/>
      <w:tcPr>
        <w:tcBorders>
          <w:top w:val="single" w:sz="4" w:space="0" w:color="E35205" w:themeColor="accent2"/>
          <w:left w:val="single" w:sz="4" w:space="0" w:color="E35205" w:themeColor="accent2"/>
          <w:bottom w:val="single" w:sz="4" w:space="0" w:color="E35205" w:themeColor="accent2"/>
          <w:right w:val="single" w:sz="4" w:space="0" w:color="E35205" w:themeColor="accent2"/>
          <w:insideH w:val="nil"/>
          <w:insideV w:val="nil"/>
        </w:tcBorders>
        <w:shd w:val="clear" w:color="auto" w:fill="E35205" w:themeFill="accent2"/>
      </w:tcPr>
    </w:tblStylePr>
    <w:tblStylePr w:type="lastRow">
      <w:rPr>
        <w:b/>
        <w:bCs/>
      </w:rPr>
      <w:tblPr/>
      <w:tcPr>
        <w:tcBorders>
          <w:top w:val="double" w:sz="4" w:space="0" w:color="E35205" w:themeColor="accent2"/>
        </w:tcBorders>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GridTable4-Accent3">
    <w:name w:val="Grid Table 4 Accent 3"/>
    <w:basedOn w:val="TableNormal"/>
    <w:uiPriority w:val="49"/>
    <w:semiHidden/>
    <w:rsid w:val="0022698D"/>
    <w:pPr>
      <w:spacing w:line="240" w:lineRule="auto"/>
    </w:pPr>
    <w:tblPr>
      <w:tblStyleRowBandSize w:val="1"/>
      <w:tblStyleColBandSize w:val="1"/>
      <w:tblBorders>
        <w:top w:val="single" w:sz="4" w:space="0" w:color="2793FF" w:themeColor="accent3" w:themeTint="99"/>
        <w:left w:val="single" w:sz="4" w:space="0" w:color="2793FF" w:themeColor="accent3" w:themeTint="99"/>
        <w:bottom w:val="single" w:sz="4" w:space="0" w:color="2793FF" w:themeColor="accent3" w:themeTint="99"/>
        <w:right w:val="single" w:sz="4" w:space="0" w:color="2793FF" w:themeColor="accent3" w:themeTint="99"/>
        <w:insideH w:val="single" w:sz="4" w:space="0" w:color="2793FF" w:themeColor="accent3" w:themeTint="99"/>
        <w:insideV w:val="single" w:sz="4" w:space="0" w:color="2793FF" w:themeColor="accent3" w:themeTint="99"/>
      </w:tblBorders>
    </w:tblPr>
    <w:tblStylePr w:type="firstRow">
      <w:rPr>
        <w:b/>
        <w:bCs/>
        <w:color w:val="FFFFFF" w:themeColor="background1"/>
      </w:rPr>
      <w:tblPr/>
      <w:tcPr>
        <w:tcBorders>
          <w:top w:val="single" w:sz="4" w:space="0" w:color="004C97" w:themeColor="accent3"/>
          <w:left w:val="single" w:sz="4" w:space="0" w:color="004C97" w:themeColor="accent3"/>
          <w:bottom w:val="single" w:sz="4" w:space="0" w:color="004C97" w:themeColor="accent3"/>
          <w:right w:val="single" w:sz="4" w:space="0" w:color="004C97" w:themeColor="accent3"/>
          <w:insideH w:val="nil"/>
          <w:insideV w:val="nil"/>
        </w:tcBorders>
        <w:shd w:val="clear" w:color="auto" w:fill="004C97" w:themeFill="accent3"/>
      </w:tcPr>
    </w:tblStylePr>
    <w:tblStylePr w:type="lastRow">
      <w:rPr>
        <w:b/>
        <w:bCs/>
      </w:rPr>
      <w:tblPr/>
      <w:tcPr>
        <w:tcBorders>
          <w:top w:val="double" w:sz="4" w:space="0" w:color="004C97" w:themeColor="accent3"/>
        </w:tcBorders>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GridTable4-Accent4">
    <w:name w:val="Grid Table 4 Accent 4"/>
    <w:basedOn w:val="TableNormal"/>
    <w:uiPriority w:val="49"/>
    <w:semiHidden/>
    <w:rsid w:val="0022698D"/>
    <w:pPr>
      <w:spacing w:line="240" w:lineRule="auto"/>
    </w:pPr>
    <w:tblPr>
      <w:tblStyleRowBandSize w:val="1"/>
      <w:tblStyleColBandSize w:val="1"/>
      <w:tblBorders>
        <w:top w:val="single" w:sz="4" w:space="0" w:color="AEABBD" w:themeColor="accent4" w:themeTint="99"/>
        <w:left w:val="single" w:sz="4" w:space="0" w:color="AEABBD" w:themeColor="accent4" w:themeTint="99"/>
        <w:bottom w:val="single" w:sz="4" w:space="0" w:color="AEABBD" w:themeColor="accent4" w:themeTint="99"/>
        <w:right w:val="single" w:sz="4" w:space="0" w:color="AEABBD" w:themeColor="accent4" w:themeTint="99"/>
        <w:insideH w:val="single" w:sz="4" w:space="0" w:color="AEABBD" w:themeColor="accent4" w:themeTint="99"/>
        <w:insideV w:val="single" w:sz="4" w:space="0" w:color="AEABBD" w:themeColor="accent4" w:themeTint="99"/>
      </w:tblBorders>
    </w:tblPr>
    <w:tblStylePr w:type="firstRow">
      <w:rPr>
        <w:b/>
        <w:bCs/>
        <w:color w:val="FFFFFF" w:themeColor="background1"/>
      </w:rPr>
      <w:tblPr/>
      <w:tcPr>
        <w:tcBorders>
          <w:top w:val="single" w:sz="4" w:space="0" w:color="797391" w:themeColor="accent4"/>
          <w:left w:val="single" w:sz="4" w:space="0" w:color="797391" w:themeColor="accent4"/>
          <w:bottom w:val="single" w:sz="4" w:space="0" w:color="797391" w:themeColor="accent4"/>
          <w:right w:val="single" w:sz="4" w:space="0" w:color="797391" w:themeColor="accent4"/>
          <w:insideH w:val="nil"/>
          <w:insideV w:val="nil"/>
        </w:tcBorders>
        <w:shd w:val="clear" w:color="auto" w:fill="797391" w:themeFill="accent4"/>
      </w:tcPr>
    </w:tblStylePr>
    <w:tblStylePr w:type="lastRow">
      <w:rPr>
        <w:b/>
        <w:bCs/>
      </w:rPr>
      <w:tblPr/>
      <w:tcPr>
        <w:tcBorders>
          <w:top w:val="double" w:sz="4" w:space="0" w:color="797391" w:themeColor="accent4"/>
        </w:tcBorders>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GridTable4-Accent5">
    <w:name w:val="Grid Table 4 Accent 5"/>
    <w:basedOn w:val="TableNormal"/>
    <w:uiPriority w:val="49"/>
    <w:semiHidden/>
    <w:rsid w:val="0022698D"/>
    <w:pPr>
      <w:spacing w:line="240" w:lineRule="auto"/>
    </w:p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22698D"/>
    <w:pPr>
      <w:spacing w:line="240" w:lineRule="auto"/>
    </w:pPr>
    <w:tblPr>
      <w:tblStyleRowBandSize w:val="1"/>
      <w:tblStyleColBandSize w:val="1"/>
      <w:tblBorders>
        <w:top w:val="single" w:sz="4" w:space="0" w:color="F4C0A4" w:themeColor="accent6" w:themeTint="99"/>
        <w:left w:val="single" w:sz="4" w:space="0" w:color="F4C0A4" w:themeColor="accent6" w:themeTint="99"/>
        <w:bottom w:val="single" w:sz="4" w:space="0" w:color="F4C0A4" w:themeColor="accent6" w:themeTint="99"/>
        <w:right w:val="single" w:sz="4" w:space="0" w:color="F4C0A4" w:themeColor="accent6" w:themeTint="99"/>
        <w:insideH w:val="single" w:sz="4" w:space="0" w:color="F4C0A4" w:themeColor="accent6" w:themeTint="99"/>
        <w:insideV w:val="single" w:sz="4" w:space="0" w:color="F4C0A4" w:themeColor="accent6" w:themeTint="99"/>
      </w:tblBorders>
    </w:tblPr>
    <w:tblStylePr w:type="firstRow">
      <w:rPr>
        <w:b/>
        <w:bCs/>
        <w:color w:val="FFFFFF" w:themeColor="background1"/>
      </w:rPr>
      <w:tblPr/>
      <w:tcPr>
        <w:tcBorders>
          <w:top w:val="single" w:sz="4" w:space="0" w:color="EE9769" w:themeColor="accent6"/>
          <w:left w:val="single" w:sz="4" w:space="0" w:color="EE9769" w:themeColor="accent6"/>
          <w:bottom w:val="single" w:sz="4" w:space="0" w:color="EE9769" w:themeColor="accent6"/>
          <w:right w:val="single" w:sz="4" w:space="0" w:color="EE9769" w:themeColor="accent6"/>
          <w:insideH w:val="nil"/>
          <w:insideV w:val="nil"/>
        </w:tcBorders>
        <w:shd w:val="clear" w:color="auto" w:fill="EE9769" w:themeFill="accent6"/>
      </w:tcPr>
    </w:tblStylePr>
    <w:tblStylePr w:type="lastRow">
      <w:rPr>
        <w:b/>
        <w:bCs/>
      </w:rPr>
      <w:tblPr/>
      <w:tcPr>
        <w:tcBorders>
          <w:top w:val="double" w:sz="4" w:space="0" w:color="EE9769" w:themeColor="accent6"/>
        </w:tcBorders>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GridTable5Dark">
    <w:name w:val="Grid Table 5 Dark"/>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E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E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E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E9" w:themeFill="accent1"/>
      </w:tcPr>
    </w:tblStylePr>
    <w:tblStylePr w:type="band1Vert">
      <w:tblPr/>
      <w:tcPr>
        <w:shd w:val="clear" w:color="auto" w:fill="CFF0F6" w:themeFill="accent1" w:themeFillTint="66"/>
      </w:tcPr>
    </w:tblStylePr>
    <w:tblStylePr w:type="band1Horz">
      <w:tblPr/>
      <w:tcPr>
        <w:shd w:val="clear" w:color="auto" w:fill="CFF0F6" w:themeFill="accent1" w:themeFillTint="66"/>
      </w:tcPr>
    </w:tblStylePr>
  </w:style>
  <w:style w:type="table" w:styleId="GridTable5Dark-Accent2">
    <w:name w:val="Grid Table 5 Dark Accent 2"/>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DAC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520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520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520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5205" w:themeFill="accent2"/>
      </w:tcPr>
    </w:tblStylePr>
    <w:tblStylePr w:type="band1Vert">
      <w:tblPr/>
      <w:tcPr>
        <w:shd w:val="clear" w:color="auto" w:fill="FCB692" w:themeFill="accent2" w:themeFillTint="66"/>
      </w:tcPr>
    </w:tblStylePr>
    <w:tblStylePr w:type="band1Horz">
      <w:tblPr/>
      <w:tcPr>
        <w:shd w:val="clear" w:color="auto" w:fill="FCB692" w:themeFill="accent2" w:themeFillTint="66"/>
      </w:tcPr>
    </w:tblStylePr>
  </w:style>
  <w:style w:type="table" w:styleId="GridTable5Dark-Accent3">
    <w:name w:val="Grid Table 5 Dark Accent 3"/>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3"/>
      </w:tcPr>
    </w:tblStylePr>
    <w:tblStylePr w:type="band1Vert">
      <w:tblPr/>
      <w:tcPr>
        <w:shd w:val="clear" w:color="auto" w:fill="6FB7FF" w:themeFill="accent3" w:themeFillTint="66"/>
      </w:tcPr>
    </w:tblStylePr>
    <w:tblStylePr w:type="band1Horz">
      <w:tblPr/>
      <w:tcPr>
        <w:shd w:val="clear" w:color="auto" w:fill="6FB7FF" w:themeFill="accent3" w:themeFillTint="66"/>
      </w:tcPr>
    </w:tblStylePr>
  </w:style>
  <w:style w:type="table" w:styleId="GridTable5Dark-Accent4">
    <w:name w:val="Grid Table 5 Dark Accent 4"/>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3E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9739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9739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9739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97391" w:themeFill="accent4"/>
      </w:tcPr>
    </w:tblStylePr>
    <w:tblStylePr w:type="band1Vert">
      <w:tblPr/>
      <w:tcPr>
        <w:shd w:val="clear" w:color="auto" w:fill="C9C7D3" w:themeFill="accent4" w:themeFillTint="66"/>
      </w:tcPr>
    </w:tblStylePr>
    <w:tblStylePr w:type="band1Horz">
      <w:tblPr/>
      <w:tcPr>
        <w:shd w:val="clear" w:color="auto" w:fill="C9C7D3" w:themeFill="accent4" w:themeFillTint="66"/>
      </w:tcPr>
    </w:tblStylePr>
  </w:style>
  <w:style w:type="table" w:styleId="GridTable5Dark-Accent5">
    <w:name w:val="Grid Table 5 Dark Accent 5"/>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9E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976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976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976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9769" w:themeFill="accent6"/>
      </w:tcPr>
    </w:tblStylePr>
    <w:tblStylePr w:type="band1Vert">
      <w:tblPr/>
      <w:tcPr>
        <w:shd w:val="clear" w:color="auto" w:fill="F8D5C2" w:themeFill="accent6" w:themeFillTint="66"/>
      </w:tcPr>
    </w:tblStylePr>
    <w:tblStylePr w:type="band1Horz">
      <w:tblPr/>
      <w:tcPr>
        <w:shd w:val="clear" w:color="auto" w:fill="F8D5C2" w:themeFill="accent6" w:themeFillTint="66"/>
      </w:tcPr>
    </w:tblStylePr>
  </w:style>
  <w:style w:type="table" w:styleId="GridTable6Colorful">
    <w:name w:val="Grid Table 6 Colorful"/>
    <w:basedOn w:val="TableNormal"/>
    <w:uiPriority w:val="51"/>
    <w:semiHidden/>
    <w:rsid w:val="0022698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2698D"/>
    <w:pPr>
      <w:spacing w:line="240" w:lineRule="auto"/>
    </w:pPr>
    <w:rPr>
      <w:color w:val="39C3DA" w:themeColor="accent1" w:themeShade="BF"/>
    </w:rPr>
    <w:tblPr>
      <w:tblStyleRowBandSize w:val="1"/>
      <w:tblStyleColBandSize w:val="1"/>
      <w:tblBorders>
        <w:top w:val="single" w:sz="4" w:space="0" w:color="B7E9F1" w:themeColor="accent1" w:themeTint="99"/>
        <w:left w:val="single" w:sz="4" w:space="0" w:color="B7E9F1" w:themeColor="accent1" w:themeTint="99"/>
        <w:bottom w:val="single" w:sz="4" w:space="0" w:color="B7E9F1" w:themeColor="accent1" w:themeTint="99"/>
        <w:right w:val="single" w:sz="4" w:space="0" w:color="B7E9F1" w:themeColor="accent1" w:themeTint="99"/>
        <w:insideH w:val="single" w:sz="4" w:space="0" w:color="B7E9F1" w:themeColor="accent1" w:themeTint="99"/>
        <w:insideV w:val="single" w:sz="4" w:space="0" w:color="B7E9F1" w:themeColor="accent1" w:themeTint="99"/>
      </w:tblBorders>
    </w:tblPr>
    <w:tblStylePr w:type="firstRow">
      <w:rPr>
        <w:b/>
        <w:bCs/>
      </w:rPr>
      <w:tblPr/>
      <w:tcPr>
        <w:tcBorders>
          <w:bottom w:val="single" w:sz="12" w:space="0" w:color="B7E9F1" w:themeColor="accent1" w:themeTint="99"/>
        </w:tcBorders>
      </w:tcPr>
    </w:tblStylePr>
    <w:tblStylePr w:type="lastRow">
      <w:rPr>
        <w:b/>
        <w:bCs/>
      </w:rPr>
      <w:tblPr/>
      <w:tcPr>
        <w:tcBorders>
          <w:top w:val="double" w:sz="4" w:space="0" w:color="B7E9F1" w:themeColor="accent1" w:themeTint="99"/>
        </w:tcBorders>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GridTable6Colorful-Accent2">
    <w:name w:val="Grid Table 6 Colorful Accent 2"/>
    <w:basedOn w:val="TableNormal"/>
    <w:uiPriority w:val="51"/>
    <w:semiHidden/>
    <w:rsid w:val="0022698D"/>
    <w:pPr>
      <w:spacing w:line="240" w:lineRule="auto"/>
    </w:pPr>
    <w:rPr>
      <w:color w:val="A93D03" w:themeColor="accent2" w:themeShade="BF"/>
    </w:rPr>
    <w:tblPr>
      <w:tblStyleRowBandSize w:val="1"/>
      <w:tblStyleColBandSize w:val="1"/>
      <w:tblBorders>
        <w:top w:val="single" w:sz="4" w:space="0" w:color="FB925B" w:themeColor="accent2" w:themeTint="99"/>
        <w:left w:val="single" w:sz="4" w:space="0" w:color="FB925B" w:themeColor="accent2" w:themeTint="99"/>
        <w:bottom w:val="single" w:sz="4" w:space="0" w:color="FB925B" w:themeColor="accent2" w:themeTint="99"/>
        <w:right w:val="single" w:sz="4" w:space="0" w:color="FB925B" w:themeColor="accent2" w:themeTint="99"/>
        <w:insideH w:val="single" w:sz="4" w:space="0" w:color="FB925B" w:themeColor="accent2" w:themeTint="99"/>
        <w:insideV w:val="single" w:sz="4" w:space="0" w:color="FB925B" w:themeColor="accent2" w:themeTint="99"/>
      </w:tblBorders>
    </w:tblPr>
    <w:tblStylePr w:type="firstRow">
      <w:rPr>
        <w:b/>
        <w:bCs/>
      </w:rPr>
      <w:tblPr/>
      <w:tcPr>
        <w:tcBorders>
          <w:bottom w:val="single" w:sz="12" w:space="0" w:color="FB925B" w:themeColor="accent2" w:themeTint="99"/>
        </w:tcBorders>
      </w:tcPr>
    </w:tblStylePr>
    <w:tblStylePr w:type="lastRow">
      <w:rPr>
        <w:b/>
        <w:bCs/>
      </w:rPr>
      <w:tblPr/>
      <w:tcPr>
        <w:tcBorders>
          <w:top w:val="double" w:sz="4" w:space="0" w:color="FB925B" w:themeColor="accent2" w:themeTint="99"/>
        </w:tcBorders>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GridTable6Colorful-Accent3">
    <w:name w:val="Grid Table 6 Colorful Accent 3"/>
    <w:basedOn w:val="TableNormal"/>
    <w:uiPriority w:val="51"/>
    <w:semiHidden/>
    <w:rsid w:val="0022698D"/>
    <w:pPr>
      <w:spacing w:line="240" w:lineRule="auto"/>
    </w:pPr>
    <w:rPr>
      <w:color w:val="003871" w:themeColor="accent3" w:themeShade="BF"/>
    </w:rPr>
    <w:tblPr>
      <w:tblStyleRowBandSize w:val="1"/>
      <w:tblStyleColBandSize w:val="1"/>
      <w:tblBorders>
        <w:top w:val="single" w:sz="4" w:space="0" w:color="2793FF" w:themeColor="accent3" w:themeTint="99"/>
        <w:left w:val="single" w:sz="4" w:space="0" w:color="2793FF" w:themeColor="accent3" w:themeTint="99"/>
        <w:bottom w:val="single" w:sz="4" w:space="0" w:color="2793FF" w:themeColor="accent3" w:themeTint="99"/>
        <w:right w:val="single" w:sz="4" w:space="0" w:color="2793FF" w:themeColor="accent3" w:themeTint="99"/>
        <w:insideH w:val="single" w:sz="4" w:space="0" w:color="2793FF" w:themeColor="accent3" w:themeTint="99"/>
        <w:insideV w:val="single" w:sz="4" w:space="0" w:color="2793FF" w:themeColor="accent3" w:themeTint="99"/>
      </w:tblBorders>
    </w:tblPr>
    <w:tblStylePr w:type="firstRow">
      <w:rPr>
        <w:b/>
        <w:bCs/>
      </w:rPr>
      <w:tblPr/>
      <w:tcPr>
        <w:tcBorders>
          <w:bottom w:val="single" w:sz="12" w:space="0" w:color="2793FF" w:themeColor="accent3" w:themeTint="99"/>
        </w:tcBorders>
      </w:tcPr>
    </w:tblStylePr>
    <w:tblStylePr w:type="lastRow">
      <w:rPr>
        <w:b/>
        <w:bCs/>
      </w:rPr>
      <w:tblPr/>
      <w:tcPr>
        <w:tcBorders>
          <w:top w:val="double" w:sz="4" w:space="0" w:color="2793FF" w:themeColor="accent3" w:themeTint="99"/>
        </w:tcBorders>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GridTable6Colorful-Accent4">
    <w:name w:val="Grid Table 6 Colorful Accent 4"/>
    <w:basedOn w:val="TableNormal"/>
    <w:uiPriority w:val="51"/>
    <w:semiHidden/>
    <w:rsid w:val="0022698D"/>
    <w:pPr>
      <w:spacing w:line="240" w:lineRule="auto"/>
    </w:pPr>
    <w:rPr>
      <w:color w:val="5A556C" w:themeColor="accent4" w:themeShade="BF"/>
    </w:rPr>
    <w:tblPr>
      <w:tblStyleRowBandSize w:val="1"/>
      <w:tblStyleColBandSize w:val="1"/>
      <w:tblBorders>
        <w:top w:val="single" w:sz="4" w:space="0" w:color="AEABBD" w:themeColor="accent4" w:themeTint="99"/>
        <w:left w:val="single" w:sz="4" w:space="0" w:color="AEABBD" w:themeColor="accent4" w:themeTint="99"/>
        <w:bottom w:val="single" w:sz="4" w:space="0" w:color="AEABBD" w:themeColor="accent4" w:themeTint="99"/>
        <w:right w:val="single" w:sz="4" w:space="0" w:color="AEABBD" w:themeColor="accent4" w:themeTint="99"/>
        <w:insideH w:val="single" w:sz="4" w:space="0" w:color="AEABBD" w:themeColor="accent4" w:themeTint="99"/>
        <w:insideV w:val="single" w:sz="4" w:space="0" w:color="AEABBD" w:themeColor="accent4" w:themeTint="99"/>
      </w:tblBorders>
    </w:tblPr>
    <w:tblStylePr w:type="firstRow">
      <w:rPr>
        <w:b/>
        <w:bCs/>
      </w:rPr>
      <w:tblPr/>
      <w:tcPr>
        <w:tcBorders>
          <w:bottom w:val="single" w:sz="12" w:space="0" w:color="AEABBD" w:themeColor="accent4" w:themeTint="99"/>
        </w:tcBorders>
      </w:tcPr>
    </w:tblStylePr>
    <w:tblStylePr w:type="lastRow">
      <w:rPr>
        <w:b/>
        <w:bCs/>
      </w:rPr>
      <w:tblPr/>
      <w:tcPr>
        <w:tcBorders>
          <w:top w:val="double" w:sz="4" w:space="0" w:color="AEABBD" w:themeColor="accent4" w:themeTint="99"/>
        </w:tcBorders>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GridTable6Colorful-Accent5">
    <w:name w:val="Grid Table 6 Colorful Accent 5"/>
    <w:basedOn w:val="TableNormal"/>
    <w:uiPriority w:val="51"/>
    <w:semiHidden/>
    <w:rsid w:val="0022698D"/>
    <w:pPr>
      <w:spacing w:line="240" w:lineRule="auto"/>
    </w:pPr>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22698D"/>
    <w:pPr>
      <w:spacing w:line="240" w:lineRule="auto"/>
    </w:pPr>
    <w:rPr>
      <w:color w:val="E5611B" w:themeColor="accent6" w:themeShade="BF"/>
    </w:rPr>
    <w:tblPr>
      <w:tblStyleRowBandSize w:val="1"/>
      <w:tblStyleColBandSize w:val="1"/>
      <w:tblBorders>
        <w:top w:val="single" w:sz="4" w:space="0" w:color="F4C0A4" w:themeColor="accent6" w:themeTint="99"/>
        <w:left w:val="single" w:sz="4" w:space="0" w:color="F4C0A4" w:themeColor="accent6" w:themeTint="99"/>
        <w:bottom w:val="single" w:sz="4" w:space="0" w:color="F4C0A4" w:themeColor="accent6" w:themeTint="99"/>
        <w:right w:val="single" w:sz="4" w:space="0" w:color="F4C0A4" w:themeColor="accent6" w:themeTint="99"/>
        <w:insideH w:val="single" w:sz="4" w:space="0" w:color="F4C0A4" w:themeColor="accent6" w:themeTint="99"/>
        <w:insideV w:val="single" w:sz="4" w:space="0" w:color="F4C0A4" w:themeColor="accent6" w:themeTint="99"/>
      </w:tblBorders>
    </w:tblPr>
    <w:tblStylePr w:type="firstRow">
      <w:rPr>
        <w:b/>
        <w:bCs/>
      </w:rPr>
      <w:tblPr/>
      <w:tcPr>
        <w:tcBorders>
          <w:bottom w:val="single" w:sz="12" w:space="0" w:color="F4C0A4" w:themeColor="accent6" w:themeTint="99"/>
        </w:tcBorders>
      </w:tcPr>
    </w:tblStylePr>
    <w:tblStylePr w:type="lastRow">
      <w:rPr>
        <w:b/>
        <w:bCs/>
      </w:rPr>
      <w:tblPr/>
      <w:tcPr>
        <w:tcBorders>
          <w:top w:val="double" w:sz="4" w:space="0" w:color="F4C0A4" w:themeColor="accent6" w:themeTint="99"/>
        </w:tcBorders>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GridTable7Colorful">
    <w:name w:val="Grid Table 7 Colorful"/>
    <w:basedOn w:val="TableNormal"/>
    <w:uiPriority w:val="52"/>
    <w:semiHidden/>
    <w:rsid w:val="0022698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2698D"/>
    <w:pPr>
      <w:spacing w:line="240" w:lineRule="auto"/>
    </w:pPr>
    <w:rPr>
      <w:color w:val="39C3DA" w:themeColor="accent1" w:themeShade="BF"/>
    </w:rPr>
    <w:tblPr>
      <w:tblStyleRowBandSize w:val="1"/>
      <w:tblStyleColBandSize w:val="1"/>
      <w:tblBorders>
        <w:top w:val="single" w:sz="4" w:space="0" w:color="B7E9F1" w:themeColor="accent1" w:themeTint="99"/>
        <w:left w:val="single" w:sz="4" w:space="0" w:color="B7E9F1" w:themeColor="accent1" w:themeTint="99"/>
        <w:bottom w:val="single" w:sz="4" w:space="0" w:color="B7E9F1" w:themeColor="accent1" w:themeTint="99"/>
        <w:right w:val="single" w:sz="4" w:space="0" w:color="B7E9F1" w:themeColor="accent1" w:themeTint="99"/>
        <w:insideH w:val="single" w:sz="4" w:space="0" w:color="B7E9F1" w:themeColor="accent1" w:themeTint="99"/>
        <w:insideV w:val="single" w:sz="4" w:space="0" w:color="B7E9F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A" w:themeFill="accent1" w:themeFillTint="33"/>
      </w:tcPr>
    </w:tblStylePr>
    <w:tblStylePr w:type="band1Horz">
      <w:tblPr/>
      <w:tcPr>
        <w:shd w:val="clear" w:color="auto" w:fill="E7F7FA" w:themeFill="accent1" w:themeFillTint="33"/>
      </w:tcPr>
    </w:tblStylePr>
    <w:tblStylePr w:type="neCell">
      <w:tblPr/>
      <w:tcPr>
        <w:tcBorders>
          <w:bottom w:val="single" w:sz="4" w:space="0" w:color="B7E9F1" w:themeColor="accent1" w:themeTint="99"/>
        </w:tcBorders>
      </w:tcPr>
    </w:tblStylePr>
    <w:tblStylePr w:type="nwCell">
      <w:tblPr/>
      <w:tcPr>
        <w:tcBorders>
          <w:bottom w:val="single" w:sz="4" w:space="0" w:color="B7E9F1" w:themeColor="accent1" w:themeTint="99"/>
        </w:tcBorders>
      </w:tcPr>
    </w:tblStylePr>
    <w:tblStylePr w:type="seCell">
      <w:tblPr/>
      <w:tcPr>
        <w:tcBorders>
          <w:top w:val="single" w:sz="4" w:space="0" w:color="B7E9F1" w:themeColor="accent1" w:themeTint="99"/>
        </w:tcBorders>
      </w:tcPr>
    </w:tblStylePr>
    <w:tblStylePr w:type="swCell">
      <w:tblPr/>
      <w:tcPr>
        <w:tcBorders>
          <w:top w:val="single" w:sz="4" w:space="0" w:color="B7E9F1" w:themeColor="accent1" w:themeTint="99"/>
        </w:tcBorders>
      </w:tcPr>
    </w:tblStylePr>
  </w:style>
  <w:style w:type="table" w:styleId="GridTable7Colorful-Accent2">
    <w:name w:val="Grid Table 7 Colorful Accent 2"/>
    <w:basedOn w:val="TableNormal"/>
    <w:uiPriority w:val="52"/>
    <w:semiHidden/>
    <w:rsid w:val="0022698D"/>
    <w:pPr>
      <w:spacing w:line="240" w:lineRule="auto"/>
    </w:pPr>
    <w:rPr>
      <w:color w:val="A93D03" w:themeColor="accent2" w:themeShade="BF"/>
    </w:rPr>
    <w:tblPr>
      <w:tblStyleRowBandSize w:val="1"/>
      <w:tblStyleColBandSize w:val="1"/>
      <w:tblBorders>
        <w:top w:val="single" w:sz="4" w:space="0" w:color="FB925B" w:themeColor="accent2" w:themeTint="99"/>
        <w:left w:val="single" w:sz="4" w:space="0" w:color="FB925B" w:themeColor="accent2" w:themeTint="99"/>
        <w:bottom w:val="single" w:sz="4" w:space="0" w:color="FB925B" w:themeColor="accent2" w:themeTint="99"/>
        <w:right w:val="single" w:sz="4" w:space="0" w:color="FB925B" w:themeColor="accent2" w:themeTint="99"/>
        <w:insideH w:val="single" w:sz="4" w:space="0" w:color="FB925B" w:themeColor="accent2" w:themeTint="99"/>
        <w:insideV w:val="single" w:sz="4" w:space="0" w:color="FB925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AC8" w:themeFill="accent2" w:themeFillTint="33"/>
      </w:tcPr>
    </w:tblStylePr>
    <w:tblStylePr w:type="band1Horz">
      <w:tblPr/>
      <w:tcPr>
        <w:shd w:val="clear" w:color="auto" w:fill="FDDAC8" w:themeFill="accent2" w:themeFillTint="33"/>
      </w:tcPr>
    </w:tblStylePr>
    <w:tblStylePr w:type="neCell">
      <w:tblPr/>
      <w:tcPr>
        <w:tcBorders>
          <w:bottom w:val="single" w:sz="4" w:space="0" w:color="FB925B" w:themeColor="accent2" w:themeTint="99"/>
        </w:tcBorders>
      </w:tcPr>
    </w:tblStylePr>
    <w:tblStylePr w:type="nwCell">
      <w:tblPr/>
      <w:tcPr>
        <w:tcBorders>
          <w:bottom w:val="single" w:sz="4" w:space="0" w:color="FB925B" w:themeColor="accent2" w:themeTint="99"/>
        </w:tcBorders>
      </w:tcPr>
    </w:tblStylePr>
    <w:tblStylePr w:type="seCell">
      <w:tblPr/>
      <w:tcPr>
        <w:tcBorders>
          <w:top w:val="single" w:sz="4" w:space="0" w:color="FB925B" w:themeColor="accent2" w:themeTint="99"/>
        </w:tcBorders>
      </w:tcPr>
    </w:tblStylePr>
    <w:tblStylePr w:type="swCell">
      <w:tblPr/>
      <w:tcPr>
        <w:tcBorders>
          <w:top w:val="single" w:sz="4" w:space="0" w:color="FB925B" w:themeColor="accent2" w:themeTint="99"/>
        </w:tcBorders>
      </w:tcPr>
    </w:tblStylePr>
  </w:style>
  <w:style w:type="table" w:styleId="GridTable7Colorful-Accent3">
    <w:name w:val="Grid Table 7 Colorful Accent 3"/>
    <w:basedOn w:val="TableNormal"/>
    <w:uiPriority w:val="52"/>
    <w:semiHidden/>
    <w:rsid w:val="0022698D"/>
    <w:pPr>
      <w:spacing w:line="240" w:lineRule="auto"/>
    </w:pPr>
    <w:rPr>
      <w:color w:val="003871" w:themeColor="accent3" w:themeShade="BF"/>
    </w:rPr>
    <w:tblPr>
      <w:tblStyleRowBandSize w:val="1"/>
      <w:tblStyleColBandSize w:val="1"/>
      <w:tblBorders>
        <w:top w:val="single" w:sz="4" w:space="0" w:color="2793FF" w:themeColor="accent3" w:themeTint="99"/>
        <w:left w:val="single" w:sz="4" w:space="0" w:color="2793FF" w:themeColor="accent3" w:themeTint="99"/>
        <w:bottom w:val="single" w:sz="4" w:space="0" w:color="2793FF" w:themeColor="accent3" w:themeTint="99"/>
        <w:right w:val="single" w:sz="4" w:space="0" w:color="2793FF" w:themeColor="accent3" w:themeTint="99"/>
        <w:insideH w:val="single" w:sz="4" w:space="0" w:color="2793FF" w:themeColor="accent3" w:themeTint="99"/>
        <w:insideV w:val="single" w:sz="4" w:space="0" w:color="279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3" w:themeFillTint="33"/>
      </w:tcPr>
    </w:tblStylePr>
    <w:tblStylePr w:type="band1Horz">
      <w:tblPr/>
      <w:tcPr>
        <w:shd w:val="clear" w:color="auto" w:fill="B7DBFF" w:themeFill="accent3" w:themeFillTint="33"/>
      </w:tcPr>
    </w:tblStylePr>
    <w:tblStylePr w:type="neCell">
      <w:tblPr/>
      <w:tcPr>
        <w:tcBorders>
          <w:bottom w:val="single" w:sz="4" w:space="0" w:color="2793FF" w:themeColor="accent3" w:themeTint="99"/>
        </w:tcBorders>
      </w:tcPr>
    </w:tblStylePr>
    <w:tblStylePr w:type="nwCell">
      <w:tblPr/>
      <w:tcPr>
        <w:tcBorders>
          <w:bottom w:val="single" w:sz="4" w:space="0" w:color="2793FF" w:themeColor="accent3" w:themeTint="99"/>
        </w:tcBorders>
      </w:tcPr>
    </w:tblStylePr>
    <w:tblStylePr w:type="seCell">
      <w:tblPr/>
      <w:tcPr>
        <w:tcBorders>
          <w:top w:val="single" w:sz="4" w:space="0" w:color="2793FF" w:themeColor="accent3" w:themeTint="99"/>
        </w:tcBorders>
      </w:tcPr>
    </w:tblStylePr>
    <w:tblStylePr w:type="swCell">
      <w:tblPr/>
      <w:tcPr>
        <w:tcBorders>
          <w:top w:val="single" w:sz="4" w:space="0" w:color="2793FF" w:themeColor="accent3" w:themeTint="99"/>
        </w:tcBorders>
      </w:tcPr>
    </w:tblStylePr>
  </w:style>
  <w:style w:type="table" w:styleId="GridTable7Colorful-Accent4">
    <w:name w:val="Grid Table 7 Colorful Accent 4"/>
    <w:basedOn w:val="TableNormal"/>
    <w:uiPriority w:val="52"/>
    <w:semiHidden/>
    <w:rsid w:val="0022698D"/>
    <w:pPr>
      <w:spacing w:line="240" w:lineRule="auto"/>
    </w:pPr>
    <w:rPr>
      <w:color w:val="5A556C" w:themeColor="accent4" w:themeShade="BF"/>
    </w:rPr>
    <w:tblPr>
      <w:tblStyleRowBandSize w:val="1"/>
      <w:tblStyleColBandSize w:val="1"/>
      <w:tblBorders>
        <w:top w:val="single" w:sz="4" w:space="0" w:color="AEABBD" w:themeColor="accent4" w:themeTint="99"/>
        <w:left w:val="single" w:sz="4" w:space="0" w:color="AEABBD" w:themeColor="accent4" w:themeTint="99"/>
        <w:bottom w:val="single" w:sz="4" w:space="0" w:color="AEABBD" w:themeColor="accent4" w:themeTint="99"/>
        <w:right w:val="single" w:sz="4" w:space="0" w:color="AEABBD" w:themeColor="accent4" w:themeTint="99"/>
        <w:insideH w:val="single" w:sz="4" w:space="0" w:color="AEABBD" w:themeColor="accent4" w:themeTint="99"/>
        <w:insideV w:val="single" w:sz="4" w:space="0" w:color="AEABB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3E9" w:themeFill="accent4" w:themeFillTint="33"/>
      </w:tcPr>
    </w:tblStylePr>
    <w:tblStylePr w:type="band1Horz">
      <w:tblPr/>
      <w:tcPr>
        <w:shd w:val="clear" w:color="auto" w:fill="E4E3E9" w:themeFill="accent4" w:themeFillTint="33"/>
      </w:tcPr>
    </w:tblStylePr>
    <w:tblStylePr w:type="neCell">
      <w:tblPr/>
      <w:tcPr>
        <w:tcBorders>
          <w:bottom w:val="single" w:sz="4" w:space="0" w:color="AEABBD" w:themeColor="accent4" w:themeTint="99"/>
        </w:tcBorders>
      </w:tcPr>
    </w:tblStylePr>
    <w:tblStylePr w:type="nwCell">
      <w:tblPr/>
      <w:tcPr>
        <w:tcBorders>
          <w:bottom w:val="single" w:sz="4" w:space="0" w:color="AEABBD" w:themeColor="accent4" w:themeTint="99"/>
        </w:tcBorders>
      </w:tcPr>
    </w:tblStylePr>
    <w:tblStylePr w:type="seCell">
      <w:tblPr/>
      <w:tcPr>
        <w:tcBorders>
          <w:top w:val="single" w:sz="4" w:space="0" w:color="AEABBD" w:themeColor="accent4" w:themeTint="99"/>
        </w:tcBorders>
      </w:tcPr>
    </w:tblStylePr>
    <w:tblStylePr w:type="swCell">
      <w:tblPr/>
      <w:tcPr>
        <w:tcBorders>
          <w:top w:val="single" w:sz="4" w:space="0" w:color="AEABBD" w:themeColor="accent4" w:themeTint="99"/>
        </w:tcBorders>
      </w:tcPr>
    </w:tblStylePr>
  </w:style>
  <w:style w:type="table" w:styleId="GridTable7Colorful-Accent5">
    <w:name w:val="Grid Table 7 Colorful Accent 5"/>
    <w:basedOn w:val="TableNormal"/>
    <w:uiPriority w:val="52"/>
    <w:semiHidden/>
    <w:rsid w:val="0022698D"/>
    <w:pPr>
      <w:spacing w:line="240" w:lineRule="auto"/>
    </w:pPr>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22698D"/>
    <w:pPr>
      <w:spacing w:line="240" w:lineRule="auto"/>
    </w:pPr>
    <w:rPr>
      <w:color w:val="E5611B" w:themeColor="accent6" w:themeShade="BF"/>
    </w:rPr>
    <w:tblPr>
      <w:tblStyleRowBandSize w:val="1"/>
      <w:tblStyleColBandSize w:val="1"/>
      <w:tblBorders>
        <w:top w:val="single" w:sz="4" w:space="0" w:color="F4C0A4" w:themeColor="accent6" w:themeTint="99"/>
        <w:left w:val="single" w:sz="4" w:space="0" w:color="F4C0A4" w:themeColor="accent6" w:themeTint="99"/>
        <w:bottom w:val="single" w:sz="4" w:space="0" w:color="F4C0A4" w:themeColor="accent6" w:themeTint="99"/>
        <w:right w:val="single" w:sz="4" w:space="0" w:color="F4C0A4" w:themeColor="accent6" w:themeTint="99"/>
        <w:insideH w:val="single" w:sz="4" w:space="0" w:color="F4C0A4" w:themeColor="accent6" w:themeTint="99"/>
        <w:insideV w:val="single" w:sz="4" w:space="0" w:color="F4C0A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9E0" w:themeFill="accent6" w:themeFillTint="33"/>
      </w:tcPr>
    </w:tblStylePr>
    <w:tblStylePr w:type="band1Horz">
      <w:tblPr/>
      <w:tcPr>
        <w:shd w:val="clear" w:color="auto" w:fill="FBE9E0" w:themeFill="accent6" w:themeFillTint="33"/>
      </w:tcPr>
    </w:tblStylePr>
    <w:tblStylePr w:type="neCell">
      <w:tblPr/>
      <w:tcPr>
        <w:tcBorders>
          <w:bottom w:val="single" w:sz="4" w:space="0" w:color="F4C0A4" w:themeColor="accent6" w:themeTint="99"/>
        </w:tcBorders>
      </w:tcPr>
    </w:tblStylePr>
    <w:tblStylePr w:type="nwCell">
      <w:tblPr/>
      <w:tcPr>
        <w:tcBorders>
          <w:bottom w:val="single" w:sz="4" w:space="0" w:color="F4C0A4" w:themeColor="accent6" w:themeTint="99"/>
        </w:tcBorders>
      </w:tcPr>
    </w:tblStylePr>
    <w:tblStylePr w:type="seCell">
      <w:tblPr/>
      <w:tcPr>
        <w:tcBorders>
          <w:top w:val="single" w:sz="4" w:space="0" w:color="F4C0A4" w:themeColor="accent6" w:themeTint="99"/>
        </w:tcBorders>
      </w:tcPr>
    </w:tblStylePr>
    <w:tblStylePr w:type="swCell">
      <w:tblPr/>
      <w:tcPr>
        <w:tcBorders>
          <w:top w:val="single" w:sz="4" w:space="0" w:color="F4C0A4" w:themeColor="accent6" w:themeTint="99"/>
        </w:tcBorders>
      </w:tcPr>
    </w:tblStylePr>
  </w:style>
  <w:style w:type="table" w:styleId="LightGrid">
    <w:name w:val="Light Grid"/>
    <w:basedOn w:val="TableNormal"/>
    <w:uiPriority w:val="62"/>
    <w:semiHidden/>
    <w:rsid w:val="0022698D"/>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2698D"/>
    <w:pPr>
      <w:spacing w:line="240" w:lineRule="auto"/>
    </w:pPr>
    <w:tblPr>
      <w:tblStyleRowBandSize w:val="1"/>
      <w:tblStyleColBandSize w:val="1"/>
      <w:tblBorders>
        <w:top w:val="single" w:sz="8" w:space="0" w:color="88DBE9" w:themeColor="accent1"/>
        <w:left w:val="single" w:sz="8" w:space="0" w:color="88DBE9" w:themeColor="accent1"/>
        <w:bottom w:val="single" w:sz="8" w:space="0" w:color="88DBE9" w:themeColor="accent1"/>
        <w:right w:val="single" w:sz="8" w:space="0" w:color="88DBE9" w:themeColor="accent1"/>
        <w:insideH w:val="single" w:sz="8" w:space="0" w:color="88DBE9" w:themeColor="accent1"/>
        <w:insideV w:val="single" w:sz="8" w:space="0" w:color="88DBE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E9" w:themeColor="accent1"/>
          <w:left w:val="single" w:sz="8" w:space="0" w:color="88DBE9" w:themeColor="accent1"/>
          <w:bottom w:val="single" w:sz="18" w:space="0" w:color="88DBE9" w:themeColor="accent1"/>
          <w:right w:val="single" w:sz="8" w:space="0" w:color="88DBE9" w:themeColor="accent1"/>
          <w:insideH w:val="nil"/>
          <w:insideV w:val="single" w:sz="8" w:space="0" w:color="88DBE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E9" w:themeColor="accent1"/>
          <w:left w:val="single" w:sz="8" w:space="0" w:color="88DBE9" w:themeColor="accent1"/>
          <w:bottom w:val="single" w:sz="8" w:space="0" w:color="88DBE9" w:themeColor="accent1"/>
          <w:right w:val="single" w:sz="8" w:space="0" w:color="88DBE9" w:themeColor="accent1"/>
          <w:insideH w:val="nil"/>
          <w:insideV w:val="single" w:sz="8" w:space="0" w:color="88DBE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E9" w:themeColor="accent1"/>
          <w:left w:val="single" w:sz="8" w:space="0" w:color="88DBE9" w:themeColor="accent1"/>
          <w:bottom w:val="single" w:sz="8" w:space="0" w:color="88DBE9" w:themeColor="accent1"/>
          <w:right w:val="single" w:sz="8" w:space="0" w:color="88DBE9" w:themeColor="accent1"/>
        </w:tcBorders>
      </w:tcPr>
    </w:tblStylePr>
    <w:tblStylePr w:type="band1Vert">
      <w:tblPr/>
      <w:tcPr>
        <w:tcBorders>
          <w:top w:val="single" w:sz="8" w:space="0" w:color="88DBE9" w:themeColor="accent1"/>
          <w:left w:val="single" w:sz="8" w:space="0" w:color="88DBE9" w:themeColor="accent1"/>
          <w:bottom w:val="single" w:sz="8" w:space="0" w:color="88DBE9" w:themeColor="accent1"/>
          <w:right w:val="single" w:sz="8" w:space="0" w:color="88DBE9" w:themeColor="accent1"/>
        </w:tcBorders>
        <w:shd w:val="clear" w:color="auto" w:fill="E1F6F9" w:themeFill="accent1" w:themeFillTint="3F"/>
      </w:tcPr>
    </w:tblStylePr>
    <w:tblStylePr w:type="band1Horz">
      <w:tblPr/>
      <w:tcPr>
        <w:tcBorders>
          <w:top w:val="single" w:sz="8" w:space="0" w:color="88DBE9" w:themeColor="accent1"/>
          <w:left w:val="single" w:sz="8" w:space="0" w:color="88DBE9" w:themeColor="accent1"/>
          <w:bottom w:val="single" w:sz="8" w:space="0" w:color="88DBE9" w:themeColor="accent1"/>
          <w:right w:val="single" w:sz="8" w:space="0" w:color="88DBE9" w:themeColor="accent1"/>
          <w:insideV w:val="single" w:sz="8" w:space="0" w:color="88DBE9" w:themeColor="accent1"/>
        </w:tcBorders>
        <w:shd w:val="clear" w:color="auto" w:fill="E1F6F9" w:themeFill="accent1" w:themeFillTint="3F"/>
      </w:tcPr>
    </w:tblStylePr>
    <w:tblStylePr w:type="band2Horz">
      <w:tblPr/>
      <w:tcPr>
        <w:tcBorders>
          <w:top w:val="single" w:sz="8" w:space="0" w:color="88DBE9" w:themeColor="accent1"/>
          <w:left w:val="single" w:sz="8" w:space="0" w:color="88DBE9" w:themeColor="accent1"/>
          <w:bottom w:val="single" w:sz="8" w:space="0" w:color="88DBE9" w:themeColor="accent1"/>
          <w:right w:val="single" w:sz="8" w:space="0" w:color="88DBE9" w:themeColor="accent1"/>
          <w:insideV w:val="single" w:sz="8" w:space="0" w:color="88DBE9" w:themeColor="accent1"/>
        </w:tcBorders>
      </w:tcPr>
    </w:tblStylePr>
  </w:style>
  <w:style w:type="table" w:styleId="LightGrid-Accent2">
    <w:name w:val="Light Grid Accent 2"/>
    <w:basedOn w:val="TableNormal"/>
    <w:uiPriority w:val="62"/>
    <w:semiHidden/>
    <w:rsid w:val="0022698D"/>
    <w:pPr>
      <w:spacing w:line="240" w:lineRule="auto"/>
    </w:pPr>
    <w:tblPr>
      <w:tblStyleRowBandSize w:val="1"/>
      <w:tblStyleColBandSize w:val="1"/>
      <w:tblBorders>
        <w:top w:val="single" w:sz="8" w:space="0" w:color="E35205" w:themeColor="accent2"/>
        <w:left w:val="single" w:sz="8" w:space="0" w:color="E35205" w:themeColor="accent2"/>
        <w:bottom w:val="single" w:sz="8" w:space="0" w:color="E35205" w:themeColor="accent2"/>
        <w:right w:val="single" w:sz="8" w:space="0" w:color="E35205" w:themeColor="accent2"/>
        <w:insideH w:val="single" w:sz="8" w:space="0" w:color="E35205" w:themeColor="accent2"/>
        <w:insideV w:val="single" w:sz="8" w:space="0" w:color="E3520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35205" w:themeColor="accent2"/>
          <w:left w:val="single" w:sz="8" w:space="0" w:color="E35205" w:themeColor="accent2"/>
          <w:bottom w:val="single" w:sz="18" w:space="0" w:color="E35205" w:themeColor="accent2"/>
          <w:right w:val="single" w:sz="8" w:space="0" w:color="E35205" w:themeColor="accent2"/>
          <w:insideH w:val="nil"/>
          <w:insideV w:val="single" w:sz="8" w:space="0" w:color="E3520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5205" w:themeColor="accent2"/>
          <w:left w:val="single" w:sz="8" w:space="0" w:color="E35205" w:themeColor="accent2"/>
          <w:bottom w:val="single" w:sz="8" w:space="0" w:color="E35205" w:themeColor="accent2"/>
          <w:right w:val="single" w:sz="8" w:space="0" w:color="E35205" w:themeColor="accent2"/>
          <w:insideH w:val="nil"/>
          <w:insideV w:val="single" w:sz="8" w:space="0" w:color="E3520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5205" w:themeColor="accent2"/>
          <w:left w:val="single" w:sz="8" w:space="0" w:color="E35205" w:themeColor="accent2"/>
          <w:bottom w:val="single" w:sz="8" w:space="0" w:color="E35205" w:themeColor="accent2"/>
          <w:right w:val="single" w:sz="8" w:space="0" w:color="E35205" w:themeColor="accent2"/>
        </w:tcBorders>
      </w:tcPr>
    </w:tblStylePr>
    <w:tblStylePr w:type="band1Vert">
      <w:tblPr/>
      <w:tcPr>
        <w:tcBorders>
          <w:top w:val="single" w:sz="8" w:space="0" w:color="E35205" w:themeColor="accent2"/>
          <w:left w:val="single" w:sz="8" w:space="0" w:color="E35205" w:themeColor="accent2"/>
          <w:bottom w:val="single" w:sz="8" w:space="0" w:color="E35205" w:themeColor="accent2"/>
          <w:right w:val="single" w:sz="8" w:space="0" w:color="E35205" w:themeColor="accent2"/>
        </w:tcBorders>
        <w:shd w:val="clear" w:color="auto" w:fill="FDD2BB" w:themeFill="accent2" w:themeFillTint="3F"/>
      </w:tcPr>
    </w:tblStylePr>
    <w:tblStylePr w:type="band1Horz">
      <w:tblPr/>
      <w:tcPr>
        <w:tcBorders>
          <w:top w:val="single" w:sz="8" w:space="0" w:color="E35205" w:themeColor="accent2"/>
          <w:left w:val="single" w:sz="8" w:space="0" w:color="E35205" w:themeColor="accent2"/>
          <w:bottom w:val="single" w:sz="8" w:space="0" w:color="E35205" w:themeColor="accent2"/>
          <w:right w:val="single" w:sz="8" w:space="0" w:color="E35205" w:themeColor="accent2"/>
          <w:insideV w:val="single" w:sz="8" w:space="0" w:color="E35205" w:themeColor="accent2"/>
        </w:tcBorders>
        <w:shd w:val="clear" w:color="auto" w:fill="FDD2BB" w:themeFill="accent2" w:themeFillTint="3F"/>
      </w:tcPr>
    </w:tblStylePr>
    <w:tblStylePr w:type="band2Horz">
      <w:tblPr/>
      <w:tcPr>
        <w:tcBorders>
          <w:top w:val="single" w:sz="8" w:space="0" w:color="E35205" w:themeColor="accent2"/>
          <w:left w:val="single" w:sz="8" w:space="0" w:color="E35205" w:themeColor="accent2"/>
          <w:bottom w:val="single" w:sz="8" w:space="0" w:color="E35205" w:themeColor="accent2"/>
          <w:right w:val="single" w:sz="8" w:space="0" w:color="E35205" w:themeColor="accent2"/>
          <w:insideV w:val="single" w:sz="8" w:space="0" w:color="E35205" w:themeColor="accent2"/>
        </w:tcBorders>
      </w:tcPr>
    </w:tblStylePr>
  </w:style>
  <w:style w:type="table" w:styleId="LightGrid-Accent3">
    <w:name w:val="Light Grid Accent 3"/>
    <w:basedOn w:val="TableNormal"/>
    <w:uiPriority w:val="62"/>
    <w:semiHidden/>
    <w:rsid w:val="0022698D"/>
    <w:pPr>
      <w:spacing w:line="240" w:lineRule="auto"/>
    </w:pPr>
    <w:tblPr>
      <w:tblStyleRowBandSize w:val="1"/>
      <w:tblStyleColBandSize w:val="1"/>
      <w:tblBorders>
        <w:top w:val="single" w:sz="8" w:space="0" w:color="004C97" w:themeColor="accent3"/>
        <w:left w:val="single" w:sz="8" w:space="0" w:color="004C97" w:themeColor="accent3"/>
        <w:bottom w:val="single" w:sz="8" w:space="0" w:color="004C97" w:themeColor="accent3"/>
        <w:right w:val="single" w:sz="8" w:space="0" w:color="004C97" w:themeColor="accent3"/>
        <w:insideH w:val="single" w:sz="8" w:space="0" w:color="004C97" w:themeColor="accent3"/>
        <w:insideV w:val="single" w:sz="8" w:space="0" w:color="004C9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3"/>
          <w:left w:val="single" w:sz="8" w:space="0" w:color="004C97" w:themeColor="accent3"/>
          <w:bottom w:val="single" w:sz="18" w:space="0" w:color="004C97" w:themeColor="accent3"/>
          <w:right w:val="single" w:sz="8" w:space="0" w:color="004C97" w:themeColor="accent3"/>
          <w:insideH w:val="nil"/>
          <w:insideV w:val="single" w:sz="8" w:space="0" w:color="004C9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3"/>
          <w:left w:val="single" w:sz="8" w:space="0" w:color="004C97" w:themeColor="accent3"/>
          <w:bottom w:val="single" w:sz="8" w:space="0" w:color="004C97" w:themeColor="accent3"/>
          <w:right w:val="single" w:sz="8" w:space="0" w:color="004C97" w:themeColor="accent3"/>
          <w:insideH w:val="nil"/>
          <w:insideV w:val="single" w:sz="8" w:space="0" w:color="004C9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3"/>
          <w:left w:val="single" w:sz="8" w:space="0" w:color="004C97" w:themeColor="accent3"/>
          <w:bottom w:val="single" w:sz="8" w:space="0" w:color="004C97" w:themeColor="accent3"/>
          <w:right w:val="single" w:sz="8" w:space="0" w:color="004C97" w:themeColor="accent3"/>
        </w:tcBorders>
      </w:tcPr>
    </w:tblStylePr>
    <w:tblStylePr w:type="band1Vert">
      <w:tblPr/>
      <w:tcPr>
        <w:tcBorders>
          <w:top w:val="single" w:sz="8" w:space="0" w:color="004C97" w:themeColor="accent3"/>
          <w:left w:val="single" w:sz="8" w:space="0" w:color="004C97" w:themeColor="accent3"/>
          <w:bottom w:val="single" w:sz="8" w:space="0" w:color="004C97" w:themeColor="accent3"/>
          <w:right w:val="single" w:sz="8" w:space="0" w:color="004C97" w:themeColor="accent3"/>
        </w:tcBorders>
        <w:shd w:val="clear" w:color="auto" w:fill="A6D2FF" w:themeFill="accent3" w:themeFillTint="3F"/>
      </w:tcPr>
    </w:tblStylePr>
    <w:tblStylePr w:type="band1Horz">
      <w:tblPr/>
      <w:tcPr>
        <w:tcBorders>
          <w:top w:val="single" w:sz="8" w:space="0" w:color="004C97" w:themeColor="accent3"/>
          <w:left w:val="single" w:sz="8" w:space="0" w:color="004C97" w:themeColor="accent3"/>
          <w:bottom w:val="single" w:sz="8" w:space="0" w:color="004C97" w:themeColor="accent3"/>
          <w:right w:val="single" w:sz="8" w:space="0" w:color="004C97" w:themeColor="accent3"/>
          <w:insideV w:val="single" w:sz="8" w:space="0" w:color="004C97" w:themeColor="accent3"/>
        </w:tcBorders>
        <w:shd w:val="clear" w:color="auto" w:fill="A6D2FF" w:themeFill="accent3" w:themeFillTint="3F"/>
      </w:tcPr>
    </w:tblStylePr>
    <w:tblStylePr w:type="band2Horz">
      <w:tblPr/>
      <w:tcPr>
        <w:tcBorders>
          <w:top w:val="single" w:sz="8" w:space="0" w:color="004C97" w:themeColor="accent3"/>
          <w:left w:val="single" w:sz="8" w:space="0" w:color="004C97" w:themeColor="accent3"/>
          <w:bottom w:val="single" w:sz="8" w:space="0" w:color="004C97" w:themeColor="accent3"/>
          <w:right w:val="single" w:sz="8" w:space="0" w:color="004C97" w:themeColor="accent3"/>
          <w:insideV w:val="single" w:sz="8" w:space="0" w:color="004C97" w:themeColor="accent3"/>
        </w:tcBorders>
      </w:tcPr>
    </w:tblStylePr>
  </w:style>
  <w:style w:type="table" w:styleId="LightGrid-Accent4">
    <w:name w:val="Light Grid Accent 4"/>
    <w:basedOn w:val="TableNormal"/>
    <w:uiPriority w:val="62"/>
    <w:semiHidden/>
    <w:rsid w:val="0022698D"/>
    <w:pPr>
      <w:spacing w:line="240" w:lineRule="auto"/>
    </w:pPr>
    <w:tblPr>
      <w:tblStyleRowBandSize w:val="1"/>
      <w:tblStyleColBandSize w:val="1"/>
      <w:tblBorders>
        <w:top w:val="single" w:sz="8" w:space="0" w:color="797391" w:themeColor="accent4"/>
        <w:left w:val="single" w:sz="8" w:space="0" w:color="797391" w:themeColor="accent4"/>
        <w:bottom w:val="single" w:sz="8" w:space="0" w:color="797391" w:themeColor="accent4"/>
        <w:right w:val="single" w:sz="8" w:space="0" w:color="797391" w:themeColor="accent4"/>
        <w:insideH w:val="single" w:sz="8" w:space="0" w:color="797391" w:themeColor="accent4"/>
        <w:insideV w:val="single" w:sz="8" w:space="0" w:color="79739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7391" w:themeColor="accent4"/>
          <w:left w:val="single" w:sz="8" w:space="0" w:color="797391" w:themeColor="accent4"/>
          <w:bottom w:val="single" w:sz="18" w:space="0" w:color="797391" w:themeColor="accent4"/>
          <w:right w:val="single" w:sz="8" w:space="0" w:color="797391" w:themeColor="accent4"/>
          <w:insideH w:val="nil"/>
          <w:insideV w:val="single" w:sz="8" w:space="0" w:color="79739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7391" w:themeColor="accent4"/>
          <w:left w:val="single" w:sz="8" w:space="0" w:color="797391" w:themeColor="accent4"/>
          <w:bottom w:val="single" w:sz="8" w:space="0" w:color="797391" w:themeColor="accent4"/>
          <w:right w:val="single" w:sz="8" w:space="0" w:color="797391" w:themeColor="accent4"/>
          <w:insideH w:val="nil"/>
          <w:insideV w:val="single" w:sz="8" w:space="0" w:color="79739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7391" w:themeColor="accent4"/>
          <w:left w:val="single" w:sz="8" w:space="0" w:color="797391" w:themeColor="accent4"/>
          <w:bottom w:val="single" w:sz="8" w:space="0" w:color="797391" w:themeColor="accent4"/>
          <w:right w:val="single" w:sz="8" w:space="0" w:color="797391" w:themeColor="accent4"/>
        </w:tcBorders>
      </w:tcPr>
    </w:tblStylePr>
    <w:tblStylePr w:type="band1Vert">
      <w:tblPr/>
      <w:tcPr>
        <w:tcBorders>
          <w:top w:val="single" w:sz="8" w:space="0" w:color="797391" w:themeColor="accent4"/>
          <w:left w:val="single" w:sz="8" w:space="0" w:color="797391" w:themeColor="accent4"/>
          <w:bottom w:val="single" w:sz="8" w:space="0" w:color="797391" w:themeColor="accent4"/>
          <w:right w:val="single" w:sz="8" w:space="0" w:color="797391" w:themeColor="accent4"/>
        </w:tcBorders>
        <w:shd w:val="clear" w:color="auto" w:fill="DDDCE3" w:themeFill="accent4" w:themeFillTint="3F"/>
      </w:tcPr>
    </w:tblStylePr>
    <w:tblStylePr w:type="band1Horz">
      <w:tblPr/>
      <w:tcPr>
        <w:tcBorders>
          <w:top w:val="single" w:sz="8" w:space="0" w:color="797391" w:themeColor="accent4"/>
          <w:left w:val="single" w:sz="8" w:space="0" w:color="797391" w:themeColor="accent4"/>
          <w:bottom w:val="single" w:sz="8" w:space="0" w:color="797391" w:themeColor="accent4"/>
          <w:right w:val="single" w:sz="8" w:space="0" w:color="797391" w:themeColor="accent4"/>
          <w:insideV w:val="single" w:sz="8" w:space="0" w:color="797391" w:themeColor="accent4"/>
        </w:tcBorders>
        <w:shd w:val="clear" w:color="auto" w:fill="DDDCE3" w:themeFill="accent4" w:themeFillTint="3F"/>
      </w:tcPr>
    </w:tblStylePr>
    <w:tblStylePr w:type="band2Horz">
      <w:tblPr/>
      <w:tcPr>
        <w:tcBorders>
          <w:top w:val="single" w:sz="8" w:space="0" w:color="797391" w:themeColor="accent4"/>
          <w:left w:val="single" w:sz="8" w:space="0" w:color="797391" w:themeColor="accent4"/>
          <w:bottom w:val="single" w:sz="8" w:space="0" w:color="797391" w:themeColor="accent4"/>
          <w:right w:val="single" w:sz="8" w:space="0" w:color="797391" w:themeColor="accent4"/>
          <w:insideV w:val="single" w:sz="8" w:space="0" w:color="797391" w:themeColor="accent4"/>
        </w:tcBorders>
      </w:tcPr>
    </w:tblStylePr>
  </w:style>
  <w:style w:type="table" w:styleId="LightGrid-Accent5">
    <w:name w:val="Light Grid Accent 5"/>
    <w:basedOn w:val="TableNormal"/>
    <w:uiPriority w:val="62"/>
    <w:semiHidden/>
    <w:rsid w:val="0022698D"/>
    <w:pPr>
      <w:spacing w:line="240" w:lineRule="auto"/>
    </w:p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22698D"/>
    <w:pPr>
      <w:spacing w:line="240" w:lineRule="auto"/>
    </w:pPr>
    <w:tblPr>
      <w:tblStyleRowBandSize w:val="1"/>
      <w:tblStyleColBandSize w:val="1"/>
      <w:tblBorders>
        <w:top w:val="single" w:sz="8" w:space="0" w:color="EE9769" w:themeColor="accent6"/>
        <w:left w:val="single" w:sz="8" w:space="0" w:color="EE9769" w:themeColor="accent6"/>
        <w:bottom w:val="single" w:sz="8" w:space="0" w:color="EE9769" w:themeColor="accent6"/>
        <w:right w:val="single" w:sz="8" w:space="0" w:color="EE9769" w:themeColor="accent6"/>
        <w:insideH w:val="single" w:sz="8" w:space="0" w:color="EE9769" w:themeColor="accent6"/>
        <w:insideV w:val="single" w:sz="8" w:space="0" w:color="EE976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9769" w:themeColor="accent6"/>
          <w:left w:val="single" w:sz="8" w:space="0" w:color="EE9769" w:themeColor="accent6"/>
          <w:bottom w:val="single" w:sz="18" w:space="0" w:color="EE9769" w:themeColor="accent6"/>
          <w:right w:val="single" w:sz="8" w:space="0" w:color="EE9769" w:themeColor="accent6"/>
          <w:insideH w:val="nil"/>
          <w:insideV w:val="single" w:sz="8" w:space="0" w:color="EE976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9769" w:themeColor="accent6"/>
          <w:left w:val="single" w:sz="8" w:space="0" w:color="EE9769" w:themeColor="accent6"/>
          <w:bottom w:val="single" w:sz="8" w:space="0" w:color="EE9769" w:themeColor="accent6"/>
          <w:right w:val="single" w:sz="8" w:space="0" w:color="EE9769" w:themeColor="accent6"/>
          <w:insideH w:val="nil"/>
          <w:insideV w:val="single" w:sz="8" w:space="0" w:color="EE976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9769" w:themeColor="accent6"/>
          <w:left w:val="single" w:sz="8" w:space="0" w:color="EE9769" w:themeColor="accent6"/>
          <w:bottom w:val="single" w:sz="8" w:space="0" w:color="EE9769" w:themeColor="accent6"/>
          <w:right w:val="single" w:sz="8" w:space="0" w:color="EE9769" w:themeColor="accent6"/>
        </w:tcBorders>
      </w:tcPr>
    </w:tblStylePr>
    <w:tblStylePr w:type="band1Vert">
      <w:tblPr/>
      <w:tcPr>
        <w:tcBorders>
          <w:top w:val="single" w:sz="8" w:space="0" w:color="EE9769" w:themeColor="accent6"/>
          <w:left w:val="single" w:sz="8" w:space="0" w:color="EE9769" w:themeColor="accent6"/>
          <w:bottom w:val="single" w:sz="8" w:space="0" w:color="EE9769" w:themeColor="accent6"/>
          <w:right w:val="single" w:sz="8" w:space="0" w:color="EE9769" w:themeColor="accent6"/>
        </w:tcBorders>
        <w:shd w:val="clear" w:color="auto" w:fill="FAE5D9" w:themeFill="accent6" w:themeFillTint="3F"/>
      </w:tcPr>
    </w:tblStylePr>
    <w:tblStylePr w:type="band1Horz">
      <w:tblPr/>
      <w:tcPr>
        <w:tcBorders>
          <w:top w:val="single" w:sz="8" w:space="0" w:color="EE9769" w:themeColor="accent6"/>
          <w:left w:val="single" w:sz="8" w:space="0" w:color="EE9769" w:themeColor="accent6"/>
          <w:bottom w:val="single" w:sz="8" w:space="0" w:color="EE9769" w:themeColor="accent6"/>
          <w:right w:val="single" w:sz="8" w:space="0" w:color="EE9769" w:themeColor="accent6"/>
          <w:insideV w:val="single" w:sz="8" w:space="0" w:color="EE9769" w:themeColor="accent6"/>
        </w:tcBorders>
        <w:shd w:val="clear" w:color="auto" w:fill="FAE5D9" w:themeFill="accent6" w:themeFillTint="3F"/>
      </w:tcPr>
    </w:tblStylePr>
    <w:tblStylePr w:type="band2Horz">
      <w:tblPr/>
      <w:tcPr>
        <w:tcBorders>
          <w:top w:val="single" w:sz="8" w:space="0" w:color="EE9769" w:themeColor="accent6"/>
          <w:left w:val="single" w:sz="8" w:space="0" w:color="EE9769" w:themeColor="accent6"/>
          <w:bottom w:val="single" w:sz="8" w:space="0" w:color="EE9769" w:themeColor="accent6"/>
          <w:right w:val="single" w:sz="8" w:space="0" w:color="EE9769" w:themeColor="accent6"/>
          <w:insideV w:val="single" w:sz="8" w:space="0" w:color="EE9769" w:themeColor="accent6"/>
        </w:tcBorders>
      </w:tcPr>
    </w:tblStylePr>
  </w:style>
  <w:style w:type="table" w:styleId="LightList">
    <w:name w:val="Light List"/>
    <w:basedOn w:val="TableNormal"/>
    <w:uiPriority w:val="61"/>
    <w:semiHidden/>
    <w:rsid w:val="0022698D"/>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22698D"/>
    <w:pPr>
      <w:spacing w:line="240" w:lineRule="auto"/>
    </w:pPr>
    <w:tblPr>
      <w:tblStyleRowBandSize w:val="1"/>
      <w:tblStyleColBandSize w:val="1"/>
      <w:tblBorders>
        <w:top w:val="single" w:sz="8" w:space="0" w:color="88DBE9" w:themeColor="accent1"/>
        <w:left w:val="single" w:sz="8" w:space="0" w:color="88DBE9" w:themeColor="accent1"/>
        <w:bottom w:val="single" w:sz="8" w:space="0" w:color="88DBE9" w:themeColor="accent1"/>
        <w:right w:val="single" w:sz="8" w:space="0" w:color="88DBE9" w:themeColor="accent1"/>
      </w:tblBorders>
    </w:tblPr>
    <w:tblStylePr w:type="firstRow">
      <w:pPr>
        <w:spacing w:before="0" w:after="0" w:line="240" w:lineRule="auto"/>
      </w:pPr>
      <w:rPr>
        <w:b/>
        <w:bCs/>
        <w:color w:val="FFFFFF" w:themeColor="background1"/>
      </w:rPr>
      <w:tblPr/>
      <w:tcPr>
        <w:shd w:val="clear" w:color="auto" w:fill="88DBE9" w:themeFill="accent1"/>
      </w:tcPr>
    </w:tblStylePr>
    <w:tblStylePr w:type="lastRow">
      <w:pPr>
        <w:spacing w:before="0" w:after="0" w:line="240" w:lineRule="auto"/>
      </w:pPr>
      <w:rPr>
        <w:b/>
        <w:bCs/>
      </w:rPr>
      <w:tblPr/>
      <w:tcPr>
        <w:tcBorders>
          <w:top w:val="double" w:sz="6" w:space="0" w:color="88DBE9" w:themeColor="accent1"/>
          <w:left w:val="single" w:sz="8" w:space="0" w:color="88DBE9" w:themeColor="accent1"/>
          <w:bottom w:val="single" w:sz="8" w:space="0" w:color="88DBE9" w:themeColor="accent1"/>
          <w:right w:val="single" w:sz="8" w:space="0" w:color="88DBE9" w:themeColor="accent1"/>
        </w:tcBorders>
      </w:tcPr>
    </w:tblStylePr>
    <w:tblStylePr w:type="firstCol">
      <w:rPr>
        <w:b/>
        <w:bCs/>
      </w:rPr>
    </w:tblStylePr>
    <w:tblStylePr w:type="lastCol">
      <w:rPr>
        <w:b/>
        <w:bCs/>
      </w:rPr>
    </w:tblStylePr>
    <w:tblStylePr w:type="band1Vert">
      <w:tblPr/>
      <w:tcPr>
        <w:tcBorders>
          <w:top w:val="single" w:sz="8" w:space="0" w:color="88DBE9" w:themeColor="accent1"/>
          <w:left w:val="single" w:sz="8" w:space="0" w:color="88DBE9" w:themeColor="accent1"/>
          <w:bottom w:val="single" w:sz="8" w:space="0" w:color="88DBE9" w:themeColor="accent1"/>
          <w:right w:val="single" w:sz="8" w:space="0" w:color="88DBE9" w:themeColor="accent1"/>
        </w:tcBorders>
      </w:tcPr>
    </w:tblStylePr>
    <w:tblStylePr w:type="band1Horz">
      <w:tblPr/>
      <w:tcPr>
        <w:tcBorders>
          <w:top w:val="single" w:sz="8" w:space="0" w:color="88DBE9" w:themeColor="accent1"/>
          <w:left w:val="single" w:sz="8" w:space="0" w:color="88DBE9" w:themeColor="accent1"/>
          <w:bottom w:val="single" w:sz="8" w:space="0" w:color="88DBE9" w:themeColor="accent1"/>
          <w:right w:val="single" w:sz="8" w:space="0" w:color="88DBE9" w:themeColor="accent1"/>
        </w:tcBorders>
      </w:tcPr>
    </w:tblStylePr>
  </w:style>
  <w:style w:type="table" w:styleId="LightList-Accent2">
    <w:name w:val="Light List Accent 2"/>
    <w:basedOn w:val="TableNormal"/>
    <w:uiPriority w:val="61"/>
    <w:semiHidden/>
    <w:rsid w:val="0022698D"/>
    <w:pPr>
      <w:spacing w:line="240" w:lineRule="auto"/>
    </w:pPr>
    <w:tblPr>
      <w:tblStyleRowBandSize w:val="1"/>
      <w:tblStyleColBandSize w:val="1"/>
      <w:tblBorders>
        <w:top w:val="single" w:sz="8" w:space="0" w:color="E35205" w:themeColor="accent2"/>
        <w:left w:val="single" w:sz="8" w:space="0" w:color="E35205" w:themeColor="accent2"/>
        <w:bottom w:val="single" w:sz="8" w:space="0" w:color="E35205" w:themeColor="accent2"/>
        <w:right w:val="single" w:sz="8" w:space="0" w:color="E35205" w:themeColor="accent2"/>
      </w:tblBorders>
    </w:tblPr>
    <w:tblStylePr w:type="firstRow">
      <w:pPr>
        <w:spacing w:before="0" w:after="0" w:line="240" w:lineRule="auto"/>
      </w:pPr>
      <w:rPr>
        <w:b/>
        <w:bCs/>
        <w:color w:val="FFFFFF" w:themeColor="background1"/>
      </w:rPr>
      <w:tblPr/>
      <w:tcPr>
        <w:shd w:val="clear" w:color="auto" w:fill="E35205" w:themeFill="accent2"/>
      </w:tcPr>
    </w:tblStylePr>
    <w:tblStylePr w:type="lastRow">
      <w:pPr>
        <w:spacing w:before="0" w:after="0" w:line="240" w:lineRule="auto"/>
      </w:pPr>
      <w:rPr>
        <w:b/>
        <w:bCs/>
      </w:rPr>
      <w:tblPr/>
      <w:tcPr>
        <w:tcBorders>
          <w:top w:val="double" w:sz="6" w:space="0" w:color="E35205" w:themeColor="accent2"/>
          <w:left w:val="single" w:sz="8" w:space="0" w:color="E35205" w:themeColor="accent2"/>
          <w:bottom w:val="single" w:sz="8" w:space="0" w:color="E35205" w:themeColor="accent2"/>
          <w:right w:val="single" w:sz="8" w:space="0" w:color="E35205" w:themeColor="accent2"/>
        </w:tcBorders>
      </w:tcPr>
    </w:tblStylePr>
    <w:tblStylePr w:type="firstCol">
      <w:rPr>
        <w:b/>
        <w:bCs/>
      </w:rPr>
    </w:tblStylePr>
    <w:tblStylePr w:type="lastCol">
      <w:rPr>
        <w:b/>
        <w:bCs/>
      </w:rPr>
    </w:tblStylePr>
    <w:tblStylePr w:type="band1Vert">
      <w:tblPr/>
      <w:tcPr>
        <w:tcBorders>
          <w:top w:val="single" w:sz="8" w:space="0" w:color="E35205" w:themeColor="accent2"/>
          <w:left w:val="single" w:sz="8" w:space="0" w:color="E35205" w:themeColor="accent2"/>
          <w:bottom w:val="single" w:sz="8" w:space="0" w:color="E35205" w:themeColor="accent2"/>
          <w:right w:val="single" w:sz="8" w:space="0" w:color="E35205" w:themeColor="accent2"/>
        </w:tcBorders>
      </w:tcPr>
    </w:tblStylePr>
    <w:tblStylePr w:type="band1Horz">
      <w:tblPr/>
      <w:tcPr>
        <w:tcBorders>
          <w:top w:val="single" w:sz="8" w:space="0" w:color="E35205" w:themeColor="accent2"/>
          <w:left w:val="single" w:sz="8" w:space="0" w:color="E35205" w:themeColor="accent2"/>
          <w:bottom w:val="single" w:sz="8" w:space="0" w:color="E35205" w:themeColor="accent2"/>
          <w:right w:val="single" w:sz="8" w:space="0" w:color="E35205" w:themeColor="accent2"/>
        </w:tcBorders>
      </w:tcPr>
    </w:tblStylePr>
  </w:style>
  <w:style w:type="table" w:styleId="LightList-Accent3">
    <w:name w:val="Light List Accent 3"/>
    <w:basedOn w:val="TableNormal"/>
    <w:uiPriority w:val="61"/>
    <w:semiHidden/>
    <w:rsid w:val="0022698D"/>
    <w:pPr>
      <w:spacing w:line="240" w:lineRule="auto"/>
    </w:pPr>
    <w:tblPr>
      <w:tblStyleRowBandSize w:val="1"/>
      <w:tblStyleColBandSize w:val="1"/>
      <w:tblBorders>
        <w:top w:val="single" w:sz="8" w:space="0" w:color="004C97" w:themeColor="accent3"/>
        <w:left w:val="single" w:sz="8" w:space="0" w:color="004C97" w:themeColor="accent3"/>
        <w:bottom w:val="single" w:sz="8" w:space="0" w:color="004C97" w:themeColor="accent3"/>
        <w:right w:val="single" w:sz="8" w:space="0" w:color="004C97" w:themeColor="accent3"/>
      </w:tblBorders>
    </w:tblPr>
    <w:tblStylePr w:type="firstRow">
      <w:pPr>
        <w:spacing w:before="0" w:after="0" w:line="240" w:lineRule="auto"/>
      </w:pPr>
      <w:rPr>
        <w:b/>
        <w:bCs/>
        <w:color w:val="FFFFFF" w:themeColor="background1"/>
      </w:rPr>
      <w:tblPr/>
      <w:tcPr>
        <w:shd w:val="clear" w:color="auto" w:fill="004C97" w:themeFill="accent3"/>
      </w:tcPr>
    </w:tblStylePr>
    <w:tblStylePr w:type="lastRow">
      <w:pPr>
        <w:spacing w:before="0" w:after="0" w:line="240" w:lineRule="auto"/>
      </w:pPr>
      <w:rPr>
        <w:b/>
        <w:bCs/>
      </w:rPr>
      <w:tblPr/>
      <w:tcPr>
        <w:tcBorders>
          <w:top w:val="double" w:sz="6" w:space="0" w:color="004C97" w:themeColor="accent3"/>
          <w:left w:val="single" w:sz="8" w:space="0" w:color="004C97" w:themeColor="accent3"/>
          <w:bottom w:val="single" w:sz="8" w:space="0" w:color="004C97" w:themeColor="accent3"/>
          <w:right w:val="single" w:sz="8" w:space="0" w:color="004C97" w:themeColor="accent3"/>
        </w:tcBorders>
      </w:tcPr>
    </w:tblStylePr>
    <w:tblStylePr w:type="firstCol">
      <w:rPr>
        <w:b/>
        <w:bCs/>
      </w:rPr>
    </w:tblStylePr>
    <w:tblStylePr w:type="lastCol">
      <w:rPr>
        <w:b/>
        <w:bCs/>
      </w:rPr>
    </w:tblStylePr>
    <w:tblStylePr w:type="band1Vert">
      <w:tblPr/>
      <w:tcPr>
        <w:tcBorders>
          <w:top w:val="single" w:sz="8" w:space="0" w:color="004C97" w:themeColor="accent3"/>
          <w:left w:val="single" w:sz="8" w:space="0" w:color="004C97" w:themeColor="accent3"/>
          <w:bottom w:val="single" w:sz="8" w:space="0" w:color="004C97" w:themeColor="accent3"/>
          <w:right w:val="single" w:sz="8" w:space="0" w:color="004C97" w:themeColor="accent3"/>
        </w:tcBorders>
      </w:tcPr>
    </w:tblStylePr>
    <w:tblStylePr w:type="band1Horz">
      <w:tblPr/>
      <w:tcPr>
        <w:tcBorders>
          <w:top w:val="single" w:sz="8" w:space="0" w:color="004C97" w:themeColor="accent3"/>
          <w:left w:val="single" w:sz="8" w:space="0" w:color="004C97" w:themeColor="accent3"/>
          <w:bottom w:val="single" w:sz="8" w:space="0" w:color="004C97" w:themeColor="accent3"/>
          <w:right w:val="single" w:sz="8" w:space="0" w:color="004C97" w:themeColor="accent3"/>
        </w:tcBorders>
      </w:tcPr>
    </w:tblStylePr>
  </w:style>
  <w:style w:type="table" w:styleId="LightList-Accent4">
    <w:name w:val="Light List Accent 4"/>
    <w:basedOn w:val="TableNormal"/>
    <w:uiPriority w:val="61"/>
    <w:semiHidden/>
    <w:rsid w:val="0022698D"/>
    <w:pPr>
      <w:spacing w:line="240" w:lineRule="auto"/>
    </w:pPr>
    <w:tblPr>
      <w:tblStyleRowBandSize w:val="1"/>
      <w:tblStyleColBandSize w:val="1"/>
      <w:tblBorders>
        <w:top w:val="single" w:sz="8" w:space="0" w:color="797391" w:themeColor="accent4"/>
        <w:left w:val="single" w:sz="8" w:space="0" w:color="797391" w:themeColor="accent4"/>
        <w:bottom w:val="single" w:sz="8" w:space="0" w:color="797391" w:themeColor="accent4"/>
        <w:right w:val="single" w:sz="8" w:space="0" w:color="797391" w:themeColor="accent4"/>
      </w:tblBorders>
    </w:tblPr>
    <w:tblStylePr w:type="firstRow">
      <w:pPr>
        <w:spacing w:before="0" w:after="0" w:line="240" w:lineRule="auto"/>
      </w:pPr>
      <w:rPr>
        <w:b/>
        <w:bCs/>
        <w:color w:val="FFFFFF" w:themeColor="background1"/>
      </w:rPr>
      <w:tblPr/>
      <w:tcPr>
        <w:shd w:val="clear" w:color="auto" w:fill="797391" w:themeFill="accent4"/>
      </w:tcPr>
    </w:tblStylePr>
    <w:tblStylePr w:type="lastRow">
      <w:pPr>
        <w:spacing w:before="0" w:after="0" w:line="240" w:lineRule="auto"/>
      </w:pPr>
      <w:rPr>
        <w:b/>
        <w:bCs/>
      </w:rPr>
      <w:tblPr/>
      <w:tcPr>
        <w:tcBorders>
          <w:top w:val="double" w:sz="6" w:space="0" w:color="797391" w:themeColor="accent4"/>
          <w:left w:val="single" w:sz="8" w:space="0" w:color="797391" w:themeColor="accent4"/>
          <w:bottom w:val="single" w:sz="8" w:space="0" w:color="797391" w:themeColor="accent4"/>
          <w:right w:val="single" w:sz="8" w:space="0" w:color="797391" w:themeColor="accent4"/>
        </w:tcBorders>
      </w:tcPr>
    </w:tblStylePr>
    <w:tblStylePr w:type="firstCol">
      <w:rPr>
        <w:b/>
        <w:bCs/>
      </w:rPr>
    </w:tblStylePr>
    <w:tblStylePr w:type="lastCol">
      <w:rPr>
        <w:b/>
        <w:bCs/>
      </w:rPr>
    </w:tblStylePr>
    <w:tblStylePr w:type="band1Vert">
      <w:tblPr/>
      <w:tcPr>
        <w:tcBorders>
          <w:top w:val="single" w:sz="8" w:space="0" w:color="797391" w:themeColor="accent4"/>
          <w:left w:val="single" w:sz="8" w:space="0" w:color="797391" w:themeColor="accent4"/>
          <w:bottom w:val="single" w:sz="8" w:space="0" w:color="797391" w:themeColor="accent4"/>
          <w:right w:val="single" w:sz="8" w:space="0" w:color="797391" w:themeColor="accent4"/>
        </w:tcBorders>
      </w:tcPr>
    </w:tblStylePr>
    <w:tblStylePr w:type="band1Horz">
      <w:tblPr/>
      <w:tcPr>
        <w:tcBorders>
          <w:top w:val="single" w:sz="8" w:space="0" w:color="797391" w:themeColor="accent4"/>
          <w:left w:val="single" w:sz="8" w:space="0" w:color="797391" w:themeColor="accent4"/>
          <w:bottom w:val="single" w:sz="8" w:space="0" w:color="797391" w:themeColor="accent4"/>
          <w:right w:val="single" w:sz="8" w:space="0" w:color="797391" w:themeColor="accent4"/>
        </w:tcBorders>
      </w:tcPr>
    </w:tblStylePr>
  </w:style>
  <w:style w:type="table" w:styleId="LightList-Accent5">
    <w:name w:val="Light List Accent 5"/>
    <w:basedOn w:val="TableNormal"/>
    <w:uiPriority w:val="61"/>
    <w:semiHidden/>
    <w:rsid w:val="0022698D"/>
    <w:pPr>
      <w:spacing w:line="240" w:lineRule="auto"/>
    </w:p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22698D"/>
    <w:pPr>
      <w:spacing w:line="240" w:lineRule="auto"/>
    </w:pPr>
    <w:tblPr>
      <w:tblStyleRowBandSize w:val="1"/>
      <w:tblStyleColBandSize w:val="1"/>
      <w:tblBorders>
        <w:top w:val="single" w:sz="8" w:space="0" w:color="EE9769" w:themeColor="accent6"/>
        <w:left w:val="single" w:sz="8" w:space="0" w:color="EE9769" w:themeColor="accent6"/>
        <w:bottom w:val="single" w:sz="8" w:space="0" w:color="EE9769" w:themeColor="accent6"/>
        <w:right w:val="single" w:sz="8" w:space="0" w:color="EE9769" w:themeColor="accent6"/>
      </w:tblBorders>
    </w:tblPr>
    <w:tblStylePr w:type="firstRow">
      <w:pPr>
        <w:spacing w:before="0" w:after="0" w:line="240" w:lineRule="auto"/>
      </w:pPr>
      <w:rPr>
        <w:b/>
        <w:bCs/>
        <w:color w:val="FFFFFF" w:themeColor="background1"/>
      </w:rPr>
      <w:tblPr/>
      <w:tcPr>
        <w:shd w:val="clear" w:color="auto" w:fill="EE9769" w:themeFill="accent6"/>
      </w:tcPr>
    </w:tblStylePr>
    <w:tblStylePr w:type="lastRow">
      <w:pPr>
        <w:spacing w:before="0" w:after="0" w:line="240" w:lineRule="auto"/>
      </w:pPr>
      <w:rPr>
        <w:b/>
        <w:bCs/>
      </w:rPr>
      <w:tblPr/>
      <w:tcPr>
        <w:tcBorders>
          <w:top w:val="double" w:sz="6" w:space="0" w:color="EE9769" w:themeColor="accent6"/>
          <w:left w:val="single" w:sz="8" w:space="0" w:color="EE9769" w:themeColor="accent6"/>
          <w:bottom w:val="single" w:sz="8" w:space="0" w:color="EE9769" w:themeColor="accent6"/>
          <w:right w:val="single" w:sz="8" w:space="0" w:color="EE9769" w:themeColor="accent6"/>
        </w:tcBorders>
      </w:tcPr>
    </w:tblStylePr>
    <w:tblStylePr w:type="firstCol">
      <w:rPr>
        <w:b/>
        <w:bCs/>
      </w:rPr>
    </w:tblStylePr>
    <w:tblStylePr w:type="lastCol">
      <w:rPr>
        <w:b/>
        <w:bCs/>
      </w:rPr>
    </w:tblStylePr>
    <w:tblStylePr w:type="band1Vert">
      <w:tblPr/>
      <w:tcPr>
        <w:tcBorders>
          <w:top w:val="single" w:sz="8" w:space="0" w:color="EE9769" w:themeColor="accent6"/>
          <w:left w:val="single" w:sz="8" w:space="0" w:color="EE9769" w:themeColor="accent6"/>
          <w:bottom w:val="single" w:sz="8" w:space="0" w:color="EE9769" w:themeColor="accent6"/>
          <w:right w:val="single" w:sz="8" w:space="0" w:color="EE9769" w:themeColor="accent6"/>
        </w:tcBorders>
      </w:tcPr>
    </w:tblStylePr>
    <w:tblStylePr w:type="band1Horz">
      <w:tblPr/>
      <w:tcPr>
        <w:tcBorders>
          <w:top w:val="single" w:sz="8" w:space="0" w:color="EE9769" w:themeColor="accent6"/>
          <w:left w:val="single" w:sz="8" w:space="0" w:color="EE9769" w:themeColor="accent6"/>
          <w:bottom w:val="single" w:sz="8" w:space="0" w:color="EE9769" w:themeColor="accent6"/>
          <w:right w:val="single" w:sz="8" w:space="0" w:color="EE9769" w:themeColor="accent6"/>
        </w:tcBorders>
      </w:tcPr>
    </w:tblStylePr>
  </w:style>
  <w:style w:type="table" w:styleId="LightShading">
    <w:name w:val="Light Shading"/>
    <w:basedOn w:val="TableNormal"/>
    <w:uiPriority w:val="60"/>
    <w:semiHidden/>
    <w:rsid w:val="0022698D"/>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22698D"/>
    <w:pPr>
      <w:spacing w:line="240" w:lineRule="auto"/>
    </w:pPr>
    <w:rPr>
      <w:color w:val="39C3DA" w:themeColor="accent1" w:themeShade="BF"/>
    </w:rPr>
    <w:tblPr>
      <w:tblStyleRowBandSize w:val="1"/>
      <w:tblStyleColBandSize w:val="1"/>
      <w:tblBorders>
        <w:top w:val="single" w:sz="8" w:space="0" w:color="88DBE9" w:themeColor="accent1"/>
        <w:bottom w:val="single" w:sz="8" w:space="0" w:color="88DBE9" w:themeColor="accent1"/>
      </w:tblBorders>
    </w:tblPr>
    <w:tblStylePr w:type="firstRow">
      <w:pPr>
        <w:spacing w:before="0" w:after="0" w:line="240" w:lineRule="auto"/>
      </w:pPr>
      <w:rPr>
        <w:b/>
        <w:bCs/>
      </w:rPr>
      <w:tblPr/>
      <w:tcPr>
        <w:tcBorders>
          <w:top w:val="single" w:sz="8" w:space="0" w:color="88DBE9" w:themeColor="accent1"/>
          <w:left w:val="nil"/>
          <w:bottom w:val="single" w:sz="8" w:space="0" w:color="88DBE9" w:themeColor="accent1"/>
          <w:right w:val="nil"/>
          <w:insideH w:val="nil"/>
          <w:insideV w:val="nil"/>
        </w:tcBorders>
      </w:tcPr>
    </w:tblStylePr>
    <w:tblStylePr w:type="lastRow">
      <w:pPr>
        <w:spacing w:before="0" w:after="0" w:line="240" w:lineRule="auto"/>
      </w:pPr>
      <w:rPr>
        <w:b/>
        <w:bCs/>
      </w:rPr>
      <w:tblPr/>
      <w:tcPr>
        <w:tcBorders>
          <w:top w:val="single" w:sz="8" w:space="0" w:color="88DBE9" w:themeColor="accent1"/>
          <w:left w:val="nil"/>
          <w:bottom w:val="single" w:sz="8" w:space="0" w:color="88DBE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9" w:themeFill="accent1" w:themeFillTint="3F"/>
      </w:tcPr>
    </w:tblStylePr>
    <w:tblStylePr w:type="band1Horz">
      <w:tblPr/>
      <w:tcPr>
        <w:tcBorders>
          <w:left w:val="nil"/>
          <w:right w:val="nil"/>
          <w:insideH w:val="nil"/>
          <w:insideV w:val="nil"/>
        </w:tcBorders>
        <w:shd w:val="clear" w:color="auto" w:fill="E1F6F9" w:themeFill="accent1" w:themeFillTint="3F"/>
      </w:tcPr>
    </w:tblStylePr>
  </w:style>
  <w:style w:type="table" w:styleId="LightShading-Accent2">
    <w:name w:val="Light Shading Accent 2"/>
    <w:basedOn w:val="TableNormal"/>
    <w:uiPriority w:val="60"/>
    <w:semiHidden/>
    <w:rsid w:val="0022698D"/>
    <w:pPr>
      <w:spacing w:line="240" w:lineRule="auto"/>
    </w:pPr>
    <w:rPr>
      <w:color w:val="A93D03" w:themeColor="accent2" w:themeShade="BF"/>
    </w:rPr>
    <w:tblPr>
      <w:tblStyleRowBandSize w:val="1"/>
      <w:tblStyleColBandSize w:val="1"/>
      <w:tblBorders>
        <w:top w:val="single" w:sz="8" w:space="0" w:color="E35205" w:themeColor="accent2"/>
        <w:bottom w:val="single" w:sz="8" w:space="0" w:color="E35205" w:themeColor="accent2"/>
      </w:tblBorders>
    </w:tblPr>
    <w:tblStylePr w:type="firstRow">
      <w:pPr>
        <w:spacing w:before="0" w:after="0" w:line="240" w:lineRule="auto"/>
      </w:pPr>
      <w:rPr>
        <w:b/>
        <w:bCs/>
      </w:rPr>
      <w:tblPr/>
      <w:tcPr>
        <w:tcBorders>
          <w:top w:val="single" w:sz="8" w:space="0" w:color="E35205" w:themeColor="accent2"/>
          <w:left w:val="nil"/>
          <w:bottom w:val="single" w:sz="8" w:space="0" w:color="E35205" w:themeColor="accent2"/>
          <w:right w:val="nil"/>
          <w:insideH w:val="nil"/>
          <w:insideV w:val="nil"/>
        </w:tcBorders>
      </w:tcPr>
    </w:tblStylePr>
    <w:tblStylePr w:type="lastRow">
      <w:pPr>
        <w:spacing w:before="0" w:after="0" w:line="240" w:lineRule="auto"/>
      </w:pPr>
      <w:rPr>
        <w:b/>
        <w:bCs/>
      </w:rPr>
      <w:tblPr/>
      <w:tcPr>
        <w:tcBorders>
          <w:top w:val="single" w:sz="8" w:space="0" w:color="E35205" w:themeColor="accent2"/>
          <w:left w:val="nil"/>
          <w:bottom w:val="single" w:sz="8" w:space="0" w:color="E3520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D2BB" w:themeFill="accent2" w:themeFillTint="3F"/>
      </w:tcPr>
    </w:tblStylePr>
    <w:tblStylePr w:type="band1Horz">
      <w:tblPr/>
      <w:tcPr>
        <w:tcBorders>
          <w:left w:val="nil"/>
          <w:right w:val="nil"/>
          <w:insideH w:val="nil"/>
          <w:insideV w:val="nil"/>
        </w:tcBorders>
        <w:shd w:val="clear" w:color="auto" w:fill="FDD2BB" w:themeFill="accent2" w:themeFillTint="3F"/>
      </w:tcPr>
    </w:tblStylePr>
  </w:style>
  <w:style w:type="table" w:styleId="LightShading-Accent3">
    <w:name w:val="Light Shading Accent 3"/>
    <w:basedOn w:val="TableNormal"/>
    <w:uiPriority w:val="60"/>
    <w:semiHidden/>
    <w:rsid w:val="0022698D"/>
    <w:pPr>
      <w:spacing w:line="240" w:lineRule="auto"/>
    </w:pPr>
    <w:rPr>
      <w:color w:val="003871" w:themeColor="accent3" w:themeShade="BF"/>
    </w:rPr>
    <w:tblPr>
      <w:tblStyleRowBandSize w:val="1"/>
      <w:tblStyleColBandSize w:val="1"/>
      <w:tblBorders>
        <w:top w:val="single" w:sz="8" w:space="0" w:color="004C97" w:themeColor="accent3"/>
        <w:bottom w:val="single" w:sz="8" w:space="0" w:color="004C97" w:themeColor="accent3"/>
      </w:tblBorders>
    </w:tblPr>
    <w:tblStylePr w:type="firstRow">
      <w:pPr>
        <w:spacing w:before="0" w:after="0" w:line="240" w:lineRule="auto"/>
      </w:pPr>
      <w:rPr>
        <w:b/>
        <w:bCs/>
      </w:rPr>
      <w:tblPr/>
      <w:tcPr>
        <w:tcBorders>
          <w:top w:val="single" w:sz="8" w:space="0" w:color="004C97" w:themeColor="accent3"/>
          <w:left w:val="nil"/>
          <w:bottom w:val="single" w:sz="8" w:space="0" w:color="004C97" w:themeColor="accent3"/>
          <w:right w:val="nil"/>
          <w:insideH w:val="nil"/>
          <w:insideV w:val="nil"/>
        </w:tcBorders>
      </w:tcPr>
    </w:tblStylePr>
    <w:tblStylePr w:type="lastRow">
      <w:pPr>
        <w:spacing w:before="0" w:after="0" w:line="240" w:lineRule="auto"/>
      </w:pPr>
      <w:rPr>
        <w:b/>
        <w:bCs/>
      </w:rPr>
      <w:tblPr/>
      <w:tcPr>
        <w:tcBorders>
          <w:top w:val="single" w:sz="8" w:space="0" w:color="004C97" w:themeColor="accent3"/>
          <w:left w:val="nil"/>
          <w:bottom w:val="single" w:sz="8" w:space="0" w:color="004C9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3" w:themeFillTint="3F"/>
      </w:tcPr>
    </w:tblStylePr>
    <w:tblStylePr w:type="band1Horz">
      <w:tblPr/>
      <w:tcPr>
        <w:tcBorders>
          <w:left w:val="nil"/>
          <w:right w:val="nil"/>
          <w:insideH w:val="nil"/>
          <w:insideV w:val="nil"/>
        </w:tcBorders>
        <w:shd w:val="clear" w:color="auto" w:fill="A6D2FF" w:themeFill="accent3" w:themeFillTint="3F"/>
      </w:tcPr>
    </w:tblStylePr>
  </w:style>
  <w:style w:type="table" w:styleId="LightShading-Accent4">
    <w:name w:val="Light Shading Accent 4"/>
    <w:basedOn w:val="TableNormal"/>
    <w:uiPriority w:val="60"/>
    <w:semiHidden/>
    <w:rsid w:val="0022698D"/>
    <w:pPr>
      <w:spacing w:line="240" w:lineRule="auto"/>
    </w:pPr>
    <w:rPr>
      <w:color w:val="5A556C" w:themeColor="accent4" w:themeShade="BF"/>
    </w:rPr>
    <w:tblPr>
      <w:tblStyleRowBandSize w:val="1"/>
      <w:tblStyleColBandSize w:val="1"/>
      <w:tblBorders>
        <w:top w:val="single" w:sz="8" w:space="0" w:color="797391" w:themeColor="accent4"/>
        <w:bottom w:val="single" w:sz="8" w:space="0" w:color="797391" w:themeColor="accent4"/>
      </w:tblBorders>
    </w:tblPr>
    <w:tblStylePr w:type="firstRow">
      <w:pPr>
        <w:spacing w:before="0" w:after="0" w:line="240" w:lineRule="auto"/>
      </w:pPr>
      <w:rPr>
        <w:b/>
        <w:bCs/>
      </w:rPr>
      <w:tblPr/>
      <w:tcPr>
        <w:tcBorders>
          <w:top w:val="single" w:sz="8" w:space="0" w:color="797391" w:themeColor="accent4"/>
          <w:left w:val="nil"/>
          <w:bottom w:val="single" w:sz="8" w:space="0" w:color="797391" w:themeColor="accent4"/>
          <w:right w:val="nil"/>
          <w:insideH w:val="nil"/>
          <w:insideV w:val="nil"/>
        </w:tcBorders>
      </w:tcPr>
    </w:tblStylePr>
    <w:tblStylePr w:type="lastRow">
      <w:pPr>
        <w:spacing w:before="0" w:after="0" w:line="240" w:lineRule="auto"/>
      </w:pPr>
      <w:rPr>
        <w:b/>
        <w:bCs/>
      </w:rPr>
      <w:tblPr/>
      <w:tcPr>
        <w:tcBorders>
          <w:top w:val="single" w:sz="8" w:space="0" w:color="797391" w:themeColor="accent4"/>
          <w:left w:val="nil"/>
          <w:bottom w:val="single" w:sz="8" w:space="0" w:color="79739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CE3" w:themeFill="accent4" w:themeFillTint="3F"/>
      </w:tcPr>
    </w:tblStylePr>
    <w:tblStylePr w:type="band1Horz">
      <w:tblPr/>
      <w:tcPr>
        <w:tcBorders>
          <w:left w:val="nil"/>
          <w:right w:val="nil"/>
          <w:insideH w:val="nil"/>
          <w:insideV w:val="nil"/>
        </w:tcBorders>
        <w:shd w:val="clear" w:color="auto" w:fill="DDDCE3" w:themeFill="accent4" w:themeFillTint="3F"/>
      </w:tcPr>
    </w:tblStylePr>
  </w:style>
  <w:style w:type="table" w:styleId="LightShading-Accent5">
    <w:name w:val="Light Shading Accent 5"/>
    <w:basedOn w:val="TableNormal"/>
    <w:uiPriority w:val="60"/>
    <w:semiHidden/>
    <w:rsid w:val="0022698D"/>
    <w:pPr>
      <w:spacing w:line="240" w:lineRule="auto"/>
    </w:pPr>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22698D"/>
    <w:pPr>
      <w:spacing w:line="240" w:lineRule="auto"/>
    </w:pPr>
    <w:rPr>
      <w:color w:val="E5611B" w:themeColor="accent6" w:themeShade="BF"/>
    </w:rPr>
    <w:tblPr>
      <w:tblStyleRowBandSize w:val="1"/>
      <w:tblStyleColBandSize w:val="1"/>
      <w:tblBorders>
        <w:top w:val="single" w:sz="8" w:space="0" w:color="EE9769" w:themeColor="accent6"/>
        <w:bottom w:val="single" w:sz="8" w:space="0" w:color="EE9769" w:themeColor="accent6"/>
      </w:tblBorders>
    </w:tblPr>
    <w:tblStylePr w:type="firstRow">
      <w:pPr>
        <w:spacing w:before="0" w:after="0" w:line="240" w:lineRule="auto"/>
      </w:pPr>
      <w:rPr>
        <w:b/>
        <w:bCs/>
      </w:rPr>
      <w:tblPr/>
      <w:tcPr>
        <w:tcBorders>
          <w:top w:val="single" w:sz="8" w:space="0" w:color="EE9769" w:themeColor="accent6"/>
          <w:left w:val="nil"/>
          <w:bottom w:val="single" w:sz="8" w:space="0" w:color="EE9769" w:themeColor="accent6"/>
          <w:right w:val="nil"/>
          <w:insideH w:val="nil"/>
          <w:insideV w:val="nil"/>
        </w:tcBorders>
      </w:tcPr>
    </w:tblStylePr>
    <w:tblStylePr w:type="lastRow">
      <w:pPr>
        <w:spacing w:before="0" w:after="0" w:line="240" w:lineRule="auto"/>
      </w:pPr>
      <w:rPr>
        <w:b/>
        <w:bCs/>
      </w:rPr>
      <w:tblPr/>
      <w:tcPr>
        <w:tcBorders>
          <w:top w:val="single" w:sz="8" w:space="0" w:color="EE9769" w:themeColor="accent6"/>
          <w:left w:val="nil"/>
          <w:bottom w:val="single" w:sz="8" w:space="0" w:color="EE976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5D9" w:themeFill="accent6" w:themeFillTint="3F"/>
      </w:tcPr>
    </w:tblStylePr>
    <w:tblStylePr w:type="band1Horz">
      <w:tblPr/>
      <w:tcPr>
        <w:tcBorders>
          <w:left w:val="nil"/>
          <w:right w:val="nil"/>
          <w:insideH w:val="nil"/>
          <w:insideV w:val="nil"/>
        </w:tcBorders>
        <w:shd w:val="clear" w:color="auto" w:fill="FAE5D9" w:themeFill="accent6" w:themeFillTint="3F"/>
      </w:tcPr>
    </w:tblStylePr>
  </w:style>
  <w:style w:type="table" w:styleId="ListTable1Light">
    <w:name w:val="List Table 1 Light"/>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B7E9F1" w:themeColor="accent1" w:themeTint="99"/>
        </w:tcBorders>
      </w:tcPr>
    </w:tblStylePr>
    <w:tblStylePr w:type="lastRow">
      <w:rPr>
        <w:b/>
        <w:bCs/>
      </w:rPr>
      <w:tblPr/>
      <w:tcPr>
        <w:tcBorders>
          <w:top w:val="single" w:sz="4" w:space="0" w:color="B7E9F1" w:themeColor="accent1" w:themeTint="99"/>
        </w:tcBorders>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ListTable1Light-Accent2">
    <w:name w:val="List Table 1 Light Accent 2"/>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FB925B" w:themeColor="accent2" w:themeTint="99"/>
        </w:tcBorders>
      </w:tcPr>
    </w:tblStylePr>
    <w:tblStylePr w:type="lastRow">
      <w:rPr>
        <w:b/>
        <w:bCs/>
      </w:rPr>
      <w:tblPr/>
      <w:tcPr>
        <w:tcBorders>
          <w:top w:val="single" w:sz="4" w:space="0" w:color="FB925B" w:themeColor="accent2" w:themeTint="99"/>
        </w:tcBorders>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ListTable1Light-Accent3">
    <w:name w:val="List Table 1 Light Accent 3"/>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2793FF" w:themeColor="accent3" w:themeTint="99"/>
        </w:tcBorders>
      </w:tcPr>
    </w:tblStylePr>
    <w:tblStylePr w:type="lastRow">
      <w:rPr>
        <w:b/>
        <w:bCs/>
      </w:rPr>
      <w:tblPr/>
      <w:tcPr>
        <w:tcBorders>
          <w:top w:val="single" w:sz="4" w:space="0" w:color="2793FF" w:themeColor="accent3" w:themeTint="99"/>
        </w:tcBorders>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ListTable1Light-Accent4">
    <w:name w:val="List Table 1 Light Accent 4"/>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AEABBD" w:themeColor="accent4" w:themeTint="99"/>
        </w:tcBorders>
      </w:tcPr>
    </w:tblStylePr>
    <w:tblStylePr w:type="lastRow">
      <w:rPr>
        <w:b/>
        <w:bCs/>
      </w:rPr>
      <w:tblPr/>
      <w:tcPr>
        <w:tcBorders>
          <w:top w:val="single" w:sz="4" w:space="0" w:color="AEABBD" w:themeColor="accent4" w:themeTint="99"/>
        </w:tcBorders>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ListTable1Light-Accent5">
    <w:name w:val="List Table 1 Light Accent 5"/>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F4C0A4" w:themeColor="accent6" w:themeTint="99"/>
        </w:tcBorders>
      </w:tcPr>
    </w:tblStylePr>
    <w:tblStylePr w:type="lastRow">
      <w:rPr>
        <w:b/>
        <w:bCs/>
      </w:rPr>
      <w:tblPr/>
      <w:tcPr>
        <w:tcBorders>
          <w:top w:val="single" w:sz="4" w:space="0" w:color="F4C0A4" w:themeColor="accent6" w:themeTint="99"/>
        </w:tcBorders>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ListTable2">
    <w:name w:val="List Table 2"/>
    <w:basedOn w:val="TableNormal"/>
    <w:uiPriority w:val="47"/>
    <w:semiHidden/>
    <w:rsid w:val="0022698D"/>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2698D"/>
    <w:pPr>
      <w:spacing w:line="240" w:lineRule="auto"/>
    </w:pPr>
    <w:tblPr>
      <w:tblStyleRowBandSize w:val="1"/>
      <w:tblStyleColBandSize w:val="1"/>
      <w:tblBorders>
        <w:top w:val="single" w:sz="4" w:space="0" w:color="B7E9F1" w:themeColor="accent1" w:themeTint="99"/>
        <w:bottom w:val="single" w:sz="4" w:space="0" w:color="B7E9F1" w:themeColor="accent1" w:themeTint="99"/>
        <w:insideH w:val="single" w:sz="4" w:space="0" w:color="B7E9F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ListTable2-Accent2">
    <w:name w:val="List Table 2 Accent 2"/>
    <w:basedOn w:val="TableNormal"/>
    <w:uiPriority w:val="47"/>
    <w:semiHidden/>
    <w:rsid w:val="0022698D"/>
    <w:pPr>
      <w:spacing w:line="240" w:lineRule="auto"/>
    </w:pPr>
    <w:tblPr>
      <w:tblStyleRowBandSize w:val="1"/>
      <w:tblStyleColBandSize w:val="1"/>
      <w:tblBorders>
        <w:top w:val="single" w:sz="4" w:space="0" w:color="FB925B" w:themeColor="accent2" w:themeTint="99"/>
        <w:bottom w:val="single" w:sz="4" w:space="0" w:color="FB925B" w:themeColor="accent2" w:themeTint="99"/>
        <w:insideH w:val="single" w:sz="4" w:space="0" w:color="FB925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ListTable2-Accent3">
    <w:name w:val="List Table 2 Accent 3"/>
    <w:basedOn w:val="TableNormal"/>
    <w:uiPriority w:val="47"/>
    <w:semiHidden/>
    <w:rsid w:val="0022698D"/>
    <w:pPr>
      <w:spacing w:line="240" w:lineRule="auto"/>
    </w:pPr>
    <w:tblPr>
      <w:tblStyleRowBandSize w:val="1"/>
      <w:tblStyleColBandSize w:val="1"/>
      <w:tblBorders>
        <w:top w:val="single" w:sz="4" w:space="0" w:color="2793FF" w:themeColor="accent3" w:themeTint="99"/>
        <w:bottom w:val="single" w:sz="4" w:space="0" w:color="2793FF" w:themeColor="accent3" w:themeTint="99"/>
        <w:insideH w:val="single" w:sz="4" w:space="0" w:color="2793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ListTable2-Accent4">
    <w:name w:val="List Table 2 Accent 4"/>
    <w:basedOn w:val="TableNormal"/>
    <w:uiPriority w:val="47"/>
    <w:semiHidden/>
    <w:rsid w:val="0022698D"/>
    <w:pPr>
      <w:spacing w:line="240" w:lineRule="auto"/>
    </w:pPr>
    <w:tblPr>
      <w:tblStyleRowBandSize w:val="1"/>
      <w:tblStyleColBandSize w:val="1"/>
      <w:tblBorders>
        <w:top w:val="single" w:sz="4" w:space="0" w:color="AEABBD" w:themeColor="accent4" w:themeTint="99"/>
        <w:bottom w:val="single" w:sz="4" w:space="0" w:color="AEABBD" w:themeColor="accent4" w:themeTint="99"/>
        <w:insideH w:val="single" w:sz="4" w:space="0" w:color="AEABB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ListTable2-Accent5">
    <w:name w:val="List Table 2 Accent 5"/>
    <w:basedOn w:val="TableNormal"/>
    <w:uiPriority w:val="47"/>
    <w:semiHidden/>
    <w:rsid w:val="0022698D"/>
    <w:pPr>
      <w:spacing w:line="240" w:lineRule="auto"/>
    </w:pPr>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22698D"/>
    <w:pPr>
      <w:spacing w:line="240" w:lineRule="auto"/>
    </w:pPr>
    <w:tblPr>
      <w:tblStyleRowBandSize w:val="1"/>
      <w:tblStyleColBandSize w:val="1"/>
      <w:tblBorders>
        <w:top w:val="single" w:sz="4" w:space="0" w:color="F4C0A4" w:themeColor="accent6" w:themeTint="99"/>
        <w:bottom w:val="single" w:sz="4" w:space="0" w:color="F4C0A4" w:themeColor="accent6" w:themeTint="99"/>
        <w:insideH w:val="single" w:sz="4" w:space="0" w:color="F4C0A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ListTable3">
    <w:name w:val="List Table 3"/>
    <w:basedOn w:val="TableNormal"/>
    <w:uiPriority w:val="48"/>
    <w:semiHidden/>
    <w:rsid w:val="0022698D"/>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2698D"/>
    <w:pPr>
      <w:spacing w:line="240" w:lineRule="auto"/>
    </w:pPr>
    <w:tblPr>
      <w:tblStyleRowBandSize w:val="1"/>
      <w:tblStyleColBandSize w:val="1"/>
      <w:tblBorders>
        <w:top w:val="single" w:sz="4" w:space="0" w:color="88DBE9" w:themeColor="accent1"/>
        <w:left w:val="single" w:sz="4" w:space="0" w:color="88DBE9" w:themeColor="accent1"/>
        <w:bottom w:val="single" w:sz="4" w:space="0" w:color="88DBE9" w:themeColor="accent1"/>
        <w:right w:val="single" w:sz="4" w:space="0" w:color="88DBE9" w:themeColor="accent1"/>
      </w:tblBorders>
    </w:tblPr>
    <w:tblStylePr w:type="firstRow">
      <w:rPr>
        <w:b/>
        <w:bCs/>
        <w:color w:val="FFFFFF" w:themeColor="background1"/>
      </w:rPr>
      <w:tblPr/>
      <w:tcPr>
        <w:shd w:val="clear" w:color="auto" w:fill="88DBE9" w:themeFill="accent1"/>
      </w:tcPr>
    </w:tblStylePr>
    <w:tblStylePr w:type="lastRow">
      <w:rPr>
        <w:b/>
        <w:bCs/>
      </w:rPr>
      <w:tblPr/>
      <w:tcPr>
        <w:tcBorders>
          <w:top w:val="double" w:sz="4" w:space="0" w:color="88DBE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E9" w:themeColor="accent1"/>
          <w:right w:val="single" w:sz="4" w:space="0" w:color="88DBE9" w:themeColor="accent1"/>
        </w:tcBorders>
      </w:tcPr>
    </w:tblStylePr>
    <w:tblStylePr w:type="band1Horz">
      <w:tblPr/>
      <w:tcPr>
        <w:tcBorders>
          <w:top w:val="single" w:sz="4" w:space="0" w:color="88DBE9" w:themeColor="accent1"/>
          <w:bottom w:val="single" w:sz="4" w:space="0" w:color="88DBE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E9" w:themeColor="accent1"/>
          <w:left w:val="nil"/>
        </w:tcBorders>
      </w:tcPr>
    </w:tblStylePr>
    <w:tblStylePr w:type="swCell">
      <w:tblPr/>
      <w:tcPr>
        <w:tcBorders>
          <w:top w:val="double" w:sz="4" w:space="0" w:color="88DBE9" w:themeColor="accent1"/>
          <w:right w:val="nil"/>
        </w:tcBorders>
      </w:tcPr>
    </w:tblStylePr>
  </w:style>
  <w:style w:type="table" w:styleId="ListTable3-Accent2">
    <w:name w:val="List Table 3 Accent 2"/>
    <w:basedOn w:val="TableNormal"/>
    <w:uiPriority w:val="48"/>
    <w:semiHidden/>
    <w:rsid w:val="0022698D"/>
    <w:pPr>
      <w:spacing w:line="240" w:lineRule="auto"/>
    </w:pPr>
    <w:tblPr>
      <w:tblStyleRowBandSize w:val="1"/>
      <w:tblStyleColBandSize w:val="1"/>
      <w:tblBorders>
        <w:top w:val="single" w:sz="4" w:space="0" w:color="E35205" w:themeColor="accent2"/>
        <w:left w:val="single" w:sz="4" w:space="0" w:color="E35205" w:themeColor="accent2"/>
        <w:bottom w:val="single" w:sz="4" w:space="0" w:color="E35205" w:themeColor="accent2"/>
        <w:right w:val="single" w:sz="4" w:space="0" w:color="E35205" w:themeColor="accent2"/>
      </w:tblBorders>
    </w:tblPr>
    <w:tblStylePr w:type="firstRow">
      <w:rPr>
        <w:b/>
        <w:bCs/>
        <w:color w:val="FFFFFF" w:themeColor="background1"/>
      </w:rPr>
      <w:tblPr/>
      <w:tcPr>
        <w:shd w:val="clear" w:color="auto" w:fill="E35205" w:themeFill="accent2"/>
      </w:tcPr>
    </w:tblStylePr>
    <w:tblStylePr w:type="lastRow">
      <w:rPr>
        <w:b/>
        <w:bCs/>
      </w:rPr>
      <w:tblPr/>
      <w:tcPr>
        <w:tcBorders>
          <w:top w:val="double" w:sz="4" w:space="0" w:color="E3520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5205" w:themeColor="accent2"/>
          <w:right w:val="single" w:sz="4" w:space="0" w:color="E35205" w:themeColor="accent2"/>
        </w:tcBorders>
      </w:tcPr>
    </w:tblStylePr>
    <w:tblStylePr w:type="band1Horz">
      <w:tblPr/>
      <w:tcPr>
        <w:tcBorders>
          <w:top w:val="single" w:sz="4" w:space="0" w:color="E35205" w:themeColor="accent2"/>
          <w:bottom w:val="single" w:sz="4" w:space="0" w:color="E3520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5205" w:themeColor="accent2"/>
          <w:left w:val="nil"/>
        </w:tcBorders>
      </w:tcPr>
    </w:tblStylePr>
    <w:tblStylePr w:type="swCell">
      <w:tblPr/>
      <w:tcPr>
        <w:tcBorders>
          <w:top w:val="double" w:sz="4" w:space="0" w:color="E35205" w:themeColor="accent2"/>
          <w:right w:val="nil"/>
        </w:tcBorders>
      </w:tcPr>
    </w:tblStylePr>
  </w:style>
  <w:style w:type="table" w:styleId="ListTable3-Accent3">
    <w:name w:val="List Table 3 Accent 3"/>
    <w:basedOn w:val="TableNormal"/>
    <w:uiPriority w:val="48"/>
    <w:semiHidden/>
    <w:rsid w:val="0022698D"/>
    <w:pPr>
      <w:spacing w:line="240" w:lineRule="auto"/>
    </w:pPr>
    <w:tblPr>
      <w:tblStyleRowBandSize w:val="1"/>
      <w:tblStyleColBandSize w:val="1"/>
      <w:tblBorders>
        <w:top w:val="single" w:sz="4" w:space="0" w:color="004C97" w:themeColor="accent3"/>
        <w:left w:val="single" w:sz="4" w:space="0" w:color="004C97" w:themeColor="accent3"/>
        <w:bottom w:val="single" w:sz="4" w:space="0" w:color="004C97" w:themeColor="accent3"/>
        <w:right w:val="single" w:sz="4" w:space="0" w:color="004C97" w:themeColor="accent3"/>
      </w:tblBorders>
    </w:tblPr>
    <w:tblStylePr w:type="firstRow">
      <w:rPr>
        <w:b/>
        <w:bCs/>
        <w:color w:val="FFFFFF" w:themeColor="background1"/>
      </w:rPr>
      <w:tblPr/>
      <w:tcPr>
        <w:shd w:val="clear" w:color="auto" w:fill="004C97" w:themeFill="accent3"/>
      </w:tcPr>
    </w:tblStylePr>
    <w:tblStylePr w:type="lastRow">
      <w:rPr>
        <w:b/>
        <w:bCs/>
      </w:rPr>
      <w:tblPr/>
      <w:tcPr>
        <w:tcBorders>
          <w:top w:val="double" w:sz="4" w:space="0" w:color="004C9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3"/>
          <w:right w:val="single" w:sz="4" w:space="0" w:color="004C97" w:themeColor="accent3"/>
        </w:tcBorders>
      </w:tcPr>
    </w:tblStylePr>
    <w:tblStylePr w:type="band1Horz">
      <w:tblPr/>
      <w:tcPr>
        <w:tcBorders>
          <w:top w:val="single" w:sz="4" w:space="0" w:color="004C97" w:themeColor="accent3"/>
          <w:bottom w:val="single" w:sz="4" w:space="0" w:color="004C9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3"/>
          <w:left w:val="nil"/>
        </w:tcBorders>
      </w:tcPr>
    </w:tblStylePr>
    <w:tblStylePr w:type="swCell">
      <w:tblPr/>
      <w:tcPr>
        <w:tcBorders>
          <w:top w:val="double" w:sz="4" w:space="0" w:color="004C97" w:themeColor="accent3"/>
          <w:right w:val="nil"/>
        </w:tcBorders>
      </w:tcPr>
    </w:tblStylePr>
  </w:style>
  <w:style w:type="table" w:styleId="ListTable3-Accent4">
    <w:name w:val="List Table 3 Accent 4"/>
    <w:basedOn w:val="TableNormal"/>
    <w:uiPriority w:val="48"/>
    <w:semiHidden/>
    <w:rsid w:val="0022698D"/>
    <w:pPr>
      <w:spacing w:line="240" w:lineRule="auto"/>
    </w:pPr>
    <w:tblPr>
      <w:tblStyleRowBandSize w:val="1"/>
      <w:tblStyleColBandSize w:val="1"/>
      <w:tblBorders>
        <w:top w:val="single" w:sz="4" w:space="0" w:color="797391" w:themeColor="accent4"/>
        <w:left w:val="single" w:sz="4" w:space="0" w:color="797391" w:themeColor="accent4"/>
        <w:bottom w:val="single" w:sz="4" w:space="0" w:color="797391" w:themeColor="accent4"/>
        <w:right w:val="single" w:sz="4" w:space="0" w:color="797391" w:themeColor="accent4"/>
      </w:tblBorders>
    </w:tblPr>
    <w:tblStylePr w:type="firstRow">
      <w:rPr>
        <w:b/>
        <w:bCs/>
        <w:color w:val="FFFFFF" w:themeColor="background1"/>
      </w:rPr>
      <w:tblPr/>
      <w:tcPr>
        <w:shd w:val="clear" w:color="auto" w:fill="797391" w:themeFill="accent4"/>
      </w:tcPr>
    </w:tblStylePr>
    <w:tblStylePr w:type="lastRow">
      <w:rPr>
        <w:b/>
        <w:bCs/>
      </w:rPr>
      <w:tblPr/>
      <w:tcPr>
        <w:tcBorders>
          <w:top w:val="double" w:sz="4" w:space="0" w:color="79739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97391" w:themeColor="accent4"/>
          <w:right w:val="single" w:sz="4" w:space="0" w:color="797391" w:themeColor="accent4"/>
        </w:tcBorders>
      </w:tcPr>
    </w:tblStylePr>
    <w:tblStylePr w:type="band1Horz">
      <w:tblPr/>
      <w:tcPr>
        <w:tcBorders>
          <w:top w:val="single" w:sz="4" w:space="0" w:color="797391" w:themeColor="accent4"/>
          <w:bottom w:val="single" w:sz="4" w:space="0" w:color="79739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7391" w:themeColor="accent4"/>
          <w:left w:val="nil"/>
        </w:tcBorders>
      </w:tcPr>
    </w:tblStylePr>
    <w:tblStylePr w:type="swCell">
      <w:tblPr/>
      <w:tcPr>
        <w:tcBorders>
          <w:top w:val="double" w:sz="4" w:space="0" w:color="797391" w:themeColor="accent4"/>
          <w:right w:val="nil"/>
        </w:tcBorders>
      </w:tcPr>
    </w:tblStylePr>
  </w:style>
  <w:style w:type="table" w:styleId="ListTable3-Accent5">
    <w:name w:val="List Table 3 Accent 5"/>
    <w:basedOn w:val="TableNormal"/>
    <w:uiPriority w:val="48"/>
    <w:semiHidden/>
    <w:rsid w:val="0022698D"/>
    <w:pPr>
      <w:spacing w:line="240" w:lineRule="auto"/>
    </w:pPr>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22698D"/>
    <w:pPr>
      <w:spacing w:line="240" w:lineRule="auto"/>
    </w:pPr>
    <w:tblPr>
      <w:tblStyleRowBandSize w:val="1"/>
      <w:tblStyleColBandSize w:val="1"/>
      <w:tblBorders>
        <w:top w:val="single" w:sz="4" w:space="0" w:color="EE9769" w:themeColor="accent6"/>
        <w:left w:val="single" w:sz="4" w:space="0" w:color="EE9769" w:themeColor="accent6"/>
        <w:bottom w:val="single" w:sz="4" w:space="0" w:color="EE9769" w:themeColor="accent6"/>
        <w:right w:val="single" w:sz="4" w:space="0" w:color="EE9769" w:themeColor="accent6"/>
      </w:tblBorders>
    </w:tblPr>
    <w:tblStylePr w:type="firstRow">
      <w:rPr>
        <w:b/>
        <w:bCs/>
        <w:color w:val="FFFFFF" w:themeColor="background1"/>
      </w:rPr>
      <w:tblPr/>
      <w:tcPr>
        <w:shd w:val="clear" w:color="auto" w:fill="EE9769" w:themeFill="accent6"/>
      </w:tcPr>
    </w:tblStylePr>
    <w:tblStylePr w:type="lastRow">
      <w:rPr>
        <w:b/>
        <w:bCs/>
      </w:rPr>
      <w:tblPr/>
      <w:tcPr>
        <w:tcBorders>
          <w:top w:val="double" w:sz="4" w:space="0" w:color="EE976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9769" w:themeColor="accent6"/>
          <w:right w:val="single" w:sz="4" w:space="0" w:color="EE9769" w:themeColor="accent6"/>
        </w:tcBorders>
      </w:tcPr>
    </w:tblStylePr>
    <w:tblStylePr w:type="band1Horz">
      <w:tblPr/>
      <w:tcPr>
        <w:tcBorders>
          <w:top w:val="single" w:sz="4" w:space="0" w:color="EE9769" w:themeColor="accent6"/>
          <w:bottom w:val="single" w:sz="4" w:space="0" w:color="EE976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9769" w:themeColor="accent6"/>
          <w:left w:val="nil"/>
        </w:tcBorders>
      </w:tcPr>
    </w:tblStylePr>
    <w:tblStylePr w:type="swCell">
      <w:tblPr/>
      <w:tcPr>
        <w:tcBorders>
          <w:top w:val="double" w:sz="4" w:space="0" w:color="EE9769" w:themeColor="accent6"/>
          <w:right w:val="nil"/>
        </w:tcBorders>
      </w:tcPr>
    </w:tblStylePr>
  </w:style>
  <w:style w:type="table" w:styleId="ListTable4">
    <w:name w:val="List Table 4"/>
    <w:basedOn w:val="TableNormal"/>
    <w:uiPriority w:val="49"/>
    <w:semiHidden/>
    <w:rsid w:val="0022698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2698D"/>
    <w:pPr>
      <w:spacing w:line="240" w:lineRule="auto"/>
    </w:pPr>
    <w:tblPr>
      <w:tblStyleRowBandSize w:val="1"/>
      <w:tblStyleColBandSize w:val="1"/>
      <w:tblBorders>
        <w:top w:val="single" w:sz="4" w:space="0" w:color="B7E9F1" w:themeColor="accent1" w:themeTint="99"/>
        <w:left w:val="single" w:sz="4" w:space="0" w:color="B7E9F1" w:themeColor="accent1" w:themeTint="99"/>
        <w:bottom w:val="single" w:sz="4" w:space="0" w:color="B7E9F1" w:themeColor="accent1" w:themeTint="99"/>
        <w:right w:val="single" w:sz="4" w:space="0" w:color="B7E9F1" w:themeColor="accent1" w:themeTint="99"/>
        <w:insideH w:val="single" w:sz="4" w:space="0" w:color="B7E9F1" w:themeColor="accent1" w:themeTint="99"/>
      </w:tblBorders>
    </w:tblPr>
    <w:tblStylePr w:type="firstRow">
      <w:rPr>
        <w:b/>
        <w:bCs/>
        <w:color w:val="FFFFFF" w:themeColor="background1"/>
      </w:rPr>
      <w:tblPr/>
      <w:tcPr>
        <w:tcBorders>
          <w:top w:val="single" w:sz="4" w:space="0" w:color="88DBE9" w:themeColor="accent1"/>
          <w:left w:val="single" w:sz="4" w:space="0" w:color="88DBE9" w:themeColor="accent1"/>
          <w:bottom w:val="single" w:sz="4" w:space="0" w:color="88DBE9" w:themeColor="accent1"/>
          <w:right w:val="single" w:sz="4" w:space="0" w:color="88DBE9" w:themeColor="accent1"/>
          <w:insideH w:val="nil"/>
        </w:tcBorders>
        <w:shd w:val="clear" w:color="auto" w:fill="88DBE9" w:themeFill="accent1"/>
      </w:tcPr>
    </w:tblStylePr>
    <w:tblStylePr w:type="lastRow">
      <w:rPr>
        <w:b/>
        <w:bCs/>
      </w:rPr>
      <w:tblPr/>
      <w:tcPr>
        <w:tcBorders>
          <w:top w:val="double" w:sz="4" w:space="0" w:color="B7E9F1" w:themeColor="accent1" w:themeTint="99"/>
        </w:tcBorders>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ListTable4-Accent2">
    <w:name w:val="List Table 4 Accent 2"/>
    <w:basedOn w:val="TableNormal"/>
    <w:uiPriority w:val="49"/>
    <w:semiHidden/>
    <w:rsid w:val="0022698D"/>
    <w:pPr>
      <w:spacing w:line="240" w:lineRule="auto"/>
    </w:pPr>
    <w:tblPr>
      <w:tblStyleRowBandSize w:val="1"/>
      <w:tblStyleColBandSize w:val="1"/>
      <w:tblBorders>
        <w:top w:val="single" w:sz="4" w:space="0" w:color="FB925B" w:themeColor="accent2" w:themeTint="99"/>
        <w:left w:val="single" w:sz="4" w:space="0" w:color="FB925B" w:themeColor="accent2" w:themeTint="99"/>
        <w:bottom w:val="single" w:sz="4" w:space="0" w:color="FB925B" w:themeColor="accent2" w:themeTint="99"/>
        <w:right w:val="single" w:sz="4" w:space="0" w:color="FB925B" w:themeColor="accent2" w:themeTint="99"/>
        <w:insideH w:val="single" w:sz="4" w:space="0" w:color="FB925B" w:themeColor="accent2" w:themeTint="99"/>
      </w:tblBorders>
    </w:tblPr>
    <w:tblStylePr w:type="firstRow">
      <w:rPr>
        <w:b/>
        <w:bCs/>
        <w:color w:val="FFFFFF" w:themeColor="background1"/>
      </w:rPr>
      <w:tblPr/>
      <w:tcPr>
        <w:tcBorders>
          <w:top w:val="single" w:sz="4" w:space="0" w:color="E35205" w:themeColor="accent2"/>
          <w:left w:val="single" w:sz="4" w:space="0" w:color="E35205" w:themeColor="accent2"/>
          <w:bottom w:val="single" w:sz="4" w:space="0" w:color="E35205" w:themeColor="accent2"/>
          <w:right w:val="single" w:sz="4" w:space="0" w:color="E35205" w:themeColor="accent2"/>
          <w:insideH w:val="nil"/>
        </w:tcBorders>
        <w:shd w:val="clear" w:color="auto" w:fill="E35205" w:themeFill="accent2"/>
      </w:tcPr>
    </w:tblStylePr>
    <w:tblStylePr w:type="lastRow">
      <w:rPr>
        <w:b/>
        <w:bCs/>
      </w:rPr>
      <w:tblPr/>
      <w:tcPr>
        <w:tcBorders>
          <w:top w:val="double" w:sz="4" w:space="0" w:color="FB925B" w:themeColor="accent2" w:themeTint="99"/>
        </w:tcBorders>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ListTable4-Accent3">
    <w:name w:val="List Table 4 Accent 3"/>
    <w:basedOn w:val="TableNormal"/>
    <w:uiPriority w:val="49"/>
    <w:semiHidden/>
    <w:rsid w:val="0022698D"/>
    <w:pPr>
      <w:spacing w:line="240" w:lineRule="auto"/>
    </w:pPr>
    <w:tblPr>
      <w:tblStyleRowBandSize w:val="1"/>
      <w:tblStyleColBandSize w:val="1"/>
      <w:tblBorders>
        <w:top w:val="single" w:sz="4" w:space="0" w:color="2793FF" w:themeColor="accent3" w:themeTint="99"/>
        <w:left w:val="single" w:sz="4" w:space="0" w:color="2793FF" w:themeColor="accent3" w:themeTint="99"/>
        <w:bottom w:val="single" w:sz="4" w:space="0" w:color="2793FF" w:themeColor="accent3" w:themeTint="99"/>
        <w:right w:val="single" w:sz="4" w:space="0" w:color="2793FF" w:themeColor="accent3" w:themeTint="99"/>
        <w:insideH w:val="single" w:sz="4" w:space="0" w:color="2793FF" w:themeColor="accent3" w:themeTint="99"/>
      </w:tblBorders>
    </w:tblPr>
    <w:tblStylePr w:type="firstRow">
      <w:rPr>
        <w:b/>
        <w:bCs/>
        <w:color w:val="FFFFFF" w:themeColor="background1"/>
      </w:rPr>
      <w:tblPr/>
      <w:tcPr>
        <w:tcBorders>
          <w:top w:val="single" w:sz="4" w:space="0" w:color="004C97" w:themeColor="accent3"/>
          <w:left w:val="single" w:sz="4" w:space="0" w:color="004C97" w:themeColor="accent3"/>
          <w:bottom w:val="single" w:sz="4" w:space="0" w:color="004C97" w:themeColor="accent3"/>
          <w:right w:val="single" w:sz="4" w:space="0" w:color="004C97" w:themeColor="accent3"/>
          <w:insideH w:val="nil"/>
        </w:tcBorders>
        <w:shd w:val="clear" w:color="auto" w:fill="004C97" w:themeFill="accent3"/>
      </w:tcPr>
    </w:tblStylePr>
    <w:tblStylePr w:type="lastRow">
      <w:rPr>
        <w:b/>
        <w:bCs/>
      </w:rPr>
      <w:tblPr/>
      <w:tcPr>
        <w:tcBorders>
          <w:top w:val="double" w:sz="4" w:space="0" w:color="2793FF" w:themeColor="accent3" w:themeTint="99"/>
        </w:tcBorders>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ListTable4-Accent4">
    <w:name w:val="List Table 4 Accent 4"/>
    <w:basedOn w:val="TableNormal"/>
    <w:uiPriority w:val="49"/>
    <w:semiHidden/>
    <w:rsid w:val="0022698D"/>
    <w:pPr>
      <w:spacing w:line="240" w:lineRule="auto"/>
    </w:pPr>
    <w:tblPr>
      <w:tblStyleRowBandSize w:val="1"/>
      <w:tblStyleColBandSize w:val="1"/>
      <w:tblBorders>
        <w:top w:val="single" w:sz="4" w:space="0" w:color="AEABBD" w:themeColor="accent4" w:themeTint="99"/>
        <w:left w:val="single" w:sz="4" w:space="0" w:color="AEABBD" w:themeColor="accent4" w:themeTint="99"/>
        <w:bottom w:val="single" w:sz="4" w:space="0" w:color="AEABBD" w:themeColor="accent4" w:themeTint="99"/>
        <w:right w:val="single" w:sz="4" w:space="0" w:color="AEABBD" w:themeColor="accent4" w:themeTint="99"/>
        <w:insideH w:val="single" w:sz="4" w:space="0" w:color="AEABBD" w:themeColor="accent4" w:themeTint="99"/>
      </w:tblBorders>
    </w:tblPr>
    <w:tblStylePr w:type="firstRow">
      <w:rPr>
        <w:b/>
        <w:bCs/>
        <w:color w:val="FFFFFF" w:themeColor="background1"/>
      </w:rPr>
      <w:tblPr/>
      <w:tcPr>
        <w:tcBorders>
          <w:top w:val="single" w:sz="4" w:space="0" w:color="797391" w:themeColor="accent4"/>
          <w:left w:val="single" w:sz="4" w:space="0" w:color="797391" w:themeColor="accent4"/>
          <w:bottom w:val="single" w:sz="4" w:space="0" w:color="797391" w:themeColor="accent4"/>
          <w:right w:val="single" w:sz="4" w:space="0" w:color="797391" w:themeColor="accent4"/>
          <w:insideH w:val="nil"/>
        </w:tcBorders>
        <w:shd w:val="clear" w:color="auto" w:fill="797391" w:themeFill="accent4"/>
      </w:tcPr>
    </w:tblStylePr>
    <w:tblStylePr w:type="lastRow">
      <w:rPr>
        <w:b/>
        <w:bCs/>
      </w:rPr>
      <w:tblPr/>
      <w:tcPr>
        <w:tcBorders>
          <w:top w:val="double" w:sz="4" w:space="0" w:color="AEABBD" w:themeColor="accent4" w:themeTint="99"/>
        </w:tcBorders>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ListTable4-Accent5">
    <w:name w:val="List Table 4 Accent 5"/>
    <w:basedOn w:val="TableNormal"/>
    <w:uiPriority w:val="49"/>
    <w:semiHidden/>
    <w:rsid w:val="0022698D"/>
    <w:pPr>
      <w:spacing w:line="240" w:lineRule="auto"/>
    </w:p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22698D"/>
    <w:pPr>
      <w:spacing w:line="240" w:lineRule="auto"/>
    </w:pPr>
    <w:tblPr>
      <w:tblStyleRowBandSize w:val="1"/>
      <w:tblStyleColBandSize w:val="1"/>
      <w:tblBorders>
        <w:top w:val="single" w:sz="4" w:space="0" w:color="F4C0A4" w:themeColor="accent6" w:themeTint="99"/>
        <w:left w:val="single" w:sz="4" w:space="0" w:color="F4C0A4" w:themeColor="accent6" w:themeTint="99"/>
        <w:bottom w:val="single" w:sz="4" w:space="0" w:color="F4C0A4" w:themeColor="accent6" w:themeTint="99"/>
        <w:right w:val="single" w:sz="4" w:space="0" w:color="F4C0A4" w:themeColor="accent6" w:themeTint="99"/>
        <w:insideH w:val="single" w:sz="4" w:space="0" w:color="F4C0A4" w:themeColor="accent6" w:themeTint="99"/>
      </w:tblBorders>
    </w:tblPr>
    <w:tblStylePr w:type="firstRow">
      <w:rPr>
        <w:b/>
        <w:bCs/>
        <w:color w:val="FFFFFF" w:themeColor="background1"/>
      </w:rPr>
      <w:tblPr/>
      <w:tcPr>
        <w:tcBorders>
          <w:top w:val="single" w:sz="4" w:space="0" w:color="EE9769" w:themeColor="accent6"/>
          <w:left w:val="single" w:sz="4" w:space="0" w:color="EE9769" w:themeColor="accent6"/>
          <w:bottom w:val="single" w:sz="4" w:space="0" w:color="EE9769" w:themeColor="accent6"/>
          <w:right w:val="single" w:sz="4" w:space="0" w:color="EE9769" w:themeColor="accent6"/>
          <w:insideH w:val="nil"/>
        </w:tcBorders>
        <w:shd w:val="clear" w:color="auto" w:fill="EE9769" w:themeFill="accent6"/>
      </w:tcPr>
    </w:tblStylePr>
    <w:tblStylePr w:type="lastRow">
      <w:rPr>
        <w:b/>
        <w:bCs/>
      </w:rPr>
      <w:tblPr/>
      <w:tcPr>
        <w:tcBorders>
          <w:top w:val="double" w:sz="4" w:space="0" w:color="F4C0A4" w:themeColor="accent6" w:themeTint="99"/>
        </w:tcBorders>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ListTable5Dark">
    <w:name w:val="List Table 5 Dark"/>
    <w:basedOn w:val="TableNormal"/>
    <w:uiPriority w:val="50"/>
    <w:semiHidden/>
    <w:rsid w:val="0022698D"/>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2698D"/>
    <w:pPr>
      <w:spacing w:line="240" w:lineRule="auto"/>
    </w:pPr>
    <w:rPr>
      <w:color w:val="FFFFFF" w:themeColor="background1"/>
    </w:rPr>
    <w:tblPr>
      <w:tblStyleRowBandSize w:val="1"/>
      <w:tblStyleColBandSize w:val="1"/>
      <w:tblBorders>
        <w:top w:val="single" w:sz="24" w:space="0" w:color="88DBE9" w:themeColor="accent1"/>
        <w:left w:val="single" w:sz="24" w:space="0" w:color="88DBE9" w:themeColor="accent1"/>
        <w:bottom w:val="single" w:sz="24" w:space="0" w:color="88DBE9" w:themeColor="accent1"/>
        <w:right w:val="single" w:sz="24" w:space="0" w:color="88DBE9" w:themeColor="accent1"/>
      </w:tblBorders>
    </w:tblPr>
    <w:tcPr>
      <w:shd w:val="clear" w:color="auto" w:fill="88DBE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2698D"/>
    <w:pPr>
      <w:spacing w:line="240" w:lineRule="auto"/>
    </w:pPr>
    <w:rPr>
      <w:color w:val="FFFFFF" w:themeColor="background1"/>
    </w:rPr>
    <w:tblPr>
      <w:tblStyleRowBandSize w:val="1"/>
      <w:tblStyleColBandSize w:val="1"/>
      <w:tblBorders>
        <w:top w:val="single" w:sz="24" w:space="0" w:color="E35205" w:themeColor="accent2"/>
        <w:left w:val="single" w:sz="24" w:space="0" w:color="E35205" w:themeColor="accent2"/>
        <w:bottom w:val="single" w:sz="24" w:space="0" w:color="E35205" w:themeColor="accent2"/>
        <w:right w:val="single" w:sz="24" w:space="0" w:color="E35205" w:themeColor="accent2"/>
      </w:tblBorders>
    </w:tblPr>
    <w:tcPr>
      <w:shd w:val="clear" w:color="auto" w:fill="E3520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2698D"/>
    <w:pPr>
      <w:spacing w:line="240" w:lineRule="auto"/>
    </w:pPr>
    <w:rPr>
      <w:color w:val="FFFFFF" w:themeColor="background1"/>
    </w:rPr>
    <w:tblPr>
      <w:tblStyleRowBandSize w:val="1"/>
      <w:tblStyleColBandSize w:val="1"/>
      <w:tblBorders>
        <w:top w:val="single" w:sz="24" w:space="0" w:color="004C97" w:themeColor="accent3"/>
        <w:left w:val="single" w:sz="24" w:space="0" w:color="004C97" w:themeColor="accent3"/>
        <w:bottom w:val="single" w:sz="24" w:space="0" w:color="004C97" w:themeColor="accent3"/>
        <w:right w:val="single" w:sz="24" w:space="0" w:color="004C97" w:themeColor="accent3"/>
      </w:tblBorders>
    </w:tblPr>
    <w:tcPr>
      <w:shd w:val="clear" w:color="auto" w:fill="004C9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2698D"/>
    <w:pPr>
      <w:spacing w:line="240" w:lineRule="auto"/>
    </w:pPr>
    <w:rPr>
      <w:color w:val="FFFFFF" w:themeColor="background1"/>
    </w:rPr>
    <w:tblPr>
      <w:tblStyleRowBandSize w:val="1"/>
      <w:tblStyleColBandSize w:val="1"/>
      <w:tblBorders>
        <w:top w:val="single" w:sz="24" w:space="0" w:color="797391" w:themeColor="accent4"/>
        <w:left w:val="single" w:sz="24" w:space="0" w:color="797391" w:themeColor="accent4"/>
        <w:bottom w:val="single" w:sz="24" w:space="0" w:color="797391" w:themeColor="accent4"/>
        <w:right w:val="single" w:sz="24" w:space="0" w:color="797391" w:themeColor="accent4"/>
      </w:tblBorders>
    </w:tblPr>
    <w:tcPr>
      <w:shd w:val="clear" w:color="auto" w:fill="79739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2698D"/>
    <w:pPr>
      <w:spacing w:line="240" w:lineRule="auto"/>
    </w:pPr>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2698D"/>
    <w:pPr>
      <w:spacing w:line="240" w:lineRule="auto"/>
    </w:pPr>
    <w:rPr>
      <w:color w:val="FFFFFF" w:themeColor="background1"/>
    </w:rPr>
    <w:tblPr>
      <w:tblStyleRowBandSize w:val="1"/>
      <w:tblStyleColBandSize w:val="1"/>
      <w:tblBorders>
        <w:top w:val="single" w:sz="24" w:space="0" w:color="EE9769" w:themeColor="accent6"/>
        <w:left w:val="single" w:sz="24" w:space="0" w:color="EE9769" w:themeColor="accent6"/>
        <w:bottom w:val="single" w:sz="24" w:space="0" w:color="EE9769" w:themeColor="accent6"/>
        <w:right w:val="single" w:sz="24" w:space="0" w:color="EE9769" w:themeColor="accent6"/>
      </w:tblBorders>
    </w:tblPr>
    <w:tcPr>
      <w:shd w:val="clear" w:color="auto" w:fill="EE976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2698D"/>
    <w:pPr>
      <w:spacing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2698D"/>
    <w:pPr>
      <w:spacing w:line="240" w:lineRule="auto"/>
    </w:pPr>
    <w:rPr>
      <w:color w:val="39C3DA" w:themeColor="accent1" w:themeShade="BF"/>
    </w:rPr>
    <w:tblPr>
      <w:tblStyleRowBandSize w:val="1"/>
      <w:tblStyleColBandSize w:val="1"/>
      <w:tblBorders>
        <w:top w:val="single" w:sz="4" w:space="0" w:color="88DBE9" w:themeColor="accent1"/>
        <w:bottom w:val="single" w:sz="4" w:space="0" w:color="88DBE9" w:themeColor="accent1"/>
      </w:tblBorders>
    </w:tblPr>
    <w:tblStylePr w:type="firstRow">
      <w:rPr>
        <w:b/>
        <w:bCs/>
      </w:rPr>
      <w:tblPr/>
      <w:tcPr>
        <w:tcBorders>
          <w:bottom w:val="single" w:sz="4" w:space="0" w:color="88DBE9" w:themeColor="accent1"/>
        </w:tcBorders>
      </w:tcPr>
    </w:tblStylePr>
    <w:tblStylePr w:type="lastRow">
      <w:rPr>
        <w:b/>
        <w:bCs/>
      </w:rPr>
      <w:tblPr/>
      <w:tcPr>
        <w:tcBorders>
          <w:top w:val="double" w:sz="4" w:space="0" w:color="88DBE9" w:themeColor="accent1"/>
        </w:tcBorders>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ListTable6Colorful-Accent2">
    <w:name w:val="List Table 6 Colorful Accent 2"/>
    <w:basedOn w:val="TableNormal"/>
    <w:uiPriority w:val="51"/>
    <w:semiHidden/>
    <w:rsid w:val="0022698D"/>
    <w:pPr>
      <w:spacing w:line="240" w:lineRule="auto"/>
    </w:pPr>
    <w:rPr>
      <w:color w:val="A93D03" w:themeColor="accent2" w:themeShade="BF"/>
    </w:rPr>
    <w:tblPr>
      <w:tblStyleRowBandSize w:val="1"/>
      <w:tblStyleColBandSize w:val="1"/>
      <w:tblBorders>
        <w:top w:val="single" w:sz="4" w:space="0" w:color="E35205" w:themeColor="accent2"/>
        <w:bottom w:val="single" w:sz="4" w:space="0" w:color="E35205" w:themeColor="accent2"/>
      </w:tblBorders>
    </w:tblPr>
    <w:tblStylePr w:type="firstRow">
      <w:rPr>
        <w:b/>
        <w:bCs/>
      </w:rPr>
      <w:tblPr/>
      <w:tcPr>
        <w:tcBorders>
          <w:bottom w:val="single" w:sz="4" w:space="0" w:color="E35205" w:themeColor="accent2"/>
        </w:tcBorders>
      </w:tcPr>
    </w:tblStylePr>
    <w:tblStylePr w:type="lastRow">
      <w:rPr>
        <w:b/>
        <w:bCs/>
      </w:rPr>
      <w:tblPr/>
      <w:tcPr>
        <w:tcBorders>
          <w:top w:val="double" w:sz="4" w:space="0" w:color="E35205" w:themeColor="accent2"/>
        </w:tcBorders>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ListTable6Colorful-Accent3">
    <w:name w:val="List Table 6 Colorful Accent 3"/>
    <w:basedOn w:val="TableNormal"/>
    <w:uiPriority w:val="51"/>
    <w:semiHidden/>
    <w:rsid w:val="0022698D"/>
    <w:pPr>
      <w:spacing w:line="240" w:lineRule="auto"/>
    </w:pPr>
    <w:rPr>
      <w:color w:val="003871" w:themeColor="accent3" w:themeShade="BF"/>
    </w:rPr>
    <w:tblPr>
      <w:tblStyleRowBandSize w:val="1"/>
      <w:tblStyleColBandSize w:val="1"/>
      <w:tblBorders>
        <w:top w:val="single" w:sz="4" w:space="0" w:color="004C97" w:themeColor="accent3"/>
        <w:bottom w:val="single" w:sz="4" w:space="0" w:color="004C97" w:themeColor="accent3"/>
      </w:tblBorders>
    </w:tblPr>
    <w:tblStylePr w:type="firstRow">
      <w:rPr>
        <w:b/>
        <w:bCs/>
      </w:rPr>
      <w:tblPr/>
      <w:tcPr>
        <w:tcBorders>
          <w:bottom w:val="single" w:sz="4" w:space="0" w:color="004C97" w:themeColor="accent3"/>
        </w:tcBorders>
      </w:tcPr>
    </w:tblStylePr>
    <w:tblStylePr w:type="lastRow">
      <w:rPr>
        <w:b/>
        <w:bCs/>
      </w:rPr>
      <w:tblPr/>
      <w:tcPr>
        <w:tcBorders>
          <w:top w:val="double" w:sz="4" w:space="0" w:color="004C97" w:themeColor="accent3"/>
        </w:tcBorders>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ListTable6Colorful-Accent4">
    <w:name w:val="List Table 6 Colorful Accent 4"/>
    <w:basedOn w:val="TableNormal"/>
    <w:uiPriority w:val="51"/>
    <w:semiHidden/>
    <w:rsid w:val="0022698D"/>
    <w:pPr>
      <w:spacing w:line="240" w:lineRule="auto"/>
    </w:pPr>
    <w:rPr>
      <w:color w:val="5A556C" w:themeColor="accent4" w:themeShade="BF"/>
    </w:rPr>
    <w:tblPr>
      <w:tblStyleRowBandSize w:val="1"/>
      <w:tblStyleColBandSize w:val="1"/>
      <w:tblBorders>
        <w:top w:val="single" w:sz="4" w:space="0" w:color="797391" w:themeColor="accent4"/>
        <w:bottom w:val="single" w:sz="4" w:space="0" w:color="797391" w:themeColor="accent4"/>
      </w:tblBorders>
    </w:tblPr>
    <w:tblStylePr w:type="firstRow">
      <w:rPr>
        <w:b/>
        <w:bCs/>
      </w:rPr>
      <w:tblPr/>
      <w:tcPr>
        <w:tcBorders>
          <w:bottom w:val="single" w:sz="4" w:space="0" w:color="797391" w:themeColor="accent4"/>
        </w:tcBorders>
      </w:tcPr>
    </w:tblStylePr>
    <w:tblStylePr w:type="lastRow">
      <w:rPr>
        <w:b/>
        <w:bCs/>
      </w:rPr>
      <w:tblPr/>
      <w:tcPr>
        <w:tcBorders>
          <w:top w:val="double" w:sz="4" w:space="0" w:color="797391" w:themeColor="accent4"/>
        </w:tcBorders>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ListTable6Colorful-Accent5">
    <w:name w:val="List Table 6 Colorful Accent 5"/>
    <w:basedOn w:val="TableNormal"/>
    <w:uiPriority w:val="51"/>
    <w:semiHidden/>
    <w:rsid w:val="0022698D"/>
    <w:pPr>
      <w:spacing w:line="240" w:lineRule="auto"/>
    </w:pPr>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22698D"/>
    <w:pPr>
      <w:spacing w:line="240" w:lineRule="auto"/>
    </w:pPr>
    <w:rPr>
      <w:color w:val="E5611B" w:themeColor="accent6" w:themeShade="BF"/>
    </w:rPr>
    <w:tblPr>
      <w:tblStyleRowBandSize w:val="1"/>
      <w:tblStyleColBandSize w:val="1"/>
      <w:tblBorders>
        <w:top w:val="single" w:sz="4" w:space="0" w:color="EE9769" w:themeColor="accent6"/>
        <w:bottom w:val="single" w:sz="4" w:space="0" w:color="EE9769" w:themeColor="accent6"/>
      </w:tblBorders>
    </w:tblPr>
    <w:tblStylePr w:type="firstRow">
      <w:rPr>
        <w:b/>
        <w:bCs/>
      </w:rPr>
      <w:tblPr/>
      <w:tcPr>
        <w:tcBorders>
          <w:bottom w:val="single" w:sz="4" w:space="0" w:color="EE9769" w:themeColor="accent6"/>
        </w:tcBorders>
      </w:tcPr>
    </w:tblStylePr>
    <w:tblStylePr w:type="lastRow">
      <w:rPr>
        <w:b/>
        <w:bCs/>
      </w:rPr>
      <w:tblPr/>
      <w:tcPr>
        <w:tcBorders>
          <w:top w:val="double" w:sz="4" w:space="0" w:color="EE9769" w:themeColor="accent6"/>
        </w:tcBorders>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ListTable7Colorful">
    <w:name w:val="List Table 7 Colorful"/>
    <w:basedOn w:val="TableNormal"/>
    <w:uiPriority w:val="52"/>
    <w:semiHidden/>
    <w:rsid w:val="0022698D"/>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2698D"/>
    <w:pPr>
      <w:spacing w:line="240" w:lineRule="auto"/>
    </w:pPr>
    <w:rPr>
      <w:color w:val="39C3D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E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E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E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E9" w:themeColor="accent1"/>
        </w:tcBorders>
        <w:shd w:val="clear" w:color="auto" w:fill="FFFFFF" w:themeFill="background1"/>
      </w:tcPr>
    </w:tblStylePr>
    <w:tblStylePr w:type="band1Vert">
      <w:tblPr/>
      <w:tcPr>
        <w:shd w:val="clear" w:color="auto" w:fill="E7F7FA" w:themeFill="accent1" w:themeFillTint="33"/>
      </w:tcPr>
    </w:tblStylePr>
    <w:tblStylePr w:type="band1Horz">
      <w:tblPr/>
      <w:tcPr>
        <w:shd w:val="clear" w:color="auto" w:fill="E7F7F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2698D"/>
    <w:pPr>
      <w:spacing w:line="240" w:lineRule="auto"/>
    </w:pPr>
    <w:rPr>
      <w:color w:val="A93D0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520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520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520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5205" w:themeColor="accent2"/>
        </w:tcBorders>
        <w:shd w:val="clear" w:color="auto" w:fill="FFFFFF" w:themeFill="background1"/>
      </w:tcPr>
    </w:tblStylePr>
    <w:tblStylePr w:type="band1Vert">
      <w:tblPr/>
      <w:tcPr>
        <w:shd w:val="clear" w:color="auto" w:fill="FDDAC8" w:themeFill="accent2" w:themeFillTint="33"/>
      </w:tcPr>
    </w:tblStylePr>
    <w:tblStylePr w:type="band1Horz">
      <w:tblPr/>
      <w:tcPr>
        <w:shd w:val="clear" w:color="auto" w:fill="FDDAC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2698D"/>
    <w:pPr>
      <w:spacing w:line="240" w:lineRule="auto"/>
    </w:pPr>
    <w:rPr>
      <w:color w:val="0038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3"/>
        </w:tcBorders>
        <w:shd w:val="clear" w:color="auto" w:fill="FFFFFF" w:themeFill="background1"/>
      </w:tcPr>
    </w:tblStylePr>
    <w:tblStylePr w:type="band1Vert">
      <w:tblPr/>
      <w:tcPr>
        <w:shd w:val="clear" w:color="auto" w:fill="B7DBFF" w:themeFill="accent3" w:themeFillTint="33"/>
      </w:tcPr>
    </w:tblStylePr>
    <w:tblStylePr w:type="band1Horz">
      <w:tblPr/>
      <w:tcPr>
        <w:shd w:val="clear" w:color="auto" w:fill="B7DB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2698D"/>
    <w:pPr>
      <w:spacing w:line="240" w:lineRule="auto"/>
    </w:pPr>
    <w:rPr>
      <w:color w:val="5A556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9739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9739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9739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97391" w:themeColor="accent4"/>
        </w:tcBorders>
        <w:shd w:val="clear" w:color="auto" w:fill="FFFFFF" w:themeFill="background1"/>
      </w:tcPr>
    </w:tblStylePr>
    <w:tblStylePr w:type="band1Vert">
      <w:tblPr/>
      <w:tcPr>
        <w:shd w:val="clear" w:color="auto" w:fill="E4E3E9" w:themeFill="accent4" w:themeFillTint="33"/>
      </w:tcPr>
    </w:tblStylePr>
    <w:tblStylePr w:type="band1Horz">
      <w:tblPr/>
      <w:tcPr>
        <w:shd w:val="clear" w:color="auto" w:fill="E4E3E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2698D"/>
    <w:pPr>
      <w:spacing w:line="240" w:lineRule="auto"/>
    </w:pPr>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2698D"/>
    <w:pPr>
      <w:spacing w:line="240" w:lineRule="auto"/>
    </w:pPr>
    <w:rPr>
      <w:color w:val="E5611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976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976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976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9769" w:themeColor="accent6"/>
        </w:tcBorders>
        <w:shd w:val="clear" w:color="auto" w:fill="FFFFFF" w:themeFill="background1"/>
      </w:tcPr>
    </w:tblStylePr>
    <w:tblStylePr w:type="band1Vert">
      <w:tblPr/>
      <w:tcPr>
        <w:shd w:val="clear" w:color="auto" w:fill="FBE9E0" w:themeFill="accent6" w:themeFillTint="33"/>
      </w:tcPr>
    </w:tblStylePr>
    <w:tblStylePr w:type="band1Horz">
      <w:tblPr/>
      <w:tcPr>
        <w:shd w:val="clear" w:color="auto" w:fill="FBE9E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2698D"/>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2698D"/>
    <w:pPr>
      <w:spacing w:line="240" w:lineRule="auto"/>
    </w:pPr>
    <w:tblPr>
      <w:tblStyleRowBandSize w:val="1"/>
      <w:tblStyleColBandSize w:val="1"/>
      <w:tblBorders>
        <w:top w:val="single" w:sz="8" w:space="0" w:color="A5E3EE" w:themeColor="accent1" w:themeTint="BF"/>
        <w:left w:val="single" w:sz="8" w:space="0" w:color="A5E3EE" w:themeColor="accent1" w:themeTint="BF"/>
        <w:bottom w:val="single" w:sz="8" w:space="0" w:color="A5E3EE" w:themeColor="accent1" w:themeTint="BF"/>
        <w:right w:val="single" w:sz="8" w:space="0" w:color="A5E3EE" w:themeColor="accent1" w:themeTint="BF"/>
        <w:insideH w:val="single" w:sz="8" w:space="0" w:color="A5E3EE" w:themeColor="accent1" w:themeTint="BF"/>
        <w:insideV w:val="single" w:sz="8" w:space="0" w:color="A5E3EE" w:themeColor="accent1" w:themeTint="BF"/>
      </w:tblBorders>
    </w:tblPr>
    <w:tcPr>
      <w:shd w:val="clear" w:color="auto" w:fill="E1F6F9" w:themeFill="accent1" w:themeFillTint="3F"/>
    </w:tcPr>
    <w:tblStylePr w:type="firstRow">
      <w:rPr>
        <w:b/>
        <w:bCs/>
      </w:rPr>
    </w:tblStylePr>
    <w:tblStylePr w:type="lastRow">
      <w:rPr>
        <w:b/>
        <w:bCs/>
      </w:rPr>
      <w:tblPr/>
      <w:tcPr>
        <w:tcBorders>
          <w:top w:val="single" w:sz="18" w:space="0" w:color="A5E3EE" w:themeColor="accent1" w:themeTint="BF"/>
        </w:tcBorders>
      </w:tcPr>
    </w:tblStylePr>
    <w:tblStylePr w:type="firstCol">
      <w:rPr>
        <w:b/>
        <w:bCs/>
      </w:rPr>
    </w:tblStylePr>
    <w:tblStylePr w:type="lastCol">
      <w:rPr>
        <w:b/>
        <w:bCs/>
      </w:rPr>
    </w:tblStylePr>
    <w:tblStylePr w:type="band1Vert">
      <w:tblPr/>
      <w:tcPr>
        <w:shd w:val="clear" w:color="auto" w:fill="C3EDF4" w:themeFill="accent1" w:themeFillTint="7F"/>
      </w:tcPr>
    </w:tblStylePr>
    <w:tblStylePr w:type="band1Horz">
      <w:tblPr/>
      <w:tcPr>
        <w:shd w:val="clear" w:color="auto" w:fill="C3EDF4" w:themeFill="accent1" w:themeFillTint="7F"/>
      </w:tcPr>
    </w:tblStylePr>
  </w:style>
  <w:style w:type="table" w:styleId="MediumGrid1-Accent2">
    <w:name w:val="Medium Grid 1 Accent 2"/>
    <w:basedOn w:val="TableNormal"/>
    <w:uiPriority w:val="67"/>
    <w:semiHidden/>
    <w:rsid w:val="0022698D"/>
    <w:pPr>
      <w:spacing w:line="240" w:lineRule="auto"/>
    </w:pPr>
    <w:tblPr>
      <w:tblStyleRowBandSize w:val="1"/>
      <w:tblStyleColBandSize w:val="1"/>
      <w:tblBorders>
        <w:top w:val="single" w:sz="8" w:space="0" w:color="FA7733" w:themeColor="accent2" w:themeTint="BF"/>
        <w:left w:val="single" w:sz="8" w:space="0" w:color="FA7733" w:themeColor="accent2" w:themeTint="BF"/>
        <w:bottom w:val="single" w:sz="8" w:space="0" w:color="FA7733" w:themeColor="accent2" w:themeTint="BF"/>
        <w:right w:val="single" w:sz="8" w:space="0" w:color="FA7733" w:themeColor="accent2" w:themeTint="BF"/>
        <w:insideH w:val="single" w:sz="8" w:space="0" w:color="FA7733" w:themeColor="accent2" w:themeTint="BF"/>
        <w:insideV w:val="single" w:sz="8" w:space="0" w:color="FA7733" w:themeColor="accent2" w:themeTint="BF"/>
      </w:tblBorders>
    </w:tblPr>
    <w:tcPr>
      <w:shd w:val="clear" w:color="auto" w:fill="FDD2BB" w:themeFill="accent2" w:themeFillTint="3F"/>
    </w:tcPr>
    <w:tblStylePr w:type="firstRow">
      <w:rPr>
        <w:b/>
        <w:bCs/>
      </w:rPr>
    </w:tblStylePr>
    <w:tblStylePr w:type="lastRow">
      <w:rPr>
        <w:b/>
        <w:bCs/>
      </w:rPr>
      <w:tblPr/>
      <w:tcPr>
        <w:tcBorders>
          <w:top w:val="single" w:sz="18" w:space="0" w:color="FA7733" w:themeColor="accent2" w:themeTint="BF"/>
        </w:tcBorders>
      </w:tcPr>
    </w:tblStylePr>
    <w:tblStylePr w:type="firstCol">
      <w:rPr>
        <w:b/>
        <w:bCs/>
      </w:rPr>
    </w:tblStylePr>
    <w:tblStylePr w:type="lastCol">
      <w:rPr>
        <w:b/>
        <w:bCs/>
      </w:rPr>
    </w:tblStylePr>
    <w:tblStylePr w:type="band1Vert">
      <w:tblPr/>
      <w:tcPr>
        <w:shd w:val="clear" w:color="auto" w:fill="FCA577" w:themeFill="accent2" w:themeFillTint="7F"/>
      </w:tcPr>
    </w:tblStylePr>
    <w:tblStylePr w:type="band1Horz">
      <w:tblPr/>
      <w:tcPr>
        <w:shd w:val="clear" w:color="auto" w:fill="FCA577" w:themeFill="accent2" w:themeFillTint="7F"/>
      </w:tcPr>
    </w:tblStylePr>
  </w:style>
  <w:style w:type="table" w:styleId="MediumGrid1-Accent3">
    <w:name w:val="Medium Grid 1 Accent 3"/>
    <w:basedOn w:val="TableNormal"/>
    <w:uiPriority w:val="67"/>
    <w:semiHidden/>
    <w:rsid w:val="0022698D"/>
    <w:pPr>
      <w:spacing w:line="240" w:lineRule="auto"/>
    </w:pPr>
    <w:tblPr>
      <w:tblStyleRowBandSize w:val="1"/>
      <w:tblStyleColBandSize w:val="1"/>
      <w:tblBorders>
        <w:top w:val="single" w:sz="8" w:space="0" w:color="0078F1" w:themeColor="accent3" w:themeTint="BF"/>
        <w:left w:val="single" w:sz="8" w:space="0" w:color="0078F1" w:themeColor="accent3" w:themeTint="BF"/>
        <w:bottom w:val="single" w:sz="8" w:space="0" w:color="0078F1" w:themeColor="accent3" w:themeTint="BF"/>
        <w:right w:val="single" w:sz="8" w:space="0" w:color="0078F1" w:themeColor="accent3" w:themeTint="BF"/>
        <w:insideH w:val="single" w:sz="8" w:space="0" w:color="0078F1" w:themeColor="accent3" w:themeTint="BF"/>
        <w:insideV w:val="single" w:sz="8" w:space="0" w:color="0078F1" w:themeColor="accent3" w:themeTint="BF"/>
      </w:tblBorders>
    </w:tblPr>
    <w:tcPr>
      <w:shd w:val="clear" w:color="auto" w:fill="A6D2FF" w:themeFill="accent3" w:themeFillTint="3F"/>
    </w:tcPr>
    <w:tblStylePr w:type="firstRow">
      <w:rPr>
        <w:b/>
        <w:bCs/>
      </w:rPr>
    </w:tblStylePr>
    <w:tblStylePr w:type="lastRow">
      <w:rPr>
        <w:b/>
        <w:bCs/>
      </w:rPr>
      <w:tblPr/>
      <w:tcPr>
        <w:tcBorders>
          <w:top w:val="single" w:sz="18" w:space="0" w:color="0078F1" w:themeColor="accent3" w:themeTint="BF"/>
        </w:tcBorders>
      </w:tcPr>
    </w:tblStylePr>
    <w:tblStylePr w:type="firstCol">
      <w:rPr>
        <w:b/>
        <w:bCs/>
      </w:rPr>
    </w:tblStylePr>
    <w:tblStylePr w:type="lastCol">
      <w:rPr>
        <w:b/>
        <w:bCs/>
      </w:rPr>
    </w:tblStylePr>
    <w:tblStylePr w:type="band1Vert">
      <w:tblPr/>
      <w:tcPr>
        <w:shd w:val="clear" w:color="auto" w:fill="4CA5FF" w:themeFill="accent3" w:themeFillTint="7F"/>
      </w:tcPr>
    </w:tblStylePr>
    <w:tblStylePr w:type="band1Horz">
      <w:tblPr/>
      <w:tcPr>
        <w:shd w:val="clear" w:color="auto" w:fill="4CA5FF" w:themeFill="accent3" w:themeFillTint="7F"/>
      </w:tcPr>
    </w:tblStylePr>
  </w:style>
  <w:style w:type="table" w:styleId="MediumGrid1-Accent4">
    <w:name w:val="Medium Grid 1 Accent 4"/>
    <w:basedOn w:val="TableNormal"/>
    <w:uiPriority w:val="67"/>
    <w:semiHidden/>
    <w:rsid w:val="0022698D"/>
    <w:pPr>
      <w:spacing w:line="240" w:lineRule="auto"/>
    </w:pPr>
    <w:tblPr>
      <w:tblStyleRowBandSize w:val="1"/>
      <w:tblStyleColBandSize w:val="1"/>
      <w:tblBorders>
        <w:top w:val="single" w:sz="8" w:space="0" w:color="9A96AC" w:themeColor="accent4" w:themeTint="BF"/>
        <w:left w:val="single" w:sz="8" w:space="0" w:color="9A96AC" w:themeColor="accent4" w:themeTint="BF"/>
        <w:bottom w:val="single" w:sz="8" w:space="0" w:color="9A96AC" w:themeColor="accent4" w:themeTint="BF"/>
        <w:right w:val="single" w:sz="8" w:space="0" w:color="9A96AC" w:themeColor="accent4" w:themeTint="BF"/>
        <w:insideH w:val="single" w:sz="8" w:space="0" w:color="9A96AC" w:themeColor="accent4" w:themeTint="BF"/>
        <w:insideV w:val="single" w:sz="8" w:space="0" w:color="9A96AC" w:themeColor="accent4" w:themeTint="BF"/>
      </w:tblBorders>
    </w:tblPr>
    <w:tcPr>
      <w:shd w:val="clear" w:color="auto" w:fill="DDDCE3" w:themeFill="accent4" w:themeFillTint="3F"/>
    </w:tcPr>
    <w:tblStylePr w:type="firstRow">
      <w:rPr>
        <w:b/>
        <w:bCs/>
      </w:rPr>
    </w:tblStylePr>
    <w:tblStylePr w:type="lastRow">
      <w:rPr>
        <w:b/>
        <w:bCs/>
      </w:rPr>
      <w:tblPr/>
      <w:tcPr>
        <w:tcBorders>
          <w:top w:val="single" w:sz="18" w:space="0" w:color="9A96AC" w:themeColor="accent4" w:themeTint="BF"/>
        </w:tcBorders>
      </w:tcPr>
    </w:tblStylePr>
    <w:tblStylePr w:type="firstCol">
      <w:rPr>
        <w:b/>
        <w:bCs/>
      </w:rPr>
    </w:tblStylePr>
    <w:tblStylePr w:type="lastCol">
      <w:rPr>
        <w:b/>
        <w:bCs/>
      </w:rPr>
    </w:tblStylePr>
    <w:tblStylePr w:type="band1Vert">
      <w:tblPr/>
      <w:tcPr>
        <w:shd w:val="clear" w:color="auto" w:fill="BCB9C8" w:themeFill="accent4" w:themeFillTint="7F"/>
      </w:tcPr>
    </w:tblStylePr>
    <w:tblStylePr w:type="band1Horz">
      <w:tblPr/>
      <w:tcPr>
        <w:shd w:val="clear" w:color="auto" w:fill="BCB9C8" w:themeFill="accent4" w:themeFillTint="7F"/>
      </w:tcPr>
    </w:tblStylePr>
  </w:style>
  <w:style w:type="table" w:styleId="MediumGrid1-Accent5">
    <w:name w:val="Medium Grid 1 Accent 5"/>
    <w:basedOn w:val="TableNormal"/>
    <w:uiPriority w:val="67"/>
    <w:semiHidden/>
    <w:rsid w:val="0022698D"/>
    <w:pPr>
      <w:spacing w:line="240" w:lineRule="auto"/>
    </w:pPr>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22698D"/>
    <w:pPr>
      <w:spacing w:line="240" w:lineRule="auto"/>
    </w:pPr>
    <w:tblPr>
      <w:tblStyleRowBandSize w:val="1"/>
      <w:tblStyleColBandSize w:val="1"/>
      <w:tblBorders>
        <w:top w:val="single" w:sz="8" w:space="0" w:color="F2B08E" w:themeColor="accent6" w:themeTint="BF"/>
        <w:left w:val="single" w:sz="8" w:space="0" w:color="F2B08E" w:themeColor="accent6" w:themeTint="BF"/>
        <w:bottom w:val="single" w:sz="8" w:space="0" w:color="F2B08E" w:themeColor="accent6" w:themeTint="BF"/>
        <w:right w:val="single" w:sz="8" w:space="0" w:color="F2B08E" w:themeColor="accent6" w:themeTint="BF"/>
        <w:insideH w:val="single" w:sz="8" w:space="0" w:color="F2B08E" w:themeColor="accent6" w:themeTint="BF"/>
        <w:insideV w:val="single" w:sz="8" w:space="0" w:color="F2B08E" w:themeColor="accent6" w:themeTint="BF"/>
      </w:tblBorders>
    </w:tblPr>
    <w:tcPr>
      <w:shd w:val="clear" w:color="auto" w:fill="FAE5D9" w:themeFill="accent6" w:themeFillTint="3F"/>
    </w:tcPr>
    <w:tblStylePr w:type="firstRow">
      <w:rPr>
        <w:b/>
        <w:bCs/>
      </w:rPr>
    </w:tblStylePr>
    <w:tblStylePr w:type="lastRow">
      <w:rPr>
        <w:b/>
        <w:bCs/>
      </w:rPr>
      <w:tblPr/>
      <w:tcPr>
        <w:tcBorders>
          <w:top w:val="single" w:sz="18" w:space="0" w:color="F2B08E" w:themeColor="accent6" w:themeTint="BF"/>
        </w:tcBorders>
      </w:tcPr>
    </w:tblStylePr>
    <w:tblStylePr w:type="firstCol">
      <w:rPr>
        <w:b/>
        <w:bCs/>
      </w:rPr>
    </w:tblStylePr>
    <w:tblStylePr w:type="lastCol">
      <w:rPr>
        <w:b/>
        <w:bCs/>
      </w:rPr>
    </w:tblStylePr>
    <w:tblStylePr w:type="band1Vert">
      <w:tblPr/>
      <w:tcPr>
        <w:shd w:val="clear" w:color="auto" w:fill="F6CBB4" w:themeFill="accent6" w:themeFillTint="7F"/>
      </w:tcPr>
    </w:tblStylePr>
    <w:tblStylePr w:type="band1Horz">
      <w:tblPr/>
      <w:tcPr>
        <w:shd w:val="clear" w:color="auto" w:fill="F6CBB4" w:themeFill="accent6" w:themeFillTint="7F"/>
      </w:tcPr>
    </w:tblStylePr>
  </w:style>
  <w:style w:type="table" w:styleId="MediumGrid2">
    <w:name w:val="Medium Grid 2"/>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88DBE9" w:themeColor="accent1"/>
        <w:left w:val="single" w:sz="8" w:space="0" w:color="88DBE9" w:themeColor="accent1"/>
        <w:bottom w:val="single" w:sz="8" w:space="0" w:color="88DBE9" w:themeColor="accent1"/>
        <w:right w:val="single" w:sz="8" w:space="0" w:color="88DBE9" w:themeColor="accent1"/>
        <w:insideH w:val="single" w:sz="8" w:space="0" w:color="88DBE9" w:themeColor="accent1"/>
        <w:insideV w:val="single" w:sz="8" w:space="0" w:color="88DBE9" w:themeColor="accent1"/>
      </w:tblBorders>
    </w:tblPr>
    <w:tcPr>
      <w:shd w:val="clear" w:color="auto" w:fill="E1F6F9" w:themeFill="accent1" w:themeFillTint="3F"/>
    </w:tcPr>
    <w:tblStylePr w:type="firstRow">
      <w:rPr>
        <w:b/>
        <w:bCs/>
        <w:color w:val="000000" w:themeColor="text1"/>
      </w:rPr>
      <w:tblPr/>
      <w:tcPr>
        <w:shd w:val="clear" w:color="auto" w:fill="F3FBF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7FA" w:themeFill="accent1" w:themeFillTint="33"/>
      </w:tcPr>
    </w:tblStylePr>
    <w:tblStylePr w:type="band1Vert">
      <w:tblPr/>
      <w:tcPr>
        <w:shd w:val="clear" w:color="auto" w:fill="C3EDF4" w:themeFill="accent1" w:themeFillTint="7F"/>
      </w:tcPr>
    </w:tblStylePr>
    <w:tblStylePr w:type="band1Horz">
      <w:tblPr/>
      <w:tcPr>
        <w:tcBorders>
          <w:insideH w:val="single" w:sz="6" w:space="0" w:color="88DBE9" w:themeColor="accent1"/>
          <w:insideV w:val="single" w:sz="6" w:space="0" w:color="88DBE9" w:themeColor="accent1"/>
        </w:tcBorders>
        <w:shd w:val="clear" w:color="auto" w:fill="C3EDF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E35205" w:themeColor="accent2"/>
        <w:left w:val="single" w:sz="8" w:space="0" w:color="E35205" w:themeColor="accent2"/>
        <w:bottom w:val="single" w:sz="8" w:space="0" w:color="E35205" w:themeColor="accent2"/>
        <w:right w:val="single" w:sz="8" w:space="0" w:color="E35205" w:themeColor="accent2"/>
        <w:insideH w:val="single" w:sz="8" w:space="0" w:color="E35205" w:themeColor="accent2"/>
        <w:insideV w:val="single" w:sz="8" w:space="0" w:color="E35205" w:themeColor="accent2"/>
      </w:tblBorders>
    </w:tblPr>
    <w:tcPr>
      <w:shd w:val="clear" w:color="auto" w:fill="FDD2BB" w:themeFill="accent2" w:themeFillTint="3F"/>
    </w:tcPr>
    <w:tblStylePr w:type="firstRow">
      <w:rPr>
        <w:b/>
        <w:bCs/>
        <w:color w:val="000000" w:themeColor="text1"/>
      </w:rPr>
      <w:tblPr/>
      <w:tcPr>
        <w:shd w:val="clear" w:color="auto" w:fill="FEEDE4"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DAC8" w:themeFill="accent2" w:themeFillTint="33"/>
      </w:tcPr>
    </w:tblStylePr>
    <w:tblStylePr w:type="band1Vert">
      <w:tblPr/>
      <w:tcPr>
        <w:shd w:val="clear" w:color="auto" w:fill="FCA577" w:themeFill="accent2" w:themeFillTint="7F"/>
      </w:tcPr>
    </w:tblStylePr>
    <w:tblStylePr w:type="band1Horz">
      <w:tblPr/>
      <w:tcPr>
        <w:tcBorders>
          <w:insideH w:val="single" w:sz="6" w:space="0" w:color="E35205" w:themeColor="accent2"/>
          <w:insideV w:val="single" w:sz="6" w:space="0" w:color="E35205" w:themeColor="accent2"/>
        </w:tcBorders>
        <w:shd w:val="clear" w:color="auto" w:fill="FCA57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004C97" w:themeColor="accent3"/>
        <w:left w:val="single" w:sz="8" w:space="0" w:color="004C97" w:themeColor="accent3"/>
        <w:bottom w:val="single" w:sz="8" w:space="0" w:color="004C97" w:themeColor="accent3"/>
        <w:right w:val="single" w:sz="8" w:space="0" w:color="004C97" w:themeColor="accent3"/>
        <w:insideH w:val="single" w:sz="8" w:space="0" w:color="004C97" w:themeColor="accent3"/>
        <w:insideV w:val="single" w:sz="8" w:space="0" w:color="004C97" w:themeColor="accent3"/>
      </w:tblBorders>
    </w:tblPr>
    <w:tcPr>
      <w:shd w:val="clear" w:color="auto" w:fill="A6D2FF" w:themeFill="accent3" w:themeFillTint="3F"/>
    </w:tcPr>
    <w:tblStylePr w:type="firstRow">
      <w:rPr>
        <w:b/>
        <w:bCs/>
        <w:color w:val="000000" w:themeColor="text1"/>
      </w:rPr>
      <w:tblPr/>
      <w:tcPr>
        <w:shd w:val="clear" w:color="auto" w:fill="DBED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BFF" w:themeFill="accent3" w:themeFillTint="33"/>
      </w:tcPr>
    </w:tblStylePr>
    <w:tblStylePr w:type="band1Vert">
      <w:tblPr/>
      <w:tcPr>
        <w:shd w:val="clear" w:color="auto" w:fill="4CA5FF" w:themeFill="accent3" w:themeFillTint="7F"/>
      </w:tcPr>
    </w:tblStylePr>
    <w:tblStylePr w:type="band1Horz">
      <w:tblPr/>
      <w:tcPr>
        <w:tcBorders>
          <w:insideH w:val="single" w:sz="6" w:space="0" w:color="004C97" w:themeColor="accent3"/>
          <w:insideV w:val="single" w:sz="6" w:space="0" w:color="004C97" w:themeColor="accent3"/>
        </w:tcBorders>
        <w:shd w:val="clear" w:color="auto" w:fill="4CA5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797391" w:themeColor="accent4"/>
        <w:left w:val="single" w:sz="8" w:space="0" w:color="797391" w:themeColor="accent4"/>
        <w:bottom w:val="single" w:sz="8" w:space="0" w:color="797391" w:themeColor="accent4"/>
        <w:right w:val="single" w:sz="8" w:space="0" w:color="797391" w:themeColor="accent4"/>
        <w:insideH w:val="single" w:sz="8" w:space="0" w:color="797391" w:themeColor="accent4"/>
        <w:insideV w:val="single" w:sz="8" w:space="0" w:color="797391" w:themeColor="accent4"/>
      </w:tblBorders>
    </w:tblPr>
    <w:tcPr>
      <w:shd w:val="clear" w:color="auto" w:fill="DDDCE3" w:themeFill="accent4" w:themeFillTint="3F"/>
    </w:tcPr>
    <w:tblStylePr w:type="firstRow">
      <w:rPr>
        <w:b/>
        <w:bCs/>
        <w:color w:val="000000" w:themeColor="text1"/>
      </w:rPr>
      <w:tblPr/>
      <w:tcPr>
        <w:shd w:val="clear" w:color="auto" w:fill="F1F1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3E9" w:themeFill="accent4" w:themeFillTint="33"/>
      </w:tcPr>
    </w:tblStylePr>
    <w:tblStylePr w:type="band1Vert">
      <w:tblPr/>
      <w:tcPr>
        <w:shd w:val="clear" w:color="auto" w:fill="BCB9C8" w:themeFill="accent4" w:themeFillTint="7F"/>
      </w:tcPr>
    </w:tblStylePr>
    <w:tblStylePr w:type="band1Horz">
      <w:tblPr/>
      <w:tcPr>
        <w:tcBorders>
          <w:insideH w:val="single" w:sz="6" w:space="0" w:color="797391" w:themeColor="accent4"/>
          <w:insideV w:val="single" w:sz="6" w:space="0" w:color="797391" w:themeColor="accent4"/>
        </w:tcBorders>
        <w:shd w:val="clear" w:color="auto" w:fill="BCB9C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000000" w:themeColor="text1"/>
      </w:rPr>
      <w:tblPr/>
      <w:tcPr>
        <w:shd w:val="clear" w:color="auto" w:fill="EFF4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EE9769" w:themeColor="accent6"/>
        <w:left w:val="single" w:sz="8" w:space="0" w:color="EE9769" w:themeColor="accent6"/>
        <w:bottom w:val="single" w:sz="8" w:space="0" w:color="EE9769" w:themeColor="accent6"/>
        <w:right w:val="single" w:sz="8" w:space="0" w:color="EE9769" w:themeColor="accent6"/>
        <w:insideH w:val="single" w:sz="8" w:space="0" w:color="EE9769" w:themeColor="accent6"/>
        <w:insideV w:val="single" w:sz="8" w:space="0" w:color="EE9769" w:themeColor="accent6"/>
      </w:tblBorders>
    </w:tblPr>
    <w:tcPr>
      <w:shd w:val="clear" w:color="auto" w:fill="FAE5D9" w:themeFill="accent6" w:themeFillTint="3F"/>
    </w:tcPr>
    <w:tblStylePr w:type="firstRow">
      <w:rPr>
        <w:b/>
        <w:bCs/>
        <w:color w:val="000000" w:themeColor="text1"/>
      </w:rPr>
      <w:tblPr/>
      <w:tcPr>
        <w:shd w:val="clear" w:color="auto" w:fill="FD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9E0" w:themeFill="accent6" w:themeFillTint="33"/>
      </w:tcPr>
    </w:tblStylePr>
    <w:tblStylePr w:type="band1Vert">
      <w:tblPr/>
      <w:tcPr>
        <w:shd w:val="clear" w:color="auto" w:fill="F6CBB4" w:themeFill="accent6" w:themeFillTint="7F"/>
      </w:tcPr>
    </w:tblStylePr>
    <w:tblStylePr w:type="band1Horz">
      <w:tblPr/>
      <w:tcPr>
        <w:tcBorders>
          <w:insideH w:val="single" w:sz="6" w:space="0" w:color="EE9769" w:themeColor="accent6"/>
          <w:insideV w:val="single" w:sz="6" w:space="0" w:color="EE9769" w:themeColor="accent6"/>
        </w:tcBorders>
        <w:shd w:val="clear" w:color="auto" w:fill="F6CBB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E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E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E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E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F4" w:themeFill="accent1" w:themeFillTint="7F"/>
      </w:tcPr>
    </w:tblStylePr>
  </w:style>
  <w:style w:type="table" w:styleId="MediumGrid3-Accent2">
    <w:name w:val="Medium Grid 3 Accent 2"/>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D2B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520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520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520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520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A57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A577" w:themeFill="accent2" w:themeFillTint="7F"/>
      </w:tcPr>
    </w:tblStylePr>
  </w:style>
  <w:style w:type="table" w:styleId="MediumGrid3-Accent3">
    <w:name w:val="Medium Grid 3 Accent 3"/>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3" w:themeFillTint="7F"/>
      </w:tcPr>
    </w:tblStylePr>
  </w:style>
  <w:style w:type="table" w:styleId="MediumGrid3-Accent4">
    <w:name w:val="Medium Grid 3 Accent 4"/>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C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739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739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739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739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B9C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B9C8" w:themeFill="accent4" w:themeFillTint="7F"/>
      </w:tcPr>
    </w:tblStylePr>
  </w:style>
  <w:style w:type="table" w:styleId="MediumGrid3-Accent5">
    <w:name w:val="Medium Grid 3 Accent 5"/>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5D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976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976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976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976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CBB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CBB4" w:themeFill="accent6" w:themeFillTint="7F"/>
      </w:tcPr>
    </w:tblStylePr>
  </w:style>
  <w:style w:type="table" w:styleId="MediumList1">
    <w:name w:val="Medium List 1"/>
    <w:basedOn w:val="TableNormal"/>
    <w:uiPriority w:val="65"/>
    <w:semiHidden/>
    <w:rsid w:val="0022698D"/>
    <w:pPr>
      <w:spacing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0154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2698D"/>
    <w:pPr>
      <w:spacing w:line="240" w:lineRule="auto"/>
    </w:pPr>
    <w:tblPr>
      <w:tblStyleRowBandSize w:val="1"/>
      <w:tblStyleColBandSize w:val="1"/>
      <w:tblBorders>
        <w:top w:val="single" w:sz="8" w:space="0" w:color="88DBE9" w:themeColor="accent1"/>
        <w:bottom w:val="single" w:sz="8" w:space="0" w:color="88DBE9" w:themeColor="accent1"/>
      </w:tblBorders>
    </w:tblPr>
    <w:tblStylePr w:type="firstRow">
      <w:rPr>
        <w:rFonts w:asciiTheme="majorHAnsi" w:eastAsiaTheme="majorEastAsia" w:hAnsiTheme="majorHAnsi" w:cstheme="majorBidi"/>
      </w:rPr>
      <w:tblPr/>
      <w:tcPr>
        <w:tcBorders>
          <w:top w:val="nil"/>
          <w:bottom w:val="single" w:sz="8" w:space="0" w:color="88DBE9" w:themeColor="accent1"/>
        </w:tcBorders>
      </w:tcPr>
    </w:tblStylePr>
    <w:tblStylePr w:type="lastRow">
      <w:rPr>
        <w:b/>
        <w:bCs/>
        <w:color w:val="201547" w:themeColor="text2"/>
      </w:rPr>
      <w:tblPr/>
      <w:tcPr>
        <w:tcBorders>
          <w:top w:val="single" w:sz="8" w:space="0" w:color="88DBE9" w:themeColor="accent1"/>
          <w:bottom w:val="single" w:sz="8" w:space="0" w:color="88DBE9" w:themeColor="accent1"/>
        </w:tcBorders>
      </w:tcPr>
    </w:tblStylePr>
    <w:tblStylePr w:type="firstCol">
      <w:rPr>
        <w:b/>
        <w:bCs/>
      </w:rPr>
    </w:tblStylePr>
    <w:tblStylePr w:type="lastCol">
      <w:rPr>
        <w:b/>
        <w:bCs/>
      </w:rPr>
      <w:tblPr/>
      <w:tcPr>
        <w:tcBorders>
          <w:top w:val="single" w:sz="8" w:space="0" w:color="88DBE9" w:themeColor="accent1"/>
          <w:bottom w:val="single" w:sz="8" w:space="0" w:color="88DBE9" w:themeColor="accent1"/>
        </w:tcBorders>
      </w:tcPr>
    </w:tblStylePr>
    <w:tblStylePr w:type="band1Vert">
      <w:tblPr/>
      <w:tcPr>
        <w:shd w:val="clear" w:color="auto" w:fill="E1F6F9" w:themeFill="accent1" w:themeFillTint="3F"/>
      </w:tcPr>
    </w:tblStylePr>
    <w:tblStylePr w:type="band1Horz">
      <w:tblPr/>
      <w:tcPr>
        <w:shd w:val="clear" w:color="auto" w:fill="E1F6F9" w:themeFill="accent1" w:themeFillTint="3F"/>
      </w:tcPr>
    </w:tblStylePr>
  </w:style>
  <w:style w:type="table" w:styleId="MediumList1-Accent2">
    <w:name w:val="Medium List 1 Accent 2"/>
    <w:basedOn w:val="TableNormal"/>
    <w:uiPriority w:val="65"/>
    <w:semiHidden/>
    <w:rsid w:val="0022698D"/>
    <w:pPr>
      <w:spacing w:line="240" w:lineRule="auto"/>
    </w:pPr>
    <w:tblPr>
      <w:tblStyleRowBandSize w:val="1"/>
      <w:tblStyleColBandSize w:val="1"/>
      <w:tblBorders>
        <w:top w:val="single" w:sz="8" w:space="0" w:color="E35205" w:themeColor="accent2"/>
        <w:bottom w:val="single" w:sz="8" w:space="0" w:color="E35205" w:themeColor="accent2"/>
      </w:tblBorders>
    </w:tblPr>
    <w:tblStylePr w:type="firstRow">
      <w:rPr>
        <w:rFonts w:asciiTheme="majorHAnsi" w:eastAsiaTheme="majorEastAsia" w:hAnsiTheme="majorHAnsi" w:cstheme="majorBidi"/>
      </w:rPr>
      <w:tblPr/>
      <w:tcPr>
        <w:tcBorders>
          <w:top w:val="nil"/>
          <w:bottom w:val="single" w:sz="8" w:space="0" w:color="E35205" w:themeColor="accent2"/>
        </w:tcBorders>
      </w:tcPr>
    </w:tblStylePr>
    <w:tblStylePr w:type="lastRow">
      <w:rPr>
        <w:b/>
        <w:bCs/>
        <w:color w:val="201547" w:themeColor="text2"/>
      </w:rPr>
      <w:tblPr/>
      <w:tcPr>
        <w:tcBorders>
          <w:top w:val="single" w:sz="8" w:space="0" w:color="E35205" w:themeColor="accent2"/>
          <w:bottom w:val="single" w:sz="8" w:space="0" w:color="E35205" w:themeColor="accent2"/>
        </w:tcBorders>
      </w:tcPr>
    </w:tblStylePr>
    <w:tblStylePr w:type="firstCol">
      <w:rPr>
        <w:b/>
        <w:bCs/>
      </w:rPr>
    </w:tblStylePr>
    <w:tblStylePr w:type="lastCol">
      <w:rPr>
        <w:b/>
        <w:bCs/>
      </w:rPr>
      <w:tblPr/>
      <w:tcPr>
        <w:tcBorders>
          <w:top w:val="single" w:sz="8" w:space="0" w:color="E35205" w:themeColor="accent2"/>
          <w:bottom w:val="single" w:sz="8" w:space="0" w:color="E35205" w:themeColor="accent2"/>
        </w:tcBorders>
      </w:tcPr>
    </w:tblStylePr>
    <w:tblStylePr w:type="band1Vert">
      <w:tblPr/>
      <w:tcPr>
        <w:shd w:val="clear" w:color="auto" w:fill="FDD2BB" w:themeFill="accent2" w:themeFillTint="3F"/>
      </w:tcPr>
    </w:tblStylePr>
    <w:tblStylePr w:type="band1Horz">
      <w:tblPr/>
      <w:tcPr>
        <w:shd w:val="clear" w:color="auto" w:fill="FDD2BB" w:themeFill="accent2" w:themeFillTint="3F"/>
      </w:tcPr>
    </w:tblStylePr>
  </w:style>
  <w:style w:type="table" w:styleId="MediumList1-Accent3">
    <w:name w:val="Medium List 1 Accent 3"/>
    <w:basedOn w:val="TableNormal"/>
    <w:uiPriority w:val="65"/>
    <w:semiHidden/>
    <w:rsid w:val="0022698D"/>
    <w:pPr>
      <w:spacing w:line="240" w:lineRule="auto"/>
    </w:pPr>
    <w:tblPr>
      <w:tblStyleRowBandSize w:val="1"/>
      <w:tblStyleColBandSize w:val="1"/>
      <w:tblBorders>
        <w:top w:val="single" w:sz="8" w:space="0" w:color="004C97" w:themeColor="accent3"/>
        <w:bottom w:val="single" w:sz="8" w:space="0" w:color="004C97" w:themeColor="accent3"/>
      </w:tblBorders>
    </w:tblPr>
    <w:tblStylePr w:type="firstRow">
      <w:rPr>
        <w:rFonts w:asciiTheme="majorHAnsi" w:eastAsiaTheme="majorEastAsia" w:hAnsiTheme="majorHAnsi" w:cstheme="majorBidi"/>
      </w:rPr>
      <w:tblPr/>
      <w:tcPr>
        <w:tcBorders>
          <w:top w:val="nil"/>
          <w:bottom w:val="single" w:sz="8" w:space="0" w:color="004C97" w:themeColor="accent3"/>
        </w:tcBorders>
      </w:tcPr>
    </w:tblStylePr>
    <w:tblStylePr w:type="lastRow">
      <w:rPr>
        <w:b/>
        <w:bCs/>
        <w:color w:val="201547" w:themeColor="text2"/>
      </w:rPr>
      <w:tblPr/>
      <w:tcPr>
        <w:tcBorders>
          <w:top w:val="single" w:sz="8" w:space="0" w:color="004C97" w:themeColor="accent3"/>
          <w:bottom w:val="single" w:sz="8" w:space="0" w:color="004C97" w:themeColor="accent3"/>
        </w:tcBorders>
      </w:tcPr>
    </w:tblStylePr>
    <w:tblStylePr w:type="firstCol">
      <w:rPr>
        <w:b/>
        <w:bCs/>
      </w:rPr>
    </w:tblStylePr>
    <w:tblStylePr w:type="lastCol">
      <w:rPr>
        <w:b/>
        <w:bCs/>
      </w:rPr>
      <w:tblPr/>
      <w:tcPr>
        <w:tcBorders>
          <w:top w:val="single" w:sz="8" w:space="0" w:color="004C97" w:themeColor="accent3"/>
          <w:bottom w:val="single" w:sz="8" w:space="0" w:color="004C97" w:themeColor="accent3"/>
        </w:tcBorders>
      </w:tcPr>
    </w:tblStylePr>
    <w:tblStylePr w:type="band1Vert">
      <w:tblPr/>
      <w:tcPr>
        <w:shd w:val="clear" w:color="auto" w:fill="A6D2FF" w:themeFill="accent3" w:themeFillTint="3F"/>
      </w:tcPr>
    </w:tblStylePr>
    <w:tblStylePr w:type="band1Horz">
      <w:tblPr/>
      <w:tcPr>
        <w:shd w:val="clear" w:color="auto" w:fill="A6D2FF" w:themeFill="accent3" w:themeFillTint="3F"/>
      </w:tcPr>
    </w:tblStylePr>
  </w:style>
  <w:style w:type="table" w:styleId="MediumList1-Accent4">
    <w:name w:val="Medium List 1 Accent 4"/>
    <w:basedOn w:val="TableNormal"/>
    <w:uiPriority w:val="65"/>
    <w:semiHidden/>
    <w:rsid w:val="0022698D"/>
    <w:pPr>
      <w:spacing w:line="240" w:lineRule="auto"/>
    </w:pPr>
    <w:tblPr>
      <w:tblStyleRowBandSize w:val="1"/>
      <w:tblStyleColBandSize w:val="1"/>
      <w:tblBorders>
        <w:top w:val="single" w:sz="8" w:space="0" w:color="797391" w:themeColor="accent4"/>
        <w:bottom w:val="single" w:sz="8" w:space="0" w:color="797391" w:themeColor="accent4"/>
      </w:tblBorders>
    </w:tblPr>
    <w:tblStylePr w:type="firstRow">
      <w:rPr>
        <w:rFonts w:asciiTheme="majorHAnsi" w:eastAsiaTheme="majorEastAsia" w:hAnsiTheme="majorHAnsi" w:cstheme="majorBidi"/>
      </w:rPr>
      <w:tblPr/>
      <w:tcPr>
        <w:tcBorders>
          <w:top w:val="nil"/>
          <w:bottom w:val="single" w:sz="8" w:space="0" w:color="797391" w:themeColor="accent4"/>
        </w:tcBorders>
      </w:tcPr>
    </w:tblStylePr>
    <w:tblStylePr w:type="lastRow">
      <w:rPr>
        <w:b/>
        <w:bCs/>
        <w:color w:val="201547" w:themeColor="text2"/>
      </w:rPr>
      <w:tblPr/>
      <w:tcPr>
        <w:tcBorders>
          <w:top w:val="single" w:sz="8" w:space="0" w:color="797391" w:themeColor="accent4"/>
          <w:bottom w:val="single" w:sz="8" w:space="0" w:color="797391" w:themeColor="accent4"/>
        </w:tcBorders>
      </w:tcPr>
    </w:tblStylePr>
    <w:tblStylePr w:type="firstCol">
      <w:rPr>
        <w:b/>
        <w:bCs/>
      </w:rPr>
    </w:tblStylePr>
    <w:tblStylePr w:type="lastCol">
      <w:rPr>
        <w:b/>
        <w:bCs/>
      </w:rPr>
      <w:tblPr/>
      <w:tcPr>
        <w:tcBorders>
          <w:top w:val="single" w:sz="8" w:space="0" w:color="797391" w:themeColor="accent4"/>
          <w:bottom w:val="single" w:sz="8" w:space="0" w:color="797391" w:themeColor="accent4"/>
        </w:tcBorders>
      </w:tcPr>
    </w:tblStylePr>
    <w:tblStylePr w:type="band1Vert">
      <w:tblPr/>
      <w:tcPr>
        <w:shd w:val="clear" w:color="auto" w:fill="DDDCE3" w:themeFill="accent4" w:themeFillTint="3F"/>
      </w:tcPr>
    </w:tblStylePr>
    <w:tblStylePr w:type="band1Horz">
      <w:tblPr/>
      <w:tcPr>
        <w:shd w:val="clear" w:color="auto" w:fill="DDDCE3" w:themeFill="accent4" w:themeFillTint="3F"/>
      </w:tcPr>
    </w:tblStylePr>
  </w:style>
  <w:style w:type="table" w:styleId="MediumList1-Accent5">
    <w:name w:val="Medium List 1 Accent 5"/>
    <w:basedOn w:val="TableNormal"/>
    <w:uiPriority w:val="65"/>
    <w:semiHidden/>
    <w:rsid w:val="0022698D"/>
    <w:pPr>
      <w:spacing w:line="240" w:lineRule="auto"/>
    </w:pPr>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22698D"/>
    <w:pPr>
      <w:spacing w:line="240" w:lineRule="auto"/>
    </w:pPr>
    <w:tblPr>
      <w:tblStyleRowBandSize w:val="1"/>
      <w:tblStyleColBandSize w:val="1"/>
      <w:tblBorders>
        <w:top w:val="single" w:sz="8" w:space="0" w:color="EE9769" w:themeColor="accent6"/>
        <w:bottom w:val="single" w:sz="8" w:space="0" w:color="EE9769" w:themeColor="accent6"/>
      </w:tblBorders>
    </w:tblPr>
    <w:tblStylePr w:type="firstRow">
      <w:rPr>
        <w:rFonts w:asciiTheme="majorHAnsi" w:eastAsiaTheme="majorEastAsia" w:hAnsiTheme="majorHAnsi" w:cstheme="majorBidi"/>
      </w:rPr>
      <w:tblPr/>
      <w:tcPr>
        <w:tcBorders>
          <w:top w:val="nil"/>
          <w:bottom w:val="single" w:sz="8" w:space="0" w:color="EE9769" w:themeColor="accent6"/>
        </w:tcBorders>
      </w:tcPr>
    </w:tblStylePr>
    <w:tblStylePr w:type="lastRow">
      <w:rPr>
        <w:b/>
        <w:bCs/>
        <w:color w:val="201547" w:themeColor="text2"/>
      </w:rPr>
      <w:tblPr/>
      <w:tcPr>
        <w:tcBorders>
          <w:top w:val="single" w:sz="8" w:space="0" w:color="EE9769" w:themeColor="accent6"/>
          <w:bottom w:val="single" w:sz="8" w:space="0" w:color="EE9769" w:themeColor="accent6"/>
        </w:tcBorders>
      </w:tcPr>
    </w:tblStylePr>
    <w:tblStylePr w:type="firstCol">
      <w:rPr>
        <w:b/>
        <w:bCs/>
      </w:rPr>
    </w:tblStylePr>
    <w:tblStylePr w:type="lastCol">
      <w:rPr>
        <w:b/>
        <w:bCs/>
      </w:rPr>
      <w:tblPr/>
      <w:tcPr>
        <w:tcBorders>
          <w:top w:val="single" w:sz="8" w:space="0" w:color="EE9769" w:themeColor="accent6"/>
          <w:bottom w:val="single" w:sz="8" w:space="0" w:color="EE9769" w:themeColor="accent6"/>
        </w:tcBorders>
      </w:tcPr>
    </w:tblStylePr>
    <w:tblStylePr w:type="band1Vert">
      <w:tblPr/>
      <w:tcPr>
        <w:shd w:val="clear" w:color="auto" w:fill="FAE5D9" w:themeFill="accent6" w:themeFillTint="3F"/>
      </w:tcPr>
    </w:tblStylePr>
    <w:tblStylePr w:type="band1Horz">
      <w:tblPr/>
      <w:tcPr>
        <w:shd w:val="clear" w:color="auto" w:fill="FAE5D9" w:themeFill="accent6" w:themeFillTint="3F"/>
      </w:tcPr>
    </w:tblStylePr>
  </w:style>
  <w:style w:type="table" w:styleId="MediumList2">
    <w:name w:val="Medium List 2"/>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88DBE9" w:themeColor="accent1"/>
        <w:left w:val="single" w:sz="8" w:space="0" w:color="88DBE9" w:themeColor="accent1"/>
        <w:bottom w:val="single" w:sz="8" w:space="0" w:color="88DBE9" w:themeColor="accent1"/>
        <w:right w:val="single" w:sz="8" w:space="0" w:color="88DBE9" w:themeColor="accent1"/>
      </w:tblBorders>
    </w:tblPr>
    <w:tblStylePr w:type="firstRow">
      <w:rPr>
        <w:sz w:val="24"/>
        <w:szCs w:val="24"/>
      </w:rPr>
      <w:tblPr/>
      <w:tcPr>
        <w:tcBorders>
          <w:top w:val="nil"/>
          <w:left w:val="nil"/>
          <w:bottom w:val="single" w:sz="24" w:space="0" w:color="88DBE9" w:themeColor="accent1"/>
          <w:right w:val="nil"/>
          <w:insideH w:val="nil"/>
          <w:insideV w:val="nil"/>
        </w:tcBorders>
        <w:shd w:val="clear" w:color="auto" w:fill="FFFFFF" w:themeFill="background1"/>
      </w:tcPr>
    </w:tblStylePr>
    <w:tblStylePr w:type="lastRow">
      <w:tblPr/>
      <w:tcPr>
        <w:tcBorders>
          <w:top w:val="single" w:sz="8" w:space="0" w:color="88DBE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E9" w:themeColor="accent1"/>
          <w:insideH w:val="nil"/>
          <w:insideV w:val="nil"/>
        </w:tcBorders>
        <w:shd w:val="clear" w:color="auto" w:fill="FFFFFF" w:themeFill="background1"/>
      </w:tcPr>
    </w:tblStylePr>
    <w:tblStylePr w:type="lastCol">
      <w:tblPr/>
      <w:tcPr>
        <w:tcBorders>
          <w:top w:val="nil"/>
          <w:left w:val="single" w:sz="8" w:space="0" w:color="88DBE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9" w:themeFill="accent1" w:themeFillTint="3F"/>
      </w:tcPr>
    </w:tblStylePr>
    <w:tblStylePr w:type="band1Horz">
      <w:tblPr/>
      <w:tcPr>
        <w:tcBorders>
          <w:top w:val="nil"/>
          <w:bottom w:val="nil"/>
          <w:insideH w:val="nil"/>
          <w:insideV w:val="nil"/>
        </w:tcBorders>
        <w:shd w:val="clear" w:color="auto" w:fill="E1F6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E35205" w:themeColor="accent2"/>
        <w:left w:val="single" w:sz="8" w:space="0" w:color="E35205" w:themeColor="accent2"/>
        <w:bottom w:val="single" w:sz="8" w:space="0" w:color="E35205" w:themeColor="accent2"/>
        <w:right w:val="single" w:sz="8" w:space="0" w:color="E35205" w:themeColor="accent2"/>
      </w:tblBorders>
    </w:tblPr>
    <w:tblStylePr w:type="firstRow">
      <w:rPr>
        <w:sz w:val="24"/>
        <w:szCs w:val="24"/>
      </w:rPr>
      <w:tblPr/>
      <w:tcPr>
        <w:tcBorders>
          <w:top w:val="nil"/>
          <w:left w:val="nil"/>
          <w:bottom w:val="single" w:sz="24" w:space="0" w:color="E35205" w:themeColor="accent2"/>
          <w:right w:val="nil"/>
          <w:insideH w:val="nil"/>
          <w:insideV w:val="nil"/>
        </w:tcBorders>
        <w:shd w:val="clear" w:color="auto" w:fill="FFFFFF" w:themeFill="background1"/>
      </w:tcPr>
    </w:tblStylePr>
    <w:tblStylePr w:type="lastRow">
      <w:tblPr/>
      <w:tcPr>
        <w:tcBorders>
          <w:top w:val="single" w:sz="8" w:space="0" w:color="E35205"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35205" w:themeColor="accent2"/>
          <w:insideH w:val="nil"/>
          <w:insideV w:val="nil"/>
        </w:tcBorders>
        <w:shd w:val="clear" w:color="auto" w:fill="FFFFFF" w:themeFill="background1"/>
      </w:tcPr>
    </w:tblStylePr>
    <w:tblStylePr w:type="lastCol">
      <w:tblPr/>
      <w:tcPr>
        <w:tcBorders>
          <w:top w:val="nil"/>
          <w:left w:val="single" w:sz="8" w:space="0" w:color="E3520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D2BB" w:themeFill="accent2" w:themeFillTint="3F"/>
      </w:tcPr>
    </w:tblStylePr>
    <w:tblStylePr w:type="band1Horz">
      <w:tblPr/>
      <w:tcPr>
        <w:tcBorders>
          <w:top w:val="nil"/>
          <w:bottom w:val="nil"/>
          <w:insideH w:val="nil"/>
          <w:insideV w:val="nil"/>
        </w:tcBorders>
        <w:shd w:val="clear" w:color="auto" w:fill="FDD2B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004C97" w:themeColor="accent3"/>
        <w:left w:val="single" w:sz="8" w:space="0" w:color="004C97" w:themeColor="accent3"/>
        <w:bottom w:val="single" w:sz="8" w:space="0" w:color="004C97" w:themeColor="accent3"/>
        <w:right w:val="single" w:sz="8" w:space="0" w:color="004C97" w:themeColor="accent3"/>
      </w:tblBorders>
    </w:tblPr>
    <w:tblStylePr w:type="firstRow">
      <w:rPr>
        <w:sz w:val="24"/>
        <w:szCs w:val="24"/>
      </w:rPr>
      <w:tblPr/>
      <w:tcPr>
        <w:tcBorders>
          <w:top w:val="nil"/>
          <w:left w:val="nil"/>
          <w:bottom w:val="single" w:sz="24" w:space="0" w:color="004C97" w:themeColor="accent3"/>
          <w:right w:val="nil"/>
          <w:insideH w:val="nil"/>
          <w:insideV w:val="nil"/>
        </w:tcBorders>
        <w:shd w:val="clear" w:color="auto" w:fill="FFFFFF" w:themeFill="background1"/>
      </w:tcPr>
    </w:tblStylePr>
    <w:tblStylePr w:type="lastRow">
      <w:tblPr/>
      <w:tcPr>
        <w:tcBorders>
          <w:top w:val="single" w:sz="8" w:space="0" w:color="004C9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3"/>
          <w:insideH w:val="nil"/>
          <w:insideV w:val="nil"/>
        </w:tcBorders>
        <w:shd w:val="clear" w:color="auto" w:fill="FFFFFF" w:themeFill="background1"/>
      </w:tcPr>
    </w:tblStylePr>
    <w:tblStylePr w:type="lastCol">
      <w:tblPr/>
      <w:tcPr>
        <w:tcBorders>
          <w:top w:val="nil"/>
          <w:left w:val="single" w:sz="8" w:space="0" w:color="004C9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3" w:themeFillTint="3F"/>
      </w:tcPr>
    </w:tblStylePr>
    <w:tblStylePr w:type="band1Horz">
      <w:tblPr/>
      <w:tcPr>
        <w:tcBorders>
          <w:top w:val="nil"/>
          <w:bottom w:val="nil"/>
          <w:insideH w:val="nil"/>
          <w:insideV w:val="nil"/>
        </w:tcBorders>
        <w:shd w:val="clear" w:color="auto" w:fill="A6D2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797391" w:themeColor="accent4"/>
        <w:left w:val="single" w:sz="8" w:space="0" w:color="797391" w:themeColor="accent4"/>
        <w:bottom w:val="single" w:sz="8" w:space="0" w:color="797391" w:themeColor="accent4"/>
        <w:right w:val="single" w:sz="8" w:space="0" w:color="797391" w:themeColor="accent4"/>
      </w:tblBorders>
    </w:tblPr>
    <w:tblStylePr w:type="firstRow">
      <w:rPr>
        <w:sz w:val="24"/>
        <w:szCs w:val="24"/>
      </w:rPr>
      <w:tblPr/>
      <w:tcPr>
        <w:tcBorders>
          <w:top w:val="nil"/>
          <w:left w:val="nil"/>
          <w:bottom w:val="single" w:sz="24" w:space="0" w:color="797391" w:themeColor="accent4"/>
          <w:right w:val="nil"/>
          <w:insideH w:val="nil"/>
          <w:insideV w:val="nil"/>
        </w:tcBorders>
        <w:shd w:val="clear" w:color="auto" w:fill="FFFFFF" w:themeFill="background1"/>
      </w:tcPr>
    </w:tblStylePr>
    <w:tblStylePr w:type="lastRow">
      <w:tblPr/>
      <w:tcPr>
        <w:tcBorders>
          <w:top w:val="single" w:sz="8" w:space="0" w:color="79739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7391" w:themeColor="accent4"/>
          <w:insideH w:val="nil"/>
          <w:insideV w:val="nil"/>
        </w:tcBorders>
        <w:shd w:val="clear" w:color="auto" w:fill="FFFFFF" w:themeFill="background1"/>
      </w:tcPr>
    </w:tblStylePr>
    <w:tblStylePr w:type="lastCol">
      <w:tblPr/>
      <w:tcPr>
        <w:tcBorders>
          <w:top w:val="nil"/>
          <w:left w:val="single" w:sz="8" w:space="0" w:color="79739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CE3" w:themeFill="accent4" w:themeFillTint="3F"/>
      </w:tcPr>
    </w:tblStylePr>
    <w:tblStylePr w:type="band1Horz">
      <w:tblPr/>
      <w:tcPr>
        <w:tcBorders>
          <w:top w:val="nil"/>
          <w:bottom w:val="nil"/>
          <w:insideH w:val="nil"/>
          <w:insideV w:val="nil"/>
        </w:tcBorders>
        <w:shd w:val="clear" w:color="auto" w:fill="DDDC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EE9769" w:themeColor="accent6"/>
        <w:left w:val="single" w:sz="8" w:space="0" w:color="EE9769" w:themeColor="accent6"/>
        <w:bottom w:val="single" w:sz="8" w:space="0" w:color="EE9769" w:themeColor="accent6"/>
        <w:right w:val="single" w:sz="8" w:space="0" w:color="EE9769" w:themeColor="accent6"/>
      </w:tblBorders>
    </w:tblPr>
    <w:tblStylePr w:type="firstRow">
      <w:rPr>
        <w:sz w:val="24"/>
        <w:szCs w:val="24"/>
      </w:rPr>
      <w:tblPr/>
      <w:tcPr>
        <w:tcBorders>
          <w:top w:val="nil"/>
          <w:left w:val="nil"/>
          <w:bottom w:val="single" w:sz="24" w:space="0" w:color="EE9769" w:themeColor="accent6"/>
          <w:right w:val="nil"/>
          <w:insideH w:val="nil"/>
          <w:insideV w:val="nil"/>
        </w:tcBorders>
        <w:shd w:val="clear" w:color="auto" w:fill="FFFFFF" w:themeFill="background1"/>
      </w:tcPr>
    </w:tblStylePr>
    <w:tblStylePr w:type="lastRow">
      <w:tblPr/>
      <w:tcPr>
        <w:tcBorders>
          <w:top w:val="single" w:sz="8" w:space="0" w:color="EE976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9769" w:themeColor="accent6"/>
          <w:insideH w:val="nil"/>
          <w:insideV w:val="nil"/>
        </w:tcBorders>
        <w:shd w:val="clear" w:color="auto" w:fill="FFFFFF" w:themeFill="background1"/>
      </w:tcPr>
    </w:tblStylePr>
    <w:tblStylePr w:type="lastCol">
      <w:tblPr/>
      <w:tcPr>
        <w:tcBorders>
          <w:top w:val="nil"/>
          <w:left w:val="single" w:sz="8" w:space="0" w:color="EE976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5D9" w:themeFill="accent6" w:themeFillTint="3F"/>
      </w:tcPr>
    </w:tblStylePr>
    <w:tblStylePr w:type="band1Horz">
      <w:tblPr/>
      <w:tcPr>
        <w:tcBorders>
          <w:top w:val="nil"/>
          <w:bottom w:val="nil"/>
          <w:insideH w:val="nil"/>
          <w:insideV w:val="nil"/>
        </w:tcBorders>
        <w:shd w:val="clear" w:color="auto" w:fill="FAE5D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2698D"/>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2698D"/>
    <w:pPr>
      <w:spacing w:line="240" w:lineRule="auto"/>
    </w:pPr>
    <w:tblPr>
      <w:tblStyleRowBandSize w:val="1"/>
      <w:tblStyleColBandSize w:val="1"/>
      <w:tblBorders>
        <w:top w:val="single" w:sz="8" w:space="0" w:color="A5E3EE" w:themeColor="accent1" w:themeTint="BF"/>
        <w:left w:val="single" w:sz="8" w:space="0" w:color="A5E3EE" w:themeColor="accent1" w:themeTint="BF"/>
        <w:bottom w:val="single" w:sz="8" w:space="0" w:color="A5E3EE" w:themeColor="accent1" w:themeTint="BF"/>
        <w:right w:val="single" w:sz="8" w:space="0" w:color="A5E3EE" w:themeColor="accent1" w:themeTint="BF"/>
        <w:insideH w:val="single" w:sz="8" w:space="0" w:color="A5E3EE" w:themeColor="accent1" w:themeTint="BF"/>
      </w:tblBorders>
    </w:tblPr>
    <w:tblStylePr w:type="firstRow">
      <w:pPr>
        <w:spacing w:before="0" w:after="0" w:line="240" w:lineRule="auto"/>
      </w:pPr>
      <w:rPr>
        <w:b/>
        <w:bCs/>
        <w:color w:val="FFFFFF" w:themeColor="background1"/>
      </w:rPr>
      <w:tblPr/>
      <w:tcPr>
        <w:tcBorders>
          <w:top w:val="single" w:sz="8" w:space="0" w:color="A5E3EE" w:themeColor="accent1" w:themeTint="BF"/>
          <w:left w:val="single" w:sz="8" w:space="0" w:color="A5E3EE" w:themeColor="accent1" w:themeTint="BF"/>
          <w:bottom w:val="single" w:sz="8" w:space="0" w:color="A5E3EE" w:themeColor="accent1" w:themeTint="BF"/>
          <w:right w:val="single" w:sz="8" w:space="0" w:color="A5E3EE" w:themeColor="accent1" w:themeTint="BF"/>
          <w:insideH w:val="nil"/>
          <w:insideV w:val="nil"/>
        </w:tcBorders>
        <w:shd w:val="clear" w:color="auto" w:fill="88DBE9" w:themeFill="accent1"/>
      </w:tcPr>
    </w:tblStylePr>
    <w:tblStylePr w:type="lastRow">
      <w:pPr>
        <w:spacing w:before="0" w:after="0" w:line="240" w:lineRule="auto"/>
      </w:pPr>
      <w:rPr>
        <w:b/>
        <w:bCs/>
      </w:rPr>
      <w:tblPr/>
      <w:tcPr>
        <w:tcBorders>
          <w:top w:val="double" w:sz="6" w:space="0" w:color="A5E3EE" w:themeColor="accent1" w:themeTint="BF"/>
          <w:left w:val="single" w:sz="8" w:space="0" w:color="A5E3EE" w:themeColor="accent1" w:themeTint="BF"/>
          <w:bottom w:val="single" w:sz="8" w:space="0" w:color="A5E3EE" w:themeColor="accent1" w:themeTint="BF"/>
          <w:right w:val="single" w:sz="8" w:space="0" w:color="A5E3EE" w:themeColor="accent1" w:themeTint="BF"/>
          <w:insideH w:val="nil"/>
          <w:insideV w:val="nil"/>
        </w:tcBorders>
      </w:tcPr>
    </w:tblStylePr>
    <w:tblStylePr w:type="firstCol">
      <w:rPr>
        <w:b/>
        <w:bCs/>
      </w:rPr>
    </w:tblStylePr>
    <w:tblStylePr w:type="lastCol">
      <w:rPr>
        <w:b/>
        <w:bCs/>
      </w:rPr>
    </w:tblStylePr>
    <w:tblStylePr w:type="band1Vert">
      <w:tblPr/>
      <w:tcPr>
        <w:shd w:val="clear" w:color="auto" w:fill="E1F6F9" w:themeFill="accent1" w:themeFillTint="3F"/>
      </w:tcPr>
    </w:tblStylePr>
    <w:tblStylePr w:type="band1Horz">
      <w:tblPr/>
      <w:tcPr>
        <w:tcBorders>
          <w:insideH w:val="nil"/>
          <w:insideV w:val="nil"/>
        </w:tcBorders>
        <w:shd w:val="clear" w:color="auto" w:fill="E1F6F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2698D"/>
    <w:pPr>
      <w:spacing w:line="240" w:lineRule="auto"/>
    </w:pPr>
    <w:tblPr>
      <w:tblStyleRowBandSize w:val="1"/>
      <w:tblStyleColBandSize w:val="1"/>
      <w:tblBorders>
        <w:top w:val="single" w:sz="8" w:space="0" w:color="FA7733" w:themeColor="accent2" w:themeTint="BF"/>
        <w:left w:val="single" w:sz="8" w:space="0" w:color="FA7733" w:themeColor="accent2" w:themeTint="BF"/>
        <w:bottom w:val="single" w:sz="8" w:space="0" w:color="FA7733" w:themeColor="accent2" w:themeTint="BF"/>
        <w:right w:val="single" w:sz="8" w:space="0" w:color="FA7733" w:themeColor="accent2" w:themeTint="BF"/>
        <w:insideH w:val="single" w:sz="8" w:space="0" w:color="FA7733" w:themeColor="accent2" w:themeTint="BF"/>
      </w:tblBorders>
    </w:tblPr>
    <w:tblStylePr w:type="firstRow">
      <w:pPr>
        <w:spacing w:before="0" w:after="0" w:line="240" w:lineRule="auto"/>
      </w:pPr>
      <w:rPr>
        <w:b/>
        <w:bCs/>
        <w:color w:val="FFFFFF" w:themeColor="background1"/>
      </w:rPr>
      <w:tblPr/>
      <w:tcPr>
        <w:tcBorders>
          <w:top w:val="single" w:sz="8" w:space="0" w:color="FA7733" w:themeColor="accent2" w:themeTint="BF"/>
          <w:left w:val="single" w:sz="8" w:space="0" w:color="FA7733" w:themeColor="accent2" w:themeTint="BF"/>
          <w:bottom w:val="single" w:sz="8" w:space="0" w:color="FA7733" w:themeColor="accent2" w:themeTint="BF"/>
          <w:right w:val="single" w:sz="8" w:space="0" w:color="FA7733" w:themeColor="accent2" w:themeTint="BF"/>
          <w:insideH w:val="nil"/>
          <w:insideV w:val="nil"/>
        </w:tcBorders>
        <w:shd w:val="clear" w:color="auto" w:fill="E35205" w:themeFill="accent2"/>
      </w:tcPr>
    </w:tblStylePr>
    <w:tblStylePr w:type="lastRow">
      <w:pPr>
        <w:spacing w:before="0" w:after="0" w:line="240" w:lineRule="auto"/>
      </w:pPr>
      <w:rPr>
        <w:b/>
        <w:bCs/>
      </w:rPr>
      <w:tblPr/>
      <w:tcPr>
        <w:tcBorders>
          <w:top w:val="double" w:sz="6" w:space="0" w:color="FA7733" w:themeColor="accent2" w:themeTint="BF"/>
          <w:left w:val="single" w:sz="8" w:space="0" w:color="FA7733" w:themeColor="accent2" w:themeTint="BF"/>
          <w:bottom w:val="single" w:sz="8" w:space="0" w:color="FA7733" w:themeColor="accent2" w:themeTint="BF"/>
          <w:right w:val="single" w:sz="8" w:space="0" w:color="FA773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DD2BB" w:themeFill="accent2" w:themeFillTint="3F"/>
      </w:tcPr>
    </w:tblStylePr>
    <w:tblStylePr w:type="band1Horz">
      <w:tblPr/>
      <w:tcPr>
        <w:tcBorders>
          <w:insideH w:val="nil"/>
          <w:insideV w:val="nil"/>
        </w:tcBorders>
        <w:shd w:val="clear" w:color="auto" w:fill="FDD2B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2698D"/>
    <w:pPr>
      <w:spacing w:line="240" w:lineRule="auto"/>
    </w:pPr>
    <w:tblPr>
      <w:tblStyleRowBandSize w:val="1"/>
      <w:tblStyleColBandSize w:val="1"/>
      <w:tblBorders>
        <w:top w:val="single" w:sz="8" w:space="0" w:color="0078F1" w:themeColor="accent3" w:themeTint="BF"/>
        <w:left w:val="single" w:sz="8" w:space="0" w:color="0078F1" w:themeColor="accent3" w:themeTint="BF"/>
        <w:bottom w:val="single" w:sz="8" w:space="0" w:color="0078F1" w:themeColor="accent3" w:themeTint="BF"/>
        <w:right w:val="single" w:sz="8" w:space="0" w:color="0078F1" w:themeColor="accent3" w:themeTint="BF"/>
        <w:insideH w:val="single" w:sz="8" w:space="0" w:color="0078F1" w:themeColor="accent3" w:themeTint="BF"/>
      </w:tblBorders>
    </w:tblPr>
    <w:tblStylePr w:type="firstRow">
      <w:pPr>
        <w:spacing w:before="0" w:after="0" w:line="240" w:lineRule="auto"/>
      </w:pPr>
      <w:rPr>
        <w:b/>
        <w:bCs/>
        <w:color w:val="FFFFFF" w:themeColor="background1"/>
      </w:rPr>
      <w:tblPr/>
      <w:tcPr>
        <w:tcBorders>
          <w:top w:val="single" w:sz="8" w:space="0" w:color="0078F1" w:themeColor="accent3" w:themeTint="BF"/>
          <w:left w:val="single" w:sz="8" w:space="0" w:color="0078F1" w:themeColor="accent3" w:themeTint="BF"/>
          <w:bottom w:val="single" w:sz="8" w:space="0" w:color="0078F1" w:themeColor="accent3" w:themeTint="BF"/>
          <w:right w:val="single" w:sz="8" w:space="0" w:color="0078F1" w:themeColor="accent3" w:themeTint="BF"/>
          <w:insideH w:val="nil"/>
          <w:insideV w:val="nil"/>
        </w:tcBorders>
        <w:shd w:val="clear" w:color="auto" w:fill="004C97" w:themeFill="accent3"/>
      </w:tcPr>
    </w:tblStylePr>
    <w:tblStylePr w:type="lastRow">
      <w:pPr>
        <w:spacing w:before="0" w:after="0" w:line="240" w:lineRule="auto"/>
      </w:pPr>
      <w:rPr>
        <w:b/>
        <w:bCs/>
      </w:rPr>
      <w:tblPr/>
      <w:tcPr>
        <w:tcBorders>
          <w:top w:val="double" w:sz="6" w:space="0" w:color="0078F1" w:themeColor="accent3" w:themeTint="BF"/>
          <w:left w:val="single" w:sz="8" w:space="0" w:color="0078F1" w:themeColor="accent3" w:themeTint="BF"/>
          <w:bottom w:val="single" w:sz="8" w:space="0" w:color="0078F1" w:themeColor="accent3" w:themeTint="BF"/>
          <w:right w:val="single" w:sz="8" w:space="0" w:color="0078F1"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3" w:themeFillTint="3F"/>
      </w:tcPr>
    </w:tblStylePr>
    <w:tblStylePr w:type="band1Horz">
      <w:tblPr/>
      <w:tcPr>
        <w:tcBorders>
          <w:insideH w:val="nil"/>
          <w:insideV w:val="nil"/>
        </w:tcBorders>
        <w:shd w:val="clear" w:color="auto" w:fill="A6D2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2698D"/>
    <w:pPr>
      <w:spacing w:line="240" w:lineRule="auto"/>
    </w:pPr>
    <w:tblPr>
      <w:tblStyleRowBandSize w:val="1"/>
      <w:tblStyleColBandSize w:val="1"/>
      <w:tblBorders>
        <w:top w:val="single" w:sz="8" w:space="0" w:color="9A96AC" w:themeColor="accent4" w:themeTint="BF"/>
        <w:left w:val="single" w:sz="8" w:space="0" w:color="9A96AC" w:themeColor="accent4" w:themeTint="BF"/>
        <w:bottom w:val="single" w:sz="8" w:space="0" w:color="9A96AC" w:themeColor="accent4" w:themeTint="BF"/>
        <w:right w:val="single" w:sz="8" w:space="0" w:color="9A96AC" w:themeColor="accent4" w:themeTint="BF"/>
        <w:insideH w:val="single" w:sz="8" w:space="0" w:color="9A96AC" w:themeColor="accent4" w:themeTint="BF"/>
      </w:tblBorders>
    </w:tblPr>
    <w:tblStylePr w:type="firstRow">
      <w:pPr>
        <w:spacing w:before="0" w:after="0" w:line="240" w:lineRule="auto"/>
      </w:pPr>
      <w:rPr>
        <w:b/>
        <w:bCs/>
        <w:color w:val="FFFFFF" w:themeColor="background1"/>
      </w:rPr>
      <w:tblPr/>
      <w:tcPr>
        <w:tcBorders>
          <w:top w:val="single" w:sz="8" w:space="0" w:color="9A96AC" w:themeColor="accent4" w:themeTint="BF"/>
          <w:left w:val="single" w:sz="8" w:space="0" w:color="9A96AC" w:themeColor="accent4" w:themeTint="BF"/>
          <w:bottom w:val="single" w:sz="8" w:space="0" w:color="9A96AC" w:themeColor="accent4" w:themeTint="BF"/>
          <w:right w:val="single" w:sz="8" w:space="0" w:color="9A96AC" w:themeColor="accent4" w:themeTint="BF"/>
          <w:insideH w:val="nil"/>
          <w:insideV w:val="nil"/>
        </w:tcBorders>
        <w:shd w:val="clear" w:color="auto" w:fill="797391" w:themeFill="accent4"/>
      </w:tcPr>
    </w:tblStylePr>
    <w:tblStylePr w:type="lastRow">
      <w:pPr>
        <w:spacing w:before="0" w:after="0" w:line="240" w:lineRule="auto"/>
      </w:pPr>
      <w:rPr>
        <w:b/>
        <w:bCs/>
      </w:rPr>
      <w:tblPr/>
      <w:tcPr>
        <w:tcBorders>
          <w:top w:val="double" w:sz="6" w:space="0" w:color="9A96AC" w:themeColor="accent4" w:themeTint="BF"/>
          <w:left w:val="single" w:sz="8" w:space="0" w:color="9A96AC" w:themeColor="accent4" w:themeTint="BF"/>
          <w:bottom w:val="single" w:sz="8" w:space="0" w:color="9A96AC" w:themeColor="accent4" w:themeTint="BF"/>
          <w:right w:val="single" w:sz="8" w:space="0" w:color="9A96A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DCE3" w:themeFill="accent4" w:themeFillTint="3F"/>
      </w:tcPr>
    </w:tblStylePr>
    <w:tblStylePr w:type="band1Horz">
      <w:tblPr/>
      <w:tcPr>
        <w:tcBorders>
          <w:insideH w:val="nil"/>
          <w:insideV w:val="nil"/>
        </w:tcBorders>
        <w:shd w:val="clear" w:color="auto" w:fill="DDDCE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2698D"/>
    <w:pPr>
      <w:spacing w:line="240" w:lineRule="auto"/>
    </w:pPr>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2698D"/>
    <w:pPr>
      <w:spacing w:line="240" w:lineRule="auto"/>
    </w:pPr>
    <w:tblPr>
      <w:tblStyleRowBandSize w:val="1"/>
      <w:tblStyleColBandSize w:val="1"/>
      <w:tblBorders>
        <w:top w:val="single" w:sz="8" w:space="0" w:color="F2B08E" w:themeColor="accent6" w:themeTint="BF"/>
        <w:left w:val="single" w:sz="8" w:space="0" w:color="F2B08E" w:themeColor="accent6" w:themeTint="BF"/>
        <w:bottom w:val="single" w:sz="8" w:space="0" w:color="F2B08E" w:themeColor="accent6" w:themeTint="BF"/>
        <w:right w:val="single" w:sz="8" w:space="0" w:color="F2B08E" w:themeColor="accent6" w:themeTint="BF"/>
        <w:insideH w:val="single" w:sz="8" w:space="0" w:color="F2B08E" w:themeColor="accent6" w:themeTint="BF"/>
      </w:tblBorders>
    </w:tblPr>
    <w:tblStylePr w:type="firstRow">
      <w:pPr>
        <w:spacing w:before="0" w:after="0" w:line="240" w:lineRule="auto"/>
      </w:pPr>
      <w:rPr>
        <w:b/>
        <w:bCs/>
        <w:color w:val="FFFFFF" w:themeColor="background1"/>
      </w:rPr>
      <w:tblPr/>
      <w:tcPr>
        <w:tcBorders>
          <w:top w:val="single" w:sz="8" w:space="0" w:color="F2B08E" w:themeColor="accent6" w:themeTint="BF"/>
          <w:left w:val="single" w:sz="8" w:space="0" w:color="F2B08E" w:themeColor="accent6" w:themeTint="BF"/>
          <w:bottom w:val="single" w:sz="8" w:space="0" w:color="F2B08E" w:themeColor="accent6" w:themeTint="BF"/>
          <w:right w:val="single" w:sz="8" w:space="0" w:color="F2B08E" w:themeColor="accent6" w:themeTint="BF"/>
          <w:insideH w:val="nil"/>
          <w:insideV w:val="nil"/>
        </w:tcBorders>
        <w:shd w:val="clear" w:color="auto" w:fill="EE9769" w:themeFill="accent6"/>
      </w:tcPr>
    </w:tblStylePr>
    <w:tblStylePr w:type="lastRow">
      <w:pPr>
        <w:spacing w:before="0" w:after="0" w:line="240" w:lineRule="auto"/>
      </w:pPr>
      <w:rPr>
        <w:b/>
        <w:bCs/>
      </w:rPr>
      <w:tblPr/>
      <w:tcPr>
        <w:tcBorders>
          <w:top w:val="double" w:sz="6" w:space="0" w:color="F2B08E" w:themeColor="accent6" w:themeTint="BF"/>
          <w:left w:val="single" w:sz="8" w:space="0" w:color="F2B08E" w:themeColor="accent6" w:themeTint="BF"/>
          <w:bottom w:val="single" w:sz="8" w:space="0" w:color="F2B08E" w:themeColor="accent6" w:themeTint="BF"/>
          <w:right w:val="single" w:sz="8" w:space="0" w:color="F2B08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E5D9" w:themeFill="accent6" w:themeFillTint="3F"/>
      </w:tcPr>
    </w:tblStylePr>
    <w:tblStylePr w:type="band1Horz">
      <w:tblPr/>
      <w:tcPr>
        <w:tcBorders>
          <w:insideH w:val="nil"/>
          <w:insideV w:val="nil"/>
        </w:tcBorders>
        <w:shd w:val="clear" w:color="auto" w:fill="FAE5D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E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E9" w:themeFill="accent1"/>
      </w:tcPr>
    </w:tblStylePr>
    <w:tblStylePr w:type="lastCol">
      <w:rPr>
        <w:b/>
        <w:bCs/>
        <w:color w:val="FFFFFF" w:themeColor="background1"/>
      </w:rPr>
      <w:tblPr/>
      <w:tcPr>
        <w:tcBorders>
          <w:left w:val="nil"/>
          <w:right w:val="nil"/>
          <w:insideH w:val="nil"/>
          <w:insideV w:val="nil"/>
        </w:tcBorders>
        <w:shd w:val="clear" w:color="auto" w:fill="88DBE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520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35205" w:themeFill="accent2"/>
      </w:tcPr>
    </w:tblStylePr>
    <w:tblStylePr w:type="lastCol">
      <w:rPr>
        <w:b/>
        <w:bCs/>
        <w:color w:val="FFFFFF" w:themeColor="background1"/>
      </w:rPr>
      <w:tblPr/>
      <w:tcPr>
        <w:tcBorders>
          <w:left w:val="nil"/>
          <w:right w:val="nil"/>
          <w:insideH w:val="nil"/>
          <w:insideV w:val="nil"/>
        </w:tcBorders>
        <w:shd w:val="clear" w:color="auto" w:fill="E3520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3"/>
      </w:tcPr>
    </w:tblStylePr>
    <w:tblStylePr w:type="lastCol">
      <w:rPr>
        <w:b/>
        <w:bCs/>
        <w:color w:val="FFFFFF" w:themeColor="background1"/>
      </w:rPr>
      <w:tblPr/>
      <w:tcPr>
        <w:tcBorders>
          <w:left w:val="nil"/>
          <w:right w:val="nil"/>
          <w:insideH w:val="nil"/>
          <w:insideV w:val="nil"/>
        </w:tcBorders>
        <w:shd w:val="clear" w:color="auto" w:fill="004C9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739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97391" w:themeFill="accent4"/>
      </w:tcPr>
    </w:tblStylePr>
    <w:tblStylePr w:type="lastCol">
      <w:rPr>
        <w:b/>
        <w:bCs/>
        <w:color w:val="FFFFFF" w:themeColor="background1"/>
      </w:rPr>
      <w:tblPr/>
      <w:tcPr>
        <w:tcBorders>
          <w:left w:val="nil"/>
          <w:right w:val="nil"/>
          <w:insideH w:val="nil"/>
          <w:insideV w:val="nil"/>
        </w:tcBorders>
        <w:shd w:val="clear" w:color="auto" w:fill="79739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976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9769" w:themeFill="accent6"/>
      </w:tcPr>
    </w:tblStylePr>
    <w:tblStylePr w:type="lastCol">
      <w:rPr>
        <w:b/>
        <w:bCs/>
        <w:color w:val="FFFFFF" w:themeColor="background1"/>
      </w:rPr>
      <w:tblPr/>
      <w:tcPr>
        <w:tcBorders>
          <w:left w:val="nil"/>
          <w:right w:val="nil"/>
          <w:insideH w:val="nil"/>
          <w:insideV w:val="nil"/>
        </w:tcBorders>
        <w:shd w:val="clear" w:color="auto" w:fill="EE976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2698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2698D"/>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2698D"/>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2698D"/>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2698D"/>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2698D"/>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icturePlaceholder">
    <w:name w:val="Picture Placeholder"/>
    <w:basedOn w:val="IntroFeatureText"/>
    <w:autoRedefine/>
    <w:qFormat/>
    <w:rsid w:val="003759AC"/>
    <w:pPr>
      <w:spacing w:before="3120" w:after="0"/>
    </w:pPr>
    <w:rPr>
      <w:noProof/>
    </w:rPr>
  </w:style>
  <w:style w:type="paragraph" w:customStyle="1" w:styleId="Instruction">
    <w:name w:val="Instruction"/>
    <w:basedOn w:val="BodyText"/>
    <w:qFormat/>
    <w:rsid w:val="00895552"/>
    <w:pPr>
      <w:keepNext/>
    </w:pPr>
    <w:rPr>
      <w:color w:val="FF0000"/>
    </w:rPr>
  </w:style>
  <w:style w:type="paragraph" w:styleId="Revision">
    <w:name w:val="Revision"/>
    <w:hidden/>
    <w:uiPriority w:val="99"/>
    <w:semiHidden/>
    <w:rsid w:val="00E708A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59051755">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yperlink" Target="https://www.vic.gov.au/strengthening-our-waste-and-recycling-system?redirectSrc=www.recycling.vic.gov.au"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www.relayservice.com.au"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customer.service@delwp.vic.gov.au"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creativecommons.org/licenses/by/4.0/" TargetMode="External"/><Relationship Id="rId28"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image" Target="media/image5.emf"/><Relationship Id="rId27" Type="http://schemas.openxmlformats.org/officeDocument/2006/relationships/image" Target="media/image2.png"/><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Recycling%20Victoria\RV-Fact%20sheet-NoImag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RecyclingVictoria">
  <a:themeElements>
    <a:clrScheme name="RecyclingVictoria">
      <a:dk1>
        <a:sysClr val="windowText" lastClr="000000"/>
      </a:dk1>
      <a:lt1>
        <a:sysClr val="window" lastClr="FFFFFF"/>
      </a:lt1>
      <a:dk2>
        <a:srgbClr val="201547"/>
      </a:dk2>
      <a:lt2>
        <a:srgbClr val="DBF4F5"/>
      </a:lt2>
      <a:accent1>
        <a:srgbClr val="88DBE9"/>
      </a:accent1>
      <a:accent2>
        <a:srgbClr val="E35205"/>
      </a:accent2>
      <a:accent3>
        <a:srgbClr val="004C97"/>
      </a:accent3>
      <a:accent4>
        <a:srgbClr val="797391"/>
      </a:accent4>
      <a:accent5>
        <a:srgbClr val="6694C1"/>
      </a:accent5>
      <a:accent6>
        <a:srgbClr val="EE9769"/>
      </a:accent6>
      <a:hlink>
        <a:srgbClr val="000000"/>
      </a:hlink>
      <a:folHlink>
        <a:srgbClr val="004C9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CFCD5FB699039E458FE421A539750A44" ma:contentTypeVersion="29" ma:contentTypeDescription="All project related information. The library can be used to manage multiple projects." ma:contentTypeScope="" ma:versionID="a6c4c72a0ec884435cf6199b9de95068">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a0bad24e-93ca-4bdf-a8fb-a9c5f5eb1c26" xmlns:ns6="12be4628-df37-4804-9a46-96c75589f43b" targetNamespace="http://schemas.microsoft.com/office/2006/metadata/properties" ma:root="true" ma:fieldsID="dbf242a25ad1d3f41d3d0d1d4733f0ac" ns1:_="" ns2:_="" ns3:_="" ns4:_="" ns5:_="" ns6:_="">
    <xsd:import namespace="http://schemas.microsoft.com/sharepoint/v3"/>
    <xsd:import namespace="9fd47c19-1c4a-4d7d-b342-c10cef269344"/>
    <xsd:import namespace="a5f32de4-e402-4188-b034-e71ca7d22e54"/>
    <xsd:import namespace="05aa45cf-ed89-4733-97a8-db4ce5c51511"/>
    <xsd:import namespace="a0bad24e-93ca-4bdf-a8fb-a9c5f5eb1c26"/>
    <xsd:import namespace="12be4628-df37-4804-9a46-96c75589f43b"/>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Project_Phase" minOccurs="0"/>
                <xsd:element ref="ns2:f2ccc2d036544b63b99cbcec8aa9ae6a" minOccurs="0"/>
                <xsd:element ref="ns1:_dlc_Exempt" minOccurs="0"/>
                <xsd:element ref="ns4:DLCPolicyLabelValue" minOccurs="0"/>
                <xsd:element ref="ns4:DLCPolicyLabelClientValue" minOccurs="0"/>
                <xsd:element ref="ns4:DLCPolicyLabelLock" minOccurs="0"/>
                <xsd:element ref="ns5:MediaServiceMetadata" minOccurs="0"/>
                <xsd:element ref="ns5:MediaServiceFastMetadata" minOccurs="0"/>
                <xsd:element ref="ns5:MediaServiceAutoKeyPoints" minOccurs="0"/>
                <xsd:element ref="ns5:MediaServiceKeyPoints" minOccurs="0"/>
                <xsd:element ref="ns2:ProjName" minOccurs="0"/>
                <xsd:element ref="ns6:SharedWithUsers" minOccurs="0"/>
                <xsd:element ref="ns6:SharedWithDetails"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Project_Phase" ma:index="19"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ProjName" ma:index="30"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Value" ma:index="2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bad24e-93ca-4bdf-a8fb-a9c5f5eb1c26"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LengthInSeconds" ma:index="3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be4628-df37-4804-9a46-96c75589f43b"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ABSIE2022</b:Tag>
    <b:SourceType>Report</b:SourceType>
    <b:Guid>{1C42DB2B-2FD7-4D5A-9462-787AD5C6CB29}</b:Guid>
    <b:Author>
      <b:Author>
        <b:Corporate>ABS &amp; IE</b:Corporate>
      </b:Author>
    </b:Author>
    <b:Title>Australian Harmonized Export Commodity Classification (AHECC) data by month, classification and destination country</b:Title>
    <b:Year>2022</b:Year>
    <b:Publisher>Australian Bureau of Statistics (derived) and IndustryEdge</b:Publisher>
    <b:City>Canberra</b:City>
    <b:RefOrder>1</b:RefOrder>
  </b:Source>
</b:Sources>
</file>

<file path=customXml/item5.xml><?xml version="1.0" encoding="utf-8"?>
<?mso-contentType ?>
<SharedContentType xmlns="Microsoft.SharePoint.Taxonomy.ContentTypeSync" SourceId="797aeec6-0273-40f2-ab3e-beee73212332" ContentTypeId="0x0101009298E819CE1EBB4F8D2096B3E0F0C291" PreviousValue="false"/>
</file>

<file path=customXml/item6.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7.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2</Value>
      <Value>1</Value>
      <Value>14</Value>
    </TaxCatchAll>
    <ProjName xmlns="9fd47c19-1c4a-4d7d-b342-c10cef269344" xsi:nil="true"/>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Project_Phase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Reference Materials</TermName>
          <TermId xmlns="http://schemas.microsoft.com/office/infopath/2007/PartnerControls">f95fc07f-4085-41de-ae1e-da9e571af2f5</TermId>
        </TermInfo>
      </Terms>
    </f2ccc2d036544b63b99cbcec8aa9ae6a>
    <DLCPolicyLabelClientValue xmlns="05aa45cf-ed89-4733-97a8-db4ce5c51511">Version {_UIVersionString}</DLCPolicyLabelClientValue>
    <DLCPolicyLabelLock xmlns="05aa45cf-ed89-4733-97a8-db4ce5c51511" xsi:nil="true"/>
    <_dlc_DocId xmlns="a5f32de4-e402-4188-b034-e71ca7d22e54">DOCID861-353744187-251</_dlc_DocId>
    <_dlc_DocIdUrl xmlns="a5f32de4-e402-4188-b034-e71ca7d22e54">
      <Url>https://delwpvicgovau.sharepoint.com/sites/ecm_861/_layouts/15/DocIdRedir.aspx?ID=DOCID861-353744187-251</Url>
      <Description>DOCID861-353744187-251</Description>
    </_dlc_DocIdUrl>
    <DLCPolicyLabelValue xmlns="05aa45cf-ed89-4733-97a8-db4ce5c51511">Version 0.12</DLCPolicyLabelValue>
  </documentManagement>
</p:properties>
</file>

<file path=customXml/itemProps1.xml><?xml version="1.0" encoding="utf-8"?>
<ds:datastoreItem xmlns:ds="http://schemas.openxmlformats.org/officeDocument/2006/customXml" ds:itemID="{633BF56B-CA4D-4CA5-AA69-06437F47A075}">
  <ds:schemaRefs>
    <ds:schemaRef ds:uri="http://schemas.microsoft.com/sharepoint/events"/>
  </ds:schemaRefs>
</ds:datastoreItem>
</file>

<file path=customXml/itemProps2.xml><?xml version="1.0" encoding="utf-8"?>
<ds:datastoreItem xmlns:ds="http://schemas.openxmlformats.org/officeDocument/2006/customXml" ds:itemID="{CB491773-26A3-4057-B6E2-AF13C713FBF7}">
  <ds:schemaRefs>
    <ds:schemaRef ds:uri="http://schemas.microsoft.com/sharepoint/v3/contenttype/forms"/>
  </ds:schemaRefs>
</ds:datastoreItem>
</file>

<file path=customXml/itemProps3.xml><?xml version="1.0" encoding="utf-8"?>
<ds:datastoreItem xmlns:ds="http://schemas.openxmlformats.org/officeDocument/2006/customXml" ds:itemID="{CBDB9CD2-49CD-4AAA-817C-72805F648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aa45cf-ed89-4733-97a8-db4ce5c51511"/>
    <ds:schemaRef ds:uri="a0bad24e-93ca-4bdf-a8fb-a9c5f5eb1c26"/>
    <ds:schemaRef ds:uri="12be4628-df37-4804-9a46-96c75589f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7753B1-5C5B-4337-82E0-4EA470B63AD5}">
  <ds:schemaRefs>
    <ds:schemaRef ds:uri="http://schemas.openxmlformats.org/officeDocument/2006/bibliography"/>
  </ds:schemaRefs>
</ds:datastoreItem>
</file>

<file path=customXml/itemProps5.xml><?xml version="1.0" encoding="utf-8"?>
<ds:datastoreItem xmlns:ds="http://schemas.openxmlformats.org/officeDocument/2006/customXml" ds:itemID="{A7D9DFDF-7560-4C1C-BBDF-7FAD91353CAA}">
  <ds:schemaRefs>
    <ds:schemaRef ds:uri="Microsoft.SharePoint.Taxonomy.ContentTypeSync"/>
  </ds:schemaRefs>
</ds:datastoreItem>
</file>

<file path=customXml/itemProps6.xml><?xml version="1.0" encoding="utf-8"?>
<ds:datastoreItem xmlns:ds="http://schemas.openxmlformats.org/officeDocument/2006/customXml" ds:itemID="{FB1659C7-AECF-41EA-A4D0-6A7749C9E0C0}">
  <ds:schemaRefs>
    <ds:schemaRef ds:uri="office.server.policy"/>
  </ds:schemaRefs>
</ds:datastoreItem>
</file>

<file path=customXml/itemProps7.xml><?xml version="1.0" encoding="utf-8"?>
<ds:datastoreItem xmlns:ds="http://schemas.openxmlformats.org/officeDocument/2006/customXml" ds:itemID="{B4357768-0E35-4F54-8454-C54A473F857D}">
  <ds:schemaRefs>
    <ds:schemaRef ds:uri="http://purl.org/dc/terms/"/>
    <ds:schemaRef ds:uri="http://schemas.microsoft.com/office/2006/metadata/properties"/>
    <ds:schemaRef ds:uri="http://purl.org/dc/dcmitype/"/>
    <ds:schemaRef ds:uri="http://schemas.microsoft.com/sharepoint/v3"/>
    <ds:schemaRef ds:uri="http://schemas.microsoft.com/office/infopath/2007/PartnerControls"/>
    <ds:schemaRef ds:uri="a5f32de4-e402-4188-b034-e71ca7d22e54"/>
    <ds:schemaRef ds:uri="http://purl.org/dc/elements/1.1/"/>
    <ds:schemaRef ds:uri="a0bad24e-93ca-4bdf-a8fb-a9c5f5eb1c26"/>
    <ds:schemaRef ds:uri="9fd47c19-1c4a-4d7d-b342-c10cef269344"/>
    <ds:schemaRef ds:uri="http://schemas.openxmlformats.org/package/2006/metadata/core-properties"/>
    <ds:schemaRef ds:uri="http://schemas.microsoft.com/office/2006/documentManagement/types"/>
    <ds:schemaRef ds:uri="12be4628-df37-4804-9a46-96c75589f43b"/>
    <ds:schemaRef ds:uri="05aa45cf-ed89-4733-97a8-db4ce5c515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RV-Fact sheet-NoImage.dotx</Template>
  <TotalTime>2</TotalTime>
  <Pages>5</Pages>
  <Words>1610</Words>
  <Characters>9549</Characters>
  <Application>Microsoft Office Word</Application>
  <DocSecurity>0</DocSecurity>
  <Lines>79</Lines>
  <Paragraphs>22</Paragraphs>
  <ScaleCrop>false</ScaleCrop>
  <Company/>
  <LinksUpToDate>false</LinksUpToDate>
  <CharactersWithSpaces>11137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Katherine S Lyttle (DELWP)</dc:creator>
  <cp:keywords/>
  <dc:description/>
  <cp:lastModifiedBy>Katherine Lyttle (DEECA)</cp:lastModifiedBy>
  <cp:revision>2</cp:revision>
  <cp:lastPrinted>2022-05-26T01:59:00Z</cp:lastPrinted>
  <dcterms:created xsi:type="dcterms:W3CDTF">2023-03-15T05:48:00Z</dcterms:created>
  <dcterms:modified xsi:type="dcterms:W3CDTF">2023-03-15T05:48:00Z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0x0101009298E819CE1EBB4F8D2096B3E0F0C2911D00CFCD5FB699039E458FE421A539750A44</vt:lpwstr>
  </property>
  <property fmtid="{D5CDD505-2E9C-101B-9397-08002B2CF9AE}" pid="19" name="Records Class Project">
    <vt:lpwstr>14</vt:lpwstr>
  </property>
  <property fmtid="{D5CDD505-2E9C-101B-9397-08002B2CF9AE}" pid="20" name="Dissemination Limiting Marker">
    <vt:lpwstr>1;#FOUO|955eb6fc-b35a-4808-8aa5-31e514fa3f26</vt:lpwstr>
  </property>
  <property fmtid="{D5CDD505-2E9C-101B-9397-08002B2CF9AE}" pid="21" name="Security Classification">
    <vt:lpwstr>2;#Unclassified|7fa379f4-4aba-4692-ab80-7d39d3a23cf4</vt:lpwstr>
  </property>
  <property fmtid="{D5CDD505-2E9C-101B-9397-08002B2CF9AE}" pid="22" name="_dlc_DocIdItemGuid">
    <vt:lpwstr>8f4db894-9d9f-4459-9615-473d96ac8bc1</vt:lpwstr>
  </property>
  <property fmtid="{D5CDD505-2E9C-101B-9397-08002B2CF9AE}" pid="23" name="g91c59fb10974fa1a03160ad8386f0f4">
    <vt:lpwstr/>
  </property>
  <property fmtid="{D5CDD505-2E9C-101B-9397-08002B2CF9AE}" pid="24" name="Department Document Type">
    <vt:lpwstr/>
  </property>
  <property fmtid="{D5CDD505-2E9C-101B-9397-08002B2CF9AE}" pid="25" name="Record_x0020_Purpose">
    <vt:lpwstr/>
  </property>
  <property fmtid="{D5CDD505-2E9C-101B-9397-08002B2CF9AE}" pid="26" name="Record Purpose">
    <vt:lpwstr/>
  </property>
  <property fmtid="{D5CDD505-2E9C-101B-9397-08002B2CF9AE}" pid="27" name="MSIP_Label_4257e2ab-f512-40e2-9c9a-c64247360765_Enabled">
    <vt:lpwstr>true</vt:lpwstr>
  </property>
  <property fmtid="{D5CDD505-2E9C-101B-9397-08002B2CF9AE}" pid="28" name="MSIP_Label_4257e2ab-f512-40e2-9c9a-c64247360765_SetDate">
    <vt:lpwstr>2023-03-15T05:47:59Z</vt:lpwstr>
  </property>
  <property fmtid="{D5CDD505-2E9C-101B-9397-08002B2CF9AE}" pid="29" name="MSIP_Label_4257e2ab-f512-40e2-9c9a-c64247360765_Method">
    <vt:lpwstr>Privileged</vt:lpwstr>
  </property>
  <property fmtid="{D5CDD505-2E9C-101B-9397-08002B2CF9AE}" pid="30" name="MSIP_Label_4257e2ab-f512-40e2-9c9a-c64247360765_Name">
    <vt:lpwstr>OFFICIAL</vt:lpwstr>
  </property>
  <property fmtid="{D5CDD505-2E9C-101B-9397-08002B2CF9AE}" pid="31" name="MSIP_Label_4257e2ab-f512-40e2-9c9a-c64247360765_SiteId">
    <vt:lpwstr>e8bdd6f7-fc18-4e48-a554-7f547927223b</vt:lpwstr>
  </property>
  <property fmtid="{D5CDD505-2E9C-101B-9397-08002B2CF9AE}" pid="32" name="MSIP_Label_4257e2ab-f512-40e2-9c9a-c64247360765_ActionId">
    <vt:lpwstr>72a1b499-130f-4f2b-b51e-9d25a095a6db</vt:lpwstr>
  </property>
  <property fmtid="{D5CDD505-2E9C-101B-9397-08002B2CF9AE}" pid="33" name="MSIP_Label_4257e2ab-f512-40e2-9c9a-c64247360765_ContentBits">
    <vt:lpwstr>2</vt:lpwstr>
  </property>
</Properties>
</file>