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6A5AD658" w:rsidR="00DA77A1" w:rsidRDefault="001727C6" w:rsidP="007868CF">
      <w:pPr>
        <w:pStyle w:val="Reference"/>
      </w:pPr>
      <w:r>
        <w:t>1</w:t>
      </w:r>
      <w:r w:rsidR="0064540B">
        <w:t>9</w:t>
      </w:r>
      <w:r w:rsidR="00E77055">
        <w:t xml:space="preserve"> December </w:t>
      </w:r>
      <w:r w:rsidR="007868CF">
        <w:t>2019</w:t>
      </w:r>
    </w:p>
    <w:p w14:paraId="4396EEBA" w14:textId="77777777" w:rsidR="00C5591D" w:rsidRDefault="00C5591D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66681FC0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  <w:bookmarkStart w:id="0" w:name="_GoBack"/>
      <w:bookmarkEnd w:id="0"/>
    </w:p>
    <w:p w14:paraId="7F40CE13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HARNESS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04761F2D" w:rsidR="007868CF" w:rsidRPr="007868CF" w:rsidRDefault="00CF30A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MR GEORGE SCHEMBRI </w:t>
      </w:r>
      <w:r w:rsidR="00A57244">
        <w:rPr>
          <w:rFonts w:ascii="Calibri" w:eastAsia="Calibri" w:hAnsi="Calibri" w:cs="Times New Roman"/>
          <w:b/>
          <w:sz w:val="28"/>
          <w:szCs w:val="28"/>
          <w:lang w:eastAsia="en-US"/>
        </w:rPr>
        <w:t>&amp; MS TAYLAH SCHEMBRI</w:t>
      </w:r>
    </w:p>
    <w:p w14:paraId="3DAEA7DA" w14:textId="3D5AB9D1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</w:p>
    <w:p w14:paraId="706A3341" w14:textId="45570C9A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1727C6">
        <w:rPr>
          <w:rFonts w:ascii="Calibri" w:eastAsia="Calibri" w:hAnsi="Calibri" w:cs="Times New Roman"/>
          <w:sz w:val="24"/>
          <w:szCs w:val="24"/>
          <w:lang w:eastAsia="en-US"/>
        </w:rPr>
        <w:t xml:space="preserve">16 December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2019</w:t>
      </w:r>
    </w:p>
    <w:p w14:paraId="353D3562" w14:textId="45EE8B4E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Judge John Bowman (Chairperson), </w:t>
      </w:r>
      <w:r w:rsidR="001727C6">
        <w:rPr>
          <w:rFonts w:ascii="Calibri" w:eastAsia="Calibri" w:hAnsi="Calibri" w:cs="Times New Roman"/>
          <w:sz w:val="24"/>
          <w:szCs w:val="24"/>
          <w:lang w:eastAsia="en-US"/>
        </w:rPr>
        <w:t xml:space="preserve">Hon. Graeme Hicks (Deputy Chairman) and </w:t>
      </w:r>
      <w:r w:rsidR="009A7087">
        <w:rPr>
          <w:rFonts w:ascii="Calibri" w:eastAsia="Calibri" w:hAnsi="Calibri" w:cs="Times New Roman"/>
          <w:sz w:val="24"/>
          <w:szCs w:val="24"/>
          <w:lang w:eastAsia="en-US"/>
        </w:rPr>
        <w:t xml:space="preserve">Magistrate John Doherty </w:t>
      </w:r>
      <w:r w:rsidR="001727C6">
        <w:rPr>
          <w:rFonts w:ascii="Calibri" w:eastAsia="Calibri" w:hAnsi="Calibri" w:cs="Times New Roman"/>
          <w:sz w:val="24"/>
          <w:szCs w:val="24"/>
          <w:lang w:eastAsia="en-US"/>
        </w:rPr>
        <w:t>(Deputy Chairman)</w:t>
      </w:r>
      <w:r w:rsidR="009A7087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103B53BD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>M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>s Amy Wood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</w:t>
      </w:r>
      <w:r w:rsidR="005B38F9">
        <w:rPr>
          <w:rFonts w:ascii="Calibri" w:eastAsia="Calibri" w:hAnsi="Calibri" w:cs="Times New Roman"/>
          <w:sz w:val="24"/>
          <w:szCs w:val="24"/>
          <w:lang w:eastAsia="en-US"/>
        </w:rPr>
        <w:t>Stewards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F068C5E" w14:textId="32C3606D" w:rsidR="007868CF" w:rsidRPr="007868CF" w:rsidRDefault="00B9495A" w:rsidP="0094618B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Bruce McNab represented </w:t>
      </w:r>
      <w:r w:rsidR="00CF30A8">
        <w:rPr>
          <w:rFonts w:ascii="Calibri" w:eastAsia="Calibri" w:hAnsi="Calibri" w:cs="Times New Roman"/>
          <w:sz w:val="24"/>
          <w:szCs w:val="24"/>
          <w:lang w:eastAsia="en-US"/>
        </w:rPr>
        <w:t>Mr George Schembri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 xml:space="preserve"> and Ms Taylah Schembri </w:t>
      </w:r>
      <w:r w:rsidR="0094618B">
        <w:rPr>
          <w:rFonts w:ascii="Calibri" w:eastAsia="Calibri" w:hAnsi="Calibri" w:cs="Times New Roman"/>
          <w:sz w:val="24"/>
          <w:szCs w:val="24"/>
          <w:lang w:eastAsia="en-US"/>
        </w:rPr>
        <w:t xml:space="preserve">at the hearing. </w:t>
      </w:r>
      <w:r w:rsidR="008A376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6889685" w14:textId="4047A0FC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1"/>
    </w:p>
    <w:p w14:paraId="41032723" w14:textId="316D7E62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Australian Harness Racing Rule 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 xml:space="preserve">(AHRR) </w:t>
      </w:r>
      <w:r w:rsidR="00AD767E">
        <w:rPr>
          <w:rFonts w:ascii="Calibri" w:eastAsia="Calibri" w:hAnsi="Calibri" w:cs="Times New Roman"/>
          <w:sz w:val="24"/>
          <w:szCs w:val="24"/>
          <w:lang w:eastAsia="en-US"/>
        </w:rPr>
        <w:t>241</w:t>
      </w:r>
      <w:r w:rsidR="009177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states </w:t>
      </w:r>
      <w:r w:rsidR="00AD767E">
        <w:rPr>
          <w:rFonts w:ascii="Calibri" w:eastAsia="Calibri" w:hAnsi="Calibri" w:cs="Times New Roman"/>
          <w:sz w:val="24"/>
          <w:szCs w:val="24"/>
          <w:lang w:eastAsia="en-US"/>
        </w:rPr>
        <w:t xml:space="preserve">a person shall not in connection with any part of the harness racing industry do anything which is fraudulent or corrupt. </w:t>
      </w:r>
    </w:p>
    <w:p w14:paraId="310133B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47F1FD3" w14:textId="7E4A4D8A" w:rsidR="00AD767E" w:rsidRDefault="007868CF" w:rsidP="00AD767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</w:t>
      </w:r>
      <w:r w:rsidR="00B03DED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AD767E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5724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Mr George Schembri </w:t>
      </w:r>
      <w:r w:rsidR="00AD767E">
        <w:rPr>
          <w:rFonts w:ascii="Calibri" w:eastAsia="Calibri" w:hAnsi="Calibri" w:cs="Times New Roman"/>
          <w:sz w:val="24"/>
          <w:szCs w:val="24"/>
          <w:lang w:eastAsia="en-US"/>
        </w:rPr>
        <w:t>14 charges in relation to the forging signature of the ‘Compulsory Drivers Medical Examination’ forms from seasons 201</w:t>
      </w:r>
      <w:r w:rsidR="0076456A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="00AD767E">
        <w:rPr>
          <w:rFonts w:ascii="Calibri" w:eastAsia="Calibri" w:hAnsi="Calibri" w:cs="Times New Roman"/>
          <w:sz w:val="24"/>
          <w:szCs w:val="24"/>
          <w:lang w:eastAsia="en-US"/>
        </w:rPr>
        <w:t>-201</w:t>
      </w:r>
      <w:r w:rsidR="0076456A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AD767E">
        <w:rPr>
          <w:rFonts w:ascii="Calibri" w:eastAsia="Calibri" w:hAnsi="Calibri" w:cs="Times New Roman"/>
          <w:sz w:val="24"/>
          <w:szCs w:val="24"/>
          <w:lang w:eastAsia="en-US"/>
        </w:rPr>
        <w:t xml:space="preserve"> to season 2019-2020.</w:t>
      </w:r>
    </w:p>
    <w:p w14:paraId="5C24B517" w14:textId="07441DFB" w:rsidR="00A57244" w:rsidRDefault="00A57244" w:rsidP="00AD767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B3EEBDE" w14:textId="357DE26A" w:rsidR="00A57244" w:rsidRPr="00AD767E" w:rsidRDefault="00A57244" w:rsidP="00AD767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Ms Taylah Schembri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7 charges in relation to the forging signature of the ‘Compulsory Drivers Medical Examination’ forms from seasons 2012-2013 to season 2019-2020.</w:t>
      </w:r>
    </w:p>
    <w:p w14:paraId="45F4EC04" w14:textId="77777777" w:rsidR="00AD767E" w:rsidRDefault="00AD767E" w:rsidP="00AD767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61E6296" w14:textId="15A23941" w:rsidR="007868CF" w:rsidRPr="00AD767E" w:rsidRDefault="007868CF" w:rsidP="00AD767E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 xml:space="preserve">Not 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EE133C8" w14:textId="77777777" w:rsidR="00AD767E" w:rsidRDefault="00AD767E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9F8036D" w14:textId="53893424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="00CF5378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OF JUDGE BOWMAN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4FE34BBB" w14:textId="5DDD213E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3256665" w14:textId="0D34E042" w:rsidR="00C03AD3" w:rsidRDefault="00C03AD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this matter Mr George Schembri and Ms Taylah Schembri have pleaded 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not guilty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 xml:space="preserve"> a total of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21 breaches of Rule 241. The Stewards are alleging that each engaged in conduct that was fraudulent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 xml:space="preserve"> o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 the basis of the alleged forgery of doctor certificate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relating to the state of health of persons applying for their annual renewal of their driv</w:t>
      </w:r>
      <w:r w:rsidR="00333E53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licence. </w:t>
      </w:r>
    </w:p>
    <w:p w14:paraId="54235677" w14:textId="6AB8E619" w:rsidR="00C03AD3" w:rsidRDefault="00C03AD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60493D" w14:textId="3FC7C7C4" w:rsidR="00C03AD3" w:rsidRDefault="00333E5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summary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03AD3">
        <w:rPr>
          <w:rFonts w:ascii="Calibri" w:eastAsia="Calibri" w:hAnsi="Calibri" w:cs="Times New Roman"/>
          <w:sz w:val="24"/>
          <w:szCs w:val="24"/>
          <w:lang w:eastAsia="en-US"/>
        </w:rPr>
        <w:t xml:space="preserve">Mr Schembri has admitted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to the Stewards that he forged the content</w:t>
      </w:r>
      <w:r w:rsidR="00CF5378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of the certificates and the signatures of the medical practitioners and </w:t>
      </w:r>
      <w:r w:rsidR="0076456A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at least </w:t>
      </w:r>
      <w:r w:rsidR="0076456A">
        <w:rPr>
          <w:rFonts w:ascii="Calibri" w:eastAsia="Calibri" w:hAnsi="Calibri" w:cs="Times New Roman"/>
          <w:sz w:val="24"/>
          <w:szCs w:val="24"/>
          <w:lang w:eastAsia="en-US"/>
        </w:rPr>
        <w:t xml:space="preserve">since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2013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6456A">
        <w:rPr>
          <w:rFonts w:ascii="Calibri" w:eastAsia="Calibri" w:hAnsi="Calibri" w:cs="Times New Roman"/>
          <w:sz w:val="24"/>
          <w:szCs w:val="24"/>
          <w:lang w:eastAsia="en-US"/>
        </w:rPr>
        <w:t>he has done this in respect of both his own annual application for renewal of licence and at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 xml:space="preserve"> his daughter’s </w:t>
      </w:r>
      <w:r w:rsidR="0076456A">
        <w:rPr>
          <w:rFonts w:ascii="Calibri" w:eastAsia="Calibri" w:hAnsi="Calibri" w:cs="Times New Roman"/>
          <w:sz w:val="24"/>
          <w:szCs w:val="24"/>
          <w:lang w:eastAsia="en-US"/>
        </w:rPr>
        <w:t>request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2012 he did this solely for himself. </w:t>
      </w:r>
    </w:p>
    <w:p w14:paraId="336F1067" w14:textId="46D506E6" w:rsidR="00333E53" w:rsidRDefault="00333E5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768A55" w14:textId="5D12023B" w:rsidR="00333E53" w:rsidRDefault="00333E5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 facts are admitted. The argument o</w:t>
      </w:r>
      <w:r w:rsidR="00D43FF6">
        <w:rPr>
          <w:rFonts w:ascii="Calibri" w:eastAsia="Calibri" w:hAnsi="Calibri" w:cs="Times New Roman"/>
          <w:sz w:val="24"/>
          <w:szCs w:val="24"/>
          <w:lang w:eastAsia="en-US"/>
        </w:rPr>
        <w:t>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behalf of the 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Schembri’s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33CBB">
        <w:rPr>
          <w:rFonts w:ascii="Calibri" w:eastAsia="Calibri" w:hAnsi="Calibri" w:cs="Times New Roman"/>
          <w:sz w:val="24"/>
          <w:szCs w:val="24"/>
          <w:lang w:eastAsia="en-US"/>
        </w:rPr>
        <w:t xml:space="preserve">is that what occurred </w:t>
      </w:r>
      <w:r w:rsidR="004B35BE">
        <w:rPr>
          <w:rFonts w:ascii="Calibri" w:eastAsia="Calibri" w:hAnsi="Calibri" w:cs="Times New Roman"/>
          <w:sz w:val="24"/>
          <w:szCs w:val="24"/>
          <w:lang w:eastAsia="en-US"/>
        </w:rPr>
        <w:t>was</w:t>
      </w:r>
      <w:r w:rsidR="00133CBB">
        <w:rPr>
          <w:rFonts w:ascii="Calibri" w:eastAsia="Calibri" w:hAnsi="Calibri" w:cs="Times New Roman"/>
          <w:sz w:val="24"/>
          <w:szCs w:val="24"/>
          <w:lang w:eastAsia="en-US"/>
        </w:rPr>
        <w:t xml:space="preserve"> not </w:t>
      </w:r>
      <w:r w:rsidR="001F7B3D">
        <w:rPr>
          <w:rFonts w:ascii="Calibri" w:eastAsia="Calibri" w:hAnsi="Calibri" w:cs="Times New Roman"/>
          <w:sz w:val="24"/>
          <w:szCs w:val="24"/>
          <w:lang w:eastAsia="en-US"/>
        </w:rPr>
        <w:t>fraudulent within the</w:t>
      </w:r>
      <w:r w:rsidR="00133CBB">
        <w:rPr>
          <w:rFonts w:ascii="Calibri" w:eastAsia="Calibri" w:hAnsi="Calibri" w:cs="Times New Roman"/>
          <w:sz w:val="24"/>
          <w:szCs w:val="24"/>
          <w:lang w:eastAsia="en-US"/>
        </w:rPr>
        <w:t xml:space="preserve"> meaning of the Rule </w:t>
      </w:r>
      <w:r w:rsidR="001F7B3D">
        <w:rPr>
          <w:rFonts w:ascii="Calibri" w:eastAsia="Calibri" w:hAnsi="Calibri" w:cs="Times New Roman"/>
          <w:sz w:val="24"/>
          <w:szCs w:val="24"/>
          <w:lang w:eastAsia="en-US"/>
        </w:rPr>
        <w:t>in that</w:t>
      </w:r>
      <w:r w:rsidR="00133CBB">
        <w:rPr>
          <w:rFonts w:ascii="Calibri" w:eastAsia="Calibri" w:hAnsi="Calibri" w:cs="Times New Roman"/>
          <w:sz w:val="24"/>
          <w:szCs w:val="24"/>
          <w:lang w:eastAsia="en-US"/>
        </w:rPr>
        <w:t xml:space="preserve"> there was no intent to gain any unjust advantage and none was obtained. What could be described as the criminal law approach should be adopted. </w:t>
      </w:r>
    </w:p>
    <w:p w14:paraId="5DBD4F5D" w14:textId="429A92BA" w:rsidR="00133CBB" w:rsidRDefault="00133CBB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FBD1A5" w14:textId="16EC7F82" w:rsidR="00133CBB" w:rsidRDefault="00133CBB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It 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being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agreed 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 xml:space="preserve">that this raises a question of law, pursuant to 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 xml:space="preserve">ection 50X of the </w:t>
      </w:r>
      <w:r w:rsidR="00C75295" w:rsidRPr="003E49A9">
        <w:rPr>
          <w:rFonts w:ascii="Calibri" w:eastAsia="Calibri" w:hAnsi="Calibri" w:cs="Times New Roman"/>
          <w:i/>
          <w:sz w:val="24"/>
          <w:szCs w:val="24"/>
          <w:lang w:eastAsia="en-US"/>
        </w:rPr>
        <w:t>Racing Act 1958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 xml:space="preserve"> I 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 xml:space="preserve">alone am 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>determining the matter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 xml:space="preserve"> but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 xml:space="preserve"> I would like to thank my colleagues for their assistance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. H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>owever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75295">
        <w:rPr>
          <w:rFonts w:ascii="Calibri" w:eastAsia="Calibri" w:hAnsi="Calibri" w:cs="Times New Roman"/>
          <w:sz w:val="24"/>
          <w:szCs w:val="24"/>
          <w:lang w:eastAsia="en-US"/>
        </w:rPr>
        <w:t xml:space="preserve"> the decision is mine. </w:t>
      </w:r>
    </w:p>
    <w:p w14:paraId="4CC530D0" w14:textId="43EE8B95" w:rsidR="00C75295" w:rsidRDefault="00C75295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51C9594" w14:textId="09E44B30" w:rsidR="00BA4277" w:rsidRDefault="00C75295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my opinion this defence fails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Ms Wood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on behalf of the Stewards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has directed my attention to </w:t>
      </w:r>
      <w:r w:rsidR="00BA4277">
        <w:rPr>
          <w:rFonts w:ascii="Calibri" w:eastAsia="Calibri" w:hAnsi="Calibri" w:cs="Times New Roman"/>
          <w:sz w:val="24"/>
          <w:szCs w:val="24"/>
          <w:lang w:eastAsia="en-US"/>
        </w:rPr>
        <w:t>AHRR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309. The interpretation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 xml:space="preserve"> to be preferred</w:t>
      </w:r>
      <w:r w:rsidR="00BA4277">
        <w:rPr>
          <w:rFonts w:ascii="Calibri" w:eastAsia="Calibri" w:hAnsi="Calibri" w:cs="Times New Roman"/>
          <w:sz w:val="24"/>
          <w:szCs w:val="24"/>
          <w:lang w:eastAsia="en-US"/>
        </w:rPr>
        <w:t xml:space="preserve"> is one which promotes the purpose of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 xml:space="preserve"> and would not impede or restrict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E49A9">
        <w:rPr>
          <w:rFonts w:ascii="Calibri" w:eastAsia="Calibri" w:hAnsi="Calibri" w:cs="Times New Roman"/>
          <w:sz w:val="24"/>
          <w:szCs w:val="24"/>
          <w:lang w:eastAsia="en-US"/>
        </w:rPr>
        <w:t xml:space="preserve"> the application of the Rule. </w:t>
      </w:r>
      <w:r w:rsidR="00662258">
        <w:rPr>
          <w:rFonts w:ascii="Calibri" w:eastAsia="Calibri" w:hAnsi="Calibri" w:cs="Times New Roman"/>
          <w:sz w:val="24"/>
          <w:szCs w:val="24"/>
          <w:lang w:eastAsia="en-US"/>
        </w:rPr>
        <w:t>The purpose is to ensure an independent medical examination</w:t>
      </w:r>
      <w:r w:rsidR="006D4AB3">
        <w:rPr>
          <w:rFonts w:ascii="Calibri" w:eastAsia="Calibri" w:hAnsi="Calibri" w:cs="Times New Roman"/>
          <w:sz w:val="24"/>
          <w:szCs w:val="24"/>
          <w:lang w:eastAsia="en-US"/>
        </w:rPr>
        <w:t xml:space="preserve"> report and receive a properly constituted report.</w:t>
      </w:r>
      <w:r w:rsidR="00662258">
        <w:rPr>
          <w:rFonts w:ascii="Calibri" w:eastAsia="Calibri" w:hAnsi="Calibri" w:cs="Times New Roman"/>
          <w:sz w:val="24"/>
          <w:szCs w:val="24"/>
          <w:lang w:eastAsia="en-US"/>
        </w:rPr>
        <w:t xml:space="preserve"> Such an approach surely would not favour an interpretation which removed from drivers the necessity to undergo annual medical examinations and allow </w:t>
      </w:r>
      <w:r w:rsidR="006D4AB3">
        <w:rPr>
          <w:rFonts w:ascii="Calibri" w:eastAsia="Calibri" w:hAnsi="Calibri" w:cs="Times New Roman"/>
          <w:sz w:val="24"/>
          <w:szCs w:val="24"/>
          <w:lang w:eastAsia="en-US"/>
        </w:rPr>
        <w:t xml:space="preserve">for the production of the results. </w:t>
      </w:r>
    </w:p>
    <w:p w14:paraId="2FF8E58F" w14:textId="7A8B6348" w:rsidR="00662258" w:rsidRDefault="00662258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6CB42C" w14:textId="71C800AF" w:rsidR="00662258" w:rsidRDefault="00662258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 state of health of drivers is patently a</w:t>
      </w:r>
      <w:r w:rsidR="00511BCD">
        <w:rPr>
          <w:rFonts w:ascii="Calibri" w:eastAsia="Calibri" w:hAnsi="Calibri" w:cs="Times New Roman"/>
          <w:sz w:val="24"/>
          <w:szCs w:val="24"/>
          <w:lang w:eastAsia="en-US"/>
        </w:rPr>
        <w:t xml:space="preserve"> most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important matter. If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 xml:space="preserve"> for example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 driver collapses as a result of a cardiac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 xml:space="preserve"> condition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during a race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results 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ould be horrendous. The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 xml:space="preserve"> driver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could injure himself or herself as well as fellow drivers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. T</w:t>
      </w:r>
      <w:r w:rsidR="00511BCD">
        <w:rPr>
          <w:rFonts w:ascii="Calibri" w:eastAsia="Calibri" w:hAnsi="Calibri" w:cs="Times New Roman"/>
          <w:sz w:val="24"/>
          <w:szCs w:val="24"/>
          <w:lang w:eastAsia="en-US"/>
        </w:rPr>
        <w:t xml:space="preserve">here 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511BCD">
        <w:rPr>
          <w:rFonts w:ascii="Calibri" w:eastAsia="Calibri" w:hAnsi="Calibri" w:cs="Times New Roman"/>
          <w:sz w:val="24"/>
          <w:szCs w:val="24"/>
          <w:lang w:eastAsia="en-US"/>
        </w:rPr>
        <w:t>ould be animal welfare matters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511BCD">
        <w:rPr>
          <w:rFonts w:ascii="Calibri" w:eastAsia="Calibri" w:hAnsi="Calibri" w:cs="Times New Roman"/>
          <w:sz w:val="24"/>
          <w:szCs w:val="24"/>
          <w:lang w:eastAsia="en-US"/>
        </w:rPr>
        <w:t xml:space="preserve"> not to mention the gambling and financial impact of such an occurrence. </w:t>
      </w:r>
    </w:p>
    <w:p w14:paraId="33137ED9" w14:textId="0DF62307" w:rsidR="00662258" w:rsidRDefault="00662258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24F14F" w14:textId="1C39C0DA" w:rsidR="00511BCD" w:rsidRDefault="00511BCD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For good reason an annual medical examination therefore is compulsory. 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To forge the contents of the reports and the signatures of the relevant doctors seems to me to be patently fraudulent. To</w:t>
      </w:r>
      <w:r w:rsidR="004738C9">
        <w:rPr>
          <w:rFonts w:ascii="Calibri" w:eastAsia="Calibri" w:hAnsi="Calibri" w:cs="Times New Roman"/>
          <w:sz w:val="24"/>
          <w:szCs w:val="24"/>
          <w:lang w:eastAsia="en-US"/>
        </w:rPr>
        <w:t xml:space="preserve"> breach the inten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 w:rsidR="004738C9">
        <w:rPr>
          <w:rFonts w:ascii="Calibri" w:eastAsia="Calibri" w:hAnsi="Calibri" w:cs="Times New Roman"/>
          <w:sz w:val="24"/>
          <w:szCs w:val="24"/>
          <w:lang w:eastAsia="en-US"/>
        </w:rPr>
        <w:t xml:space="preserve">ion of the Rules 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 xml:space="preserve">has the </w:t>
      </w:r>
      <w:r w:rsidR="004738C9">
        <w:rPr>
          <w:rFonts w:ascii="Calibri" w:eastAsia="Calibri" w:hAnsi="Calibri" w:cs="Times New Roman"/>
          <w:sz w:val="24"/>
          <w:szCs w:val="24"/>
          <w:lang w:eastAsia="en-US"/>
        </w:rPr>
        <w:t xml:space="preserve">capacity to lead to disastrous consequences. </w:t>
      </w:r>
    </w:p>
    <w:p w14:paraId="58D6D568" w14:textId="77777777" w:rsidR="00511BCD" w:rsidRDefault="00511BCD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6AA6F01" w14:textId="5BE03F05" w:rsidR="00662258" w:rsidRDefault="00511BCD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 am not impressed by the argument that Mr Schembri was forging the documents purely </w:t>
      </w:r>
      <w:r w:rsidR="004738C9">
        <w:rPr>
          <w:rFonts w:ascii="Calibri" w:eastAsia="Calibri" w:hAnsi="Calibri" w:cs="Times New Roman"/>
          <w:sz w:val="24"/>
          <w:szCs w:val="24"/>
          <w:lang w:eastAsia="en-US"/>
        </w:rPr>
        <w:t xml:space="preserve">to assist the situation of Ms Schembri in relation to her weight and 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 xml:space="preserve">the distress she may feel concerning it and the comments </w:t>
      </w:r>
      <w:r w:rsidR="004738C9">
        <w:rPr>
          <w:rFonts w:ascii="Calibri" w:eastAsia="Calibri" w:hAnsi="Calibri" w:cs="Times New Roman"/>
          <w:sz w:val="24"/>
          <w:szCs w:val="24"/>
          <w:lang w:eastAsia="en-US"/>
        </w:rPr>
        <w:t xml:space="preserve">of others. Whilst that is a sad state of affairs, Mr Schembri commenced forging the documents before the first </w:t>
      </w:r>
      <w:r w:rsidR="00CB6436">
        <w:rPr>
          <w:rFonts w:ascii="Calibri" w:eastAsia="Calibri" w:hAnsi="Calibri" w:cs="Times New Roman"/>
          <w:sz w:val="24"/>
          <w:szCs w:val="24"/>
          <w:lang w:eastAsia="en-US"/>
        </w:rPr>
        <w:t>forgery on</w:t>
      </w:r>
      <w:r w:rsidR="004738C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65A0A">
        <w:rPr>
          <w:rFonts w:ascii="Calibri" w:eastAsia="Calibri" w:hAnsi="Calibri" w:cs="Times New Roman"/>
          <w:sz w:val="24"/>
          <w:szCs w:val="24"/>
          <w:lang w:eastAsia="en-US"/>
        </w:rPr>
        <w:t>Ms Schembri’s behalf.</w:t>
      </w:r>
      <w:r w:rsidR="00CB6436">
        <w:rPr>
          <w:rFonts w:ascii="Calibri" w:eastAsia="Calibri" w:hAnsi="Calibri" w:cs="Times New Roman"/>
          <w:sz w:val="24"/>
          <w:szCs w:val="24"/>
          <w:lang w:eastAsia="en-US"/>
        </w:rPr>
        <w:t xml:space="preserve"> He continued to forge his own documents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 xml:space="preserve">. He did not just forge his </w:t>
      </w:r>
      <w:r w:rsidR="00B74835">
        <w:rPr>
          <w:rFonts w:ascii="Calibri" w:eastAsia="Calibri" w:hAnsi="Calibri" w:cs="Times New Roman"/>
          <w:sz w:val="24"/>
          <w:szCs w:val="24"/>
          <w:lang w:eastAsia="en-US"/>
        </w:rPr>
        <w:t>daughter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B74835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B11396">
        <w:rPr>
          <w:rFonts w:ascii="Calibri" w:eastAsia="Calibri" w:hAnsi="Calibri" w:cs="Times New Roman"/>
          <w:sz w:val="24"/>
          <w:szCs w:val="24"/>
          <w:lang w:eastAsia="en-US"/>
        </w:rPr>
        <w:t xml:space="preserve"> certificates. </w:t>
      </w:r>
      <w:r w:rsidR="00CB6436">
        <w:rPr>
          <w:rFonts w:ascii="Calibri" w:eastAsia="Calibri" w:hAnsi="Calibri" w:cs="Times New Roman"/>
          <w:sz w:val="24"/>
          <w:szCs w:val="24"/>
          <w:lang w:eastAsia="en-US"/>
        </w:rPr>
        <w:t>I repeat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CB6436">
        <w:rPr>
          <w:rFonts w:ascii="Calibri" w:eastAsia="Calibri" w:hAnsi="Calibri" w:cs="Times New Roman"/>
          <w:sz w:val="24"/>
          <w:szCs w:val="24"/>
          <w:lang w:eastAsia="en-US"/>
        </w:rPr>
        <w:t xml:space="preserve"> for the next 6 years he continued to forge his own documents. </w:t>
      </w:r>
    </w:p>
    <w:p w14:paraId="52CC8ECE" w14:textId="77777777" w:rsidR="00BA4277" w:rsidRDefault="00BA4277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7632EB6" w14:textId="44DE82A6" w:rsidR="00EE1C5A" w:rsidRDefault="00CB6436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This is clearly</w:t>
      </w:r>
      <w:r w:rsidR="00186CA4">
        <w:rPr>
          <w:rFonts w:ascii="Calibri" w:eastAsia="Calibri" w:hAnsi="Calibri" w:cs="Times New Roman"/>
          <w:sz w:val="24"/>
          <w:szCs w:val="24"/>
          <w:lang w:eastAsia="en-US"/>
        </w:rPr>
        <w:t xml:space="preserve"> fraudulent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behaviour </w:t>
      </w:r>
      <w:r w:rsidR="00186CA4">
        <w:rPr>
          <w:rFonts w:ascii="Calibri" w:eastAsia="Calibri" w:hAnsi="Calibri" w:cs="Times New Roman"/>
          <w:sz w:val="24"/>
          <w:szCs w:val="24"/>
          <w:lang w:eastAsia="en-US"/>
        </w:rPr>
        <w:t>within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 meaning of the Rule</w:t>
      </w:r>
      <w:r w:rsidR="00186CA4">
        <w:rPr>
          <w:rFonts w:ascii="Calibri" w:eastAsia="Calibri" w:hAnsi="Calibri" w:cs="Times New Roman"/>
          <w:sz w:val="24"/>
          <w:szCs w:val="24"/>
          <w:lang w:eastAsia="en-US"/>
        </w:rPr>
        <w:t>. 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he argument that no damage was done</w:t>
      </w:r>
      <w:r w:rsidR="00F51D9E">
        <w:rPr>
          <w:rFonts w:ascii="Calibri" w:eastAsia="Calibri" w:hAnsi="Calibri" w:cs="Times New Roman"/>
          <w:sz w:val="24"/>
          <w:szCs w:val="24"/>
          <w:lang w:eastAsia="en-US"/>
        </w:rPr>
        <w:t xml:space="preserve"> takes the defence no further. I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 was straight out forgery and an important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document for his and his daughter</w:t>
      </w:r>
      <w:r w:rsidR="00186CA4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s advantage. </w:t>
      </w:r>
      <w:r w:rsidR="00F51D9E">
        <w:rPr>
          <w:rFonts w:ascii="Calibri" w:eastAsia="Calibri" w:hAnsi="Calibri" w:cs="Times New Roman"/>
          <w:sz w:val="24"/>
          <w:szCs w:val="24"/>
          <w:lang w:eastAsia="en-US"/>
        </w:rPr>
        <w:t xml:space="preserve">It was convenient, </w:t>
      </w:r>
      <w:r w:rsidR="00EE1C5A">
        <w:rPr>
          <w:rFonts w:ascii="Calibri" w:eastAsia="Calibri" w:hAnsi="Calibri" w:cs="Times New Roman"/>
          <w:sz w:val="24"/>
          <w:szCs w:val="24"/>
          <w:lang w:eastAsia="en-US"/>
        </w:rPr>
        <w:t xml:space="preserve">but </w:t>
      </w:r>
      <w:r w:rsidR="00F51D9E">
        <w:rPr>
          <w:rFonts w:ascii="Calibri" w:eastAsia="Calibri" w:hAnsi="Calibri" w:cs="Times New Roman"/>
          <w:sz w:val="24"/>
          <w:szCs w:val="24"/>
          <w:lang w:eastAsia="en-US"/>
        </w:rPr>
        <w:t>apart from being convenient and easy</w:t>
      </w:r>
      <w:r w:rsidR="00EE1C5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F51D9E">
        <w:rPr>
          <w:rFonts w:ascii="Calibri" w:eastAsia="Calibri" w:hAnsi="Calibri" w:cs="Times New Roman"/>
          <w:sz w:val="24"/>
          <w:szCs w:val="24"/>
          <w:lang w:eastAsia="en-US"/>
        </w:rPr>
        <w:t xml:space="preserve"> it also removed the risk of an adverse finding.</w:t>
      </w:r>
      <w:r w:rsidR="00BC11C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747005C" w14:textId="77777777" w:rsidR="008F0642" w:rsidRDefault="008F0642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2B5C935" w14:textId="486C21DB" w:rsidR="00F51D9E" w:rsidRDefault="00BC11C9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my opinion this was </w:t>
      </w:r>
      <w:r w:rsidR="00EE1C5A">
        <w:rPr>
          <w:rFonts w:ascii="Calibri" w:eastAsia="Calibri" w:hAnsi="Calibri" w:cs="Times New Roman"/>
          <w:sz w:val="24"/>
          <w:szCs w:val="24"/>
          <w:lang w:eastAsia="en-US"/>
        </w:rPr>
        <w:t>fraudulent b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ehaviour by </w:t>
      </w:r>
      <w:r w:rsidR="00F875C3">
        <w:rPr>
          <w:rFonts w:ascii="Calibri" w:eastAsia="Calibri" w:hAnsi="Calibri" w:cs="Times New Roman"/>
          <w:sz w:val="24"/>
          <w:szCs w:val="24"/>
          <w:lang w:eastAsia="en-US"/>
        </w:rPr>
        <w:t xml:space="preserve">both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Mr Schembri and Ms Schembri in breach of the Rule </w:t>
      </w:r>
      <w:r w:rsidR="001D5D42">
        <w:rPr>
          <w:rFonts w:ascii="Calibri" w:eastAsia="Calibri" w:hAnsi="Calibri" w:cs="Times New Roman"/>
          <w:sz w:val="24"/>
          <w:szCs w:val="24"/>
          <w:lang w:eastAsia="en-US"/>
        </w:rPr>
        <w:t xml:space="preserve">and I accept </w:t>
      </w:r>
      <w:r w:rsidR="00F875C3">
        <w:rPr>
          <w:rFonts w:ascii="Calibri" w:eastAsia="Calibri" w:hAnsi="Calibri" w:cs="Times New Roman"/>
          <w:sz w:val="24"/>
          <w:szCs w:val="24"/>
          <w:lang w:eastAsia="en-US"/>
        </w:rPr>
        <w:t xml:space="preserve">and prefer the </w:t>
      </w:r>
      <w:r w:rsidR="001D5D42">
        <w:rPr>
          <w:rFonts w:ascii="Calibri" w:eastAsia="Calibri" w:hAnsi="Calibri" w:cs="Times New Roman"/>
          <w:sz w:val="24"/>
          <w:szCs w:val="24"/>
          <w:lang w:eastAsia="en-US"/>
        </w:rPr>
        <w:t xml:space="preserve">submissions advanced by Ms Wood. </w:t>
      </w:r>
    </w:p>
    <w:p w14:paraId="0195C04A" w14:textId="77777777" w:rsidR="00F51D9E" w:rsidRDefault="00F51D9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E57D903" w14:textId="3304E88A" w:rsidR="00F51D9E" w:rsidRDefault="00F51D9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PENALTY</w:t>
      </w:r>
      <w:r w:rsidR="008B0C4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(Delivered by Judge Hicks on behalf of the Tribunal)</w:t>
      </w:r>
    </w:p>
    <w:p w14:paraId="0DAF36CF" w14:textId="77777777" w:rsidR="00F51D9E" w:rsidRDefault="00F51D9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92B7CB2" w14:textId="7898A6E6" w:rsidR="007042A2" w:rsidRDefault="00CF30A8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 Schembri</w:t>
      </w:r>
      <w:r w:rsidR="005175C7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 xml:space="preserve">you have pleaded </w:t>
      </w:r>
      <w:r w:rsidR="008B0C40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>not guilty</w:t>
      </w:r>
      <w:r w:rsidR="008B0C40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 xml:space="preserve"> to 14 charges under Australian Harness Racing Rule 241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 and Ms Schembri has pleaded 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>not guilty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 to 7 charges under the same </w:t>
      </w:r>
      <w:r w:rsidR="008B0C40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>ule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>. The facts in this case are not in dispute</w:t>
      </w:r>
      <w:r w:rsidR="008B0C40">
        <w:rPr>
          <w:rFonts w:ascii="Calibri" w:eastAsia="Calibri" w:hAnsi="Calibri" w:cs="Times New Roman"/>
          <w:sz w:val="24"/>
          <w:szCs w:val="24"/>
          <w:lang w:eastAsia="en-US"/>
        </w:rPr>
        <w:t>. T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 xml:space="preserve">here is no need to repeat them 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>here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 xml:space="preserve"> as they are outlined in the 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>hair’s previous ruling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 earlier today</w:t>
      </w:r>
      <w:r w:rsidR="000B0ED3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3CB0CA0" w14:textId="1FB000D6" w:rsidR="000B0ED3" w:rsidRDefault="000B0ED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E1CD9C0" w14:textId="409C4BD6" w:rsidR="000B0ED3" w:rsidRDefault="000B0ED3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We take into account the submissions </w:t>
      </w:r>
      <w:r w:rsidR="00313D29">
        <w:rPr>
          <w:rFonts w:ascii="Calibri" w:eastAsia="Calibri" w:hAnsi="Calibri" w:cs="Times New Roman"/>
          <w:sz w:val="24"/>
          <w:szCs w:val="24"/>
          <w:lang w:eastAsia="en-US"/>
        </w:rPr>
        <w:t xml:space="preserve">from Mr McNab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on behalf of the two defendants. In particular we take into account that their sole income i</w:t>
      </w:r>
      <w:r w:rsidR="005F6119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derived out of harness racing</w:t>
      </w:r>
      <w:r w:rsidR="005F611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EA75FE">
        <w:rPr>
          <w:rFonts w:ascii="Calibri" w:eastAsia="Calibri" w:hAnsi="Calibri" w:cs="Times New Roman"/>
          <w:sz w:val="24"/>
          <w:szCs w:val="24"/>
          <w:lang w:eastAsia="en-US"/>
        </w:rPr>
        <w:t xml:space="preserve">We have also </w:t>
      </w:r>
      <w:r w:rsidR="005F6119">
        <w:rPr>
          <w:rFonts w:ascii="Calibri" w:eastAsia="Calibri" w:hAnsi="Calibri" w:cs="Times New Roman"/>
          <w:sz w:val="24"/>
          <w:szCs w:val="24"/>
          <w:lang w:eastAsia="en-US"/>
        </w:rPr>
        <w:t>taken into</w:t>
      </w:r>
      <w:r w:rsidR="00EA75FE">
        <w:rPr>
          <w:rFonts w:ascii="Calibri" w:eastAsia="Calibri" w:hAnsi="Calibri" w:cs="Times New Roman"/>
          <w:sz w:val="24"/>
          <w:szCs w:val="24"/>
          <w:lang w:eastAsia="en-US"/>
        </w:rPr>
        <w:t xml:space="preserve"> consideration hardship</w:t>
      </w:r>
      <w:r w:rsidR="005F6119">
        <w:rPr>
          <w:rFonts w:ascii="Calibri" w:eastAsia="Calibri" w:hAnsi="Calibri" w:cs="Times New Roman"/>
          <w:sz w:val="24"/>
          <w:szCs w:val="24"/>
          <w:lang w:eastAsia="en-US"/>
        </w:rPr>
        <w:t xml:space="preserve"> that</w:t>
      </w:r>
      <w:r w:rsidR="00EA75FE">
        <w:rPr>
          <w:rFonts w:ascii="Calibri" w:eastAsia="Calibri" w:hAnsi="Calibri" w:cs="Times New Roman"/>
          <w:sz w:val="24"/>
          <w:szCs w:val="24"/>
          <w:lang w:eastAsia="en-US"/>
        </w:rPr>
        <w:t xml:space="preserve"> it will cause their families in </w:t>
      </w:r>
      <w:r w:rsidR="005F6119">
        <w:rPr>
          <w:rFonts w:ascii="Calibri" w:eastAsia="Calibri" w:hAnsi="Calibri" w:cs="Times New Roman"/>
          <w:sz w:val="24"/>
          <w:szCs w:val="24"/>
          <w:lang w:eastAsia="en-US"/>
        </w:rPr>
        <w:t>the event</w:t>
      </w:r>
      <w:r w:rsidR="00EA75FE">
        <w:rPr>
          <w:rFonts w:ascii="Calibri" w:eastAsia="Calibri" w:hAnsi="Calibri" w:cs="Times New Roman"/>
          <w:sz w:val="24"/>
          <w:szCs w:val="24"/>
          <w:lang w:eastAsia="en-US"/>
        </w:rPr>
        <w:t xml:space="preserve"> of a disqualification.  </w:t>
      </w:r>
    </w:p>
    <w:p w14:paraId="773BC031" w14:textId="4A490126" w:rsidR="00EA75FE" w:rsidRDefault="00EA75F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DBDF7A0" w14:textId="397D7B84" w:rsidR="00EA75FE" w:rsidRDefault="00EA75F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As far as the history of Mr Schembri is 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>concerned,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he has one prior offence of a similar nature. Ms Schembri has no prior offences whatsoever. </w:t>
      </w:r>
    </w:p>
    <w:p w14:paraId="4778F549" w14:textId="77777777" w:rsidR="00AC6910" w:rsidRDefault="00AC6910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99ECA0C" w14:textId="1197EFC9" w:rsidR="00EA75FE" w:rsidRDefault="00EA75F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our opinion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these are serious offences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We have taken specific deterrence in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>to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account for both defendants. Mr Schembri had 14 such repeat offences and Ms Schembri had 7 such repeat offences.</w:t>
      </w:r>
    </w:p>
    <w:p w14:paraId="241F8BAB" w14:textId="77777777" w:rsidR="00EA75FE" w:rsidRDefault="00EA75F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6318FD" w14:textId="5C59600D" w:rsidR="00A57244" w:rsidRDefault="00EA75FE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our opinion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general deterrence also has 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 xml:space="preserve">important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application in 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 xml:space="preserve">our determination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the appropriate penalty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8F0642">
        <w:rPr>
          <w:rFonts w:ascii="Calibri" w:eastAsia="Calibri" w:hAnsi="Calibri" w:cs="Times New Roman"/>
          <w:sz w:val="24"/>
          <w:szCs w:val="24"/>
          <w:lang w:eastAsia="en-US"/>
        </w:rPr>
        <w:t>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he most significant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 xml:space="preserve"> aspect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>is the protection of the industry. The protection of the industry is paramount</w:t>
      </w:r>
      <w:r w:rsidR="00185D4C">
        <w:rPr>
          <w:rFonts w:ascii="Calibri" w:eastAsia="Calibri" w:hAnsi="Calibri" w:cs="Times New Roman"/>
          <w:sz w:val="24"/>
          <w:szCs w:val="24"/>
          <w:lang w:eastAsia="en-US"/>
        </w:rPr>
        <w:t>. I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>t is important th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at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 xml:space="preserve"> medical examination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5370E7" w:rsidRPr="005370E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of the participants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 xml:space="preserve">be 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>carried out by a medial practitioner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966F05B" w14:textId="6BC6A84A" w:rsidR="00A57244" w:rsidRDefault="00A57244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br/>
        <w:t xml:space="preserve">As the 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sz w:val="24"/>
          <w:szCs w:val="24"/>
          <w:lang w:eastAsia="en-US"/>
        </w:rPr>
        <w:t>hair previously outlined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 xml:space="preserve"> when giving the example of a heart attac</w:t>
      </w:r>
      <w:r w:rsidR="006A4445">
        <w:rPr>
          <w:rFonts w:ascii="Calibri" w:eastAsia="Calibri" w:hAnsi="Calibri" w:cs="Times New Roman"/>
          <w:sz w:val="24"/>
          <w:szCs w:val="24"/>
          <w:lang w:eastAsia="en-US"/>
        </w:rPr>
        <w:t>k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disastrous consequences could follow if that is not done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. That could be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not only to the participants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it </w:t>
      </w:r>
      <w:r w:rsidR="005370E7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ould also go to animal welfare issues.</w:t>
      </w:r>
    </w:p>
    <w:p w14:paraId="2389419C" w14:textId="77777777" w:rsidR="00A57244" w:rsidRDefault="00A57244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84089F5" w14:textId="75E56165" w:rsidR="005D2C40" w:rsidRDefault="0028298D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B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ecause of 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 xml:space="preserve">the pleas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>not guilty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’, there is no scope for the mitigation</w:t>
      </w:r>
      <w:r w:rsidR="00A57244">
        <w:rPr>
          <w:rFonts w:ascii="Calibri" w:eastAsia="Calibri" w:hAnsi="Calibri" w:cs="Times New Roman"/>
          <w:sz w:val="24"/>
          <w:szCs w:val="24"/>
          <w:lang w:eastAsia="en-US"/>
        </w:rPr>
        <w:t xml:space="preserve"> of sentencing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that can result from pleas of ‘guilty’. 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We have given careful consideration as to whether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the </w:t>
      </w:r>
      <w:r w:rsidR="00C5591D">
        <w:rPr>
          <w:rFonts w:ascii="Calibri" w:eastAsia="Calibri" w:hAnsi="Calibri" w:cs="Times New Roman"/>
          <w:sz w:val="24"/>
          <w:szCs w:val="24"/>
          <w:lang w:eastAsia="en-US"/>
        </w:rPr>
        <w:t>penalty should</w:t>
      </w:r>
      <w:r w:rsidR="005D2C40">
        <w:rPr>
          <w:rFonts w:ascii="Calibri" w:eastAsia="Calibri" w:hAnsi="Calibri" w:cs="Times New Roman"/>
          <w:sz w:val="24"/>
          <w:szCs w:val="24"/>
          <w:lang w:eastAsia="en-US"/>
        </w:rPr>
        <w:t xml:space="preserve"> be a suspension or disqualification. In our opinion the offences are so serious that a disqualification is the only appropriate penalty in all the circumstances. </w:t>
      </w:r>
    </w:p>
    <w:p w14:paraId="25104424" w14:textId="77777777" w:rsidR="005D2C40" w:rsidRDefault="005D2C40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74B52E" w14:textId="64DA35AC" w:rsidR="00EA75FE" w:rsidRDefault="005D2C40" w:rsidP="007250F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Mr Schembri will be disqualified for 15 months back date</w:t>
      </w:r>
      <w:r w:rsidR="0028298D">
        <w:rPr>
          <w:rFonts w:ascii="Calibri" w:eastAsia="Calibri" w:hAnsi="Calibri" w:cs="Times New Roman"/>
          <w:sz w:val="24"/>
          <w:szCs w:val="24"/>
          <w:lang w:eastAsia="en-US"/>
        </w:rPr>
        <w:t>d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to 1 September 2019. Ms Schembri will be disqualified for 9 months back dated to 1 September 2019</w:t>
      </w:r>
      <w:r w:rsidR="0028298D">
        <w:rPr>
          <w:rFonts w:ascii="Calibri" w:eastAsia="Calibri" w:hAnsi="Calibri" w:cs="Times New Roman"/>
          <w:sz w:val="24"/>
          <w:szCs w:val="24"/>
          <w:lang w:eastAsia="en-US"/>
        </w:rPr>
        <w:t>. Each has already been disqualified since that date.</w:t>
      </w:r>
    </w:p>
    <w:p w14:paraId="6AA86920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7D329AC" w14:textId="77777777" w:rsidR="007868CF" w:rsidRPr="007868CF" w:rsidRDefault="007868CF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p w14:paraId="07F39927" w14:textId="77777777" w:rsidR="007868CF" w:rsidRDefault="007868CF" w:rsidP="007868CF">
      <w:pPr>
        <w:pStyle w:val="Reference"/>
      </w:pPr>
    </w:p>
    <w:sectPr w:rsidR="007868CF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7149E" w14:textId="77777777" w:rsidR="00313D29" w:rsidRDefault="00313D29" w:rsidP="00CF0999">
      <w:r>
        <w:separator/>
      </w:r>
    </w:p>
  </w:endnote>
  <w:endnote w:type="continuationSeparator" w:id="0">
    <w:p w14:paraId="40336414" w14:textId="77777777" w:rsidR="00313D29" w:rsidRDefault="00313D29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313D29" w:rsidRDefault="00313D29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313D29" w:rsidRDefault="00313D29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313D29" w:rsidRDefault="00313D29" w:rsidP="00CF0999">
    <w:r>
      <w:tab/>
    </w:r>
  </w:p>
  <w:p w14:paraId="1DAAAAAE" w14:textId="77777777" w:rsidR="00313D29" w:rsidRDefault="00313D29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AD1A0" w14:textId="77777777" w:rsidR="00313D29" w:rsidRDefault="00313D29" w:rsidP="00CF0999">
      <w:r>
        <w:separator/>
      </w:r>
    </w:p>
  </w:footnote>
  <w:footnote w:type="continuationSeparator" w:id="0">
    <w:p w14:paraId="77495994" w14:textId="77777777" w:rsidR="00313D29" w:rsidRDefault="00313D29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313D29" w:rsidRDefault="00313D29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313D29" w:rsidRDefault="00313D29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313D29" w:rsidRPr="00573D70" w:rsidRDefault="00313D29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313D29" w:rsidRPr="00573D70" w:rsidRDefault="00313D29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313D29" w:rsidRPr="00573D70" w:rsidRDefault="00313D29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313D29" w:rsidRPr="00573D70" w:rsidRDefault="00313D29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313D29" w:rsidRPr="00E07246" w:rsidRDefault="00313D29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313D29" w:rsidRDefault="00313D29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313D29" w:rsidRPr="00573D70" w:rsidRDefault="00313D29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313D29" w:rsidRPr="00573D70" w:rsidRDefault="00313D29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313D29" w:rsidRPr="00573D70" w:rsidRDefault="00313D29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313D29" w:rsidRPr="00573D70" w:rsidRDefault="00313D29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313D29" w:rsidRPr="00E07246" w:rsidRDefault="00313D29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313D29" w:rsidRDefault="00313D29" w:rsidP="00CF0999"/>
  <w:p w14:paraId="6E2C6967" w14:textId="6D942FA3" w:rsidR="00313D29" w:rsidRPr="00DA09EA" w:rsidRDefault="00313D29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D62A2"/>
    <w:multiLevelType w:val="hybridMultilevel"/>
    <w:tmpl w:val="71B46A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4F56"/>
    <w:multiLevelType w:val="hybridMultilevel"/>
    <w:tmpl w:val="7A4EA8DE"/>
    <w:lvl w:ilvl="0" w:tplc="B7AA79F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A6AE5C3-80AA-442B-A67A-AEE3739E4638}"/>
    <w:docVar w:name="dgnword-eventsink" w:val="525425472"/>
  </w:docVars>
  <w:rsids>
    <w:rsidRoot w:val="008B5832"/>
    <w:rsid w:val="000025F0"/>
    <w:rsid w:val="000215EA"/>
    <w:rsid w:val="00046B36"/>
    <w:rsid w:val="0006320A"/>
    <w:rsid w:val="000642AD"/>
    <w:rsid w:val="000717EB"/>
    <w:rsid w:val="00073C6A"/>
    <w:rsid w:val="00074A37"/>
    <w:rsid w:val="000875D9"/>
    <w:rsid w:val="00087EA5"/>
    <w:rsid w:val="000934F0"/>
    <w:rsid w:val="000B0ED3"/>
    <w:rsid w:val="000B3054"/>
    <w:rsid w:val="000B5E53"/>
    <w:rsid w:val="000D3B26"/>
    <w:rsid w:val="000D3D51"/>
    <w:rsid w:val="00105417"/>
    <w:rsid w:val="0012029D"/>
    <w:rsid w:val="001203CF"/>
    <w:rsid w:val="00133CBB"/>
    <w:rsid w:val="00142AF8"/>
    <w:rsid w:val="001459C3"/>
    <w:rsid w:val="001530AD"/>
    <w:rsid w:val="00155CA4"/>
    <w:rsid w:val="00165E82"/>
    <w:rsid w:val="001727C6"/>
    <w:rsid w:val="00180EA0"/>
    <w:rsid w:val="00182F21"/>
    <w:rsid w:val="0018346D"/>
    <w:rsid w:val="00185D4C"/>
    <w:rsid w:val="00186CA4"/>
    <w:rsid w:val="00194944"/>
    <w:rsid w:val="001A2102"/>
    <w:rsid w:val="001C2886"/>
    <w:rsid w:val="001D1351"/>
    <w:rsid w:val="001D5D42"/>
    <w:rsid w:val="001D5EA1"/>
    <w:rsid w:val="001F4FF6"/>
    <w:rsid w:val="001F7B3D"/>
    <w:rsid w:val="00210EC7"/>
    <w:rsid w:val="0021172F"/>
    <w:rsid w:val="00214575"/>
    <w:rsid w:val="00237626"/>
    <w:rsid w:val="00245238"/>
    <w:rsid w:val="00252460"/>
    <w:rsid w:val="002604B6"/>
    <w:rsid w:val="00262F34"/>
    <w:rsid w:val="0026665C"/>
    <w:rsid w:val="00277913"/>
    <w:rsid w:val="002813FF"/>
    <w:rsid w:val="00281955"/>
    <w:rsid w:val="0028298D"/>
    <w:rsid w:val="00284C5D"/>
    <w:rsid w:val="002A63F0"/>
    <w:rsid w:val="002C65C0"/>
    <w:rsid w:val="002D1DBB"/>
    <w:rsid w:val="002E22BA"/>
    <w:rsid w:val="002F7434"/>
    <w:rsid w:val="0031077B"/>
    <w:rsid w:val="00313D29"/>
    <w:rsid w:val="00321962"/>
    <w:rsid w:val="0032538F"/>
    <w:rsid w:val="00333E53"/>
    <w:rsid w:val="00335102"/>
    <w:rsid w:val="00344B4E"/>
    <w:rsid w:val="00345DD8"/>
    <w:rsid w:val="00370738"/>
    <w:rsid w:val="00372424"/>
    <w:rsid w:val="003875DE"/>
    <w:rsid w:val="003904DC"/>
    <w:rsid w:val="00392EDE"/>
    <w:rsid w:val="003A06A5"/>
    <w:rsid w:val="003A17CB"/>
    <w:rsid w:val="003B0902"/>
    <w:rsid w:val="003B61CD"/>
    <w:rsid w:val="003C4BCE"/>
    <w:rsid w:val="003C53DC"/>
    <w:rsid w:val="003C59D8"/>
    <w:rsid w:val="003D043D"/>
    <w:rsid w:val="003D0AFE"/>
    <w:rsid w:val="003D22E2"/>
    <w:rsid w:val="003E49A9"/>
    <w:rsid w:val="003F045B"/>
    <w:rsid w:val="003F32A7"/>
    <w:rsid w:val="0040472C"/>
    <w:rsid w:val="00405629"/>
    <w:rsid w:val="0040758A"/>
    <w:rsid w:val="004208B8"/>
    <w:rsid w:val="004235E9"/>
    <w:rsid w:val="00425AD7"/>
    <w:rsid w:val="00434C95"/>
    <w:rsid w:val="004435FB"/>
    <w:rsid w:val="004738C9"/>
    <w:rsid w:val="00477518"/>
    <w:rsid w:val="004A103B"/>
    <w:rsid w:val="004A3FBE"/>
    <w:rsid w:val="004A729B"/>
    <w:rsid w:val="004B35BE"/>
    <w:rsid w:val="004C708A"/>
    <w:rsid w:val="004D6D59"/>
    <w:rsid w:val="004D716F"/>
    <w:rsid w:val="004E0F69"/>
    <w:rsid w:val="005044B5"/>
    <w:rsid w:val="00511BCD"/>
    <w:rsid w:val="00512165"/>
    <w:rsid w:val="005169FE"/>
    <w:rsid w:val="005175C7"/>
    <w:rsid w:val="005250ED"/>
    <w:rsid w:val="00525438"/>
    <w:rsid w:val="0053232B"/>
    <w:rsid w:val="00532A17"/>
    <w:rsid w:val="005370E7"/>
    <w:rsid w:val="00541155"/>
    <w:rsid w:val="0054189E"/>
    <w:rsid w:val="005531C4"/>
    <w:rsid w:val="00555648"/>
    <w:rsid w:val="00557158"/>
    <w:rsid w:val="00571F56"/>
    <w:rsid w:val="00572FEA"/>
    <w:rsid w:val="00573D70"/>
    <w:rsid w:val="00584BAA"/>
    <w:rsid w:val="0059725A"/>
    <w:rsid w:val="005A580A"/>
    <w:rsid w:val="005B194C"/>
    <w:rsid w:val="005B38F9"/>
    <w:rsid w:val="005C55D7"/>
    <w:rsid w:val="005C6099"/>
    <w:rsid w:val="005C72E9"/>
    <w:rsid w:val="005D2C40"/>
    <w:rsid w:val="005D47E5"/>
    <w:rsid w:val="005E040F"/>
    <w:rsid w:val="005E2302"/>
    <w:rsid w:val="005E6C7E"/>
    <w:rsid w:val="005F2D75"/>
    <w:rsid w:val="005F6119"/>
    <w:rsid w:val="0060363F"/>
    <w:rsid w:val="00603F36"/>
    <w:rsid w:val="00610EDE"/>
    <w:rsid w:val="00620923"/>
    <w:rsid w:val="00631FF3"/>
    <w:rsid w:val="00634447"/>
    <w:rsid w:val="0064540B"/>
    <w:rsid w:val="00650664"/>
    <w:rsid w:val="00662258"/>
    <w:rsid w:val="006649F5"/>
    <w:rsid w:val="00665A0A"/>
    <w:rsid w:val="00670338"/>
    <w:rsid w:val="00674577"/>
    <w:rsid w:val="006816AD"/>
    <w:rsid w:val="00695E3E"/>
    <w:rsid w:val="006A4445"/>
    <w:rsid w:val="006C4514"/>
    <w:rsid w:val="006D4AB3"/>
    <w:rsid w:val="006D7D92"/>
    <w:rsid w:val="006E7B2E"/>
    <w:rsid w:val="006F0207"/>
    <w:rsid w:val="00700DD7"/>
    <w:rsid w:val="007042A2"/>
    <w:rsid w:val="007250F7"/>
    <w:rsid w:val="007510B7"/>
    <w:rsid w:val="00757D1A"/>
    <w:rsid w:val="0076456A"/>
    <w:rsid w:val="00774401"/>
    <w:rsid w:val="00775903"/>
    <w:rsid w:val="007868CF"/>
    <w:rsid w:val="007A3D33"/>
    <w:rsid w:val="007C4987"/>
    <w:rsid w:val="007C5B13"/>
    <w:rsid w:val="007C60EA"/>
    <w:rsid w:val="007C69C8"/>
    <w:rsid w:val="007D34EC"/>
    <w:rsid w:val="007F6CE8"/>
    <w:rsid w:val="00812500"/>
    <w:rsid w:val="008142E6"/>
    <w:rsid w:val="00834622"/>
    <w:rsid w:val="00842094"/>
    <w:rsid w:val="0085353A"/>
    <w:rsid w:val="008555BA"/>
    <w:rsid w:val="00862BB2"/>
    <w:rsid w:val="008653EC"/>
    <w:rsid w:val="00867C1C"/>
    <w:rsid w:val="00871B7E"/>
    <w:rsid w:val="008766F3"/>
    <w:rsid w:val="00880431"/>
    <w:rsid w:val="0088092B"/>
    <w:rsid w:val="0088616A"/>
    <w:rsid w:val="008A3762"/>
    <w:rsid w:val="008A5B93"/>
    <w:rsid w:val="008B0C40"/>
    <w:rsid w:val="008B55E6"/>
    <w:rsid w:val="008B5832"/>
    <w:rsid w:val="008C3D3D"/>
    <w:rsid w:val="008D0FD8"/>
    <w:rsid w:val="008D6C88"/>
    <w:rsid w:val="008E4E18"/>
    <w:rsid w:val="008F0642"/>
    <w:rsid w:val="008F172C"/>
    <w:rsid w:val="008F4E8B"/>
    <w:rsid w:val="0090286D"/>
    <w:rsid w:val="00910FBD"/>
    <w:rsid w:val="00911B74"/>
    <w:rsid w:val="00914572"/>
    <w:rsid w:val="009177D1"/>
    <w:rsid w:val="00917941"/>
    <w:rsid w:val="00927A54"/>
    <w:rsid w:val="009454DC"/>
    <w:rsid w:val="00945E83"/>
    <w:rsid w:val="0094618B"/>
    <w:rsid w:val="00947FCE"/>
    <w:rsid w:val="00955D40"/>
    <w:rsid w:val="00965430"/>
    <w:rsid w:val="00967409"/>
    <w:rsid w:val="009A7087"/>
    <w:rsid w:val="009A7521"/>
    <w:rsid w:val="009B287C"/>
    <w:rsid w:val="009B2D82"/>
    <w:rsid w:val="009D512A"/>
    <w:rsid w:val="009D6E33"/>
    <w:rsid w:val="009E0109"/>
    <w:rsid w:val="009E064F"/>
    <w:rsid w:val="009E6E9A"/>
    <w:rsid w:val="009F0617"/>
    <w:rsid w:val="009F7369"/>
    <w:rsid w:val="00A14154"/>
    <w:rsid w:val="00A1503B"/>
    <w:rsid w:val="00A36564"/>
    <w:rsid w:val="00A533ED"/>
    <w:rsid w:val="00A53899"/>
    <w:rsid w:val="00A55BAC"/>
    <w:rsid w:val="00A57244"/>
    <w:rsid w:val="00A63057"/>
    <w:rsid w:val="00A64410"/>
    <w:rsid w:val="00A72796"/>
    <w:rsid w:val="00A72D45"/>
    <w:rsid w:val="00A855AC"/>
    <w:rsid w:val="00A86237"/>
    <w:rsid w:val="00AB5FFD"/>
    <w:rsid w:val="00AC1060"/>
    <w:rsid w:val="00AC2BA7"/>
    <w:rsid w:val="00AC6910"/>
    <w:rsid w:val="00AD1242"/>
    <w:rsid w:val="00AD62DF"/>
    <w:rsid w:val="00AD767E"/>
    <w:rsid w:val="00B03DED"/>
    <w:rsid w:val="00B04302"/>
    <w:rsid w:val="00B104AE"/>
    <w:rsid w:val="00B11396"/>
    <w:rsid w:val="00B22F6F"/>
    <w:rsid w:val="00B2760E"/>
    <w:rsid w:val="00B327BB"/>
    <w:rsid w:val="00B40025"/>
    <w:rsid w:val="00B430BD"/>
    <w:rsid w:val="00B43134"/>
    <w:rsid w:val="00B45872"/>
    <w:rsid w:val="00B511A8"/>
    <w:rsid w:val="00B552F2"/>
    <w:rsid w:val="00B74835"/>
    <w:rsid w:val="00B922DE"/>
    <w:rsid w:val="00B92310"/>
    <w:rsid w:val="00B926E1"/>
    <w:rsid w:val="00B9303A"/>
    <w:rsid w:val="00B9495A"/>
    <w:rsid w:val="00BA02D7"/>
    <w:rsid w:val="00BA04C8"/>
    <w:rsid w:val="00BA26D8"/>
    <w:rsid w:val="00BA4277"/>
    <w:rsid w:val="00BB29C3"/>
    <w:rsid w:val="00BC11C9"/>
    <w:rsid w:val="00BC566B"/>
    <w:rsid w:val="00BE3B8B"/>
    <w:rsid w:val="00C004CB"/>
    <w:rsid w:val="00C03AD3"/>
    <w:rsid w:val="00C060DA"/>
    <w:rsid w:val="00C073DF"/>
    <w:rsid w:val="00C2073C"/>
    <w:rsid w:val="00C22CA3"/>
    <w:rsid w:val="00C410C0"/>
    <w:rsid w:val="00C42EAA"/>
    <w:rsid w:val="00C46BD0"/>
    <w:rsid w:val="00C51277"/>
    <w:rsid w:val="00C54382"/>
    <w:rsid w:val="00C5591D"/>
    <w:rsid w:val="00C56761"/>
    <w:rsid w:val="00C72E30"/>
    <w:rsid w:val="00C75295"/>
    <w:rsid w:val="00C83828"/>
    <w:rsid w:val="00C90F7D"/>
    <w:rsid w:val="00CB6436"/>
    <w:rsid w:val="00CE2139"/>
    <w:rsid w:val="00CE4E87"/>
    <w:rsid w:val="00CF0999"/>
    <w:rsid w:val="00CF30A8"/>
    <w:rsid w:val="00CF5378"/>
    <w:rsid w:val="00D052F4"/>
    <w:rsid w:val="00D1034E"/>
    <w:rsid w:val="00D10903"/>
    <w:rsid w:val="00D10E3C"/>
    <w:rsid w:val="00D11CDD"/>
    <w:rsid w:val="00D2379C"/>
    <w:rsid w:val="00D2755E"/>
    <w:rsid w:val="00D43FF6"/>
    <w:rsid w:val="00D63101"/>
    <w:rsid w:val="00D6499E"/>
    <w:rsid w:val="00D87E9A"/>
    <w:rsid w:val="00D95864"/>
    <w:rsid w:val="00DA77A1"/>
    <w:rsid w:val="00DD0A11"/>
    <w:rsid w:val="00DE6F9C"/>
    <w:rsid w:val="00E07246"/>
    <w:rsid w:val="00E13ED4"/>
    <w:rsid w:val="00E14B1E"/>
    <w:rsid w:val="00E2194E"/>
    <w:rsid w:val="00E2658C"/>
    <w:rsid w:val="00E3731D"/>
    <w:rsid w:val="00E46697"/>
    <w:rsid w:val="00E538BB"/>
    <w:rsid w:val="00E53C26"/>
    <w:rsid w:val="00E71838"/>
    <w:rsid w:val="00E75B7D"/>
    <w:rsid w:val="00E77055"/>
    <w:rsid w:val="00E83377"/>
    <w:rsid w:val="00E83A64"/>
    <w:rsid w:val="00E84F61"/>
    <w:rsid w:val="00E95B9A"/>
    <w:rsid w:val="00EA685F"/>
    <w:rsid w:val="00EA75FE"/>
    <w:rsid w:val="00EB0ECC"/>
    <w:rsid w:val="00EB462D"/>
    <w:rsid w:val="00EC4FE0"/>
    <w:rsid w:val="00EC5C36"/>
    <w:rsid w:val="00EC6139"/>
    <w:rsid w:val="00EE1C5A"/>
    <w:rsid w:val="00EE4B93"/>
    <w:rsid w:val="00EF292A"/>
    <w:rsid w:val="00F14511"/>
    <w:rsid w:val="00F24892"/>
    <w:rsid w:val="00F2745C"/>
    <w:rsid w:val="00F36DB0"/>
    <w:rsid w:val="00F51D9E"/>
    <w:rsid w:val="00F5419F"/>
    <w:rsid w:val="00F548DD"/>
    <w:rsid w:val="00F6406D"/>
    <w:rsid w:val="00F66FE4"/>
    <w:rsid w:val="00F7160A"/>
    <w:rsid w:val="00F85109"/>
    <w:rsid w:val="00F875C3"/>
    <w:rsid w:val="00F92E17"/>
    <w:rsid w:val="00FC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table" w:styleId="TableGrid">
    <w:name w:val="Table Grid"/>
    <w:basedOn w:val="TableNormal"/>
    <w:uiPriority w:val="59"/>
    <w:rsid w:val="0091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schemas.microsoft.com/office/2006/documentManagement/types"/>
    <ds:schemaRef ds:uri="1211962b-e7f0-4e86-a0d1-2328247b4c11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5B040-C5ED-4F82-85A7-77F72578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(DEDJTR)</cp:lastModifiedBy>
  <cp:revision>21</cp:revision>
  <cp:lastPrinted>2019-12-18T23:00:00Z</cp:lastPrinted>
  <dcterms:created xsi:type="dcterms:W3CDTF">2019-12-16T23:50:00Z</dcterms:created>
  <dcterms:modified xsi:type="dcterms:W3CDTF">2019-12-18T23:00:00Z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