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1F1D4FA" w:rsidR="00DA77A1" w:rsidRDefault="004841C4" w:rsidP="007868CF">
      <w:pPr>
        <w:pStyle w:val="Reference"/>
      </w:pPr>
      <w:r>
        <w:t>11</w:t>
      </w:r>
      <w:r w:rsidR="00130C3D">
        <w:t xml:space="preserve"> May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4DB4F9B" w:rsidR="007868CF" w:rsidRPr="007868CF" w:rsidRDefault="00A639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358DAFB" w:rsidR="00A176EF" w:rsidRPr="00A176EF" w:rsidRDefault="00A6395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MELANIE LITHGOW</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CBBCF3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6395E">
        <w:rPr>
          <w:rFonts w:ascii="Calibri" w:eastAsia="Calibri" w:hAnsi="Calibri" w:cs="Times New Roman"/>
          <w:bCs/>
          <w:sz w:val="24"/>
          <w:szCs w:val="24"/>
          <w:lang w:eastAsia="en-US"/>
        </w:rPr>
        <w:t>22</w:t>
      </w:r>
      <w:r w:rsidR="00C137B3" w:rsidRPr="00B24DF3">
        <w:rPr>
          <w:rFonts w:ascii="Calibri" w:eastAsia="Calibri" w:hAnsi="Calibri" w:cs="Times New Roman"/>
          <w:bCs/>
          <w:sz w:val="24"/>
          <w:szCs w:val="24"/>
          <w:lang w:eastAsia="en-US"/>
        </w:rPr>
        <w:t xml:space="preserve"> </w:t>
      </w:r>
      <w:r w:rsidR="00C137B3">
        <w:rPr>
          <w:rFonts w:ascii="Calibri" w:eastAsia="Calibri" w:hAnsi="Calibri" w:cs="Times New Roman"/>
          <w:sz w:val="24"/>
          <w:szCs w:val="24"/>
          <w:lang w:eastAsia="en-US"/>
        </w:rPr>
        <w:t>April</w:t>
      </w:r>
      <w:r w:rsidR="003F6997">
        <w:rPr>
          <w:rFonts w:ascii="Calibri" w:eastAsia="Calibri" w:hAnsi="Calibri" w:cs="Times New Roman"/>
          <w:sz w:val="24"/>
          <w:szCs w:val="24"/>
          <w:lang w:eastAsia="en-US"/>
        </w:rPr>
        <w:t xml:space="preserve"> 2021</w:t>
      </w:r>
    </w:p>
    <w:p w14:paraId="353D3562" w14:textId="316D473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6395E">
        <w:rPr>
          <w:rFonts w:ascii="Calibri" w:eastAsia="Calibri" w:hAnsi="Calibri" w:cs="Times New Roman"/>
          <w:sz w:val="24"/>
          <w:szCs w:val="24"/>
          <w:lang w:eastAsia="en-US"/>
        </w:rPr>
        <w:t>Judge John Bowman</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9915A5">
        <w:rPr>
          <w:rFonts w:ascii="Calibri" w:eastAsia="Calibri" w:hAnsi="Calibri" w:cs="Times New Roman"/>
          <w:sz w:val="24"/>
          <w:szCs w:val="24"/>
          <w:lang w:eastAsia="en-US"/>
        </w:rPr>
        <w:t>.</w:t>
      </w:r>
    </w:p>
    <w:p w14:paraId="0835B251" w14:textId="4F471AB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A6395E">
        <w:rPr>
          <w:rFonts w:ascii="Calibri" w:eastAsia="Calibri" w:hAnsi="Calibri" w:cs="Times New Roman"/>
          <w:sz w:val="24"/>
          <w:szCs w:val="24"/>
          <w:lang w:eastAsia="en-US"/>
        </w:rPr>
        <w:t>Paul Searle</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08F290AD" w:rsidR="007868CF" w:rsidRPr="007868CF" w:rsidRDefault="00A6395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Mrs Melanie Lithgow represented herself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9E4F83F" w14:textId="5C1F0C46" w:rsidR="0077242C" w:rsidRDefault="007868CF" w:rsidP="00792C1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395E">
        <w:rPr>
          <w:rFonts w:ascii="Calibri" w:eastAsia="Calibri" w:hAnsi="Calibri" w:cs="Times New Roman"/>
          <w:sz w:val="24"/>
          <w:szCs w:val="24"/>
          <w:lang w:eastAsia="en-US"/>
        </w:rPr>
        <w:t>Greyhounds Australasia Rule (“GAR”) 69A(1)</w:t>
      </w:r>
      <w:r w:rsidR="00792C13">
        <w:rPr>
          <w:rFonts w:ascii="Calibri" w:eastAsia="Calibri" w:hAnsi="Calibri" w:cs="Times New Roman"/>
          <w:sz w:val="24"/>
          <w:szCs w:val="24"/>
          <w:lang w:eastAsia="en-US"/>
        </w:rPr>
        <w:t xml:space="preserve"> states: </w:t>
      </w:r>
    </w:p>
    <w:p w14:paraId="0815D75B" w14:textId="2EAEBF0A" w:rsidR="0077242C" w:rsidRDefault="00792C13" w:rsidP="00A6395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A6395E" w:rsidRPr="00A6395E">
        <w:rPr>
          <w:rFonts w:ascii="Calibri" w:eastAsia="Calibri" w:hAnsi="Calibri" w:cs="Times New Roman"/>
          <w:bCs/>
          <w:sz w:val="24"/>
          <w:szCs w:val="24"/>
          <w:lang w:eastAsia="en-US"/>
        </w:rPr>
        <w:t>Unless Rule 69B otherwise applies, where, in the opinion of the Stewards, a greyhound fails to pursue</w:t>
      </w:r>
      <w:r w:rsidR="00A6395E">
        <w:rPr>
          <w:rFonts w:ascii="Calibri" w:eastAsia="Calibri" w:hAnsi="Calibri" w:cs="Times New Roman"/>
          <w:bCs/>
          <w:sz w:val="24"/>
          <w:szCs w:val="24"/>
          <w:lang w:eastAsia="en-US"/>
        </w:rPr>
        <w:t xml:space="preserve"> </w:t>
      </w:r>
      <w:r w:rsidR="00A6395E" w:rsidRPr="00A6395E">
        <w:rPr>
          <w:rFonts w:ascii="Calibri" w:eastAsia="Calibri" w:hAnsi="Calibri" w:cs="Times New Roman"/>
          <w:bCs/>
          <w:sz w:val="24"/>
          <w:szCs w:val="24"/>
          <w:lang w:eastAsia="en-US"/>
        </w:rPr>
        <w:t>the lure with due commitment during an Event, the Stewards shall impose a period of suspension in respect of the greyhound pursuant to sub-rule (2), and the specifics shall be recorded in the relevant</w:t>
      </w:r>
      <w:r w:rsidR="00A6395E">
        <w:rPr>
          <w:rFonts w:ascii="Calibri" w:eastAsia="Calibri" w:hAnsi="Calibri" w:cs="Times New Roman"/>
          <w:bCs/>
          <w:sz w:val="24"/>
          <w:szCs w:val="24"/>
          <w:lang w:eastAsia="en-US"/>
        </w:rPr>
        <w:t xml:space="preserve"> </w:t>
      </w:r>
      <w:r w:rsidR="00A6395E" w:rsidRPr="00A6395E">
        <w:rPr>
          <w:rFonts w:ascii="Calibri" w:eastAsia="Calibri" w:hAnsi="Calibri" w:cs="Times New Roman"/>
          <w:bCs/>
          <w:sz w:val="24"/>
          <w:szCs w:val="24"/>
          <w:lang w:eastAsia="en-US"/>
        </w:rPr>
        <w:t>Controlling Body Register, or where applicable, the Certificate of Registration or Weight Card of the greyhound.</w:t>
      </w:r>
    </w:p>
    <w:p w14:paraId="00E39BCF" w14:textId="77777777" w:rsidR="00A6395E" w:rsidRPr="00A6395E" w:rsidRDefault="00A6395E" w:rsidP="00A6395E">
      <w:pPr>
        <w:spacing w:line="259" w:lineRule="auto"/>
        <w:ind w:left="2880" w:hanging="2880"/>
        <w:jc w:val="both"/>
        <w:rPr>
          <w:rFonts w:ascii="Calibri" w:eastAsia="Calibri" w:hAnsi="Calibri" w:cs="Times New Roman"/>
          <w:bCs/>
          <w:sz w:val="24"/>
          <w:szCs w:val="24"/>
          <w:lang w:eastAsia="en-US"/>
        </w:rPr>
      </w:pPr>
    </w:p>
    <w:p w14:paraId="1413C861" w14:textId="06DB9B79" w:rsidR="00B127EB" w:rsidRPr="00A6395E" w:rsidRDefault="00300B90" w:rsidP="00792C13">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A6395E" w:rsidRPr="00A6395E">
        <w:rPr>
          <w:rFonts w:ascii="Calibri" w:eastAsia="Calibri" w:hAnsi="Calibri" w:cs="Times New Roman"/>
          <w:bCs/>
          <w:sz w:val="24"/>
          <w:szCs w:val="24"/>
          <w:lang w:eastAsia="en-US"/>
        </w:rPr>
        <w:t>Gotham Duke underwent a post-race veterinary examination and was found to have a left back muscle injury and a right</w:t>
      </w:r>
      <w:r w:rsidR="00A6395E">
        <w:rPr>
          <w:rFonts w:ascii="Calibri" w:eastAsia="Calibri" w:hAnsi="Calibri" w:cs="Times New Roman"/>
          <w:bCs/>
          <w:sz w:val="24"/>
          <w:szCs w:val="24"/>
          <w:lang w:eastAsia="en-US"/>
        </w:rPr>
        <w:t xml:space="preserve"> </w:t>
      </w:r>
      <w:r w:rsidR="00A6395E" w:rsidRPr="00A6395E">
        <w:rPr>
          <w:rFonts w:ascii="Calibri" w:eastAsia="Calibri" w:hAnsi="Calibri" w:cs="Times New Roman"/>
          <w:bCs/>
          <w:sz w:val="24"/>
          <w:szCs w:val="24"/>
          <w:lang w:eastAsia="en-US"/>
        </w:rPr>
        <w:t>hamstring injury. A 7 day stand down period was imposed.</w:t>
      </w:r>
      <w:r w:rsidR="00A6395E">
        <w:rPr>
          <w:rFonts w:ascii="Calibri" w:eastAsia="Calibri" w:hAnsi="Calibri" w:cs="Times New Roman"/>
          <w:bCs/>
          <w:sz w:val="24"/>
          <w:szCs w:val="24"/>
          <w:lang w:eastAsia="en-US"/>
        </w:rPr>
        <w:t xml:space="preserve"> </w:t>
      </w:r>
      <w:r w:rsidR="00A6395E" w:rsidRPr="00A6395E">
        <w:rPr>
          <w:rFonts w:ascii="Calibri" w:eastAsia="Calibri" w:hAnsi="Calibri" w:cs="Times New Roman"/>
          <w:bCs/>
          <w:sz w:val="24"/>
          <w:szCs w:val="24"/>
          <w:lang w:eastAsia="en-US"/>
        </w:rPr>
        <w:t>Stewards spoke to Miss Melanie Lithgow, the trainer of Gotham Duke regarding the greyhound’s racing manners</w:t>
      </w:r>
      <w:r w:rsidR="00A15071">
        <w:rPr>
          <w:rFonts w:ascii="Calibri" w:eastAsia="Calibri" w:hAnsi="Calibri" w:cs="Times New Roman"/>
          <w:bCs/>
          <w:sz w:val="24"/>
          <w:szCs w:val="24"/>
          <w:lang w:eastAsia="en-US"/>
        </w:rPr>
        <w:t xml:space="preserve"> </w:t>
      </w:r>
      <w:r w:rsidR="00A6395E" w:rsidRPr="00A6395E">
        <w:rPr>
          <w:rFonts w:ascii="Calibri" w:eastAsia="Calibri" w:hAnsi="Calibri" w:cs="Times New Roman"/>
          <w:bCs/>
          <w:sz w:val="24"/>
          <w:szCs w:val="24"/>
          <w:lang w:eastAsia="en-US"/>
        </w:rPr>
        <w:t>approaching the home turn.  Acting under the provisions of GAR 69A(1) Gotham Duke was charged with failing to pursue</w:t>
      </w:r>
      <w:r w:rsidR="00A15071">
        <w:rPr>
          <w:rFonts w:ascii="Calibri" w:eastAsia="Calibri" w:hAnsi="Calibri" w:cs="Times New Roman"/>
          <w:bCs/>
          <w:sz w:val="24"/>
          <w:szCs w:val="24"/>
          <w:lang w:eastAsia="en-US"/>
        </w:rPr>
        <w:t xml:space="preserve"> </w:t>
      </w:r>
      <w:r w:rsidR="00A6395E" w:rsidRPr="00A6395E">
        <w:rPr>
          <w:rFonts w:ascii="Calibri" w:eastAsia="Calibri" w:hAnsi="Calibri" w:cs="Times New Roman"/>
          <w:bCs/>
          <w:sz w:val="24"/>
          <w:szCs w:val="24"/>
          <w:lang w:eastAsia="en-US"/>
        </w:rPr>
        <w:t>the lure with due commitment. Miss Lithgow pleaded not guilty to the charge, Gotham Duke was found guilty and</w:t>
      </w:r>
      <w:r w:rsidR="00A15071">
        <w:rPr>
          <w:rFonts w:ascii="Calibri" w:eastAsia="Calibri" w:hAnsi="Calibri" w:cs="Times New Roman"/>
          <w:bCs/>
          <w:sz w:val="24"/>
          <w:szCs w:val="24"/>
          <w:lang w:eastAsia="en-US"/>
        </w:rPr>
        <w:t xml:space="preserve"> </w:t>
      </w:r>
      <w:r w:rsidR="00A6395E" w:rsidRPr="00A6395E">
        <w:rPr>
          <w:rFonts w:ascii="Calibri" w:eastAsia="Calibri" w:hAnsi="Calibri" w:cs="Times New Roman"/>
          <w:bCs/>
          <w:sz w:val="24"/>
          <w:szCs w:val="24"/>
          <w:lang w:eastAsia="en-US"/>
        </w:rPr>
        <w:t>suspended for 28 days at The Meadows and must perform a Satisfactory Trial in accordance with GAR 69A (2) and</w:t>
      </w:r>
      <w:r w:rsidR="00A15071">
        <w:rPr>
          <w:rFonts w:ascii="Calibri" w:eastAsia="Calibri" w:hAnsi="Calibri" w:cs="Times New Roman"/>
          <w:bCs/>
          <w:sz w:val="24"/>
          <w:szCs w:val="24"/>
          <w:lang w:eastAsia="en-US"/>
        </w:rPr>
        <w:t xml:space="preserve"> </w:t>
      </w:r>
      <w:r w:rsidR="00A6395E" w:rsidRPr="00A6395E">
        <w:rPr>
          <w:rFonts w:ascii="Calibri" w:eastAsia="Calibri" w:hAnsi="Calibri" w:cs="Times New Roman"/>
          <w:bCs/>
          <w:sz w:val="24"/>
          <w:szCs w:val="24"/>
          <w:lang w:eastAsia="en-US"/>
        </w:rPr>
        <w:t>pursuant to GAR 72, before any future nomination will be accepted.</w:t>
      </w:r>
    </w:p>
    <w:p w14:paraId="051C9C99"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661E6296" w14:textId="2AF25655"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792C13">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6070734" w14:textId="77777777" w:rsidR="00C137B3" w:rsidRDefault="00C137B3" w:rsidP="00A532F0">
      <w:pPr>
        <w:spacing w:line="259" w:lineRule="auto"/>
        <w:jc w:val="both"/>
        <w:rPr>
          <w:rFonts w:ascii="Calibri" w:eastAsia="Calibri" w:hAnsi="Calibri" w:cs="Times New Roman"/>
          <w:b/>
          <w:sz w:val="24"/>
          <w:szCs w:val="24"/>
          <w:lang w:eastAsia="en-US"/>
        </w:rPr>
      </w:pPr>
    </w:p>
    <w:p w14:paraId="12BB57CA"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48F1C4D3"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6AA86920" w14:textId="38239AAE"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2A0D348B" w:rsidR="00F95001" w:rsidRDefault="00F95001" w:rsidP="00277B35">
      <w:pPr>
        <w:rPr>
          <w:rFonts w:ascii="Calibri" w:eastAsia="Calibri" w:hAnsi="Calibri" w:cs="Times New Roman"/>
          <w:bCs/>
          <w:sz w:val="24"/>
          <w:szCs w:val="24"/>
          <w:lang w:eastAsia="en-US"/>
        </w:rPr>
      </w:pPr>
    </w:p>
    <w:p w14:paraId="57A57842" w14:textId="158475EE" w:rsidR="00E0725C" w:rsidRDefault="00BF7659" w:rsidP="00B479D8">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matter concerns an alleged failing to pursue the lure with due commitment. The greyhound involved is “Gotham Duke”, trained by Mrs Melanie Lithgow</w:t>
      </w:r>
      <w:r w:rsidR="004841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took part in this telephone hearing. Mr Paul Searle represented the Stewards. The race involved is Race 9 at The Meadows on 17 April 2021.</w:t>
      </w:r>
    </w:p>
    <w:p w14:paraId="1EE0D85B" w14:textId="32D8E8D6" w:rsidR="00BF7659" w:rsidRDefault="00BF7659" w:rsidP="00B479D8">
      <w:pPr>
        <w:jc w:val="both"/>
        <w:rPr>
          <w:rFonts w:ascii="Calibri" w:eastAsia="Calibri" w:hAnsi="Calibri" w:cs="Times New Roman"/>
          <w:bCs/>
          <w:sz w:val="24"/>
          <w:szCs w:val="24"/>
          <w:lang w:eastAsia="en-US"/>
        </w:rPr>
      </w:pPr>
    </w:p>
    <w:p w14:paraId="379D1110" w14:textId="41A78679" w:rsidR="00291F05" w:rsidRDefault="00BF7659" w:rsidP="00B479D8">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of the race multiple times. I have also viewed the video of Race 3 at Cranbourne on 6 February 2021 several times. </w:t>
      </w:r>
      <w:r w:rsidR="00291F05">
        <w:rPr>
          <w:rFonts w:ascii="Calibri" w:eastAsia="Calibri" w:hAnsi="Calibri" w:cs="Times New Roman"/>
          <w:bCs/>
          <w:sz w:val="24"/>
          <w:szCs w:val="24"/>
          <w:lang w:eastAsia="en-US"/>
        </w:rPr>
        <w:t>Gotham Duke participated in that latter race and, in fact, won comfortably. Mrs Lithgow wanted to point out that the dog’s racing style was to move off the rail on the home turn.</w:t>
      </w:r>
    </w:p>
    <w:p w14:paraId="52DEA4DA" w14:textId="42671151" w:rsidR="00291F05" w:rsidRDefault="00291F05" w:rsidP="00B479D8">
      <w:pPr>
        <w:jc w:val="both"/>
        <w:rPr>
          <w:rFonts w:ascii="Calibri" w:eastAsia="Calibri" w:hAnsi="Calibri" w:cs="Times New Roman"/>
          <w:bCs/>
          <w:sz w:val="24"/>
          <w:szCs w:val="24"/>
          <w:lang w:eastAsia="en-US"/>
        </w:rPr>
      </w:pPr>
    </w:p>
    <w:p w14:paraId="07102D44" w14:textId="785BB4B1" w:rsidR="00291F05" w:rsidRDefault="00291F05" w:rsidP="00B479D8">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Meadows, Gotham Duke started from Box 8. It led shortly after the first turn</w:t>
      </w:r>
      <w:r w:rsidR="00417DB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291F05">
        <w:rPr>
          <w:rFonts w:ascii="Calibri" w:eastAsia="Calibri" w:hAnsi="Calibri" w:cs="Times New Roman"/>
          <w:bCs/>
          <w:sz w:val="24"/>
          <w:szCs w:val="24"/>
          <w:lang w:eastAsia="en-US"/>
        </w:rPr>
        <w:t>Time For Peace</w:t>
      </w:r>
      <w:r>
        <w:rPr>
          <w:rFonts w:ascii="Calibri" w:eastAsia="Calibri" w:hAnsi="Calibri" w:cs="Times New Roman"/>
          <w:bCs/>
          <w:sz w:val="24"/>
          <w:szCs w:val="24"/>
          <w:lang w:eastAsia="en-US"/>
        </w:rPr>
        <w:t>”</w:t>
      </w:r>
      <w:r w:rsidR="00417DB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was running second approximately a length and a half behind. That margin closed a little approaching the home turn. Gotham Duke clearly lost ground on the home turn. It also moved away from the rails, allowing “</w:t>
      </w:r>
      <w:r w:rsidRPr="00291F05">
        <w:rPr>
          <w:rFonts w:ascii="Calibri" w:eastAsia="Calibri" w:hAnsi="Calibri" w:cs="Times New Roman"/>
          <w:bCs/>
          <w:sz w:val="24"/>
          <w:szCs w:val="24"/>
          <w:lang w:eastAsia="en-US"/>
        </w:rPr>
        <w:t>King Of Calypso</w:t>
      </w:r>
      <w:r>
        <w:rPr>
          <w:rFonts w:ascii="Calibri" w:eastAsia="Calibri" w:hAnsi="Calibri" w:cs="Times New Roman"/>
          <w:bCs/>
          <w:sz w:val="24"/>
          <w:szCs w:val="24"/>
          <w:lang w:eastAsia="en-US"/>
        </w:rPr>
        <w:t>” to go through and kick clear. Gotham Duke then rallied finishing strongly and was beaten by less than a length</w:t>
      </w:r>
      <w:r w:rsidR="004841C4">
        <w:rPr>
          <w:rFonts w:ascii="Calibri" w:eastAsia="Calibri" w:hAnsi="Calibri" w:cs="Times New Roman"/>
          <w:bCs/>
          <w:sz w:val="24"/>
          <w:szCs w:val="24"/>
          <w:lang w:eastAsia="en-US"/>
        </w:rPr>
        <w:t>. There was</w:t>
      </w:r>
      <w:r w:rsidR="009B5F50">
        <w:rPr>
          <w:rFonts w:ascii="Calibri" w:eastAsia="Calibri" w:hAnsi="Calibri" w:cs="Times New Roman"/>
          <w:bCs/>
          <w:sz w:val="24"/>
          <w:szCs w:val="24"/>
          <w:lang w:eastAsia="en-US"/>
        </w:rPr>
        <w:t xml:space="preserve"> a margin of almost two lengths to the third dog. </w:t>
      </w:r>
    </w:p>
    <w:p w14:paraId="1312E965" w14:textId="57907ACB" w:rsidR="009B5F50" w:rsidRDefault="009B5F50" w:rsidP="00B479D8">
      <w:pPr>
        <w:jc w:val="both"/>
        <w:rPr>
          <w:rFonts w:ascii="Calibri" w:eastAsia="Calibri" w:hAnsi="Calibri" w:cs="Times New Roman"/>
          <w:bCs/>
          <w:sz w:val="24"/>
          <w:szCs w:val="24"/>
          <w:lang w:eastAsia="en-US"/>
        </w:rPr>
      </w:pPr>
    </w:p>
    <w:p w14:paraId="5CAED98B" w14:textId="2D570EEB" w:rsidR="00417DB4" w:rsidRDefault="009B5F50" w:rsidP="00B479D8">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I have viewed the races many times. I do not regard Gotham Duke’s run at Cranbourne as being of great assistance. True it is that it led in both races</w:t>
      </w:r>
      <w:r w:rsidR="004841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its movement away from the rails at Cranbourne was much less than what occurred at The Meadows. It is also true that we had no head on vision. </w:t>
      </w:r>
      <w:r w:rsidR="00417DB4">
        <w:rPr>
          <w:rFonts w:ascii="Calibri" w:eastAsia="Calibri" w:hAnsi="Calibri" w:cs="Times New Roman"/>
          <w:bCs/>
          <w:sz w:val="24"/>
          <w:szCs w:val="24"/>
          <w:lang w:eastAsia="en-US"/>
        </w:rPr>
        <w:t>At The Meadows, Gotham Duke seemed to reduce speed and move a considerable distance from the rails</w:t>
      </w:r>
      <w:r w:rsidR="004841C4">
        <w:rPr>
          <w:rFonts w:ascii="Calibri" w:eastAsia="Calibri" w:hAnsi="Calibri" w:cs="Times New Roman"/>
          <w:bCs/>
          <w:sz w:val="24"/>
          <w:szCs w:val="24"/>
          <w:lang w:eastAsia="en-US"/>
        </w:rPr>
        <w:t>,</w:t>
      </w:r>
      <w:r w:rsidR="00417DB4">
        <w:rPr>
          <w:rFonts w:ascii="Calibri" w:eastAsia="Calibri" w:hAnsi="Calibri" w:cs="Times New Roman"/>
          <w:bCs/>
          <w:sz w:val="24"/>
          <w:szCs w:val="24"/>
          <w:lang w:eastAsia="en-US"/>
        </w:rPr>
        <w:t xml:space="preserve"> leaving plenty of room for the ultimate winner to go through</w:t>
      </w:r>
      <w:r w:rsidR="004841C4">
        <w:rPr>
          <w:rFonts w:ascii="Calibri" w:eastAsia="Calibri" w:hAnsi="Calibri" w:cs="Times New Roman"/>
          <w:bCs/>
          <w:sz w:val="24"/>
          <w:szCs w:val="24"/>
          <w:lang w:eastAsia="en-US"/>
        </w:rPr>
        <w:t>,</w:t>
      </w:r>
      <w:r w:rsidR="00417DB4">
        <w:rPr>
          <w:rFonts w:ascii="Calibri" w:eastAsia="Calibri" w:hAnsi="Calibri" w:cs="Times New Roman"/>
          <w:bCs/>
          <w:sz w:val="24"/>
          <w:szCs w:val="24"/>
          <w:lang w:eastAsia="en-US"/>
        </w:rPr>
        <w:t xml:space="preserve"> before finishing powerfully. </w:t>
      </w:r>
    </w:p>
    <w:p w14:paraId="3BCC27B4" w14:textId="77777777" w:rsidR="00417DB4" w:rsidRDefault="00417DB4" w:rsidP="00B479D8">
      <w:pPr>
        <w:jc w:val="both"/>
        <w:rPr>
          <w:rFonts w:ascii="Calibri" w:eastAsia="Calibri" w:hAnsi="Calibri" w:cs="Times New Roman"/>
          <w:bCs/>
          <w:sz w:val="24"/>
          <w:szCs w:val="24"/>
          <w:lang w:eastAsia="en-US"/>
        </w:rPr>
      </w:pPr>
    </w:p>
    <w:p w14:paraId="5CC392F0" w14:textId="380E4E4B" w:rsidR="009B5F50" w:rsidRDefault="00417DB4" w:rsidP="00B479D8">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am not satisfied that </w:t>
      </w:r>
      <w:r w:rsidRPr="00291F05">
        <w:rPr>
          <w:rFonts w:ascii="Calibri" w:eastAsia="Calibri" w:hAnsi="Calibri" w:cs="Times New Roman"/>
          <w:bCs/>
          <w:sz w:val="24"/>
          <w:szCs w:val="24"/>
          <w:lang w:eastAsia="en-US"/>
        </w:rPr>
        <w:t>Time For Peace</w:t>
      </w:r>
      <w:r>
        <w:rPr>
          <w:rFonts w:ascii="Calibri" w:eastAsia="Calibri" w:hAnsi="Calibri" w:cs="Times New Roman"/>
          <w:bCs/>
          <w:sz w:val="24"/>
          <w:szCs w:val="24"/>
          <w:lang w:eastAsia="en-US"/>
        </w:rPr>
        <w:t xml:space="preserve"> interfere</w:t>
      </w:r>
      <w:r w:rsidR="000949F3">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with Gotham Duke or, in essence, clipped its heels. The decision of the Stewards seems to me to be one that was open to them and I am comfortably satisfied that the Stewards case involving Gotham Duke has been made out. </w:t>
      </w:r>
      <w:r w:rsidR="00B432B5">
        <w:rPr>
          <w:rFonts w:ascii="Calibri" w:eastAsia="Calibri" w:hAnsi="Calibri" w:cs="Times New Roman"/>
          <w:bCs/>
          <w:sz w:val="24"/>
          <w:szCs w:val="24"/>
          <w:lang w:eastAsia="en-US"/>
        </w:rPr>
        <w:t>The appeal is dismissed.</w:t>
      </w:r>
    </w:p>
    <w:p w14:paraId="14D7815A" w14:textId="77777777" w:rsidR="00792C13" w:rsidRPr="007868CF" w:rsidRDefault="00792C1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17A9D" w14:textId="77777777" w:rsidR="008471B8" w:rsidRDefault="00847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80A9F" w14:textId="77777777" w:rsidR="008471B8" w:rsidRDefault="00847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1"/>
  </w:num>
  <w:num w:numId="2">
    <w:abstractNumId w:val="20"/>
  </w:num>
  <w:num w:numId="3">
    <w:abstractNumId w:val="11"/>
  </w:num>
  <w:num w:numId="4">
    <w:abstractNumId w:val="25"/>
  </w:num>
  <w:num w:numId="5">
    <w:abstractNumId w:val="27"/>
  </w:num>
  <w:num w:numId="6">
    <w:abstractNumId w:val="14"/>
  </w:num>
  <w:num w:numId="7">
    <w:abstractNumId w:val="10"/>
  </w:num>
  <w:num w:numId="8">
    <w:abstractNumId w:val="12"/>
  </w:num>
  <w:num w:numId="9">
    <w:abstractNumId w:val="4"/>
  </w:num>
  <w:num w:numId="10">
    <w:abstractNumId w:val="3"/>
  </w:num>
  <w:num w:numId="11">
    <w:abstractNumId w:val="23"/>
  </w:num>
  <w:num w:numId="12">
    <w:abstractNumId w:val="24"/>
  </w:num>
  <w:num w:numId="13">
    <w:abstractNumId w:val="35"/>
  </w:num>
  <w:num w:numId="14">
    <w:abstractNumId w:val="16"/>
  </w:num>
  <w:num w:numId="15">
    <w:abstractNumId w:val="32"/>
  </w:num>
  <w:num w:numId="16">
    <w:abstractNumId w:val="13"/>
  </w:num>
  <w:num w:numId="17">
    <w:abstractNumId w:val="2"/>
  </w:num>
  <w:num w:numId="18">
    <w:abstractNumId w:val="40"/>
  </w:num>
  <w:num w:numId="19">
    <w:abstractNumId w:val="29"/>
  </w:num>
  <w:num w:numId="20">
    <w:abstractNumId w:val="1"/>
  </w:num>
  <w:num w:numId="21">
    <w:abstractNumId w:val="7"/>
  </w:num>
  <w:num w:numId="22">
    <w:abstractNumId w:val="33"/>
  </w:num>
  <w:num w:numId="23">
    <w:abstractNumId w:val="28"/>
  </w:num>
  <w:num w:numId="24">
    <w:abstractNumId w:val="26"/>
  </w:num>
  <w:num w:numId="25">
    <w:abstractNumId w:val="38"/>
  </w:num>
  <w:num w:numId="26">
    <w:abstractNumId w:val="8"/>
  </w:num>
  <w:num w:numId="27">
    <w:abstractNumId w:val="0"/>
  </w:num>
  <w:num w:numId="28">
    <w:abstractNumId w:val="17"/>
  </w:num>
  <w:num w:numId="29">
    <w:abstractNumId w:val="31"/>
  </w:num>
  <w:num w:numId="30">
    <w:abstractNumId w:val="22"/>
  </w:num>
  <w:num w:numId="31">
    <w:abstractNumId w:val="39"/>
  </w:num>
  <w:num w:numId="32">
    <w:abstractNumId w:val="18"/>
  </w:num>
  <w:num w:numId="33">
    <w:abstractNumId w:val="5"/>
  </w:num>
  <w:num w:numId="34">
    <w:abstractNumId w:val="6"/>
  </w:num>
  <w:num w:numId="35">
    <w:abstractNumId w:val="37"/>
  </w:num>
  <w:num w:numId="36">
    <w:abstractNumId w:val="30"/>
  </w:num>
  <w:num w:numId="37">
    <w:abstractNumId w:val="15"/>
  </w:num>
  <w:num w:numId="38">
    <w:abstractNumId w:val="36"/>
  </w:num>
  <w:num w:numId="39">
    <w:abstractNumId w:val="41"/>
  </w:num>
  <w:num w:numId="40">
    <w:abstractNumId w:val="19"/>
  </w:num>
  <w:num w:numId="41">
    <w:abstractNumId w:val="9"/>
  </w:num>
  <w:num w:numId="4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949F3"/>
    <w:rsid w:val="000A02FB"/>
    <w:rsid w:val="000A04DF"/>
    <w:rsid w:val="000A4CB3"/>
    <w:rsid w:val="000B5E53"/>
    <w:rsid w:val="000C05F5"/>
    <w:rsid w:val="000C12B2"/>
    <w:rsid w:val="000C2653"/>
    <w:rsid w:val="000C73F9"/>
    <w:rsid w:val="000E5309"/>
    <w:rsid w:val="000E5956"/>
    <w:rsid w:val="000E6E5D"/>
    <w:rsid w:val="000F5A17"/>
    <w:rsid w:val="00100F14"/>
    <w:rsid w:val="001010DD"/>
    <w:rsid w:val="00105417"/>
    <w:rsid w:val="0012029D"/>
    <w:rsid w:val="001203CF"/>
    <w:rsid w:val="00120936"/>
    <w:rsid w:val="00122152"/>
    <w:rsid w:val="00130C3D"/>
    <w:rsid w:val="0013537F"/>
    <w:rsid w:val="001372AC"/>
    <w:rsid w:val="00142AF8"/>
    <w:rsid w:val="001459C3"/>
    <w:rsid w:val="00145A3A"/>
    <w:rsid w:val="001530AD"/>
    <w:rsid w:val="00155CA4"/>
    <w:rsid w:val="001570C5"/>
    <w:rsid w:val="00165E82"/>
    <w:rsid w:val="00166051"/>
    <w:rsid w:val="001720E6"/>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C5EEC"/>
    <w:rsid w:val="001D436E"/>
    <w:rsid w:val="001D5EA1"/>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1F05"/>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17DB4"/>
    <w:rsid w:val="004208B8"/>
    <w:rsid w:val="004235E9"/>
    <w:rsid w:val="00425AD7"/>
    <w:rsid w:val="00427624"/>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1C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0B8C"/>
    <w:rsid w:val="004C433B"/>
    <w:rsid w:val="004D1D37"/>
    <w:rsid w:val="004D6D59"/>
    <w:rsid w:val="004D758C"/>
    <w:rsid w:val="004D7701"/>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003"/>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44183"/>
    <w:rsid w:val="007510B7"/>
    <w:rsid w:val="007522E4"/>
    <w:rsid w:val="00757D1A"/>
    <w:rsid w:val="00760F9A"/>
    <w:rsid w:val="0076402E"/>
    <w:rsid w:val="00765C61"/>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1B8"/>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B5F50"/>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5071"/>
    <w:rsid w:val="00A176EF"/>
    <w:rsid w:val="00A201DA"/>
    <w:rsid w:val="00A2741B"/>
    <w:rsid w:val="00A36564"/>
    <w:rsid w:val="00A37540"/>
    <w:rsid w:val="00A41F1D"/>
    <w:rsid w:val="00A532F0"/>
    <w:rsid w:val="00A533ED"/>
    <w:rsid w:val="00A53899"/>
    <w:rsid w:val="00A55BAC"/>
    <w:rsid w:val="00A57E53"/>
    <w:rsid w:val="00A612CD"/>
    <w:rsid w:val="00A61AAD"/>
    <w:rsid w:val="00A6395E"/>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793"/>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32B5"/>
    <w:rsid w:val="00B45872"/>
    <w:rsid w:val="00B471E1"/>
    <w:rsid w:val="00B47419"/>
    <w:rsid w:val="00B479D8"/>
    <w:rsid w:val="00B52D5C"/>
    <w:rsid w:val="00B552F2"/>
    <w:rsid w:val="00B55525"/>
    <w:rsid w:val="00B64429"/>
    <w:rsid w:val="00B66EA7"/>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659"/>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7D"/>
    <w:rsid w:val="00C910D2"/>
    <w:rsid w:val="00C937A6"/>
    <w:rsid w:val="00C967A6"/>
    <w:rsid w:val="00CA2234"/>
    <w:rsid w:val="00CA2542"/>
    <w:rsid w:val="00CA6118"/>
    <w:rsid w:val="00CC681A"/>
    <w:rsid w:val="00CC6904"/>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25C"/>
    <w:rsid w:val="00E076F3"/>
    <w:rsid w:val="00E07FB8"/>
    <w:rsid w:val="00E14B1E"/>
    <w:rsid w:val="00E264FE"/>
    <w:rsid w:val="00E2658C"/>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2E5D"/>
    <w:rsid w:val="00E93C7C"/>
    <w:rsid w:val="00E9457B"/>
    <w:rsid w:val="00E95951"/>
    <w:rsid w:val="00EA5F8A"/>
    <w:rsid w:val="00EB0ECC"/>
    <w:rsid w:val="00EB0F16"/>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3889"/>
    <w:rsid w:val="00F85109"/>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d7c06bf7-bf01-468e-9525-747b44a2c7d6"/>
    <ds:schemaRef ds:uri="http://purl.org/dc/terms/"/>
    <ds:schemaRef ds:uri="http://schemas.microsoft.com/office/2006/documentManagement/types"/>
    <ds:schemaRef ds:uri="293a3892-283b-4365-b943-c074b0470200"/>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2021-05-11T00:12:00Z</cp:lastPrinted>
  <dcterms:created xsi:type="dcterms:W3CDTF">2021-04-22T04:49:00Z</dcterms:created>
  <dcterms:modified xsi:type="dcterms:W3CDTF">2021-05-11T00:12:00Z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2021-05-11T00:12:34Z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