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746E3DA" w:rsidR="00DA77A1" w:rsidRDefault="00377310" w:rsidP="007868CF">
      <w:pPr>
        <w:pStyle w:val="Reference"/>
      </w:pPr>
      <w:r>
        <w:t>13</w:t>
      </w:r>
      <w:r w:rsidR="0039209A">
        <w:t xml:space="preserve"> December</w:t>
      </w:r>
      <w:r w:rsidR="00433A88">
        <w:t xml:space="preserve"> </w:t>
      </w:r>
      <w:r w:rsidR="007868CF">
        <w:t>20</w:t>
      </w:r>
      <w:r w:rsidR="0008161F">
        <w:t>2</w:t>
      </w:r>
      <w:r w:rsidR="007C5173">
        <w:t>2</w:t>
      </w:r>
    </w:p>
    <w:p w14:paraId="0B7AC0BD" w14:textId="511FB5C9" w:rsidR="007868CF" w:rsidRPr="007868CF" w:rsidRDefault="0045028C"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RULING</w:t>
      </w:r>
      <w:r w:rsidR="00D034E5">
        <w:rPr>
          <w:rFonts w:ascii="Calibri" w:eastAsia="Calibri" w:hAnsi="Calibri" w:cs="Times New Roman"/>
          <w:b/>
          <w:sz w:val="40"/>
          <w:szCs w:val="40"/>
          <w:lang w:eastAsia="en-US"/>
        </w:rPr>
        <w:t xml:space="preserve"> No. 2</w:t>
      </w:r>
    </w:p>
    <w:p w14:paraId="7F40CE13" w14:textId="39C0D539" w:rsidR="007868CF" w:rsidRPr="007868CF" w:rsidRDefault="007C517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DAEA7DA" w14:textId="1D37CFA8" w:rsidR="007868CF" w:rsidRPr="007868CF" w:rsidRDefault="007C5173" w:rsidP="007868CF">
      <w:pPr>
        <w:spacing w:after="160" w:line="259" w:lineRule="auto"/>
        <w:jc w:val="center"/>
        <w:rPr>
          <w:rFonts w:ascii="Calibri" w:eastAsia="Calibri" w:hAnsi="Calibri" w:cs="Times New Roman"/>
          <w:b/>
          <w:u w:val="single"/>
          <w:lang w:eastAsia="en-US"/>
        </w:rPr>
      </w:pPr>
      <w:r>
        <w:rPr>
          <w:rFonts w:ascii="Calibri" w:eastAsia="Calibri" w:hAnsi="Calibri" w:cs="Times New Roman"/>
          <w:b/>
          <w:sz w:val="28"/>
          <w:szCs w:val="28"/>
          <w:lang w:eastAsia="en-US"/>
        </w:rPr>
        <w:t>TONY ASTBURY</w:t>
      </w:r>
    </w:p>
    <w:p w14:paraId="4ADED55B" w14:textId="77777777" w:rsidR="00934854" w:rsidRDefault="00934854" w:rsidP="007868CF">
      <w:pPr>
        <w:spacing w:after="160" w:line="259" w:lineRule="auto"/>
        <w:jc w:val="both"/>
        <w:rPr>
          <w:rFonts w:ascii="Calibri" w:eastAsia="Calibri" w:hAnsi="Calibri" w:cs="Times New Roman"/>
          <w:b/>
          <w:sz w:val="24"/>
          <w:szCs w:val="24"/>
          <w:lang w:eastAsia="en-US"/>
        </w:rPr>
      </w:pPr>
    </w:p>
    <w:p w14:paraId="706A3341" w14:textId="064C22B5"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C623B">
        <w:rPr>
          <w:rFonts w:ascii="Calibri" w:eastAsia="Calibri" w:hAnsi="Calibri" w:cs="Times New Roman"/>
          <w:sz w:val="24"/>
          <w:szCs w:val="24"/>
          <w:lang w:eastAsia="en-US"/>
        </w:rPr>
        <w:t>6 December</w:t>
      </w:r>
      <w:r w:rsidR="007C5173">
        <w:rPr>
          <w:rFonts w:ascii="Calibri" w:eastAsia="Calibri" w:hAnsi="Calibri" w:cs="Times New Roman"/>
          <w:sz w:val="24"/>
          <w:szCs w:val="24"/>
          <w:lang w:eastAsia="en-US"/>
        </w:rPr>
        <w:t xml:space="preserve"> </w:t>
      </w:r>
      <w:r w:rsidR="00433A88">
        <w:rPr>
          <w:rFonts w:ascii="Calibri" w:eastAsia="Calibri" w:hAnsi="Calibri" w:cs="Times New Roman"/>
          <w:sz w:val="24"/>
          <w:szCs w:val="24"/>
          <w:lang w:eastAsia="en-US"/>
        </w:rPr>
        <w:t>202</w:t>
      </w:r>
      <w:r w:rsidR="007C5173">
        <w:rPr>
          <w:rFonts w:ascii="Calibri" w:eastAsia="Calibri" w:hAnsi="Calibri" w:cs="Times New Roman"/>
          <w:sz w:val="24"/>
          <w:szCs w:val="24"/>
          <w:lang w:eastAsia="en-US"/>
        </w:rPr>
        <w:t>2</w:t>
      </w:r>
    </w:p>
    <w:p w14:paraId="353D3562" w14:textId="0B0B782C"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13ED4">
        <w:rPr>
          <w:rFonts w:ascii="Calibri" w:eastAsia="Calibri" w:hAnsi="Calibri" w:cs="Times New Roman"/>
          <w:sz w:val="24"/>
          <w:szCs w:val="24"/>
          <w:lang w:eastAsia="en-US"/>
        </w:rPr>
        <w:t>Ju</w:t>
      </w:r>
      <w:r w:rsidR="00433A88">
        <w:rPr>
          <w:rFonts w:ascii="Calibri" w:eastAsia="Calibri" w:hAnsi="Calibri" w:cs="Times New Roman"/>
          <w:sz w:val="24"/>
          <w:szCs w:val="24"/>
          <w:lang w:eastAsia="en-US"/>
        </w:rPr>
        <w:t xml:space="preserve">dge </w:t>
      </w:r>
      <w:r w:rsidR="007C5173">
        <w:rPr>
          <w:rFonts w:ascii="Calibri" w:eastAsia="Calibri" w:hAnsi="Calibri" w:cs="Times New Roman"/>
          <w:sz w:val="24"/>
          <w:szCs w:val="24"/>
          <w:lang w:eastAsia="en-US"/>
        </w:rPr>
        <w:t xml:space="preserve">John Bowman </w:t>
      </w:r>
      <w:r w:rsidRPr="007868CF">
        <w:rPr>
          <w:rFonts w:ascii="Calibri" w:eastAsia="Calibri" w:hAnsi="Calibri" w:cs="Times New Roman"/>
          <w:sz w:val="24"/>
          <w:szCs w:val="24"/>
          <w:lang w:eastAsia="en-US"/>
        </w:rPr>
        <w:t>(Chairperson)</w:t>
      </w:r>
      <w:r w:rsidR="00433A88">
        <w:rPr>
          <w:rFonts w:ascii="Calibri" w:eastAsia="Calibri" w:hAnsi="Calibri" w:cs="Times New Roman"/>
          <w:sz w:val="24"/>
          <w:szCs w:val="24"/>
          <w:lang w:eastAsia="en-US"/>
        </w:rPr>
        <w:t xml:space="preserve">. </w:t>
      </w:r>
      <w:r w:rsidR="0098774C">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0835B251" w14:textId="5CE88EBC" w:rsidR="007868CF" w:rsidRPr="0022148C"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22148C">
        <w:rPr>
          <w:rFonts w:ascii="Calibri" w:eastAsia="Calibri" w:hAnsi="Calibri" w:cs="Times New Roman"/>
          <w:sz w:val="24"/>
          <w:szCs w:val="24"/>
          <w:lang w:eastAsia="en-US"/>
        </w:rPr>
        <w:t>Br</w:t>
      </w:r>
      <w:r w:rsidR="007C5173">
        <w:rPr>
          <w:rFonts w:ascii="Calibri" w:eastAsia="Calibri" w:hAnsi="Calibri" w:cs="Times New Roman"/>
          <w:sz w:val="24"/>
          <w:szCs w:val="24"/>
          <w:lang w:eastAsia="en-US"/>
        </w:rPr>
        <w:t>ad Powell</w:t>
      </w:r>
      <w:r w:rsidR="0022148C">
        <w:rPr>
          <w:rFonts w:ascii="Calibri" w:eastAsia="Calibri" w:hAnsi="Calibri" w:cs="Times New Roman"/>
          <w:sz w:val="24"/>
          <w:szCs w:val="24"/>
          <w:lang w:eastAsia="en-US"/>
        </w:rPr>
        <w:t xml:space="preserve"> </w:t>
      </w:r>
      <w:r w:rsidRPr="0022148C">
        <w:rPr>
          <w:rFonts w:ascii="Calibri" w:eastAsia="Calibri" w:hAnsi="Calibri" w:cs="Times New Roman"/>
          <w:sz w:val="24"/>
          <w:szCs w:val="24"/>
          <w:lang w:eastAsia="en-US"/>
        </w:rPr>
        <w:t xml:space="preserve">appeared on behalf of the </w:t>
      </w:r>
      <w:r w:rsidR="005B38F9" w:rsidRPr="0022148C">
        <w:rPr>
          <w:rFonts w:ascii="Calibri" w:eastAsia="Calibri" w:hAnsi="Calibri" w:cs="Times New Roman"/>
          <w:sz w:val="24"/>
          <w:szCs w:val="24"/>
          <w:lang w:eastAsia="en-US"/>
        </w:rPr>
        <w:t>Stewards</w:t>
      </w:r>
      <w:r w:rsidRPr="0022148C">
        <w:rPr>
          <w:rFonts w:ascii="Calibri" w:eastAsia="Calibri" w:hAnsi="Calibri" w:cs="Times New Roman"/>
          <w:sz w:val="24"/>
          <w:szCs w:val="24"/>
          <w:lang w:eastAsia="en-US"/>
        </w:rPr>
        <w:t xml:space="preserve">. </w:t>
      </w:r>
    </w:p>
    <w:p w14:paraId="0F068C5E" w14:textId="1493E076" w:rsidR="007868CF" w:rsidRPr="0022148C" w:rsidRDefault="007868CF" w:rsidP="007868CF">
      <w:pPr>
        <w:spacing w:line="259" w:lineRule="auto"/>
        <w:jc w:val="both"/>
        <w:rPr>
          <w:rFonts w:ascii="Calibri" w:eastAsia="Calibri" w:hAnsi="Calibri" w:cs="Times New Roman"/>
          <w:sz w:val="24"/>
          <w:szCs w:val="24"/>
          <w:lang w:eastAsia="en-US"/>
        </w:rPr>
      </w:pPr>
      <w:r w:rsidRPr="0022148C">
        <w:rPr>
          <w:rFonts w:ascii="Calibri" w:eastAsia="Calibri" w:hAnsi="Calibri" w:cs="Times New Roman"/>
          <w:sz w:val="24"/>
          <w:szCs w:val="24"/>
          <w:lang w:eastAsia="en-US"/>
        </w:rPr>
        <w:tab/>
      </w:r>
      <w:r w:rsidRPr="0022148C">
        <w:rPr>
          <w:rFonts w:ascii="Calibri" w:eastAsia="Calibri" w:hAnsi="Calibri" w:cs="Times New Roman"/>
          <w:sz w:val="24"/>
          <w:szCs w:val="24"/>
          <w:lang w:eastAsia="en-US"/>
        </w:rPr>
        <w:tab/>
      </w:r>
      <w:r w:rsidRPr="0022148C">
        <w:rPr>
          <w:rFonts w:ascii="Calibri" w:eastAsia="Calibri" w:hAnsi="Calibri" w:cs="Times New Roman"/>
          <w:sz w:val="24"/>
          <w:szCs w:val="24"/>
          <w:lang w:eastAsia="en-US"/>
        </w:rPr>
        <w:tab/>
      </w:r>
      <w:r w:rsidRPr="0022148C">
        <w:rPr>
          <w:rFonts w:ascii="Calibri" w:eastAsia="Calibri" w:hAnsi="Calibri" w:cs="Times New Roman"/>
          <w:sz w:val="24"/>
          <w:szCs w:val="24"/>
          <w:lang w:eastAsia="en-US"/>
        </w:rPr>
        <w:tab/>
        <w:t xml:space="preserve">Mr </w:t>
      </w:r>
      <w:r w:rsidR="0022148C">
        <w:rPr>
          <w:rFonts w:ascii="Calibri" w:eastAsia="Calibri" w:hAnsi="Calibri" w:cs="Times New Roman"/>
          <w:sz w:val="24"/>
          <w:szCs w:val="24"/>
          <w:lang w:eastAsia="en-US"/>
        </w:rPr>
        <w:t>Lance Justice r</w:t>
      </w:r>
      <w:r w:rsidR="0098774C" w:rsidRPr="0022148C">
        <w:rPr>
          <w:rFonts w:ascii="Calibri" w:eastAsia="Calibri" w:hAnsi="Calibri" w:cs="Times New Roman"/>
          <w:sz w:val="24"/>
          <w:szCs w:val="24"/>
          <w:lang w:eastAsia="en-US"/>
        </w:rPr>
        <w:t xml:space="preserve">epresented </w:t>
      </w:r>
      <w:r w:rsidR="0022148C">
        <w:rPr>
          <w:rFonts w:ascii="Calibri" w:eastAsia="Calibri" w:hAnsi="Calibri" w:cs="Times New Roman"/>
          <w:sz w:val="24"/>
          <w:szCs w:val="24"/>
          <w:lang w:eastAsia="en-US"/>
        </w:rPr>
        <w:t xml:space="preserve">Mr </w:t>
      </w:r>
      <w:r w:rsidR="007C5173">
        <w:rPr>
          <w:rFonts w:ascii="Calibri" w:eastAsia="Calibri" w:hAnsi="Calibri" w:cs="Times New Roman"/>
          <w:sz w:val="24"/>
          <w:szCs w:val="24"/>
          <w:lang w:eastAsia="en-US"/>
        </w:rPr>
        <w:t>Tony Astbury</w:t>
      </w:r>
      <w:r w:rsidR="0098774C" w:rsidRPr="0022148C">
        <w:rPr>
          <w:rFonts w:ascii="Calibri" w:eastAsia="Calibri" w:hAnsi="Calibri" w:cs="Times New Roman"/>
          <w:sz w:val="24"/>
          <w:szCs w:val="24"/>
          <w:lang w:eastAsia="en-US"/>
        </w:rPr>
        <w:t xml:space="preserve">. </w:t>
      </w:r>
      <w:r w:rsidR="0008161F" w:rsidRPr="0022148C">
        <w:rPr>
          <w:rFonts w:ascii="Calibri" w:eastAsia="Calibri" w:hAnsi="Calibri" w:cs="Times New Roman"/>
          <w:sz w:val="24"/>
          <w:szCs w:val="24"/>
          <w:lang w:eastAsia="en-US"/>
        </w:rPr>
        <w:t xml:space="preserve"> </w:t>
      </w:r>
      <w:r w:rsidRPr="0022148C">
        <w:rPr>
          <w:rFonts w:ascii="Calibri" w:eastAsia="Calibri" w:hAnsi="Calibri" w:cs="Times New Roman"/>
          <w:sz w:val="24"/>
          <w:szCs w:val="24"/>
          <w:lang w:eastAsia="en-US"/>
        </w:rPr>
        <w:t xml:space="preserve"> </w:t>
      </w:r>
    </w:p>
    <w:bookmarkEnd w:id="0"/>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9F8036D" w14:textId="33046948" w:rsidR="007868CF" w:rsidRDefault="0045028C" w:rsidP="007868CF">
      <w:pPr>
        <w:spacing w:line="259" w:lineRule="auto"/>
        <w:ind w:left="2160" w:hanging="216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RULING</w:t>
      </w:r>
      <w:r w:rsidR="00D034E5">
        <w:rPr>
          <w:rFonts w:ascii="Calibri" w:eastAsia="Calibri" w:hAnsi="Calibri" w:cs="Times New Roman"/>
          <w:b/>
          <w:sz w:val="24"/>
          <w:szCs w:val="24"/>
          <w:lang w:eastAsia="en-US"/>
        </w:rPr>
        <w:t xml:space="preserve"> No. 2</w:t>
      </w:r>
      <w:r w:rsidR="007868CF" w:rsidRPr="007868CF">
        <w:rPr>
          <w:rFonts w:ascii="Calibri" w:eastAsia="Calibri" w:hAnsi="Calibri" w:cs="Times New Roman"/>
          <w:b/>
          <w:sz w:val="24"/>
          <w:szCs w:val="24"/>
          <w:lang w:eastAsia="en-US"/>
        </w:rPr>
        <w:tab/>
      </w:r>
    </w:p>
    <w:p w14:paraId="77810002" w14:textId="339CB9AB" w:rsidR="00FC53D6" w:rsidRDefault="00FC53D6" w:rsidP="0081738F">
      <w:pPr>
        <w:spacing w:line="259" w:lineRule="auto"/>
        <w:jc w:val="both"/>
        <w:rPr>
          <w:rFonts w:ascii="Calibri" w:eastAsia="Calibri" w:hAnsi="Calibri" w:cs="Times New Roman"/>
          <w:sz w:val="24"/>
          <w:szCs w:val="24"/>
          <w:lang w:eastAsia="en-US"/>
        </w:rPr>
      </w:pPr>
    </w:p>
    <w:p w14:paraId="6BE8BF9E" w14:textId="66B5D5E3" w:rsidR="005C623B" w:rsidRDefault="005C623B" w:rsidP="0081738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1 December 2022 I handed down my Ruling in relation to the Tribunal’s jurisdiction in this dispute</w:t>
      </w:r>
      <w:r w:rsidR="00E933B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 dispute which came on at very short notice and with little documentation. </w:t>
      </w:r>
      <w:r w:rsidR="00E933B2">
        <w:rPr>
          <w:rFonts w:ascii="Calibri" w:eastAsia="Calibri" w:hAnsi="Calibri" w:cs="Times New Roman"/>
          <w:sz w:val="24"/>
          <w:szCs w:val="24"/>
          <w:lang w:eastAsia="en-US"/>
        </w:rPr>
        <w:t>I would refer to t</w:t>
      </w:r>
      <w:r>
        <w:rPr>
          <w:rFonts w:ascii="Calibri" w:eastAsia="Calibri" w:hAnsi="Calibri" w:cs="Times New Roman"/>
          <w:sz w:val="24"/>
          <w:szCs w:val="24"/>
          <w:lang w:eastAsia="en-US"/>
        </w:rPr>
        <w:t xml:space="preserve">he factual background set out in </w:t>
      </w:r>
      <w:r w:rsidR="00377310">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 xml:space="preserve">Ruling. I would also point out that </w:t>
      </w:r>
      <w:r w:rsidR="00E933B2">
        <w:rPr>
          <w:rFonts w:ascii="Calibri" w:eastAsia="Calibri" w:hAnsi="Calibri" w:cs="Times New Roman"/>
          <w:sz w:val="24"/>
          <w:szCs w:val="24"/>
          <w:lang w:eastAsia="en-US"/>
        </w:rPr>
        <w:t xml:space="preserve">only a limited </w:t>
      </w:r>
      <w:r>
        <w:rPr>
          <w:rFonts w:ascii="Calibri" w:eastAsia="Calibri" w:hAnsi="Calibri" w:cs="Times New Roman"/>
          <w:sz w:val="24"/>
          <w:szCs w:val="24"/>
          <w:lang w:eastAsia="en-US"/>
        </w:rPr>
        <w:t xml:space="preserve">number of facts was available and that my provisional finding that the Tribunal had jurisdiction was based upon the presumption that, at the relevant time, Mr Astbury was a licensed person. </w:t>
      </w:r>
    </w:p>
    <w:p w14:paraId="769E2FDE" w14:textId="77777777" w:rsidR="005C623B" w:rsidRDefault="005C623B" w:rsidP="0081738F">
      <w:pPr>
        <w:spacing w:line="259" w:lineRule="auto"/>
        <w:jc w:val="both"/>
        <w:rPr>
          <w:rFonts w:ascii="Calibri" w:eastAsia="Calibri" w:hAnsi="Calibri" w:cs="Times New Roman"/>
          <w:sz w:val="24"/>
          <w:szCs w:val="24"/>
          <w:lang w:eastAsia="en-US"/>
        </w:rPr>
      </w:pPr>
    </w:p>
    <w:p w14:paraId="21140525" w14:textId="21A468AD" w:rsidR="00204827" w:rsidRDefault="005C623B" w:rsidP="0081738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have now been advised that Mr Astbury was not at </w:t>
      </w:r>
      <w:r w:rsidR="004616EB">
        <w:rPr>
          <w:rFonts w:ascii="Calibri" w:eastAsia="Calibri" w:hAnsi="Calibri" w:cs="Times New Roman"/>
          <w:sz w:val="24"/>
          <w:szCs w:val="24"/>
          <w:lang w:eastAsia="en-US"/>
        </w:rPr>
        <w:t>t</w:t>
      </w:r>
      <w:r>
        <w:rPr>
          <w:rFonts w:ascii="Calibri" w:eastAsia="Calibri" w:hAnsi="Calibri" w:cs="Times New Roman"/>
          <w:sz w:val="24"/>
          <w:szCs w:val="24"/>
          <w:lang w:eastAsia="en-US"/>
        </w:rPr>
        <w:t>he relevant time</w:t>
      </w:r>
      <w:r w:rsidR="004616EB">
        <w:rPr>
          <w:rFonts w:ascii="Calibri" w:eastAsia="Calibri" w:hAnsi="Calibri" w:cs="Times New Roman"/>
          <w:sz w:val="24"/>
          <w:szCs w:val="24"/>
          <w:lang w:eastAsia="en-US"/>
        </w:rPr>
        <w:t xml:space="preserve"> </w:t>
      </w:r>
      <w:r w:rsidR="00E933B2">
        <w:rPr>
          <w:rFonts w:ascii="Calibri" w:eastAsia="Calibri" w:hAnsi="Calibri" w:cs="Times New Roman"/>
          <w:sz w:val="24"/>
          <w:szCs w:val="24"/>
          <w:lang w:eastAsia="en-US"/>
        </w:rPr>
        <w:t xml:space="preserve">and </w:t>
      </w:r>
      <w:r w:rsidR="004616EB">
        <w:rPr>
          <w:rFonts w:ascii="Calibri" w:eastAsia="Calibri" w:hAnsi="Calibri" w:cs="Times New Roman"/>
          <w:sz w:val="24"/>
          <w:szCs w:val="24"/>
          <w:lang w:eastAsia="en-US"/>
        </w:rPr>
        <w:t xml:space="preserve">is not a licensed person. Whether he was a direct </w:t>
      </w:r>
      <w:r w:rsidR="00204827">
        <w:rPr>
          <w:rFonts w:ascii="Calibri" w:eastAsia="Calibri" w:hAnsi="Calibri" w:cs="Times New Roman"/>
          <w:sz w:val="24"/>
          <w:szCs w:val="24"/>
          <w:lang w:eastAsia="en-US"/>
        </w:rPr>
        <w:t xml:space="preserve">employee of Harness Racing Victoria (“HRV”) or was a contractor is not clear. What remains clear is that the duties which he performed </w:t>
      </w:r>
      <w:r w:rsidR="00E933B2">
        <w:rPr>
          <w:rFonts w:ascii="Calibri" w:eastAsia="Calibri" w:hAnsi="Calibri" w:cs="Times New Roman"/>
          <w:sz w:val="24"/>
          <w:szCs w:val="24"/>
          <w:lang w:eastAsia="en-US"/>
        </w:rPr>
        <w:t>were</w:t>
      </w:r>
      <w:r w:rsidR="00204827">
        <w:rPr>
          <w:rFonts w:ascii="Calibri" w:eastAsia="Calibri" w:hAnsi="Calibri" w:cs="Times New Roman"/>
          <w:sz w:val="24"/>
          <w:szCs w:val="24"/>
          <w:lang w:eastAsia="en-US"/>
        </w:rPr>
        <w:t xml:space="preserve"> </w:t>
      </w:r>
      <w:r w:rsidR="00377310">
        <w:rPr>
          <w:rFonts w:ascii="Calibri" w:eastAsia="Calibri" w:hAnsi="Calibri" w:cs="Times New Roman"/>
          <w:sz w:val="24"/>
          <w:szCs w:val="24"/>
          <w:lang w:eastAsia="en-US"/>
        </w:rPr>
        <w:t xml:space="preserve">those of </w:t>
      </w:r>
      <w:r w:rsidR="00204827">
        <w:rPr>
          <w:rFonts w:ascii="Calibri" w:eastAsia="Calibri" w:hAnsi="Calibri" w:cs="Times New Roman"/>
          <w:sz w:val="24"/>
          <w:szCs w:val="24"/>
          <w:lang w:eastAsia="en-US"/>
        </w:rPr>
        <w:t>a Clerk of the Course at various harness racing venues and that he was not a licensed person.</w:t>
      </w:r>
    </w:p>
    <w:p w14:paraId="21705BEA" w14:textId="77777777" w:rsidR="00204827" w:rsidRDefault="00204827" w:rsidP="0081738F">
      <w:pPr>
        <w:spacing w:line="259" w:lineRule="auto"/>
        <w:jc w:val="both"/>
        <w:rPr>
          <w:rFonts w:ascii="Calibri" w:eastAsia="Calibri" w:hAnsi="Calibri" w:cs="Times New Roman"/>
          <w:sz w:val="24"/>
          <w:szCs w:val="24"/>
          <w:lang w:eastAsia="en-US"/>
        </w:rPr>
      </w:pPr>
    </w:p>
    <w:p w14:paraId="0EA958B5" w14:textId="3B507A15" w:rsidR="00204827" w:rsidRDefault="00204827" w:rsidP="0081738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light of this further information</w:t>
      </w:r>
      <w:r w:rsidR="0037731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my Ruling has, of necessity, been revised. </w:t>
      </w:r>
    </w:p>
    <w:p w14:paraId="116EB7E3" w14:textId="77777777" w:rsidR="00204827" w:rsidRDefault="00204827" w:rsidP="0081738F">
      <w:pPr>
        <w:spacing w:line="259" w:lineRule="auto"/>
        <w:jc w:val="both"/>
        <w:rPr>
          <w:rFonts w:ascii="Calibri" w:eastAsia="Calibri" w:hAnsi="Calibri" w:cs="Times New Roman"/>
          <w:sz w:val="24"/>
          <w:szCs w:val="24"/>
          <w:lang w:eastAsia="en-US"/>
        </w:rPr>
      </w:pPr>
    </w:p>
    <w:p w14:paraId="51558579" w14:textId="05BA41EA" w:rsidR="007B0435" w:rsidRDefault="00204827" w:rsidP="0081738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would refer again to AHRR 15(1)(e) and 15(1)(</w:t>
      </w:r>
      <w:r w:rsidR="00E933B2">
        <w:rPr>
          <w:rFonts w:ascii="Calibri" w:eastAsia="Calibri" w:hAnsi="Calibri" w:cs="Times New Roman"/>
          <w:sz w:val="24"/>
          <w:szCs w:val="24"/>
          <w:lang w:eastAsia="en-US"/>
        </w:rPr>
        <w:t>a</w:t>
      </w:r>
      <w:r>
        <w:rPr>
          <w:rFonts w:ascii="Calibri" w:eastAsia="Calibri" w:hAnsi="Calibri" w:cs="Times New Roman"/>
          <w:sz w:val="24"/>
          <w:szCs w:val="24"/>
          <w:lang w:eastAsia="en-US"/>
        </w:rPr>
        <w:t>). Prima facie, it seems to me that Rule 15(1)(</w:t>
      </w:r>
      <w:r w:rsidR="00E933B2">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still has clear relevance. </w:t>
      </w:r>
      <w:r w:rsidR="007B0435">
        <w:rPr>
          <w:rFonts w:ascii="Calibri" w:eastAsia="Calibri" w:hAnsi="Calibri" w:cs="Times New Roman"/>
          <w:sz w:val="24"/>
          <w:szCs w:val="24"/>
          <w:lang w:eastAsia="en-US"/>
        </w:rPr>
        <w:t xml:space="preserve">Mr Astbury is appointed, employed or engaged in an aspect of the harness racing industry, that aspect being a </w:t>
      </w:r>
      <w:r w:rsidR="00377310">
        <w:rPr>
          <w:rFonts w:ascii="Calibri" w:eastAsia="Calibri" w:hAnsi="Calibri" w:cs="Times New Roman"/>
          <w:sz w:val="24"/>
          <w:szCs w:val="24"/>
          <w:lang w:eastAsia="en-US"/>
        </w:rPr>
        <w:t>C</w:t>
      </w:r>
      <w:r w:rsidR="007B0435">
        <w:rPr>
          <w:rFonts w:ascii="Calibri" w:eastAsia="Calibri" w:hAnsi="Calibri" w:cs="Times New Roman"/>
          <w:sz w:val="24"/>
          <w:szCs w:val="24"/>
          <w:lang w:eastAsia="en-US"/>
        </w:rPr>
        <w:t xml:space="preserve">lerk of the </w:t>
      </w:r>
      <w:r w:rsidR="00377310">
        <w:rPr>
          <w:rFonts w:ascii="Calibri" w:eastAsia="Calibri" w:hAnsi="Calibri" w:cs="Times New Roman"/>
          <w:sz w:val="24"/>
          <w:szCs w:val="24"/>
          <w:lang w:eastAsia="en-US"/>
        </w:rPr>
        <w:t>C</w:t>
      </w:r>
      <w:r w:rsidR="007B0435">
        <w:rPr>
          <w:rFonts w:ascii="Calibri" w:eastAsia="Calibri" w:hAnsi="Calibri" w:cs="Times New Roman"/>
          <w:sz w:val="24"/>
          <w:szCs w:val="24"/>
          <w:lang w:eastAsia="en-US"/>
        </w:rPr>
        <w:t xml:space="preserve">ourse at certain HRV meetings. Rule 15(1)(b) empowers the Stewards to entertain and determine all matters concerning any impact on the harness racing industry. </w:t>
      </w:r>
    </w:p>
    <w:p w14:paraId="49F674EB" w14:textId="77777777" w:rsidR="007B0435" w:rsidRDefault="007B0435" w:rsidP="0081738F">
      <w:pPr>
        <w:spacing w:line="259" w:lineRule="auto"/>
        <w:jc w:val="both"/>
        <w:rPr>
          <w:rFonts w:ascii="Calibri" w:eastAsia="Calibri" w:hAnsi="Calibri" w:cs="Times New Roman"/>
          <w:sz w:val="24"/>
          <w:szCs w:val="24"/>
          <w:lang w:eastAsia="en-US"/>
        </w:rPr>
      </w:pPr>
    </w:p>
    <w:p w14:paraId="445B2E24" w14:textId="30246697" w:rsidR="00585D14" w:rsidRDefault="00345D3F" w:rsidP="0081738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would also </w:t>
      </w:r>
      <w:r w:rsidR="00585D14">
        <w:rPr>
          <w:rFonts w:ascii="Calibri" w:eastAsia="Calibri" w:hAnsi="Calibri" w:cs="Times New Roman"/>
          <w:sz w:val="24"/>
          <w:szCs w:val="24"/>
          <w:lang w:eastAsia="en-US"/>
        </w:rPr>
        <w:t>refer to the discussion in my earlier Ruling of aspect</w:t>
      </w:r>
      <w:r w:rsidR="00E933B2">
        <w:rPr>
          <w:rFonts w:ascii="Calibri" w:eastAsia="Calibri" w:hAnsi="Calibri" w:cs="Times New Roman"/>
          <w:sz w:val="24"/>
          <w:szCs w:val="24"/>
          <w:lang w:eastAsia="en-US"/>
        </w:rPr>
        <w:t>s</w:t>
      </w:r>
      <w:r w:rsidR="00585D14">
        <w:rPr>
          <w:rFonts w:ascii="Calibri" w:eastAsia="Calibri" w:hAnsi="Calibri" w:cs="Times New Roman"/>
          <w:sz w:val="24"/>
          <w:szCs w:val="24"/>
          <w:lang w:eastAsia="en-US"/>
        </w:rPr>
        <w:t xml:space="preserve"> of the </w:t>
      </w:r>
      <w:r w:rsidR="00585D14" w:rsidRPr="00E933B2">
        <w:rPr>
          <w:rFonts w:ascii="Calibri" w:eastAsia="Calibri" w:hAnsi="Calibri" w:cs="Times New Roman"/>
          <w:i/>
          <w:iCs/>
          <w:sz w:val="24"/>
          <w:szCs w:val="24"/>
          <w:lang w:eastAsia="en-US"/>
        </w:rPr>
        <w:t>Racing Act 1958</w:t>
      </w:r>
      <w:r w:rsidR="00585D14">
        <w:rPr>
          <w:rFonts w:ascii="Calibri" w:eastAsia="Calibri" w:hAnsi="Calibri" w:cs="Times New Roman"/>
          <w:sz w:val="24"/>
          <w:szCs w:val="24"/>
          <w:lang w:eastAsia="en-US"/>
        </w:rPr>
        <w:t xml:space="preserve"> (“the Act”). </w:t>
      </w:r>
    </w:p>
    <w:p w14:paraId="73443C0B" w14:textId="77777777" w:rsidR="00585D14" w:rsidRDefault="00585D14" w:rsidP="0081738F">
      <w:pPr>
        <w:spacing w:line="259" w:lineRule="auto"/>
        <w:jc w:val="both"/>
        <w:rPr>
          <w:rFonts w:ascii="Calibri" w:eastAsia="Calibri" w:hAnsi="Calibri" w:cs="Times New Roman"/>
          <w:sz w:val="24"/>
          <w:szCs w:val="24"/>
          <w:lang w:eastAsia="en-US"/>
        </w:rPr>
      </w:pPr>
    </w:p>
    <w:p w14:paraId="16B07B02" w14:textId="27528112" w:rsidR="00585D14" w:rsidRDefault="00585D14" w:rsidP="0081738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In </w:t>
      </w:r>
      <w:r w:rsidRPr="00377310">
        <w:rPr>
          <w:rFonts w:ascii="Calibri" w:eastAsia="Calibri" w:hAnsi="Calibri" w:cs="Times New Roman"/>
          <w:i/>
          <w:iCs/>
          <w:sz w:val="24"/>
          <w:szCs w:val="24"/>
          <w:lang w:eastAsia="en-US"/>
        </w:rPr>
        <w:t>Harness Racing Victoria v Trickey</w:t>
      </w:r>
      <w:r>
        <w:rPr>
          <w:rFonts w:ascii="Calibri" w:eastAsia="Calibri" w:hAnsi="Calibri" w:cs="Times New Roman"/>
          <w:sz w:val="24"/>
          <w:szCs w:val="24"/>
          <w:lang w:eastAsia="en-US"/>
        </w:rPr>
        <w:t xml:space="preserve"> (25 February 2021) I noted that this Tribunal had no jurisdiction to impose a penalty on a person who was not licensed, but in </w:t>
      </w:r>
      <w:r w:rsidRPr="00377310">
        <w:rPr>
          <w:rFonts w:ascii="Calibri" w:eastAsia="Calibri" w:hAnsi="Calibri" w:cs="Times New Roman"/>
          <w:i/>
          <w:iCs/>
          <w:sz w:val="24"/>
          <w:szCs w:val="24"/>
          <w:lang w:eastAsia="en-US"/>
        </w:rPr>
        <w:t>Trickey</w:t>
      </w:r>
      <w:r>
        <w:rPr>
          <w:rFonts w:ascii="Calibri" w:eastAsia="Calibri" w:hAnsi="Calibri" w:cs="Times New Roman"/>
          <w:sz w:val="24"/>
          <w:szCs w:val="24"/>
          <w:lang w:eastAsia="en-US"/>
        </w:rPr>
        <w:t xml:space="preserve"> the person was neither licensed nor on the premises owned and operated by HRV. The l</w:t>
      </w:r>
      <w:r w:rsidR="00E933B2">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tter fact </w:t>
      </w:r>
      <w:r w:rsidR="00E933B2">
        <w:rPr>
          <w:rFonts w:ascii="Calibri" w:eastAsia="Calibri" w:hAnsi="Calibri" w:cs="Times New Roman"/>
          <w:sz w:val="24"/>
          <w:szCs w:val="24"/>
          <w:lang w:eastAsia="en-US"/>
        </w:rPr>
        <w:t>was</w:t>
      </w:r>
      <w:r>
        <w:rPr>
          <w:rFonts w:ascii="Calibri" w:eastAsia="Calibri" w:hAnsi="Calibri" w:cs="Times New Roman"/>
          <w:sz w:val="24"/>
          <w:szCs w:val="24"/>
          <w:lang w:eastAsia="en-US"/>
        </w:rPr>
        <w:t xml:space="preserve"> an important distinction. </w:t>
      </w:r>
      <w:r w:rsidR="00E933B2">
        <w:rPr>
          <w:rFonts w:ascii="Calibri" w:eastAsia="Calibri" w:hAnsi="Calibri" w:cs="Times New Roman"/>
          <w:sz w:val="24"/>
          <w:szCs w:val="24"/>
          <w:lang w:eastAsia="en-US"/>
        </w:rPr>
        <w:t xml:space="preserve">Mr Trickey was neither a licensed person nor on a licensed premises.  </w:t>
      </w:r>
    </w:p>
    <w:p w14:paraId="4026ED4B" w14:textId="77777777" w:rsidR="00585D14" w:rsidRDefault="00585D14" w:rsidP="0081738F">
      <w:pPr>
        <w:spacing w:line="259" w:lineRule="auto"/>
        <w:jc w:val="both"/>
        <w:rPr>
          <w:rFonts w:ascii="Calibri" w:eastAsia="Calibri" w:hAnsi="Calibri" w:cs="Times New Roman"/>
          <w:sz w:val="24"/>
          <w:szCs w:val="24"/>
          <w:lang w:eastAsia="en-US"/>
        </w:rPr>
      </w:pPr>
    </w:p>
    <w:p w14:paraId="650F1C99" w14:textId="7DD51239" w:rsidR="00585D14" w:rsidRDefault="00585D14" w:rsidP="0081738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would also refer to the Tribunal decision of </w:t>
      </w:r>
      <w:r w:rsidRPr="00377310">
        <w:rPr>
          <w:rFonts w:ascii="Calibri" w:eastAsia="Calibri" w:hAnsi="Calibri" w:cs="Times New Roman"/>
          <w:i/>
          <w:iCs/>
          <w:sz w:val="24"/>
          <w:szCs w:val="24"/>
          <w:lang w:eastAsia="en-US"/>
        </w:rPr>
        <w:t>Harness Racing Victoria v Daryl Douglas</w:t>
      </w:r>
      <w:r>
        <w:rPr>
          <w:rFonts w:ascii="Calibri" w:eastAsia="Calibri" w:hAnsi="Calibri" w:cs="Times New Roman"/>
          <w:sz w:val="24"/>
          <w:szCs w:val="24"/>
          <w:lang w:eastAsia="en-US"/>
        </w:rPr>
        <w:t xml:space="preserve"> (8 October 2020). That concerned the conduct of a licensed person at an inter</w:t>
      </w:r>
      <w:r w:rsidR="00E933B2">
        <w:rPr>
          <w:rFonts w:ascii="Calibri" w:eastAsia="Calibri" w:hAnsi="Calibri" w:cs="Times New Roman"/>
          <w:sz w:val="24"/>
          <w:szCs w:val="24"/>
          <w:lang w:eastAsia="en-US"/>
        </w:rPr>
        <w:t>section</w:t>
      </w:r>
      <w:r>
        <w:rPr>
          <w:rFonts w:ascii="Calibri" w:eastAsia="Calibri" w:hAnsi="Calibri" w:cs="Times New Roman"/>
          <w:sz w:val="24"/>
          <w:szCs w:val="24"/>
          <w:lang w:eastAsia="en-US"/>
        </w:rPr>
        <w:t xml:space="preserve"> outside the Echuca Raceway, but not within its boundaries. However, that involved AHRR 231(2).</w:t>
      </w:r>
    </w:p>
    <w:p w14:paraId="2F179AE7" w14:textId="77777777" w:rsidR="00585D14" w:rsidRDefault="00585D14" w:rsidP="0081738F">
      <w:pPr>
        <w:spacing w:line="259" w:lineRule="auto"/>
        <w:jc w:val="both"/>
        <w:rPr>
          <w:rFonts w:ascii="Calibri" w:eastAsia="Calibri" w:hAnsi="Calibri" w:cs="Times New Roman"/>
          <w:sz w:val="24"/>
          <w:szCs w:val="24"/>
          <w:lang w:eastAsia="en-US"/>
        </w:rPr>
      </w:pPr>
    </w:p>
    <w:p w14:paraId="39BD0D0C" w14:textId="6308D3B1" w:rsidR="000C2338" w:rsidRDefault="00585D14" w:rsidP="0081738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Perhaps of greater assistance is the decision in </w:t>
      </w:r>
      <w:r w:rsidRPr="00377310">
        <w:rPr>
          <w:rFonts w:ascii="Calibri" w:eastAsia="Calibri" w:hAnsi="Calibri" w:cs="Times New Roman"/>
          <w:i/>
          <w:iCs/>
          <w:sz w:val="24"/>
          <w:szCs w:val="24"/>
          <w:lang w:eastAsia="en-US"/>
        </w:rPr>
        <w:t>Racing Victoria v McDonald</w:t>
      </w:r>
      <w:r>
        <w:rPr>
          <w:rFonts w:ascii="Calibri" w:eastAsia="Calibri" w:hAnsi="Calibri" w:cs="Times New Roman"/>
          <w:sz w:val="24"/>
          <w:szCs w:val="24"/>
          <w:lang w:eastAsia="en-US"/>
        </w:rPr>
        <w:t xml:space="preserve"> (14 September 2020). That involved an unlicensed person on licensed premises. Whilst it involved horse racing and its Rules, it has some parallels to the present situation. Mr Astbury is not a licensed person, as was the situation with Mr McDonald. Mr Astbury’s behaviour (the presence of the firearm at his former residence) was not associated with harness racing, just as Mr McDonald’s </w:t>
      </w:r>
      <w:r w:rsidR="00377310">
        <w:rPr>
          <w:rFonts w:ascii="Calibri" w:eastAsia="Calibri" w:hAnsi="Calibri" w:cs="Times New Roman"/>
          <w:sz w:val="24"/>
          <w:szCs w:val="24"/>
          <w:lang w:eastAsia="en-US"/>
        </w:rPr>
        <w:t xml:space="preserve">offence </w:t>
      </w:r>
      <w:r>
        <w:rPr>
          <w:rFonts w:ascii="Calibri" w:eastAsia="Calibri" w:hAnsi="Calibri" w:cs="Times New Roman"/>
          <w:sz w:val="24"/>
          <w:szCs w:val="24"/>
          <w:lang w:eastAsia="en-US"/>
        </w:rPr>
        <w:t xml:space="preserve">was associated with </w:t>
      </w:r>
      <w:r w:rsidR="00377310">
        <w:rPr>
          <w:rFonts w:ascii="Calibri" w:eastAsia="Calibri" w:hAnsi="Calibri" w:cs="Times New Roman"/>
          <w:sz w:val="24"/>
          <w:szCs w:val="24"/>
          <w:lang w:eastAsia="en-US"/>
        </w:rPr>
        <w:t xml:space="preserve">the </w:t>
      </w:r>
      <w:r>
        <w:rPr>
          <w:rFonts w:ascii="Calibri" w:eastAsia="Calibri" w:hAnsi="Calibri" w:cs="Times New Roman"/>
          <w:sz w:val="24"/>
          <w:szCs w:val="24"/>
          <w:lang w:eastAsia="en-US"/>
        </w:rPr>
        <w:t xml:space="preserve">live baiting of greyhounds, an activity not associated with horse racing. In each instance, the action of the Stewards is </w:t>
      </w:r>
      <w:r w:rsidR="00E933B2">
        <w:rPr>
          <w:rFonts w:ascii="Calibri" w:eastAsia="Calibri" w:hAnsi="Calibri" w:cs="Times New Roman"/>
          <w:sz w:val="24"/>
          <w:szCs w:val="24"/>
          <w:lang w:eastAsia="en-US"/>
        </w:rPr>
        <w:t>and</w:t>
      </w:r>
      <w:r>
        <w:rPr>
          <w:rFonts w:ascii="Calibri" w:eastAsia="Calibri" w:hAnsi="Calibri" w:cs="Times New Roman"/>
          <w:sz w:val="24"/>
          <w:szCs w:val="24"/>
          <w:lang w:eastAsia="en-US"/>
        </w:rPr>
        <w:t xml:space="preserve"> was based upon the mere presence of the person</w:t>
      </w:r>
      <w:r w:rsidR="000C2338">
        <w:rPr>
          <w:rFonts w:ascii="Calibri" w:eastAsia="Calibri" w:hAnsi="Calibri" w:cs="Times New Roman"/>
          <w:sz w:val="24"/>
          <w:szCs w:val="24"/>
          <w:lang w:eastAsia="en-US"/>
        </w:rPr>
        <w:t xml:space="preserve"> at the venue. In the case of Mr Astbury, the situation e</w:t>
      </w:r>
      <w:r w:rsidR="00E933B2">
        <w:rPr>
          <w:rFonts w:ascii="Calibri" w:eastAsia="Calibri" w:hAnsi="Calibri" w:cs="Times New Roman"/>
          <w:sz w:val="24"/>
          <w:szCs w:val="24"/>
          <w:lang w:eastAsia="en-US"/>
        </w:rPr>
        <w:t>xtends</w:t>
      </w:r>
      <w:r w:rsidR="000C2338">
        <w:rPr>
          <w:rFonts w:ascii="Calibri" w:eastAsia="Calibri" w:hAnsi="Calibri" w:cs="Times New Roman"/>
          <w:sz w:val="24"/>
          <w:szCs w:val="24"/>
          <w:lang w:eastAsia="en-US"/>
        </w:rPr>
        <w:t xml:space="preserve"> beyond mere presence to taking an active role in the presentation of meetings as a Clerk of the Course. Mr McDonald, who was in ill health, was brought to racecourses by friends and was </w:t>
      </w:r>
      <w:r w:rsidR="00E933B2">
        <w:rPr>
          <w:rFonts w:ascii="Calibri" w:eastAsia="Calibri" w:hAnsi="Calibri" w:cs="Times New Roman"/>
          <w:sz w:val="24"/>
          <w:szCs w:val="24"/>
          <w:lang w:eastAsia="en-US"/>
        </w:rPr>
        <w:t xml:space="preserve">no more than a spectator. </w:t>
      </w:r>
    </w:p>
    <w:p w14:paraId="35135038" w14:textId="77777777" w:rsidR="000C2338" w:rsidRDefault="000C2338" w:rsidP="0081738F">
      <w:pPr>
        <w:spacing w:line="259" w:lineRule="auto"/>
        <w:jc w:val="both"/>
        <w:rPr>
          <w:rFonts w:ascii="Calibri" w:eastAsia="Calibri" w:hAnsi="Calibri" w:cs="Times New Roman"/>
          <w:sz w:val="24"/>
          <w:szCs w:val="24"/>
          <w:lang w:eastAsia="en-US"/>
        </w:rPr>
      </w:pPr>
    </w:p>
    <w:p w14:paraId="43EBD35E" w14:textId="3AA58D1C" w:rsidR="0006403F" w:rsidRDefault="000C2338" w:rsidP="0081738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w:t>
      </w:r>
      <w:r w:rsidRPr="00377310">
        <w:rPr>
          <w:rFonts w:ascii="Calibri" w:eastAsia="Calibri" w:hAnsi="Calibri" w:cs="Times New Roman"/>
          <w:i/>
          <w:iCs/>
          <w:sz w:val="24"/>
          <w:szCs w:val="24"/>
          <w:lang w:eastAsia="en-US"/>
        </w:rPr>
        <w:t>McDonald</w:t>
      </w:r>
      <w:r>
        <w:rPr>
          <w:rFonts w:ascii="Calibri" w:eastAsia="Calibri" w:hAnsi="Calibri" w:cs="Times New Roman"/>
          <w:sz w:val="24"/>
          <w:szCs w:val="24"/>
          <w:lang w:eastAsia="en-US"/>
        </w:rPr>
        <w:t xml:space="preserve">, the Tribunal concluded that individuals who attend race meetings fell within the operation of the Rules. Reference was made to Section 5F of the Act. Whilst </w:t>
      </w:r>
      <w:r w:rsidR="00E933B2">
        <w:rPr>
          <w:rFonts w:ascii="Calibri" w:eastAsia="Calibri" w:hAnsi="Calibri" w:cs="Times New Roman"/>
          <w:sz w:val="24"/>
          <w:szCs w:val="24"/>
          <w:lang w:eastAsia="en-US"/>
        </w:rPr>
        <w:t xml:space="preserve">my </w:t>
      </w:r>
      <w:r>
        <w:rPr>
          <w:rFonts w:ascii="Calibri" w:eastAsia="Calibri" w:hAnsi="Calibri" w:cs="Times New Roman"/>
          <w:sz w:val="24"/>
          <w:szCs w:val="24"/>
          <w:lang w:eastAsia="en-US"/>
        </w:rPr>
        <w:t xml:space="preserve">decision </w:t>
      </w:r>
      <w:r w:rsidR="00E933B2">
        <w:rPr>
          <w:rFonts w:ascii="Calibri" w:eastAsia="Calibri" w:hAnsi="Calibri" w:cs="Times New Roman"/>
          <w:sz w:val="24"/>
          <w:szCs w:val="24"/>
          <w:lang w:eastAsia="en-US"/>
        </w:rPr>
        <w:t xml:space="preserve">in Mr McDonalds case </w:t>
      </w:r>
      <w:r>
        <w:rPr>
          <w:rFonts w:ascii="Calibri" w:eastAsia="Calibri" w:hAnsi="Calibri" w:cs="Times New Roman"/>
          <w:sz w:val="24"/>
          <w:szCs w:val="24"/>
          <w:lang w:eastAsia="en-US"/>
        </w:rPr>
        <w:t xml:space="preserve">was in </w:t>
      </w:r>
      <w:r w:rsidR="00377310">
        <w:rPr>
          <w:rFonts w:ascii="Calibri" w:eastAsia="Calibri" w:hAnsi="Calibri" w:cs="Times New Roman"/>
          <w:sz w:val="24"/>
          <w:szCs w:val="24"/>
          <w:lang w:eastAsia="en-US"/>
        </w:rPr>
        <w:t xml:space="preserve">the </w:t>
      </w:r>
      <w:r>
        <w:rPr>
          <w:rFonts w:ascii="Calibri" w:eastAsia="Calibri" w:hAnsi="Calibri" w:cs="Times New Roman"/>
          <w:sz w:val="24"/>
          <w:szCs w:val="24"/>
          <w:lang w:eastAsia="en-US"/>
        </w:rPr>
        <w:t xml:space="preserve">context of a horse racing </w:t>
      </w:r>
      <w:r w:rsidR="00E933B2">
        <w:rPr>
          <w:rFonts w:ascii="Calibri" w:eastAsia="Calibri" w:hAnsi="Calibri" w:cs="Times New Roman"/>
          <w:sz w:val="24"/>
          <w:szCs w:val="24"/>
          <w:lang w:eastAsia="en-US"/>
        </w:rPr>
        <w:t>meeting</w:t>
      </w:r>
      <w:r>
        <w:rPr>
          <w:rFonts w:ascii="Calibri" w:eastAsia="Calibri" w:hAnsi="Calibri" w:cs="Times New Roman"/>
          <w:sz w:val="24"/>
          <w:szCs w:val="24"/>
          <w:lang w:eastAsia="en-US"/>
        </w:rPr>
        <w:t xml:space="preserve">, it seems to me to be a useful </w:t>
      </w:r>
      <w:r w:rsidR="00E933B2">
        <w:rPr>
          <w:rFonts w:ascii="Calibri" w:eastAsia="Calibri" w:hAnsi="Calibri" w:cs="Times New Roman"/>
          <w:sz w:val="24"/>
          <w:szCs w:val="24"/>
          <w:lang w:eastAsia="en-US"/>
        </w:rPr>
        <w:t>parallel</w:t>
      </w:r>
      <w:r>
        <w:rPr>
          <w:rFonts w:ascii="Calibri" w:eastAsia="Calibri" w:hAnsi="Calibri" w:cs="Times New Roman"/>
          <w:sz w:val="24"/>
          <w:szCs w:val="24"/>
          <w:lang w:eastAsia="en-US"/>
        </w:rPr>
        <w:t xml:space="preserve">. Mr Astbury attends at harness racing meetings and, indeed, so attends not just as a spectator, but in what many would consider to be a quite </w:t>
      </w:r>
      <w:r w:rsidR="00E933B2">
        <w:rPr>
          <w:rFonts w:ascii="Calibri" w:eastAsia="Calibri" w:hAnsi="Calibri" w:cs="Times New Roman"/>
          <w:sz w:val="24"/>
          <w:szCs w:val="24"/>
          <w:lang w:eastAsia="en-US"/>
        </w:rPr>
        <w:t>high-profile</w:t>
      </w:r>
      <w:r>
        <w:rPr>
          <w:rFonts w:ascii="Calibri" w:eastAsia="Calibri" w:hAnsi="Calibri" w:cs="Times New Roman"/>
          <w:sz w:val="24"/>
          <w:szCs w:val="24"/>
          <w:lang w:eastAsia="en-US"/>
        </w:rPr>
        <w:t xml:space="preserve"> position of some authority. I appreciate that Mr McDonald was subject to Section 5F of the Act, but the similarities between the case</w:t>
      </w:r>
      <w:r w:rsidR="00E933B2">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are of some use. Further, reference is made to the wide powers possessed by HRV Stewards pursuant to Rule 15(1)(e).</w:t>
      </w:r>
    </w:p>
    <w:p w14:paraId="3078E108" w14:textId="285DBB36" w:rsidR="000C2338" w:rsidRDefault="000C2338" w:rsidP="0081738F">
      <w:pPr>
        <w:spacing w:line="259" w:lineRule="auto"/>
        <w:jc w:val="both"/>
        <w:rPr>
          <w:rFonts w:ascii="Calibri" w:eastAsia="Calibri" w:hAnsi="Calibri" w:cs="Times New Roman"/>
          <w:sz w:val="24"/>
          <w:szCs w:val="24"/>
          <w:lang w:eastAsia="en-US"/>
        </w:rPr>
      </w:pPr>
    </w:p>
    <w:p w14:paraId="2EE3CF26" w14:textId="5E1CA29B" w:rsidR="000C2338" w:rsidRPr="00A9519F" w:rsidRDefault="000C2338" w:rsidP="0081738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Weighing up all the above, it seems to me that the Tribunal does have jurisdiction to deal with this matter. Mr Astbury attends </w:t>
      </w:r>
      <w:r w:rsidR="00082F48">
        <w:rPr>
          <w:rFonts w:ascii="Calibri" w:eastAsia="Calibri" w:hAnsi="Calibri" w:cs="Times New Roman"/>
          <w:sz w:val="24"/>
          <w:szCs w:val="24"/>
          <w:lang w:eastAsia="en-US"/>
        </w:rPr>
        <w:t xml:space="preserve">at harness racing venues in what would seem to many to be a position of considerable visibility and some authority. I am of the view that, on the basis of the information now </w:t>
      </w:r>
      <w:r w:rsidR="00E933B2">
        <w:rPr>
          <w:rFonts w:ascii="Calibri" w:eastAsia="Calibri" w:hAnsi="Calibri" w:cs="Times New Roman"/>
          <w:sz w:val="24"/>
          <w:szCs w:val="24"/>
          <w:lang w:eastAsia="en-US"/>
        </w:rPr>
        <w:t>available</w:t>
      </w:r>
      <w:r w:rsidR="00082F48">
        <w:rPr>
          <w:rFonts w:ascii="Calibri" w:eastAsia="Calibri" w:hAnsi="Calibri" w:cs="Times New Roman"/>
          <w:sz w:val="24"/>
          <w:szCs w:val="24"/>
          <w:lang w:eastAsia="en-US"/>
        </w:rPr>
        <w:t>, he is sub</w:t>
      </w:r>
      <w:r w:rsidR="00E933B2">
        <w:rPr>
          <w:rFonts w:ascii="Calibri" w:eastAsia="Calibri" w:hAnsi="Calibri" w:cs="Times New Roman"/>
          <w:sz w:val="24"/>
          <w:szCs w:val="24"/>
          <w:lang w:eastAsia="en-US"/>
        </w:rPr>
        <w:t xml:space="preserve">ject </w:t>
      </w:r>
      <w:r w:rsidR="001E4378">
        <w:rPr>
          <w:rFonts w:ascii="Calibri" w:eastAsia="Calibri" w:hAnsi="Calibri" w:cs="Times New Roman"/>
          <w:sz w:val="24"/>
          <w:szCs w:val="24"/>
          <w:lang w:eastAsia="en-US"/>
        </w:rPr>
        <w:t xml:space="preserve">to the operation </w:t>
      </w:r>
      <w:r w:rsidR="00082F48">
        <w:rPr>
          <w:rFonts w:ascii="Calibri" w:eastAsia="Calibri" w:hAnsi="Calibri" w:cs="Times New Roman"/>
          <w:sz w:val="24"/>
          <w:szCs w:val="24"/>
          <w:lang w:eastAsia="en-US"/>
        </w:rPr>
        <w:t xml:space="preserve">of the Relevant Rules.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07F39927" w14:textId="793EEEA7" w:rsidR="007868CF" w:rsidRPr="00A26D90" w:rsidRDefault="007868CF" w:rsidP="00A26D90">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A26D9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F9B6B" w14:textId="77777777" w:rsidR="000152EB" w:rsidRDefault="000152EB" w:rsidP="00CF0999">
      <w:r>
        <w:separator/>
      </w:r>
    </w:p>
  </w:endnote>
  <w:endnote w:type="continuationSeparator" w:id="0">
    <w:p w14:paraId="5DA696F7" w14:textId="77777777" w:rsidR="000152EB" w:rsidRDefault="000152E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2EB4" w14:textId="77777777" w:rsidR="00642536" w:rsidRDefault="00642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BBDE2A" w:rsidR="000152EB" w:rsidRDefault="00904F71" w:rsidP="00CF0999">
    <w:r>
      <w:rPr>
        <w:noProof/>
      </w:rPr>
      <mc:AlternateContent>
        <mc:Choice Requires="wps">
          <w:drawing>
            <wp:anchor distT="0" distB="0" distL="114300" distR="114300" simplePos="1" relativeHeight="251664384" behindDoc="0" locked="0" layoutInCell="0" allowOverlap="1" wp14:anchorId="0046D8E3" wp14:editId="27FBAB0A">
              <wp:simplePos x="0" y="10249218"/>
              <wp:positionH relativeFrom="page">
                <wp:posOffset>0</wp:posOffset>
              </wp:positionH>
              <wp:positionV relativeFrom="page">
                <wp:posOffset>10248900</wp:posOffset>
              </wp:positionV>
              <wp:extent cx="7560310" cy="252095"/>
              <wp:effectExtent l="0" t="0" r="0" b="14605"/>
              <wp:wrapNone/>
              <wp:docPr id="2" name="MSIPCM33d5478da50c32d688d3a9bc"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AF6EC9" w14:textId="1AF6FD75" w:rsidR="00904F71" w:rsidRPr="00904F71" w:rsidRDefault="00904F71" w:rsidP="00904F71">
                          <w:pPr>
                            <w:jc w:val="center"/>
                            <w:rPr>
                              <w:color w:val="000000"/>
                              <w:sz w:val="24"/>
                            </w:rPr>
                          </w:pPr>
                          <w:r w:rsidRPr="00904F71">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46D8E3" id="_x0000_t202" coordsize="21600,21600" o:spt="202" path="m,l,21600r21600,l21600,xe">
              <v:stroke joinstyle="miter"/>
              <v:path gradientshapeok="t" o:connecttype="rect"/>
            </v:shapetype>
            <v:shape id="MSIPCM33d5478da50c32d688d3a9bc" o:spid="_x0000_s1027" type="#_x0000_t202" alt="{&quot;HashCode&quot;:376260202,&quot;Height&quot;:841.0,&quot;Width&quot;:595.0,&quot;Placement&quot;:&quot;Footer&quot;,&quot;Index&quot;:&quot;Primary&quot;,&quot;Section&quot;:1,&quot;Top&quot;:0.0,&quot;Left&quot;:0.0}" style="position:absolute;margin-left:0;margin-top:807pt;width:595.3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fill o:detectmouseclick="t"/>
              <v:textbox inset=",0,,0">
                <w:txbxContent>
                  <w:p w14:paraId="16AF6EC9" w14:textId="1AF6FD75" w:rsidR="00904F71" w:rsidRPr="00904F71" w:rsidRDefault="00904F71" w:rsidP="00904F71">
                    <w:pPr>
                      <w:jc w:val="center"/>
                      <w:rPr>
                        <w:color w:val="000000"/>
                        <w:sz w:val="24"/>
                      </w:rPr>
                    </w:pPr>
                    <w:r w:rsidRPr="00904F71">
                      <w:rPr>
                        <w:color w:val="000000"/>
                        <w:sz w:val="24"/>
                      </w:rPr>
                      <w:t>OFFICIAL</w:t>
                    </w:r>
                  </w:p>
                </w:txbxContent>
              </v:textbox>
              <w10:wrap anchorx="page" anchory="page"/>
            </v:shape>
          </w:pict>
        </mc:Fallback>
      </mc:AlternateContent>
    </w:r>
    <w:r w:rsidR="000152EB">
      <w:tab/>
    </w:r>
    <w:r w:rsidR="000152EB">
      <w:tab/>
    </w:r>
    <w:r w:rsidR="000152EB">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5A5FFAC" w:rsidR="000152EB" w:rsidRDefault="00904F71" w:rsidP="00B104AE">
    <w:pPr>
      <w:tabs>
        <w:tab w:val="right" w:pos="9000"/>
      </w:tabs>
    </w:pPr>
    <w:r>
      <w:rPr>
        <w:noProof/>
      </w:rPr>
      <mc:AlternateContent>
        <mc:Choice Requires="wps">
          <w:drawing>
            <wp:anchor distT="0" distB="0" distL="114300" distR="114300" simplePos="0" relativeHeight="251665408" behindDoc="0" locked="0" layoutInCell="0" allowOverlap="1" wp14:anchorId="5C4E5BE6" wp14:editId="07C9C18F">
              <wp:simplePos x="0" y="0"/>
              <wp:positionH relativeFrom="page">
                <wp:posOffset>0</wp:posOffset>
              </wp:positionH>
              <wp:positionV relativeFrom="page">
                <wp:posOffset>10248900</wp:posOffset>
              </wp:positionV>
              <wp:extent cx="7560310" cy="252095"/>
              <wp:effectExtent l="0" t="0" r="0" b="14605"/>
              <wp:wrapNone/>
              <wp:docPr id="3" name="MSIPCM28ba4422b89ed49276e9e5b2"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7D26BA" w14:textId="0AB6BAE6" w:rsidR="00904F71" w:rsidRPr="00904F71" w:rsidRDefault="00904F71" w:rsidP="00904F71">
                          <w:pPr>
                            <w:jc w:val="center"/>
                            <w:rPr>
                              <w:color w:val="000000"/>
                              <w:sz w:val="24"/>
                            </w:rPr>
                          </w:pPr>
                          <w:r w:rsidRPr="00904F71">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4E5BE6" id="_x0000_t202" coordsize="21600,21600" o:spt="202" path="m,l,21600r21600,l21600,xe">
              <v:stroke joinstyle="miter"/>
              <v:path gradientshapeok="t" o:connecttype="rect"/>
            </v:shapetype>
            <v:shape id="MSIPCM28ba4422b89ed49276e9e5b2" o:spid="_x0000_s1030" type="#_x0000_t202" alt="{&quot;HashCode&quot;:376260202,&quot;Height&quot;:841.0,&quot;Width&quot;:595.0,&quot;Placement&quot;:&quot;Footer&quot;,&quot;Index&quot;:&quot;FirstPage&quot;,&quot;Section&quot;:1,&quot;Top&quot;:0.0,&quot;Left&quot;:0.0}" style="position:absolute;margin-left:0;margin-top:807pt;width:595.3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nG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q72cYXAgAAKwQAAA4AAAAAAAAAAAAAAAAALgIAAGRycy9lMm9Eb2MueG1sUEsBAi0AFAAG&#10;AAgAAAAhAF6iDg7fAAAACwEAAA8AAAAAAAAAAAAAAAAAcQQAAGRycy9kb3ducmV2LnhtbFBLBQYA&#10;AAAABAAEAPMAAAB9BQAAAAA=&#10;" o:allowincell="f" filled="f" stroked="f" strokeweight=".5pt">
              <v:fill o:detectmouseclick="t"/>
              <v:textbox inset=",0,,0">
                <w:txbxContent>
                  <w:p w14:paraId="637D26BA" w14:textId="0AB6BAE6" w:rsidR="00904F71" w:rsidRPr="00904F71" w:rsidRDefault="00904F71" w:rsidP="00904F71">
                    <w:pPr>
                      <w:jc w:val="center"/>
                      <w:rPr>
                        <w:color w:val="000000"/>
                        <w:sz w:val="24"/>
                      </w:rPr>
                    </w:pPr>
                    <w:r w:rsidRPr="00904F71">
                      <w:rPr>
                        <w:color w:val="000000"/>
                        <w:sz w:val="24"/>
                      </w:rPr>
                      <w:t>OFFICIAL</w:t>
                    </w:r>
                  </w:p>
                </w:txbxContent>
              </v:textbox>
              <w10:wrap anchorx="page" anchory="page"/>
            </v:shape>
          </w:pict>
        </mc:Fallback>
      </mc:AlternateContent>
    </w:r>
    <w:r w:rsidR="000152EB">
      <w:tab/>
    </w:r>
    <w:r w:rsidR="000152EB">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6DBB272" w:rsidR="000152EB" w:rsidRPr="00934854" w:rsidRDefault="00904F71"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05597DD5" wp14:editId="2CB12ADE">
              <wp:simplePos x="0" y="0"/>
              <wp:positionH relativeFrom="page">
                <wp:posOffset>0</wp:posOffset>
              </wp:positionH>
              <wp:positionV relativeFrom="page">
                <wp:posOffset>10248900</wp:posOffset>
              </wp:positionV>
              <wp:extent cx="7560310" cy="252095"/>
              <wp:effectExtent l="0" t="0" r="0" b="14605"/>
              <wp:wrapNone/>
              <wp:docPr id="7" name="MSIPCMb03f4e199620bb2e3af7de25"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2057A9" w14:textId="61976D07" w:rsidR="00904F71" w:rsidRPr="00904F71" w:rsidRDefault="00904F71" w:rsidP="00904F71">
                          <w:pPr>
                            <w:jc w:val="center"/>
                            <w:rPr>
                              <w:color w:val="000000"/>
                              <w:sz w:val="24"/>
                            </w:rPr>
                          </w:pPr>
                          <w:r w:rsidRPr="00904F71">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597DD5" id="_x0000_t202" coordsize="21600,21600" o:spt="202" path="m,l,21600r21600,l21600,xe">
              <v:stroke joinstyle="miter"/>
              <v:path gradientshapeok="t" o:connecttype="rect"/>
            </v:shapetype>
            <v:shape id="MSIPCMb03f4e199620bb2e3af7de25" o:spid="_x0000_s1031" type="#_x0000_t202" alt="{&quot;HashCode&quot;:376260202,&quot;Height&quot;:841.0,&quot;Width&quot;:595.0,&quot;Placement&quot;:&quot;Footer&quot;,&quot;Index&quot;:&quot;Primary&quot;,&quot;Section&quot;:2,&quot;Top&quot;:0.0,&quot;Left&quot;:0.0}" style="position:absolute;margin-left:0;margin-top:807pt;width:595.3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fill o:detectmouseclick="t"/>
              <v:textbox inset=",0,,0">
                <w:txbxContent>
                  <w:p w14:paraId="162057A9" w14:textId="61976D07" w:rsidR="00904F71" w:rsidRPr="00904F71" w:rsidRDefault="00904F71" w:rsidP="00904F71">
                    <w:pPr>
                      <w:jc w:val="center"/>
                      <w:rPr>
                        <w:color w:val="000000"/>
                        <w:sz w:val="24"/>
                      </w:rPr>
                    </w:pPr>
                    <w:r w:rsidRPr="00904F71">
                      <w:rPr>
                        <w:color w:val="000000"/>
                        <w:sz w:val="24"/>
                      </w:rPr>
                      <w:t>OFFICIAL</w:t>
                    </w:r>
                  </w:p>
                </w:txbxContent>
              </v:textbox>
              <w10:wrap anchorx="page" anchory="page"/>
            </v:shape>
          </w:pict>
        </mc:Fallback>
      </mc:AlternateContent>
    </w:r>
    <w:r w:rsidR="000152EB" w:rsidRPr="00934854">
      <w:rPr>
        <w:rFonts w:ascii="Calibri" w:hAnsi="Calibri" w:cs="Calibri"/>
      </w:rPr>
      <w:tab/>
    </w:r>
  </w:p>
  <w:p w14:paraId="1DAAAAAE" w14:textId="77777777" w:rsidR="000152EB" w:rsidRPr="00934854" w:rsidRDefault="000152EB" w:rsidP="00CF0999">
    <w:pPr>
      <w:rPr>
        <w:rFonts w:ascii="Calibri" w:hAnsi="Calibri" w:cs="Calibri"/>
      </w:rPr>
    </w:pPr>
    <w:r w:rsidRPr="00934854">
      <w:rPr>
        <w:rFonts w:ascii="Calibri" w:hAnsi="Calibri" w:cs="Calibri"/>
      </w:rPr>
      <w:tab/>
    </w:r>
    <w:r w:rsidRPr="00934854">
      <w:rPr>
        <w:rStyle w:val="FooterChar"/>
        <w:rFonts w:ascii="Calibri" w:hAnsi="Calibri" w:cs="Calibri"/>
        <w:szCs w:val="22"/>
      </w:rPr>
      <w:t xml:space="preserve">Page </w:t>
    </w:r>
    <w:r w:rsidRPr="00934854">
      <w:rPr>
        <w:rStyle w:val="FooterChar"/>
        <w:rFonts w:ascii="Calibri" w:hAnsi="Calibri" w:cs="Calibri"/>
        <w:szCs w:val="22"/>
      </w:rPr>
      <w:fldChar w:fldCharType="begin"/>
    </w:r>
    <w:r w:rsidRPr="00934854">
      <w:rPr>
        <w:rStyle w:val="FooterChar"/>
        <w:rFonts w:ascii="Calibri" w:hAnsi="Calibri" w:cs="Calibri"/>
        <w:szCs w:val="22"/>
      </w:rPr>
      <w:instrText xml:space="preserve"> PAGE   \* MERGEFORMAT </w:instrText>
    </w:r>
    <w:r w:rsidRPr="00934854">
      <w:rPr>
        <w:rStyle w:val="FooterChar"/>
        <w:rFonts w:ascii="Calibri" w:hAnsi="Calibri" w:cs="Calibri"/>
        <w:szCs w:val="22"/>
      </w:rPr>
      <w:fldChar w:fldCharType="separate"/>
    </w:r>
    <w:r w:rsidRPr="00934854">
      <w:rPr>
        <w:rStyle w:val="FooterChar"/>
        <w:rFonts w:ascii="Calibri" w:hAnsi="Calibri" w:cs="Calibri"/>
        <w:noProof/>
        <w:szCs w:val="22"/>
      </w:rPr>
      <w:t>2</w:t>
    </w:r>
    <w:r w:rsidRPr="00934854">
      <w:rPr>
        <w:rStyle w:val="FooterChar"/>
        <w:rFonts w:ascii="Calibri" w:hAnsi="Calibri" w:cs="Calibri"/>
        <w:szCs w:val="22"/>
      </w:rPr>
      <w:fldChar w:fldCharType="end"/>
    </w:r>
    <w:r w:rsidRPr="00934854">
      <w:rPr>
        <w:rStyle w:val="FooterChar"/>
        <w:rFonts w:ascii="Calibri" w:hAnsi="Calibri" w:cs="Calibri"/>
        <w:szCs w:val="22"/>
      </w:rPr>
      <w:t xml:space="preserve"> of </w:t>
    </w:r>
    <w:r w:rsidRPr="00934854">
      <w:rPr>
        <w:rStyle w:val="FooterChar"/>
        <w:rFonts w:ascii="Calibri" w:hAnsi="Calibri" w:cs="Calibri"/>
        <w:noProof/>
        <w:szCs w:val="22"/>
      </w:rPr>
      <w:fldChar w:fldCharType="begin"/>
    </w:r>
    <w:r w:rsidRPr="00934854">
      <w:rPr>
        <w:rStyle w:val="FooterChar"/>
        <w:rFonts w:ascii="Calibri" w:hAnsi="Calibri" w:cs="Calibri"/>
        <w:noProof/>
        <w:szCs w:val="22"/>
      </w:rPr>
      <w:instrText xml:space="preserve"> NUMPAGES   \* MERGEFORMAT </w:instrText>
    </w:r>
    <w:r w:rsidRPr="00934854">
      <w:rPr>
        <w:rStyle w:val="FooterChar"/>
        <w:rFonts w:ascii="Calibri" w:hAnsi="Calibri" w:cs="Calibri"/>
        <w:noProof/>
        <w:szCs w:val="22"/>
      </w:rPr>
      <w:fldChar w:fldCharType="separate"/>
    </w:r>
    <w:r w:rsidRPr="00934854">
      <w:rPr>
        <w:rStyle w:val="FooterChar"/>
        <w:rFonts w:ascii="Calibri" w:hAnsi="Calibri" w:cs="Calibri"/>
        <w:noProof/>
        <w:szCs w:val="22"/>
      </w:rPr>
      <w:t>1</w:t>
    </w:r>
    <w:r w:rsidRPr="00934854">
      <w:rPr>
        <w:rStyle w:val="FooterChar"/>
        <w:rFonts w:ascii="Calibri" w:hAnsi="Calibri" w:cs="Calibri"/>
        <w:noProof/>
        <w:szCs w:val="22"/>
      </w:rPr>
      <w:fldChar w:fldCharType="end"/>
    </w:r>
    <w:r w:rsidRPr="00934854">
      <w:rPr>
        <w:rFonts w:ascii="Calibri" w:hAnsi="Calibri" w:cs="Calibri"/>
      </w:rPr>
      <w:tab/>
    </w:r>
    <w:r w:rsidRPr="00934854">
      <w:rPr>
        <w:rFonts w:ascii="Calibri" w:hAnsi="Calibri" w:cs="Calibri"/>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01336" w14:textId="77777777" w:rsidR="000152EB" w:rsidRDefault="000152EB" w:rsidP="00CF0999">
      <w:r>
        <w:separator/>
      </w:r>
    </w:p>
  </w:footnote>
  <w:footnote w:type="continuationSeparator" w:id="0">
    <w:p w14:paraId="0E2D282A" w14:textId="77777777" w:rsidR="000152EB" w:rsidRDefault="000152E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41AB" w14:textId="77777777" w:rsidR="00642536" w:rsidRDefault="00642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898A" w14:textId="094011D0" w:rsidR="000152EB" w:rsidRDefault="00904F71">
    <w:pPr>
      <w:pStyle w:val="Header"/>
    </w:pPr>
    <w:r>
      <w:rPr>
        <w:noProof/>
      </w:rPr>
      <mc:AlternateContent>
        <mc:Choice Requires="wps">
          <w:drawing>
            <wp:anchor distT="0" distB="0" distL="114300" distR="114300" simplePos="0" relativeHeight="251667456" behindDoc="0" locked="0" layoutInCell="0" allowOverlap="1" wp14:anchorId="79F81F11" wp14:editId="69E22E51">
              <wp:simplePos x="0" y="0"/>
              <wp:positionH relativeFrom="page">
                <wp:posOffset>0</wp:posOffset>
              </wp:positionH>
              <wp:positionV relativeFrom="page">
                <wp:posOffset>190500</wp:posOffset>
              </wp:positionV>
              <wp:extent cx="7560310" cy="252095"/>
              <wp:effectExtent l="0" t="0" r="0" b="14605"/>
              <wp:wrapNone/>
              <wp:docPr id="9" name="MSIPCM7a5349cdaff0b475580c380d"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62DB4D" w14:textId="7945A289" w:rsidR="00904F71" w:rsidRPr="00904F71" w:rsidRDefault="00904F71" w:rsidP="00904F71">
                          <w:pPr>
                            <w:jc w:val="center"/>
                            <w:rPr>
                              <w:color w:val="000000"/>
                              <w:sz w:val="24"/>
                            </w:rPr>
                          </w:pPr>
                          <w:r w:rsidRPr="00904F71">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9F81F11" id="_x0000_t202" coordsize="21600,21600" o:spt="202" path="m,l,21600r21600,l21600,xe">
              <v:stroke joinstyle="miter"/>
              <v:path gradientshapeok="t" o:connecttype="rect"/>
            </v:shapetype>
            <v:shape id="MSIPCM7a5349cdaff0b475580c380d" o:spid="_x0000_s1026" type="#_x0000_t202" alt="{&quot;HashCode&quot;:352122633,&quot;Height&quot;:841.0,&quot;Width&quot;:595.0,&quot;Placement&quot;:&quot;Header&quot;,&quot;Index&quot;:&quot;Primary&quot;,&quot;Section&quot;:1,&quot;Top&quot;:0.0,&quot;Left&quot;:0.0}" style="position:absolute;margin-left:0;margin-top:15pt;width:595.3pt;height:19.8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o6Fw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GFnGjoXAgAAKwQAAA4AAAAAAAAAAAAAAAAALgIAAGRycy9lMm9Eb2MueG1sUEsBAi0AFAAGAAgA&#10;AAAhAKCK+GTcAAAABwEAAA8AAAAAAAAAAAAAAAAAcQQAAGRycy9kb3ducmV2LnhtbFBLBQYAAAAA&#10;BAAEAPMAAAB6BQAAAAA=&#10;" o:allowincell="f" filled="f" stroked="f" strokeweight=".5pt">
              <v:fill o:detectmouseclick="t"/>
              <v:textbox inset=",0,,0">
                <w:txbxContent>
                  <w:p w14:paraId="2B62DB4D" w14:textId="7945A289" w:rsidR="00904F71" w:rsidRPr="00904F71" w:rsidRDefault="00904F71" w:rsidP="00904F71">
                    <w:pPr>
                      <w:jc w:val="center"/>
                      <w:rPr>
                        <w:color w:val="000000"/>
                        <w:sz w:val="24"/>
                      </w:rPr>
                    </w:pPr>
                    <w:r w:rsidRPr="00904F71">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1B89AF41" w:rsidR="000152EB" w:rsidRDefault="00904F71" w:rsidP="00CF0999">
    <w:r>
      <w:rPr>
        <w:noProof/>
      </w:rPr>
      <mc:AlternateContent>
        <mc:Choice Requires="wps">
          <w:drawing>
            <wp:anchor distT="0" distB="0" distL="114300" distR="114300" simplePos="0" relativeHeight="251668480" behindDoc="0" locked="0" layoutInCell="0" allowOverlap="1" wp14:anchorId="0C150F2F" wp14:editId="462BF828">
              <wp:simplePos x="0" y="0"/>
              <wp:positionH relativeFrom="page">
                <wp:posOffset>0</wp:posOffset>
              </wp:positionH>
              <wp:positionV relativeFrom="page">
                <wp:posOffset>190500</wp:posOffset>
              </wp:positionV>
              <wp:extent cx="7560310" cy="252095"/>
              <wp:effectExtent l="0" t="0" r="0" b="14605"/>
              <wp:wrapNone/>
              <wp:docPr id="10" name="MSIPCMa599413b82e8b7c04a897bdf"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DBA60F" w14:textId="23A0E399" w:rsidR="00904F71" w:rsidRPr="00904F71" w:rsidRDefault="00904F71" w:rsidP="00904F71">
                          <w:pPr>
                            <w:jc w:val="center"/>
                            <w:rPr>
                              <w:color w:val="000000"/>
                              <w:sz w:val="24"/>
                            </w:rPr>
                          </w:pPr>
                          <w:r w:rsidRPr="00904F71">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C150F2F" id="_x0000_t202" coordsize="21600,21600" o:spt="202" path="m,l,21600r21600,l21600,xe">
              <v:stroke joinstyle="miter"/>
              <v:path gradientshapeok="t" o:connecttype="rect"/>
            </v:shapetype>
            <v:shape id="MSIPCMa599413b82e8b7c04a897bdf" o:spid="_x0000_s1028" type="#_x0000_t202" alt="{&quot;HashCode&quot;:352122633,&quot;Height&quot;:841.0,&quot;Width&quot;:595.0,&quot;Placement&quot;:&quot;Header&quot;,&quot;Index&quot;:&quot;FirstPage&quot;,&quot;Section&quot;:1,&quot;Top&quot;:0.0,&quot;Left&quot;:0.0}" style="position:absolute;margin-left:0;margin-top:15pt;width:595.3pt;height:19.8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uy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Gk/mXRyEjK+Di+UyJ6GqHIsPdu14Kp3QTMi+&#10;9K/MuyP8EYl7hJO4WPWOhSF34GG5iyBVpuiC5hF2VGQm+fh6kuTf3nPW5Y0vfgM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eibshYCAAArBAAADgAAAAAAAAAAAAAAAAAuAgAAZHJzL2Uyb0RvYy54bWxQSwECLQAUAAYACAAA&#10;ACEAoIr4ZNwAAAAHAQAADwAAAAAAAAAAAAAAAABwBAAAZHJzL2Rvd25yZXYueG1sUEsFBgAAAAAE&#10;AAQA8wAAAHkFAAAAAA==&#10;" o:allowincell="f" filled="f" stroked="f" strokeweight=".5pt">
              <v:fill o:detectmouseclick="t"/>
              <v:textbox inset=",0,,0">
                <w:txbxContent>
                  <w:p w14:paraId="58DBA60F" w14:textId="23A0E399" w:rsidR="00904F71" w:rsidRPr="00904F71" w:rsidRDefault="00904F71" w:rsidP="00904F71">
                    <w:pPr>
                      <w:jc w:val="center"/>
                      <w:rPr>
                        <w:color w:val="000000"/>
                        <w:sz w:val="24"/>
                      </w:rPr>
                    </w:pPr>
                    <w:r w:rsidRPr="00904F71">
                      <w:rPr>
                        <w:color w:val="000000"/>
                        <w:sz w:val="24"/>
                      </w:rPr>
                      <w:t>OFFICIAL</w:t>
                    </w:r>
                  </w:p>
                </w:txbxContent>
              </v:textbox>
              <w10:wrap anchorx="page" anchory="page"/>
            </v:shape>
          </w:pict>
        </mc:Fallback>
      </mc:AlternateContent>
    </w:r>
    <w:r w:rsidR="000152EB">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152EB">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152EB" w:rsidRDefault="000152EB" w:rsidP="00914572">
                          <w:pPr>
                            <w:pStyle w:val="Headeraddress"/>
                            <w:spacing w:line="240" w:lineRule="auto"/>
                            <w:ind w:left="0" w:right="0"/>
                            <w:rPr>
                              <w:color w:val="auto"/>
                            </w:rPr>
                          </w:pPr>
                          <w:r>
                            <w:rPr>
                              <w:color w:val="auto"/>
                            </w:rPr>
                            <w:t>Office of Racing</w:t>
                          </w:r>
                        </w:p>
                        <w:p w14:paraId="5F179A82" w14:textId="4F742B6B" w:rsidR="000152EB" w:rsidRPr="00573D70" w:rsidRDefault="000152EB" w:rsidP="00914572">
                          <w:pPr>
                            <w:pStyle w:val="Headeraddress"/>
                            <w:spacing w:line="240" w:lineRule="auto"/>
                            <w:ind w:left="0" w:right="0"/>
                            <w:rPr>
                              <w:color w:val="auto"/>
                            </w:rPr>
                          </w:pPr>
                          <w:r w:rsidRPr="00573D70">
                            <w:rPr>
                              <w:color w:val="auto"/>
                            </w:rPr>
                            <w:t>GPO Box 4509</w:t>
                          </w:r>
                        </w:p>
                        <w:p w14:paraId="278F5D05" w14:textId="447C8F29" w:rsidR="000152EB" w:rsidRPr="00573D70" w:rsidRDefault="000152EB"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152EB" w:rsidRPr="00573D70" w:rsidRDefault="000152EB"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152EB" w:rsidRPr="00573D70" w:rsidRDefault="000152EB" w:rsidP="00914572">
                          <w:pPr>
                            <w:rPr>
                              <w:sz w:val="16"/>
                              <w:szCs w:val="16"/>
                            </w:rPr>
                          </w:pPr>
                          <w:r w:rsidRPr="00573D70">
                            <w:rPr>
                              <w:sz w:val="16"/>
                              <w:szCs w:val="16"/>
                            </w:rPr>
                            <w:t>DX 210074</w:t>
                          </w:r>
                        </w:p>
                        <w:p w14:paraId="1BD01241" w14:textId="77777777" w:rsidR="000152EB" w:rsidRPr="00E07246" w:rsidRDefault="000152EB">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0152EB" w:rsidRDefault="000152EB" w:rsidP="00914572">
                    <w:pPr>
                      <w:pStyle w:val="Headeraddress"/>
                      <w:spacing w:line="240" w:lineRule="auto"/>
                      <w:ind w:left="0" w:right="0"/>
                      <w:rPr>
                        <w:color w:val="auto"/>
                      </w:rPr>
                    </w:pPr>
                    <w:r>
                      <w:rPr>
                        <w:color w:val="auto"/>
                      </w:rPr>
                      <w:t>Office of Racing</w:t>
                    </w:r>
                  </w:p>
                  <w:p w14:paraId="5F179A82" w14:textId="4F742B6B" w:rsidR="000152EB" w:rsidRPr="00573D70" w:rsidRDefault="000152EB" w:rsidP="00914572">
                    <w:pPr>
                      <w:pStyle w:val="Headeraddress"/>
                      <w:spacing w:line="240" w:lineRule="auto"/>
                      <w:ind w:left="0" w:right="0"/>
                      <w:rPr>
                        <w:color w:val="auto"/>
                      </w:rPr>
                    </w:pPr>
                    <w:r w:rsidRPr="00573D70">
                      <w:rPr>
                        <w:color w:val="auto"/>
                      </w:rPr>
                      <w:t>GPO Box 4509</w:t>
                    </w:r>
                  </w:p>
                  <w:p w14:paraId="278F5D05" w14:textId="447C8F29" w:rsidR="000152EB" w:rsidRPr="00573D70" w:rsidRDefault="000152EB"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152EB" w:rsidRPr="00573D70" w:rsidRDefault="000152EB"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152EB" w:rsidRPr="00573D70" w:rsidRDefault="000152EB" w:rsidP="00914572">
                    <w:pPr>
                      <w:rPr>
                        <w:sz w:val="16"/>
                        <w:szCs w:val="16"/>
                      </w:rPr>
                    </w:pPr>
                    <w:r w:rsidRPr="00573D70">
                      <w:rPr>
                        <w:sz w:val="16"/>
                        <w:szCs w:val="16"/>
                      </w:rPr>
                      <w:t>DX 210074</w:t>
                    </w:r>
                  </w:p>
                  <w:p w14:paraId="1BD01241" w14:textId="77777777" w:rsidR="000152EB" w:rsidRPr="00E07246" w:rsidRDefault="000152EB">
                    <w:pPr>
                      <w:rPr>
                        <w:color w:val="004EA8"/>
                        <w:sz w:val="16"/>
                        <w:szCs w:val="16"/>
                      </w:rPr>
                    </w:pPr>
                  </w:p>
                </w:txbxContent>
              </v:textbox>
            </v:shape>
          </w:pict>
        </mc:Fallback>
      </mc:AlternateContent>
    </w:r>
  </w:p>
  <w:p w14:paraId="15C8E398" w14:textId="13D9328D" w:rsidR="000152EB" w:rsidRDefault="000152EB" w:rsidP="00CF0999"/>
  <w:p w14:paraId="6E2C6967" w14:textId="6D942FA3" w:rsidR="000152EB" w:rsidRPr="00DA09EA" w:rsidRDefault="000152EB"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1345F"/>
    <w:multiLevelType w:val="hybridMultilevel"/>
    <w:tmpl w:val="11E850A8"/>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BE063E1"/>
    <w:multiLevelType w:val="hybridMultilevel"/>
    <w:tmpl w:val="887C8BA2"/>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0E7"/>
    <w:rsid w:val="000025F0"/>
    <w:rsid w:val="000152EB"/>
    <w:rsid w:val="000215EA"/>
    <w:rsid w:val="0006403F"/>
    <w:rsid w:val="000642AD"/>
    <w:rsid w:val="000717EB"/>
    <w:rsid w:val="00073C6A"/>
    <w:rsid w:val="0008161F"/>
    <w:rsid w:val="0008201D"/>
    <w:rsid w:val="00082F48"/>
    <w:rsid w:val="00087EA5"/>
    <w:rsid w:val="000934F0"/>
    <w:rsid w:val="000B5E53"/>
    <w:rsid w:val="000C2338"/>
    <w:rsid w:val="000C6C73"/>
    <w:rsid w:val="00105417"/>
    <w:rsid w:val="0011174C"/>
    <w:rsid w:val="0012029D"/>
    <w:rsid w:val="001203CF"/>
    <w:rsid w:val="00123EC5"/>
    <w:rsid w:val="00142AF8"/>
    <w:rsid w:val="001459C3"/>
    <w:rsid w:val="00150F1D"/>
    <w:rsid w:val="001530AD"/>
    <w:rsid w:val="00155CA4"/>
    <w:rsid w:val="00156682"/>
    <w:rsid w:val="00165E82"/>
    <w:rsid w:val="0017759F"/>
    <w:rsid w:val="00180EA0"/>
    <w:rsid w:val="00182F21"/>
    <w:rsid w:val="0018346D"/>
    <w:rsid w:val="00194944"/>
    <w:rsid w:val="001A7C8F"/>
    <w:rsid w:val="001B3683"/>
    <w:rsid w:val="001B7FE7"/>
    <w:rsid w:val="001C140A"/>
    <w:rsid w:val="001C2886"/>
    <w:rsid w:val="001D5EA1"/>
    <w:rsid w:val="001E4378"/>
    <w:rsid w:val="001F4FF6"/>
    <w:rsid w:val="002015D0"/>
    <w:rsid w:val="00204827"/>
    <w:rsid w:val="00210EC7"/>
    <w:rsid w:val="0021172F"/>
    <w:rsid w:val="00214575"/>
    <w:rsid w:val="0022148C"/>
    <w:rsid w:val="00237626"/>
    <w:rsid w:val="00245238"/>
    <w:rsid w:val="00252460"/>
    <w:rsid w:val="00262F34"/>
    <w:rsid w:val="0026665C"/>
    <w:rsid w:val="00277913"/>
    <w:rsid w:val="002813FF"/>
    <w:rsid w:val="00281955"/>
    <w:rsid w:val="00284C5D"/>
    <w:rsid w:val="002C34AF"/>
    <w:rsid w:val="002C65C0"/>
    <w:rsid w:val="002D1DBB"/>
    <w:rsid w:val="002E22BA"/>
    <w:rsid w:val="002F7434"/>
    <w:rsid w:val="0032538F"/>
    <w:rsid w:val="00333229"/>
    <w:rsid w:val="00335102"/>
    <w:rsid w:val="00340390"/>
    <w:rsid w:val="00344B4E"/>
    <w:rsid w:val="00345D3F"/>
    <w:rsid w:val="00345DD8"/>
    <w:rsid w:val="00370738"/>
    <w:rsid w:val="00377192"/>
    <w:rsid w:val="00377310"/>
    <w:rsid w:val="003875DE"/>
    <w:rsid w:val="003904DC"/>
    <w:rsid w:val="0039209A"/>
    <w:rsid w:val="00392BC4"/>
    <w:rsid w:val="003A17CB"/>
    <w:rsid w:val="003B61CD"/>
    <w:rsid w:val="003C4BCE"/>
    <w:rsid w:val="003C53DC"/>
    <w:rsid w:val="003C59D8"/>
    <w:rsid w:val="003D043D"/>
    <w:rsid w:val="003D0AFE"/>
    <w:rsid w:val="003F32A7"/>
    <w:rsid w:val="0040472C"/>
    <w:rsid w:val="00405629"/>
    <w:rsid w:val="0040758A"/>
    <w:rsid w:val="004203DD"/>
    <w:rsid w:val="004208B8"/>
    <w:rsid w:val="00421081"/>
    <w:rsid w:val="004235E9"/>
    <w:rsid w:val="00425AD7"/>
    <w:rsid w:val="00433A88"/>
    <w:rsid w:val="00434C95"/>
    <w:rsid w:val="00441A36"/>
    <w:rsid w:val="004435FB"/>
    <w:rsid w:val="0045028C"/>
    <w:rsid w:val="004616EB"/>
    <w:rsid w:val="00484CFE"/>
    <w:rsid w:val="004A103B"/>
    <w:rsid w:val="004A3FBE"/>
    <w:rsid w:val="004A729B"/>
    <w:rsid w:val="004B38AA"/>
    <w:rsid w:val="004C078C"/>
    <w:rsid w:val="004D3930"/>
    <w:rsid w:val="004D6D59"/>
    <w:rsid w:val="005044B5"/>
    <w:rsid w:val="00512165"/>
    <w:rsid w:val="005169FE"/>
    <w:rsid w:val="005250ED"/>
    <w:rsid w:val="00525438"/>
    <w:rsid w:val="0053232B"/>
    <w:rsid w:val="00532A17"/>
    <w:rsid w:val="00541155"/>
    <w:rsid w:val="005531C4"/>
    <w:rsid w:val="00557158"/>
    <w:rsid w:val="00562282"/>
    <w:rsid w:val="00571F56"/>
    <w:rsid w:val="00572FEA"/>
    <w:rsid w:val="00573D70"/>
    <w:rsid w:val="00584BAA"/>
    <w:rsid w:val="00585D14"/>
    <w:rsid w:val="0059725A"/>
    <w:rsid w:val="005A580A"/>
    <w:rsid w:val="005B194C"/>
    <w:rsid w:val="005B38F9"/>
    <w:rsid w:val="005B5EA2"/>
    <w:rsid w:val="005C55D7"/>
    <w:rsid w:val="005C6099"/>
    <w:rsid w:val="005C623B"/>
    <w:rsid w:val="005C72E9"/>
    <w:rsid w:val="005D47E5"/>
    <w:rsid w:val="005E040F"/>
    <w:rsid w:val="005E0FEE"/>
    <w:rsid w:val="005E2302"/>
    <w:rsid w:val="005E6C7E"/>
    <w:rsid w:val="005E6DE8"/>
    <w:rsid w:val="005E73B0"/>
    <w:rsid w:val="005F2D75"/>
    <w:rsid w:val="005F52F9"/>
    <w:rsid w:val="0060363F"/>
    <w:rsid w:val="00603F36"/>
    <w:rsid w:val="00606260"/>
    <w:rsid w:val="00612637"/>
    <w:rsid w:val="00620923"/>
    <w:rsid w:val="00642536"/>
    <w:rsid w:val="00650664"/>
    <w:rsid w:val="00663DAF"/>
    <w:rsid w:val="00664752"/>
    <w:rsid w:val="006649F5"/>
    <w:rsid w:val="00670338"/>
    <w:rsid w:val="006703A8"/>
    <w:rsid w:val="00674577"/>
    <w:rsid w:val="00676A57"/>
    <w:rsid w:val="006816AD"/>
    <w:rsid w:val="0069223B"/>
    <w:rsid w:val="00695E3E"/>
    <w:rsid w:val="006C4514"/>
    <w:rsid w:val="006D7D92"/>
    <w:rsid w:val="006E7B2E"/>
    <w:rsid w:val="006F0207"/>
    <w:rsid w:val="00700DD7"/>
    <w:rsid w:val="007046CA"/>
    <w:rsid w:val="00714836"/>
    <w:rsid w:val="00720CB6"/>
    <w:rsid w:val="007240F3"/>
    <w:rsid w:val="007510B7"/>
    <w:rsid w:val="00751765"/>
    <w:rsid w:val="00754967"/>
    <w:rsid w:val="00757D1A"/>
    <w:rsid w:val="00774401"/>
    <w:rsid w:val="00775903"/>
    <w:rsid w:val="007868CF"/>
    <w:rsid w:val="007A3D33"/>
    <w:rsid w:val="007B0435"/>
    <w:rsid w:val="007B790B"/>
    <w:rsid w:val="007C0DFC"/>
    <w:rsid w:val="007C4987"/>
    <w:rsid w:val="007C5173"/>
    <w:rsid w:val="007C5B13"/>
    <w:rsid w:val="007C60EA"/>
    <w:rsid w:val="007C69C8"/>
    <w:rsid w:val="007D34EC"/>
    <w:rsid w:val="007F0232"/>
    <w:rsid w:val="00813397"/>
    <w:rsid w:val="008142E6"/>
    <w:rsid w:val="0081738F"/>
    <w:rsid w:val="00842094"/>
    <w:rsid w:val="0085353A"/>
    <w:rsid w:val="008555BA"/>
    <w:rsid w:val="00860F6C"/>
    <w:rsid w:val="008653EC"/>
    <w:rsid w:val="00867C1C"/>
    <w:rsid w:val="00871B7E"/>
    <w:rsid w:val="008766F3"/>
    <w:rsid w:val="00880431"/>
    <w:rsid w:val="008804E2"/>
    <w:rsid w:val="0088092B"/>
    <w:rsid w:val="0088616A"/>
    <w:rsid w:val="008A5B93"/>
    <w:rsid w:val="008B55E6"/>
    <w:rsid w:val="008B5832"/>
    <w:rsid w:val="008B6C1E"/>
    <w:rsid w:val="008C3D3D"/>
    <w:rsid w:val="008D0FD8"/>
    <w:rsid w:val="008D181C"/>
    <w:rsid w:val="008D6C88"/>
    <w:rsid w:val="008E4E18"/>
    <w:rsid w:val="008F172C"/>
    <w:rsid w:val="008F4E8B"/>
    <w:rsid w:val="00904F71"/>
    <w:rsid w:val="00910212"/>
    <w:rsid w:val="009103AB"/>
    <w:rsid w:val="00910FBD"/>
    <w:rsid w:val="009128A5"/>
    <w:rsid w:val="00914572"/>
    <w:rsid w:val="00917941"/>
    <w:rsid w:val="00927A54"/>
    <w:rsid w:val="00934854"/>
    <w:rsid w:val="009454DC"/>
    <w:rsid w:val="00945E83"/>
    <w:rsid w:val="00947FCE"/>
    <w:rsid w:val="00955D40"/>
    <w:rsid w:val="00967409"/>
    <w:rsid w:val="0098774C"/>
    <w:rsid w:val="009A0699"/>
    <w:rsid w:val="009A7521"/>
    <w:rsid w:val="009B2D82"/>
    <w:rsid w:val="009D4FBD"/>
    <w:rsid w:val="009D512A"/>
    <w:rsid w:val="009E0109"/>
    <w:rsid w:val="009E064F"/>
    <w:rsid w:val="009E6E9A"/>
    <w:rsid w:val="009F0617"/>
    <w:rsid w:val="009F7369"/>
    <w:rsid w:val="00A14154"/>
    <w:rsid w:val="00A26D90"/>
    <w:rsid w:val="00A36564"/>
    <w:rsid w:val="00A533ED"/>
    <w:rsid w:val="00A53899"/>
    <w:rsid w:val="00A55BAC"/>
    <w:rsid w:val="00A64410"/>
    <w:rsid w:val="00A72796"/>
    <w:rsid w:val="00A72D45"/>
    <w:rsid w:val="00A855AC"/>
    <w:rsid w:val="00A86237"/>
    <w:rsid w:val="00A9519F"/>
    <w:rsid w:val="00AB5FFD"/>
    <w:rsid w:val="00AC1060"/>
    <w:rsid w:val="00AC2BA7"/>
    <w:rsid w:val="00AD62DF"/>
    <w:rsid w:val="00B04302"/>
    <w:rsid w:val="00B104AE"/>
    <w:rsid w:val="00B22F6F"/>
    <w:rsid w:val="00B2760E"/>
    <w:rsid w:val="00B30D71"/>
    <w:rsid w:val="00B327BB"/>
    <w:rsid w:val="00B430BD"/>
    <w:rsid w:val="00B43134"/>
    <w:rsid w:val="00B45872"/>
    <w:rsid w:val="00B552F2"/>
    <w:rsid w:val="00B71507"/>
    <w:rsid w:val="00B723B4"/>
    <w:rsid w:val="00B922DE"/>
    <w:rsid w:val="00B926E1"/>
    <w:rsid w:val="00B9303A"/>
    <w:rsid w:val="00BA02D7"/>
    <w:rsid w:val="00BA04C8"/>
    <w:rsid w:val="00BA26D8"/>
    <w:rsid w:val="00BB29C3"/>
    <w:rsid w:val="00BC566B"/>
    <w:rsid w:val="00BE3B8B"/>
    <w:rsid w:val="00C004CB"/>
    <w:rsid w:val="00C060DA"/>
    <w:rsid w:val="00C073DF"/>
    <w:rsid w:val="00C22CA3"/>
    <w:rsid w:val="00C410C0"/>
    <w:rsid w:val="00C42EAA"/>
    <w:rsid w:val="00C46BD0"/>
    <w:rsid w:val="00C51277"/>
    <w:rsid w:val="00C54382"/>
    <w:rsid w:val="00C72E30"/>
    <w:rsid w:val="00C90F7D"/>
    <w:rsid w:val="00CA64E8"/>
    <w:rsid w:val="00CE2139"/>
    <w:rsid w:val="00CE4E87"/>
    <w:rsid w:val="00CE6300"/>
    <w:rsid w:val="00CF0999"/>
    <w:rsid w:val="00CF2F4D"/>
    <w:rsid w:val="00D034E5"/>
    <w:rsid w:val="00D052F4"/>
    <w:rsid w:val="00D10903"/>
    <w:rsid w:val="00D10E3C"/>
    <w:rsid w:val="00D11CDD"/>
    <w:rsid w:val="00D2379C"/>
    <w:rsid w:val="00D2558B"/>
    <w:rsid w:val="00D31263"/>
    <w:rsid w:val="00D63101"/>
    <w:rsid w:val="00D6499E"/>
    <w:rsid w:val="00D6521E"/>
    <w:rsid w:val="00D87E9A"/>
    <w:rsid w:val="00D9365C"/>
    <w:rsid w:val="00D95864"/>
    <w:rsid w:val="00DA77A1"/>
    <w:rsid w:val="00DC448C"/>
    <w:rsid w:val="00DE3B2E"/>
    <w:rsid w:val="00DE6F9C"/>
    <w:rsid w:val="00E07246"/>
    <w:rsid w:val="00E13ED4"/>
    <w:rsid w:val="00E14B1E"/>
    <w:rsid w:val="00E2658C"/>
    <w:rsid w:val="00E3731D"/>
    <w:rsid w:val="00E37F66"/>
    <w:rsid w:val="00E46697"/>
    <w:rsid w:val="00E538BB"/>
    <w:rsid w:val="00E53C26"/>
    <w:rsid w:val="00E71838"/>
    <w:rsid w:val="00E75B7D"/>
    <w:rsid w:val="00E83377"/>
    <w:rsid w:val="00E83A64"/>
    <w:rsid w:val="00E84F61"/>
    <w:rsid w:val="00E933B2"/>
    <w:rsid w:val="00EB0ECC"/>
    <w:rsid w:val="00EB462D"/>
    <w:rsid w:val="00EE4B93"/>
    <w:rsid w:val="00EE6310"/>
    <w:rsid w:val="00EF275B"/>
    <w:rsid w:val="00EF292A"/>
    <w:rsid w:val="00F011A4"/>
    <w:rsid w:val="00F030B5"/>
    <w:rsid w:val="00F051D1"/>
    <w:rsid w:val="00F12776"/>
    <w:rsid w:val="00F14511"/>
    <w:rsid w:val="00F22D9D"/>
    <w:rsid w:val="00F2745C"/>
    <w:rsid w:val="00F36DB0"/>
    <w:rsid w:val="00F5419F"/>
    <w:rsid w:val="00F548DD"/>
    <w:rsid w:val="00F6406D"/>
    <w:rsid w:val="00F66FE4"/>
    <w:rsid w:val="00F7160A"/>
    <w:rsid w:val="00F71E46"/>
    <w:rsid w:val="00F85109"/>
    <w:rsid w:val="00F92E17"/>
    <w:rsid w:val="00FA16CE"/>
    <w:rsid w:val="00FA3A2F"/>
    <w:rsid w:val="00FC4A0A"/>
    <w:rsid w:val="00FC53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Default">
    <w:name w:val="Default"/>
    <w:rsid w:val="007549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9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A2E89F68-0AFD-4B26-B686-83F91090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1634</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8</cp:revision>
  <cp:lastPrinted>2022-12-13T00:52:00Z</cp:lastPrinted>
  <dcterms:created xsi:type="dcterms:W3CDTF">2022-12-08T23:45:00Z</dcterms:created>
  <dcterms:modified xsi:type="dcterms:W3CDTF">2022-12-13T00:54:00Z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2022-12-13T00:54:33Z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aac0b478-c647-4be3-8d26-21584619bcef</vt:lpwstr>
  </property>
  <property fmtid="{D5CDD505-2E9C-101B-9397-08002B2CF9AE}" pid="15" name="MSIP_Label_d00a4df9-c942-4b09-b23a-6c1023f6de27_ContentBits">
    <vt:lpwstr>3</vt:lpwstr>
  </property>
</Properties>
</file>