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r>
        <w:t xml:space="preserve"> </w:t>
      </w:r>
    </w:p>
    <w:p w14:paraId="255787C8" w14:textId="164A0E3A" w:rsidR="00DA77A1" w:rsidRDefault="00BD5885" w:rsidP="007868CF">
      <w:pPr>
        <w:pStyle w:val="Reference"/>
      </w:pPr>
      <w:r>
        <w:t>12</w:t>
      </w:r>
      <w:r w:rsidR="004D2A82">
        <w:t xml:space="preserve"> October</w:t>
      </w:r>
      <w:r w:rsidR="00D36E1D">
        <w:t xml:space="preserve"> </w:t>
      </w:r>
      <w:r w:rsidR="00454B49">
        <w:t>2020</w:t>
      </w:r>
    </w:p>
    <w:p w14:paraId="0B7AC0BD" w14:textId="7689940F" w:rsidR="007868CF" w:rsidRPr="007868CF" w:rsidRDefault="00842C59"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r w:rsidR="009B2515">
        <w:rPr>
          <w:rFonts w:ascii="Calibri" w:eastAsia="Calibri" w:hAnsi="Calibri" w:cs="Times New Roman"/>
          <w:b/>
          <w:sz w:val="40"/>
          <w:szCs w:val="40"/>
          <w:lang w:eastAsia="en-US"/>
        </w:rPr>
        <w:t xml:space="preserve"> </w:t>
      </w:r>
    </w:p>
    <w:p w14:paraId="7F40CE13" w14:textId="5FBF70E1" w:rsidR="007868CF" w:rsidRPr="007868CF" w:rsidRDefault="00BD588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3E2119EA" w:rsidR="007868CF" w:rsidRDefault="00BD588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RYAN DUFFY &amp; OTHERS</w:t>
      </w:r>
    </w:p>
    <w:p w14:paraId="706A3341" w14:textId="61843EA9"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D5885">
        <w:rPr>
          <w:rFonts w:ascii="Calibri" w:eastAsia="Calibri" w:hAnsi="Calibri" w:cs="Times New Roman"/>
          <w:sz w:val="24"/>
          <w:szCs w:val="24"/>
          <w:lang w:eastAsia="en-US"/>
        </w:rPr>
        <w:t xml:space="preserve">28 July </w:t>
      </w:r>
      <w:r w:rsidR="00625B96">
        <w:rPr>
          <w:rFonts w:ascii="Calibri" w:eastAsia="Calibri" w:hAnsi="Calibri" w:cs="Times New Roman"/>
          <w:sz w:val="24"/>
          <w:szCs w:val="24"/>
          <w:lang w:eastAsia="en-US"/>
        </w:rPr>
        <w:t>2020</w:t>
      </w:r>
    </w:p>
    <w:p w14:paraId="353D3562" w14:textId="7670507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BD5885">
        <w:rPr>
          <w:rFonts w:ascii="Calibri" w:eastAsia="Calibri" w:hAnsi="Calibri" w:cs="Times New Roman"/>
          <w:sz w:val="24"/>
          <w:szCs w:val="24"/>
          <w:lang w:eastAsia="en-US"/>
        </w:rPr>
        <w:t>, Magistrate John Doherty (Deputy Chairperson) and Mr Des Gleeson.</w:t>
      </w:r>
    </w:p>
    <w:p w14:paraId="0835B251" w14:textId="2C265DDE"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25B96">
        <w:rPr>
          <w:rFonts w:ascii="Calibri" w:eastAsia="Calibri" w:hAnsi="Calibri" w:cs="Times New Roman"/>
          <w:sz w:val="24"/>
          <w:szCs w:val="24"/>
          <w:lang w:eastAsia="en-US"/>
        </w:rPr>
        <w:t>M</w:t>
      </w:r>
      <w:r w:rsidR="00BD5885">
        <w:rPr>
          <w:rFonts w:ascii="Calibri" w:eastAsia="Calibri" w:hAnsi="Calibri" w:cs="Times New Roman"/>
          <w:sz w:val="24"/>
          <w:szCs w:val="24"/>
          <w:lang w:eastAsia="en-US"/>
        </w:rPr>
        <w:t xml:space="preserve">s Amy Wood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r w:rsidR="003A5F62">
        <w:rPr>
          <w:rFonts w:ascii="Calibri" w:eastAsia="Calibri" w:hAnsi="Calibri" w:cs="Times New Roman"/>
          <w:sz w:val="24"/>
          <w:szCs w:val="24"/>
          <w:lang w:eastAsia="en-US"/>
        </w:rPr>
        <w:t>.</w:t>
      </w:r>
    </w:p>
    <w:p w14:paraId="0943BBCE" w14:textId="142BD252" w:rsidR="007868CF" w:rsidRPr="007868CF" w:rsidRDefault="00625B96"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BD5885">
        <w:rPr>
          <w:rFonts w:ascii="Calibri" w:eastAsia="Calibri" w:hAnsi="Calibri" w:cs="Times New Roman"/>
          <w:sz w:val="24"/>
          <w:szCs w:val="24"/>
          <w:lang w:eastAsia="en-US"/>
        </w:rPr>
        <w:t>Damian Sheales appeared on behalf of Mr Ryan Duffy</w:t>
      </w:r>
      <w:r w:rsidR="007E533D">
        <w:rPr>
          <w:rFonts w:ascii="Calibri" w:eastAsia="Calibri" w:hAnsi="Calibri" w:cs="Times New Roman"/>
          <w:sz w:val="24"/>
          <w:szCs w:val="24"/>
          <w:lang w:eastAsia="en-US"/>
        </w:rPr>
        <w:t>. A</w:t>
      </w:r>
      <w:r w:rsidR="00780774">
        <w:rPr>
          <w:rFonts w:ascii="Calibri" w:eastAsia="Calibri" w:hAnsi="Calibri" w:cs="Times New Roman"/>
          <w:sz w:val="24"/>
          <w:szCs w:val="24"/>
          <w:lang w:eastAsia="en-US"/>
        </w:rPr>
        <w:t>ll other parties appeared on behalf of themselves</w:t>
      </w:r>
      <w:r w:rsidR="00BD5885">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B17A943" w14:textId="77777777" w:rsidR="00BD5885" w:rsidRDefault="00BD5885" w:rsidP="003D43B5">
      <w:pPr>
        <w:spacing w:before="120" w:after="120" w:line="259" w:lineRule="auto"/>
        <w:ind w:left="2880" w:hanging="2880"/>
        <w:jc w:val="both"/>
        <w:rPr>
          <w:rFonts w:ascii="Calibri" w:eastAsia="Calibri" w:hAnsi="Calibri" w:cs="Times New Roman"/>
          <w:b/>
          <w:sz w:val="24"/>
          <w:szCs w:val="24"/>
          <w:lang w:eastAsia="en-US"/>
        </w:rPr>
      </w:pPr>
    </w:p>
    <w:p w14:paraId="6AA86920" w14:textId="2140E207" w:rsidR="007868CF" w:rsidRDefault="00842C59" w:rsidP="003D43B5">
      <w:pPr>
        <w:spacing w:before="120" w:after="120"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RULING</w:t>
      </w:r>
      <w:r w:rsidR="009B2515">
        <w:rPr>
          <w:rFonts w:ascii="Calibri" w:eastAsia="Calibri" w:hAnsi="Calibri" w:cs="Times New Roman"/>
          <w:b/>
          <w:sz w:val="24"/>
          <w:szCs w:val="24"/>
          <w:lang w:eastAsia="en-US"/>
        </w:rPr>
        <w:t xml:space="preserve"> </w:t>
      </w:r>
    </w:p>
    <w:p w14:paraId="0B5E5D66" w14:textId="10783BAB"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Preliminary issues requiring a Ruling have arisen in the case of Mr</w:t>
      </w:r>
      <w:r w:rsidR="00A34A09">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Ryan Duffy. Insofar as these issues involve questions of law or mixed fact and law, pursuant to S</w:t>
      </w:r>
      <w:r w:rsidR="00A34A09">
        <w:rPr>
          <w:rFonts w:ascii="Calibri" w:eastAsia="Calibri" w:hAnsi="Calibri" w:cs="Calibri"/>
          <w:bCs/>
          <w:sz w:val="24"/>
          <w:szCs w:val="24"/>
          <w:lang w:eastAsia="en-US"/>
        </w:rPr>
        <w:t xml:space="preserve">ection </w:t>
      </w:r>
      <w:r w:rsidRPr="00BD5885">
        <w:rPr>
          <w:rFonts w:ascii="Calibri" w:eastAsia="Calibri" w:hAnsi="Calibri" w:cs="Calibri"/>
          <w:bCs/>
          <w:sz w:val="24"/>
          <w:szCs w:val="24"/>
          <w:lang w:eastAsia="en-US"/>
        </w:rPr>
        <w:t>50X of the Racing Act 1958 they have been determined by the Chairperson and by Deputy Chairperson, His Honour Magistrate John Doherty. We are in total agreement as to the following Ruling. Whilst it is our decision, we also acknowledge the valuable contribution of Member, Mr</w:t>
      </w:r>
      <w:r w:rsidR="00A34A09">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 xml:space="preserve">Des Gleeson. However, in accordance with </w:t>
      </w:r>
      <w:r w:rsidR="00A34A09">
        <w:rPr>
          <w:rFonts w:ascii="Calibri" w:eastAsia="Calibri" w:hAnsi="Calibri" w:cs="Calibri"/>
          <w:bCs/>
          <w:sz w:val="24"/>
          <w:szCs w:val="24"/>
          <w:lang w:eastAsia="en-US"/>
        </w:rPr>
        <w:t xml:space="preserve">Section </w:t>
      </w:r>
      <w:r w:rsidRPr="00BD5885">
        <w:rPr>
          <w:rFonts w:ascii="Calibri" w:eastAsia="Calibri" w:hAnsi="Calibri" w:cs="Calibri"/>
          <w:bCs/>
          <w:sz w:val="24"/>
          <w:szCs w:val="24"/>
          <w:lang w:eastAsia="en-US"/>
        </w:rPr>
        <w:t xml:space="preserve">50X, ultimately it is our joint Ruling. </w:t>
      </w:r>
    </w:p>
    <w:p w14:paraId="4A6D5A08"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p>
    <w:p w14:paraId="3E31C5E8" w14:textId="0D543292"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Mr</w:t>
      </w:r>
      <w:r w:rsidR="00A34A09">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Duffy, along with Mr</w:t>
      </w:r>
      <w:r w:rsidR="00A34A09">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 xml:space="preserve">Zac </w:t>
      </w:r>
      <w:proofErr w:type="spellStart"/>
      <w:r w:rsidRPr="00BD5885">
        <w:rPr>
          <w:rFonts w:ascii="Calibri" w:eastAsia="Calibri" w:hAnsi="Calibri" w:cs="Calibri"/>
          <w:bCs/>
          <w:sz w:val="24"/>
          <w:szCs w:val="24"/>
          <w:lang w:eastAsia="en-US"/>
        </w:rPr>
        <w:t>Steenhuis</w:t>
      </w:r>
      <w:proofErr w:type="spellEnd"/>
      <w:r w:rsidRPr="00BD5885">
        <w:rPr>
          <w:rFonts w:ascii="Calibri" w:eastAsia="Calibri" w:hAnsi="Calibri" w:cs="Calibri"/>
          <w:bCs/>
          <w:sz w:val="24"/>
          <w:szCs w:val="24"/>
          <w:lang w:eastAsia="en-US"/>
        </w:rPr>
        <w:t>, Mr</w:t>
      </w:r>
      <w:r w:rsidR="00A34A09">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 xml:space="preserve">Gabriel </w:t>
      </w:r>
      <w:proofErr w:type="spellStart"/>
      <w:r w:rsidRPr="00BD5885">
        <w:rPr>
          <w:rFonts w:ascii="Calibri" w:eastAsia="Calibri" w:hAnsi="Calibri" w:cs="Calibri"/>
          <w:bCs/>
          <w:sz w:val="24"/>
          <w:szCs w:val="24"/>
          <w:lang w:eastAsia="en-US"/>
        </w:rPr>
        <w:t>Steenhuis</w:t>
      </w:r>
      <w:proofErr w:type="spellEnd"/>
      <w:r w:rsidRPr="00BD5885">
        <w:rPr>
          <w:rFonts w:ascii="Calibri" w:eastAsia="Calibri" w:hAnsi="Calibri" w:cs="Calibri"/>
          <w:bCs/>
          <w:sz w:val="24"/>
          <w:szCs w:val="24"/>
          <w:lang w:eastAsia="en-US"/>
        </w:rPr>
        <w:t>, Mr</w:t>
      </w:r>
      <w:r w:rsidR="00A34A09">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 xml:space="preserve">Michael </w:t>
      </w:r>
      <w:proofErr w:type="spellStart"/>
      <w:r w:rsidRPr="00BD5885">
        <w:rPr>
          <w:rFonts w:ascii="Calibri" w:eastAsia="Calibri" w:hAnsi="Calibri" w:cs="Calibri"/>
          <w:bCs/>
          <w:sz w:val="24"/>
          <w:szCs w:val="24"/>
          <w:lang w:eastAsia="en-US"/>
        </w:rPr>
        <w:t>Steenhuis</w:t>
      </w:r>
      <w:proofErr w:type="spellEnd"/>
      <w:r w:rsidRPr="00BD5885">
        <w:rPr>
          <w:rFonts w:ascii="Calibri" w:eastAsia="Calibri" w:hAnsi="Calibri" w:cs="Calibri"/>
          <w:bCs/>
          <w:sz w:val="24"/>
          <w:szCs w:val="24"/>
          <w:lang w:eastAsia="en-US"/>
        </w:rPr>
        <w:t xml:space="preserve"> and Mr</w:t>
      </w:r>
      <w:r w:rsidR="00A34A09">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 xml:space="preserve">Kevin </w:t>
      </w:r>
      <w:proofErr w:type="spellStart"/>
      <w:r w:rsidRPr="00BD5885">
        <w:rPr>
          <w:rFonts w:ascii="Calibri" w:eastAsia="Calibri" w:hAnsi="Calibri" w:cs="Calibri"/>
          <w:bCs/>
          <w:sz w:val="24"/>
          <w:szCs w:val="24"/>
          <w:lang w:eastAsia="en-US"/>
        </w:rPr>
        <w:t>Trickey</w:t>
      </w:r>
      <w:proofErr w:type="spellEnd"/>
      <w:r w:rsidRPr="00BD5885">
        <w:rPr>
          <w:rFonts w:ascii="Calibri" w:eastAsia="Calibri" w:hAnsi="Calibri" w:cs="Calibri"/>
          <w:bCs/>
          <w:sz w:val="24"/>
          <w:szCs w:val="24"/>
          <w:lang w:eastAsia="en-US"/>
        </w:rPr>
        <w:t>, is facing charges arising out of events that occurred on the afternoon of 13 April 2019 and prior to the harness racing meeting to be conducted that night.  Without going into the details, the relevant charges against Mr</w:t>
      </w:r>
      <w:r w:rsidR="00A34A09">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 xml:space="preserve">Duffy for the purposes of this Ruling arise from the alleged stomach tubing and proposed injecting of the horse “Bonnie </w:t>
      </w:r>
      <w:proofErr w:type="spellStart"/>
      <w:r w:rsidRPr="00BD5885">
        <w:rPr>
          <w:rFonts w:ascii="Calibri" w:eastAsia="Calibri" w:hAnsi="Calibri" w:cs="Calibri"/>
          <w:bCs/>
          <w:sz w:val="24"/>
          <w:szCs w:val="24"/>
          <w:lang w:eastAsia="en-US"/>
        </w:rPr>
        <w:t>Kash</w:t>
      </w:r>
      <w:proofErr w:type="spellEnd"/>
      <w:r w:rsidRPr="00BD5885">
        <w:rPr>
          <w:rFonts w:ascii="Calibri" w:eastAsia="Calibri" w:hAnsi="Calibri" w:cs="Calibri"/>
          <w:bCs/>
          <w:sz w:val="24"/>
          <w:szCs w:val="24"/>
          <w:lang w:eastAsia="en-US"/>
        </w:rPr>
        <w:t>”, which was engaged to race that night. There are also charges against Mr</w:t>
      </w:r>
      <w:r w:rsidR="00A34A09">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Duffy of giving misleading evidence to the Stewards and endeavouring to frustrate an enquiry by running away (to which there may be a plea of “guilty”).  Mr</w:t>
      </w:r>
      <w:r w:rsidR="00A34A09">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Duffy is pleading “Not Guilty” to the other three charges.</w:t>
      </w:r>
    </w:p>
    <w:p w14:paraId="55316461"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p>
    <w:p w14:paraId="1682236F" w14:textId="5EDD2478"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The present intention of Mr</w:t>
      </w:r>
      <w:r w:rsidR="00A34A09">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 xml:space="preserve">Zac </w:t>
      </w:r>
      <w:proofErr w:type="spellStart"/>
      <w:r w:rsidRPr="00BD5885">
        <w:rPr>
          <w:rFonts w:ascii="Calibri" w:eastAsia="Calibri" w:hAnsi="Calibri" w:cs="Calibri"/>
          <w:bCs/>
          <w:sz w:val="24"/>
          <w:szCs w:val="24"/>
          <w:lang w:eastAsia="en-US"/>
        </w:rPr>
        <w:t>Steenhuis</w:t>
      </w:r>
      <w:proofErr w:type="spellEnd"/>
      <w:r w:rsidRPr="00BD5885">
        <w:rPr>
          <w:rFonts w:ascii="Calibri" w:eastAsia="Calibri" w:hAnsi="Calibri" w:cs="Calibri"/>
          <w:bCs/>
          <w:sz w:val="24"/>
          <w:szCs w:val="24"/>
          <w:lang w:eastAsia="en-US"/>
        </w:rPr>
        <w:t xml:space="preserve"> is to plead guilty to some nine charges and not guilty to a further eight. As we understand it, Mr</w:t>
      </w:r>
      <w:r w:rsidR="00A34A09">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 xml:space="preserve">Gabriel </w:t>
      </w:r>
      <w:proofErr w:type="spellStart"/>
      <w:r w:rsidRPr="00BD5885">
        <w:rPr>
          <w:rFonts w:ascii="Calibri" w:eastAsia="Calibri" w:hAnsi="Calibri" w:cs="Calibri"/>
          <w:bCs/>
          <w:sz w:val="24"/>
          <w:szCs w:val="24"/>
          <w:lang w:eastAsia="en-US"/>
        </w:rPr>
        <w:t>Steenhuis</w:t>
      </w:r>
      <w:proofErr w:type="spellEnd"/>
      <w:r w:rsidRPr="00BD5885">
        <w:rPr>
          <w:rFonts w:ascii="Calibri" w:eastAsia="Calibri" w:hAnsi="Calibri" w:cs="Calibri"/>
          <w:bCs/>
          <w:sz w:val="24"/>
          <w:szCs w:val="24"/>
          <w:lang w:eastAsia="en-US"/>
        </w:rPr>
        <w:t xml:space="preserve"> intends to plead not guilty to two charges, whilst Mr</w:t>
      </w:r>
      <w:r w:rsidR="00A34A09">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 xml:space="preserve">Michael </w:t>
      </w:r>
      <w:proofErr w:type="spellStart"/>
      <w:r w:rsidRPr="00BD5885">
        <w:rPr>
          <w:rFonts w:ascii="Calibri" w:eastAsia="Calibri" w:hAnsi="Calibri" w:cs="Calibri"/>
          <w:bCs/>
          <w:sz w:val="24"/>
          <w:szCs w:val="24"/>
          <w:lang w:eastAsia="en-US"/>
        </w:rPr>
        <w:t>Steenhuis</w:t>
      </w:r>
      <w:proofErr w:type="spellEnd"/>
      <w:r w:rsidRPr="00BD5885">
        <w:rPr>
          <w:rFonts w:ascii="Calibri" w:eastAsia="Calibri" w:hAnsi="Calibri" w:cs="Calibri"/>
          <w:bCs/>
          <w:sz w:val="24"/>
          <w:szCs w:val="24"/>
          <w:lang w:eastAsia="en-US"/>
        </w:rPr>
        <w:t xml:space="preserve"> will plead guilty to two.  Mr</w:t>
      </w:r>
      <w:r w:rsidR="00A34A09">
        <w:rPr>
          <w:rFonts w:ascii="Calibri" w:eastAsia="Calibri" w:hAnsi="Calibri" w:cs="Calibri"/>
          <w:bCs/>
          <w:sz w:val="24"/>
          <w:szCs w:val="24"/>
          <w:lang w:eastAsia="en-US"/>
        </w:rPr>
        <w:t xml:space="preserve"> </w:t>
      </w:r>
      <w:proofErr w:type="spellStart"/>
      <w:r w:rsidRPr="00BD5885">
        <w:rPr>
          <w:rFonts w:ascii="Calibri" w:eastAsia="Calibri" w:hAnsi="Calibri" w:cs="Calibri"/>
          <w:bCs/>
          <w:sz w:val="24"/>
          <w:szCs w:val="24"/>
          <w:lang w:eastAsia="en-US"/>
        </w:rPr>
        <w:t>Trickey</w:t>
      </w:r>
      <w:proofErr w:type="spellEnd"/>
      <w:r w:rsidRPr="00BD5885">
        <w:rPr>
          <w:rFonts w:ascii="Calibri" w:eastAsia="Calibri" w:hAnsi="Calibri" w:cs="Calibri"/>
          <w:bCs/>
          <w:sz w:val="24"/>
          <w:szCs w:val="24"/>
          <w:lang w:eastAsia="en-US"/>
        </w:rPr>
        <w:t xml:space="preserve"> is </w:t>
      </w:r>
      <w:r w:rsidRPr="00BD5885">
        <w:rPr>
          <w:rFonts w:ascii="Calibri" w:eastAsia="Calibri" w:hAnsi="Calibri" w:cs="Calibri"/>
          <w:bCs/>
          <w:sz w:val="24"/>
          <w:szCs w:val="24"/>
          <w:lang w:eastAsia="en-US"/>
        </w:rPr>
        <w:lastRenderedPageBreak/>
        <w:t>pleading not guilty to a single charge, which could be described as being peripheral to the principal charges.  Of course, the situation in relation to the pleas may change.</w:t>
      </w:r>
    </w:p>
    <w:p w14:paraId="64CCFFAF" w14:textId="77777777" w:rsidR="00A34A09" w:rsidRPr="00BD5885" w:rsidRDefault="00A34A09" w:rsidP="00BD5885">
      <w:pPr>
        <w:pBdr>
          <w:bottom w:val="single" w:sz="12" w:space="1" w:color="auto"/>
        </w:pBdr>
        <w:spacing w:line="259" w:lineRule="auto"/>
        <w:jc w:val="both"/>
        <w:rPr>
          <w:rFonts w:ascii="Calibri" w:eastAsia="Calibri" w:hAnsi="Calibri" w:cs="Calibri"/>
          <w:bCs/>
          <w:sz w:val="24"/>
          <w:szCs w:val="24"/>
          <w:lang w:eastAsia="en-US"/>
        </w:rPr>
      </w:pPr>
    </w:p>
    <w:p w14:paraId="19961E1C" w14:textId="458AB952"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The preliminary matters raised have been the subject of written submissions by Mr Sheales of counsel on behalf of Mr</w:t>
      </w:r>
      <w:r w:rsidR="00352AC5">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 xml:space="preserve">Duffy. They relate to two essential issues. </w:t>
      </w:r>
    </w:p>
    <w:p w14:paraId="7B9DE871"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p>
    <w:p w14:paraId="2F0DE846" w14:textId="36C5416E"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One involves the compellability of witnesses generally and co-accused in particular in relation to the conduct of a hearing and the giving of evidence. It can be summarised as follows. Should or can the Stewards call evidence from a person charged and particularly evidence concerning any other person charged (in this instance, Mr</w:t>
      </w:r>
      <w:r w:rsidR="00352AC5">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 xml:space="preserve">Duffy) in the same or any related proceeding?   </w:t>
      </w:r>
    </w:p>
    <w:p w14:paraId="2234E478"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p>
    <w:p w14:paraId="43947F93" w14:textId="38AA99A6"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The other concerns whether or not there should be separate hearings for the persons charged.  Submissions on behalf of Mr</w:t>
      </w:r>
      <w:r w:rsidR="00352AC5">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Duffy in relation to this latter question effectively have been left to one side by his counsel, Mr</w:t>
      </w:r>
      <w:r w:rsidR="00352AC5">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 xml:space="preserve">Sheales, pending the Ruling in relation to the earlier issue.  </w:t>
      </w:r>
    </w:p>
    <w:p w14:paraId="07F010DE"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p>
    <w:p w14:paraId="3725EB2D" w14:textId="40B899D0"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We should add that helpful written submissions were received from Mr</w:t>
      </w:r>
      <w:r w:rsidR="00352AC5">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Sheales and from Ms</w:t>
      </w:r>
      <w:r w:rsidR="00352AC5">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 xml:space="preserve">Wood of counsel on behalf of the Stewards in relation to both issues.   </w:t>
      </w:r>
    </w:p>
    <w:p w14:paraId="32EF0272" w14:textId="1FC3D743"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 xml:space="preserve"> </w:t>
      </w:r>
    </w:p>
    <w:p w14:paraId="163D934D" w14:textId="0D3227AC"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Turning to the issues of compellability and the like, without going into the submissions in detail, we say now that we prefer those on behalf of the Stewards insofar as they advance the proposition that Mr</w:t>
      </w:r>
      <w:r w:rsidR="00352AC5">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Duffy’s co-accused are compellable to attend as witnesses called by the Stewards or by Mr Duffy and to give evidence. Whether that evidence consists of the tendering of transcripts of interviews or of such tendering and further oral evidence, they should be available for cross-examination if required.</w:t>
      </w:r>
    </w:p>
    <w:p w14:paraId="75F06D2E"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p>
    <w:p w14:paraId="5348BA2D" w14:textId="3D193FAB"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We shall be referring to various provisions contained in the Racing Act 1958, hereinafter referred to as “the Act”.  The fact that the hearing is being conducted by video link does not affect the applicability of the provisions of the Act.</w:t>
      </w:r>
    </w:p>
    <w:p w14:paraId="530485CE"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p>
    <w:p w14:paraId="281B3BF2" w14:textId="6F8E1270"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Section 50Q of the Act sets out various provisions relating to the conduct of proceedings by the Tribunal.  Without going through the various matters listed in detail, the powers of the Tribunal are broad, although against a background of the obligation to act fairly, to be bound by the rules of natural justice and to act fairly and according to the substantial merits of the matter. However, it is not bound by the rules of evidence and procedures of a court of record. It can inform itself as it sees fit, conduct hearings with as little formality and technicality as is reasonably possible, and regulate its own procedure.</w:t>
      </w:r>
    </w:p>
    <w:p w14:paraId="38665464"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p>
    <w:p w14:paraId="37D78676" w14:textId="6947AAD8"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Section 50S provides that the Tribunal may, by written notice, compel a person to produce a document or attend to give evidence.  Reference is also made to S</w:t>
      </w:r>
      <w:r w:rsidR="00352AC5">
        <w:rPr>
          <w:rFonts w:ascii="Calibri" w:eastAsia="Calibri" w:hAnsi="Calibri" w:cs="Calibri"/>
          <w:bCs/>
          <w:sz w:val="24"/>
          <w:szCs w:val="24"/>
          <w:lang w:eastAsia="en-US"/>
        </w:rPr>
        <w:t>ection</w:t>
      </w:r>
      <w:r w:rsidRPr="00BD5885">
        <w:rPr>
          <w:rFonts w:ascii="Calibri" w:eastAsia="Calibri" w:hAnsi="Calibri" w:cs="Calibri"/>
          <w:bCs/>
          <w:sz w:val="24"/>
          <w:szCs w:val="24"/>
          <w:lang w:eastAsia="en-US"/>
        </w:rPr>
        <w:t xml:space="preserve"> 50ZG and </w:t>
      </w:r>
      <w:r w:rsidR="00352AC5">
        <w:rPr>
          <w:rFonts w:ascii="Calibri" w:eastAsia="Calibri" w:hAnsi="Calibri" w:cs="Calibri"/>
          <w:bCs/>
          <w:sz w:val="24"/>
          <w:szCs w:val="24"/>
          <w:lang w:eastAsia="en-US"/>
        </w:rPr>
        <w:t xml:space="preserve">Section </w:t>
      </w:r>
      <w:r w:rsidRPr="00BD5885">
        <w:rPr>
          <w:rFonts w:ascii="Calibri" w:eastAsia="Calibri" w:hAnsi="Calibri" w:cs="Calibri"/>
          <w:bCs/>
          <w:sz w:val="24"/>
          <w:szCs w:val="24"/>
          <w:lang w:eastAsia="en-US"/>
        </w:rPr>
        <w:lastRenderedPageBreak/>
        <w:t>50ZJ, which respectively deal with failure to comply with any such order and with offers of protection from criminal proceedings relating to information and documents so provided.</w:t>
      </w:r>
    </w:p>
    <w:p w14:paraId="7D7221DE" w14:textId="77777777" w:rsidR="00352AC5" w:rsidRPr="00BD5885" w:rsidRDefault="00352AC5" w:rsidP="00BD5885">
      <w:pPr>
        <w:pBdr>
          <w:bottom w:val="single" w:sz="12" w:space="1" w:color="auto"/>
        </w:pBdr>
        <w:spacing w:line="259" w:lineRule="auto"/>
        <w:jc w:val="both"/>
        <w:rPr>
          <w:rFonts w:ascii="Calibri" w:eastAsia="Calibri" w:hAnsi="Calibri" w:cs="Calibri"/>
          <w:bCs/>
          <w:sz w:val="24"/>
          <w:szCs w:val="24"/>
          <w:lang w:eastAsia="en-US"/>
        </w:rPr>
      </w:pPr>
    </w:p>
    <w:p w14:paraId="12FD1B94" w14:textId="7D5E1CE8"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 xml:space="preserve">These powers are quite sweeping and apply to persons generally and not just licensed persons. We also agree with the submission on behalf of the Stewards that persons who are both a party and a witness are also compellable. We agree that this is all part of the overall intention and scheme to the effect that the </w:t>
      </w:r>
      <w:r w:rsidR="00352AC5">
        <w:rPr>
          <w:rFonts w:ascii="Calibri" w:eastAsia="Calibri" w:hAnsi="Calibri" w:cs="Calibri"/>
          <w:bCs/>
          <w:sz w:val="24"/>
          <w:szCs w:val="24"/>
          <w:lang w:eastAsia="en-US"/>
        </w:rPr>
        <w:t>Tribunal</w:t>
      </w:r>
      <w:r w:rsidRPr="00BD5885">
        <w:rPr>
          <w:rFonts w:ascii="Calibri" w:eastAsia="Calibri" w:hAnsi="Calibri" w:cs="Calibri"/>
          <w:bCs/>
          <w:sz w:val="24"/>
          <w:szCs w:val="24"/>
          <w:lang w:eastAsia="en-US"/>
        </w:rPr>
        <w:t xml:space="preserve"> should be able to perform its functions as set out in S</w:t>
      </w:r>
      <w:r w:rsidR="00352AC5">
        <w:rPr>
          <w:rFonts w:ascii="Calibri" w:eastAsia="Calibri" w:hAnsi="Calibri" w:cs="Calibri"/>
          <w:bCs/>
          <w:sz w:val="24"/>
          <w:szCs w:val="24"/>
          <w:lang w:eastAsia="en-US"/>
        </w:rPr>
        <w:t>ection</w:t>
      </w:r>
      <w:r w:rsidRPr="00BD5885">
        <w:rPr>
          <w:rFonts w:ascii="Calibri" w:eastAsia="Calibri" w:hAnsi="Calibri" w:cs="Calibri"/>
          <w:bCs/>
          <w:sz w:val="24"/>
          <w:szCs w:val="24"/>
          <w:lang w:eastAsia="en-US"/>
        </w:rPr>
        <w:t xml:space="preserve"> 50C.  </w:t>
      </w:r>
    </w:p>
    <w:p w14:paraId="624E24A6" w14:textId="48C043FD"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 xml:space="preserve">   </w:t>
      </w:r>
    </w:p>
    <w:p w14:paraId="6AE0CE97" w14:textId="42629150"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 xml:space="preserve">We would agree that, as emphasised by the Stewards, this is a disciplinary hearing and not a criminal proceeding. In introducing the various relevant provisions contained in Part IIA of the Act, the legislature clearly was setting up a new regulatory and disciplinary Tribunal with broad powers. We do not believe that it was intended that such body was to conduct </w:t>
      </w:r>
      <w:r w:rsidR="002102CC" w:rsidRPr="00BD5885">
        <w:rPr>
          <w:rFonts w:ascii="Calibri" w:eastAsia="Calibri" w:hAnsi="Calibri" w:cs="Calibri"/>
          <w:bCs/>
          <w:sz w:val="24"/>
          <w:szCs w:val="24"/>
          <w:lang w:eastAsia="en-US"/>
        </w:rPr>
        <w:t>its</w:t>
      </w:r>
      <w:r w:rsidRPr="00BD5885">
        <w:rPr>
          <w:rFonts w:ascii="Calibri" w:eastAsia="Calibri" w:hAnsi="Calibri" w:cs="Calibri"/>
          <w:bCs/>
          <w:sz w:val="24"/>
          <w:szCs w:val="24"/>
          <w:lang w:eastAsia="en-US"/>
        </w:rPr>
        <w:t xml:space="preserve"> business as if it were a </w:t>
      </w:r>
      <w:r w:rsidR="002102CC" w:rsidRPr="00BD5885">
        <w:rPr>
          <w:rFonts w:ascii="Calibri" w:eastAsia="Calibri" w:hAnsi="Calibri" w:cs="Calibri"/>
          <w:bCs/>
          <w:sz w:val="24"/>
          <w:szCs w:val="24"/>
          <w:lang w:eastAsia="en-US"/>
        </w:rPr>
        <w:t>quasi-criminal</w:t>
      </w:r>
      <w:r w:rsidRPr="00BD5885">
        <w:rPr>
          <w:rFonts w:ascii="Calibri" w:eastAsia="Calibri" w:hAnsi="Calibri" w:cs="Calibri"/>
          <w:bCs/>
          <w:sz w:val="24"/>
          <w:szCs w:val="24"/>
          <w:lang w:eastAsia="en-US"/>
        </w:rPr>
        <w:t xml:space="preserve"> court.</w:t>
      </w:r>
    </w:p>
    <w:p w14:paraId="0D94DA6D"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p>
    <w:p w14:paraId="4D627256" w14:textId="3629E759"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That is our opinion as to the operation of the relevant provisions and the broad or general context in which the present dispute concerning compellability and evidence generally arises.</w:t>
      </w:r>
    </w:p>
    <w:p w14:paraId="77A3A681"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p>
    <w:p w14:paraId="54C93445" w14:textId="79A2E983"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We turn now to the particular circumstances of the present argument.  The central question is whether the evidence of Mr</w:t>
      </w:r>
      <w:r w:rsidR="00FA3298">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Duffy’s co-accused, and particularly that of Mr</w:t>
      </w:r>
      <w:r w:rsidR="00FA3298">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 xml:space="preserve">Zac </w:t>
      </w:r>
      <w:proofErr w:type="spellStart"/>
      <w:r w:rsidRPr="00BD5885">
        <w:rPr>
          <w:rFonts w:ascii="Calibri" w:eastAsia="Calibri" w:hAnsi="Calibri" w:cs="Calibri"/>
          <w:bCs/>
          <w:sz w:val="24"/>
          <w:szCs w:val="24"/>
          <w:lang w:eastAsia="en-US"/>
        </w:rPr>
        <w:t>Steenhuis</w:t>
      </w:r>
      <w:proofErr w:type="spellEnd"/>
      <w:r w:rsidRPr="00BD5885">
        <w:rPr>
          <w:rFonts w:ascii="Calibri" w:eastAsia="Calibri" w:hAnsi="Calibri" w:cs="Calibri"/>
          <w:bCs/>
          <w:sz w:val="24"/>
          <w:szCs w:val="24"/>
          <w:lang w:eastAsia="en-US"/>
        </w:rPr>
        <w:t xml:space="preserve"> and Mr</w:t>
      </w:r>
      <w:r w:rsidR="00FA3298">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 xml:space="preserve">Michael </w:t>
      </w:r>
      <w:proofErr w:type="spellStart"/>
      <w:r w:rsidRPr="00BD5885">
        <w:rPr>
          <w:rFonts w:ascii="Calibri" w:eastAsia="Calibri" w:hAnsi="Calibri" w:cs="Calibri"/>
          <w:bCs/>
          <w:sz w:val="24"/>
          <w:szCs w:val="24"/>
          <w:lang w:eastAsia="en-US"/>
        </w:rPr>
        <w:t>Steenhuis</w:t>
      </w:r>
      <w:proofErr w:type="spellEnd"/>
      <w:r w:rsidRPr="00BD5885">
        <w:rPr>
          <w:rFonts w:ascii="Calibri" w:eastAsia="Calibri" w:hAnsi="Calibri" w:cs="Calibri"/>
          <w:bCs/>
          <w:sz w:val="24"/>
          <w:szCs w:val="24"/>
          <w:lang w:eastAsia="en-US"/>
        </w:rPr>
        <w:t>, which material has been obtained by the Stewards can be received into evidence and considered as part of the case against Mr</w:t>
      </w:r>
      <w:r w:rsidR="00FA3298">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Duffy.  Part of this question is as to what should occur if either or both of those gentlemen fail to appear or choose not to give evidence. Can or should the Tribunal admit the evidence gathered from them by the Stewards and what would that process involve?</w:t>
      </w:r>
    </w:p>
    <w:p w14:paraId="5BEAE6C5"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p>
    <w:p w14:paraId="45E70B8A" w14:textId="0575BF8B"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 xml:space="preserve">Pursuant to </w:t>
      </w:r>
      <w:r w:rsidR="00FA3298">
        <w:rPr>
          <w:rFonts w:ascii="Calibri" w:eastAsia="Calibri" w:hAnsi="Calibri" w:cs="Calibri"/>
          <w:bCs/>
          <w:sz w:val="24"/>
          <w:szCs w:val="24"/>
          <w:lang w:eastAsia="en-US"/>
        </w:rPr>
        <w:t xml:space="preserve">Section </w:t>
      </w:r>
      <w:r w:rsidRPr="00BD5885">
        <w:rPr>
          <w:rFonts w:ascii="Calibri" w:eastAsia="Calibri" w:hAnsi="Calibri" w:cs="Calibri"/>
          <w:bCs/>
          <w:sz w:val="24"/>
          <w:szCs w:val="24"/>
          <w:lang w:eastAsia="en-US"/>
        </w:rPr>
        <w:t xml:space="preserve">50Q (1) (j) the Tribunal is not bound by the rules of evidence or any practices or procedures applicable to a court. We would refer to what has been set out above. </w:t>
      </w:r>
    </w:p>
    <w:p w14:paraId="74CEE0D7"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p>
    <w:p w14:paraId="4BB28A1E" w14:textId="3F947DDC"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 xml:space="preserve">The principles of natural justice would require that the maker of any statement sought to be put in evidence should be before the Tribunal if so required so that the veracity of any such evidence can be tested in cross-examination. This is consistent with the principles of natural justice. </w:t>
      </w:r>
    </w:p>
    <w:p w14:paraId="3EAD2E2C"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p>
    <w:p w14:paraId="1B698AB3" w14:textId="01D8B1FD"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 xml:space="preserve">In our opinion, the statements made by persons to Stewards in the course of their investigations can be admitted into evidence if </w:t>
      </w:r>
      <w:proofErr w:type="gramStart"/>
      <w:r w:rsidRPr="00BD5885">
        <w:rPr>
          <w:rFonts w:ascii="Calibri" w:eastAsia="Calibri" w:hAnsi="Calibri" w:cs="Calibri"/>
          <w:bCs/>
          <w:sz w:val="24"/>
          <w:szCs w:val="24"/>
          <w:lang w:eastAsia="en-US"/>
        </w:rPr>
        <w:t>so</w:t>
      </w:r>
      <w:proofErr w:type="gramEnd"/>
      <w:r w:rsidR="00FA3298">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requested by the Stewards. However, Mr</w:t>
      </w:r>
      <w:r w:rsidR="00FA3298">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 xml:space="preserve">Duffy should have the opportunity to cross the makers of such statements. We hasten to add that such persons are not compelled to give evidence in relation to the charges against themselves. That does not prevent the Stewards from placing in evidence such material as </w:t>
      </w:r>
      <w:r w:rsidRPr="00BD5885">
        <w:rPr>
          <w:rFonts w:ascii="Calibri" w:eastAsia="Calibri" w:hAnsi="Calibri" w:cs="Calibri"/>
          <w:bCs/>
          <w:sz w:val="24"/>
          <w:szCs w:val="24"/>
          <w:lang w:eastAsia="en-US"/>
        </w:rPr>
        <w:lastRenderedPageBreak/>
        <w:t>records of interview and the like if the makers of such statements are available for cross-examination.</w:t>
      </w:r>
    </w:p>
    <w:p w14:paraId="38812959"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p>
    <w:p w14:paraId="3AFABAC9" w14:textId="1AC1F1A0"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 xml:space="preserve">What, then, is the situation if such persons are not present, do not co-operate, or do not make themselves available for cross-examination on their records of interview or generally? The answer would seem to lie </w:t>
      </w:r>
      <w:proofErr w:type="gramStart"/>
      <w:r w:rsidRPr="00BD5885">
        <w:rPr>
          <w:rFonts w:ascii="Calibri" w:eastAsia="Calibri" w:hAnsi="Calibri" w:cs="Calibri"/>
          <w:bCs/>
          <w:sz w:val="24"/>
          <w:szCs w:val="24"/>
          <w:lang w:eastAsia="en-US"/>
        </w:rPr>
        <w:t xml:space="preserve">in </w:t>
      </w:r>
      <w:r w:rsidR="00FA3298">
        <w:rPr>
          <w:rFonts w:ascii="Calibri" w:eastAsia="Calibri" w:hAnsi="Calibri" w:cs="Calibri"/>
          <w:bCs/>
          <w:sz w:val="24"/>
          <w:szCs w:val="24"/>
          <w:lang w:eastAsia="en-US"/>
        </w:rPr>
        <w:t xml:space="preserve"> Section</w:t>
      </w:r>
      <w:proofErr w:type="gramEnd"/>
      <w:r w:rsidR="00FA3298">
        <w:rPr>
          <w:rFonts w:ascii="Calibri" w:eastAsia="Calibri" w:hAnsi="Calibri" w:cs="Calibri"/>
          <w:bCs/>
          <w:sz w:val="24"/>
          <w:szCs w:val="24"/>
          <w:lang w:eastAsia="en-US"/>
        </w:rPr>
        <w:t xml:space="preserve"> </w:t>
      </w:r>
      <w:r w:rsidRPr="00BD5885">
        <w:rPr>
          <w:rFonts w:ascii="Calibri" w:eastAsia="Calibri" w:hAnsi="Calibri" w:cs="Calibri"/>
          <w:bCs/>
          <w:sz w:val="24"/>
          <w:szCs w:val="24"/>
          <w:lang w:eastAsia="en-US"/>
        </w:rPr>
        <w:t xml:space="preserve">50S, </w:t>
      </w:r>
      <w:r w:rsidR="00FA3298">
        <w:rPr>
          <w:rFonts w:ascii="Calibri" w:eastAsia="Calibri" w:hAnsi="Calibri" w:cs="Calibri"/>
          <w:bCs/>
          <w:sz w:val="24"/>
          <w:szCs w:val="24"/>
          <w:lang w:eastAsia="en-US"/>
        </w:rPr>
        <w:t>Section</w:t>
      </w:r>
      <w:r w:rsidRPr="00BD5885">
        <w:rPr>
          <w:rFonts w:ascii="Calibri" w:eastAsia="Calibri" w:hAnsi="Calibri" w:cs="Calibri"/>
          <w:bCs/>
          <w:sz w:val="24"/>
          <w:szCs w:val="24"/>
          <w:lang w:eastAsia="en-US"/>
        </w:rPr>
        <w:t xml:space="preserve"> 50ZG and </w:t>
      </w:r>
      <w:r w:rsidR="00FA3298">
        <w:rPr>
          <w:rFonts w:ascii="Calibri" w:eastAsia="Calibri" w:hAnsi="Calibri" w:cs="Calibri"/>
          <w:bCs/>
          <w:sz w:val="24"/>
          <w:szCs w:val="24"/>
          <w:lang w:eastAsia="en-US"/>
        </w:rPr>
        <w:t xml:space="preserve">Section </w:t>
      </w:r>
      <w:r w:rsidRPr="00BD5885">
        <w:rPr>
          <w:rFonts w:ascii="Calibri" w:eastAsia="Calibri" w:hAnsi="Calibri" w:cs="Calibri"/>
          <w:bCs/>
          <w:sz w:val="24"/>
          <w:szCs w:val="24"/>
          <w:lang w:eastAsia="en-US"/>
        </w:rPr>
        <w:t xml:space="preserve">50SJ of the Act. If a party to a proceeding is not willing to co-operate or provide answers, the Stewards may apply for an order that such party be compelled to attend and give evidence. The Tribunal may grant such order and give notice to the party to attend the hearing and give evidence, including cross-examination. If the application for such an order failed, the relevant material may well not be admitted into evidence on the basis of procedural fairness. </w:t>
      </w:r>
    </w:p>
    <w:p w14:paraId="26B866E8"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p>
    <w:p w14:paraId="3FDC8EFB" w14:textId="0B50A741"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If such a party, properly compelled to appear, refused so to do or to answer questions, legislative machinery exists to deal with the issue.</w:t>
      </w:r>
    </w:p>
    <w:p w14:paraId="302D1B57"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p>
    <w:p w14:paraId="0B66047C" w14:textId="4D7EB152" w:rsid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In short, we are of the opinion that the relevant persons are compellable and should answer proper and admissible questions.  If they do not appear or refuse to answer such questions, the Stewards may seek that the relevant provisions of the Act be brought into operation.</w:t>
      </w:r>
    </w:p>
    <w:p w14:paraId="10657307"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p>
    <w:p w14:paraId="63C6BF98" w14:textId="77777777" w:rsidR="00BD5885" w:rsidRPr="00BD5885" w:rsidRDefault="00BD5885" w:rsidP="00BD5885">
      <w:pPr>
        <w:pBdr>
          <w:bottom w:val="single" w:sz="12" w:space="1" w:color="auto"/>
        </w:pBdr>
        <w:spacing w:line="259" w:lineRule="auto"/>
        <w:jc w:val="both"/>
        <w:rPr>
          <w:rFonts w:ascii="Calibri" w:eastAsia="Calibri" w:hAnsi="Calibri" w:cs="Calibri"/>
          <w:bCs/>
          <w:sz w:val="24"/>
          <w:szCs w:val="24"/>
          <w:lang w:eastAsia="en-US"/>
        </w:rPr>
      </w:pPr>
      <w:r w:rsidRPr="00BD5885">
        <w:rPr>
          <w:rFonts w:ascii="Calibri" w:eastAsia="Calibri" w:hAnsi="Calibri" w:cs="Calibri"/>
          <w:bCs/>
          <w:sz w:val="24"/>
          <w:szCs w:val="24"/>
          <w:lang w:eastAsia="en-US"/>
        </w:rPr>
        <w:t xml:space="preserve">The question of separate hearings remains. We shall hear the submissions in that regard.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3AA82" w14:textId="77777777" w:rsidR="009B1121" w:rsidRDefault="009B1121" w:rsidP="00CF0999">
      <w:r>
        <w:separator/>
      </w:r>
    </w:p>
  </w:endnote>
  <w:endnote w:type="continuationSeparator" w:id="0">
    <w:p w14:paraId="1BB40CC4" w14:textId="77777777" w:rsidR="009B1121" w:rsidRDefault="009B1121"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sidR="00A15EA4">
      <w:rPr>
        <w:rStyle w:val="FooterChar"/>
        <w:noProof/>
        <w:szCs w:val="22"/>
      </w:rPr>
      <w:t>8</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00A15EA4">
      <w:rPr>
        <w:rStyle w:val="FooterChar"/>
        <w:noProof/>
        <w:szCs w:val="22"/>
      </w:rPr>
      <w:t>8</w:t>
    </w:r>
    <w:r>
      <w:rPr>
        <w:rStyle w:val="FooterChar"/>
        <w:noProof/>
        <w:szCs w:val="22"/>
      </w:rPr>
      <w:fldChar w:fldCharType="end"/>
    </w:r>
    <w:r>
      <w:tab/>
    </w:r>
    <w:r>
      <w:rPr>
        <w:noProof/>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9C509" w14:textId="77777777" w:rsidR="009B1121" w:rsidRDefault="009B1121" w:rsidP="00CF0999">
      <w:r>
        <w:separator/>
      </w:r>
    </w:p>
  </w:footnote>
  <w:footnote w:type="continuationSeparator" w:id="0">
    <w:p w14:paraId="640DE708" w14:textId="77777777" w:rsidR="009B1121" w:rsidRDefault="009B1121"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061BC"/>
    <w:multiLevelType w:val="multilevel"/>
    <w:tmpl w:val="E730A77A"/>
    <w:lvl w:ilvl="0">
      <w:start w:val="1"/>
      <w:numFmt w:val="decimal"/>
      <w:lvlText w:val="%1."/>
      <w:lvlJc w:val="left"/>
      <w:pPr>
        <w:tabs>
          <w:tab w:val="num" w:pos="680"/>
        </w:tabs>
        <w:ind w:left="680" w:hanging="680"/>
      </w:pPr>
      <w:rPr>
        <w:rFonts w:ascii="Calibri" w:eastAsia="Calibri" w:hAnsi="Calibri" w:cs="Calibri"/>
        <w:b w:val="0"/>
      </w:rPr>
    </w:lvl>
    <w:lvl w:ilvl="1">
      <w:start w:val="1"/>
      <w:numFmt w:val="decimal"/>
      <w:lvlText w:val="%1.%2"/>
      <w:lvlJc w:val="left"/>
      <w:pPr>
        <w:tabs>
          <w:tab w:val="num" w:pos="680"/>
        </w:tabs>
        <w:ind w:left="680" w:hanging="680"/>
      </w:pPr>
    </w:lvl>
    <w:lvl w:ilvl="2">
      <w:start w:val="1"/>
      <w:numFmt w:val="lowerLetter"/>
      <w:lvlText w:val="(%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upperLetter"/>
      <w:lvlText w:val="(%5)"/>
      <w:lvlJc w:val="left"/>
      <w:pPr>
        <w:tabs>
          <w:tab w:val="num" w:pos="2722"/>
        </w:tabs>
        <w:ind w:left="2722" w:hanging="681"/>
      </w:pPr>
    </w:lvl>
    <w:lvl w:ilvl="5">
      <w:start w:val="1"/>
      <w:numFmt w:val="upperRoman"/>
      <w:lvlText w:val="(%6)"/>
      <w:lvlJc w:val="left"/>
      <w:pPr>
        <w:tabs>
          <w:tab w:val="num" w:pos="3402"/>
        </w:tabs>
        <w:ind w:left="3402" w:hanging="68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97D120B"/>
    <w:multiLevelType w:val="hybridMultilevel"/>
    <w:tmpl w:val="A9886DEC"/>
    <w:lvl w:ilvl="0" w:tplc="AAFAB02A">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 w15:restartNumberingAfterBreak="0">
    <w:nsid w:val="44133FC9"/>
    <w:multiLevelType w:val="hybridMultilevel"/>
    <w:tmpl w:val="AF748F06"/>
    <w:lvl w:ilvl="0" w:tplc="52F61B16">
      <w:start w:val="1"/>
      <w:numFmt w:val="decimal"/>
      <w:lvlText w:val="%1."/>
      <w:lvlJc w:val="left"/>
      <w:pPr>
        <w:ind w:left="720" w:hanging="360"/>
      </w:pPr>
      <w:rPr>
        <w:rFonts w:ascii="Calibri" w:eastAsia="Calibri" w:hAnsi="Calibri" w:cs="Calibri"/>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44D0318F"/>
    <w:multiLevelType w:val="multilevel"/>
    <w:tmpl w:val="FC1A3A5E"/>
    <w:lvl w:ilvl="0">
      <w:start w:val="1"/>
      <w:numFmt w:val="decimal"/>
      <w:pStyle w:val="MELegal1"/>
      <w:lvlText w:val="%1."/>
      <w:lvlJc w:val="left"/>
      <w:pPr>
        <w:tabs>
          <w:tab w:val="num" w:pos="680"/>
        </w:tabs>
        <w:ind w:left="680" w:hanging="680"/>
      </w:pPr>
      <w:rPr>
        <w:b w:val="0"/>
      </w:rPr>
    </w:lvl>
    <w:lvl w:ilvl="1">
      <w:start w:val="1"/>
      <w:numFmt w:val="decimal"/>
      <w:pStyle w:val="MELegal2"/>
      <w:lvlText w:val="%1.%2"/>
      <w:lvlJc w:val="left"/>
      <w:pPr>
        <w:tabs>
          <w:tab w:val="num" w:pos="680"/>
        </w:tabs>
        <w:ind w:left="680" w:hanging="680"/>
      </w:pPr>
    </w:lvl>
    <w:lvl w:ilvl="2">
      <w:start w:val="5"/>
      <w:numFmt w:val="decimal"/>
      <w:pStyle w:val="MELegal3"/>
      <w:lvlText w:val="(%3)"/>
      <w:lvlJc w:val="left"/>
      <w:pPr>
        <w:tabs>
          <w:tab w:val="num" w:pos="1361"/>
        </w:tabs>
        <w:ind w:left="1361" w:hanging="681"/>
      </w:pPr>
    </w:lvl>
    <w:lvl w:ilvl="3">
      <w:start w:val="1"/>
      <w:numFmt w:val="lowerRoman"/>
      <w:pStyle w:val="MELegal4"/>
      <w:lvlText w:val="(%4)"/>
      <w:lvlJc w:val="left"/>
      <w:pPr>
        <w:tabs>
          <w:tab w:val="num" w:pos="2041"/>
        </w:tabs>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63F1722D"/>
    <w:multiLevelType w:val="hybridMultilevel"/>
    <w:tmpl w:val="2B06DDA6"/>
    <w:lvl w:ilvl="0" w:tplc="DBAABE86">
      <w:start w:val="1"/>
      <w:numFmt w:val="decimal"/>
      <w:lvlText w:val="%1."/>
      <w:lvlJc w:val="left"/>
      <w:pPr>
        <w:ind w:left="56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775808AA">
      <w:start w:val="1"/>
      <w:numFmt w:val="lowerLetter"/>
      <w:lvlText w:val="%2)"/>
      <w:lvlJc w:val="left"/>
      <w:pPr>
        <w:ind w:left="92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6726B0C">
      <w:start w:val="1"/>
      <w:numFmt w:val="lowerRoman"/>
      <w:lvlText w:val="%3"/>
      <w:lvlJc w:val="left"/>
      <w:pPr>
        <w:ind w:left="164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8966C2C">
      <w:start w:val="1"/>
      <w:numFmt w:val="decimal"/>
      <w:lvlText w:val="%4"/>
      <w:lvlJc w:val="left"/>
      <w:pPr>
        <w:ind w:left="236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620668E">
      <w:start w:val="1"/>
      <w:numFmt w:val="lowerLetter"/>
      <w:lvlText w:val="%5"/>
      <w:lvlJc w:val="left"/>
      <w:pPr>
        <w:ind w:left="30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F550A0B6">
      <w:start w:val="1"/>
      <w:numFmt w:val="lowerRoman"/>
      <w:lvlText w:val="%6"/>
      <w:lvlJc w:val="left"/>
      <w:pPr>
        <w:ind w:left="380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95E40E8">
      <w:start w:val="1"/>
      <w:numFmt w:val="decimal"/>
      <w:lvlText w:val="%7"/>
      <w:lvlJc w:val="left"/>
      <w:pPr>
        <w:ind w:left="452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0004770">
      <w:start w:val="1"/>
      <w:numFmt w:val="lowerLetter"/>
      <w:lvlText w:val="%8"/>
      <w:lvlJc w:val="left"/>
      <w:pPr>
        <w:ind w:left="524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9CCFA86">
      <w:start w:val="1"/>
      <w:numFmt w:val="lowerRoman"/>
      <w:lvlText w:val="%9"/>
      <w:lvlJc w:val="left"/>
      <w:pPr>
        <w:ind w:left="596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6C885B8D"/>
    <w:multiLevelType w:val="hybridMultilevel"/>
    <w:tmpl w:val="9894F5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671140D"/>
    <w:multiLevelType w:val="hybridMultilevel"/>
    <w:tmpl w:val="89981E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5"/>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832"/>
    <w:rsid w:val="000025F0"/>
    <w:rsid w:val="00016B45"/>
    <w:rsid w:val="0002120E"/>
    <w:rsid w:val="000215EA"/>
    <w:rsid w:val="00042F7B"/>
    <w:rsid w:val="000506C1"/>
    <w:rsid w:val="000576F4"/>
    <w:rsid w:val="000642AD"/>
    <w:rsid w:val="000717EB"/>
    <w:rsid w:val="00071F3E"/>
    <w:rsid w:val="00073C6A"/>
    <w:rsid w:val="00087EA5"/>
    <w:rsid w:val="000934F0"/>
    <w:rsid w:val="0009363B"/>
    <w:rsid w:val="000A04DF"/>
    <w:rsid w:val="000A4CB3"/>
    <w:rsid w:val="000A63EB"/>
    <w:rsid w:val="000A7F6C"/>
    <w:rsid w:val="000B5E53"/>
    <w:rsid w:val="000C05F5"/>
    <w:rsid w:val="000C61EC"/>
    <w:rsid w:val="000C73F9"/>
    <w:rsid w:val="000D698B"/>
    <w:rsid w:val="000E5309"/>
    <w:rsid w:val="000F5A17"/>
    <w:rsid w:val="00105417"/>
    <w:rsid w:val="0012029D"/>
    <w:rsid w:val="001203CF"/>
    <w:rsid w:val="00122152"/>
    <w:rsid w:val="00133A42"/>
    <w:rsid w:val="0013537F"/>
    <w:rsid w:val="001372AC"/>
    <w:rsid w:val="00141381"/>
    <w:rsid w:val="00142AF8"/>
    <w:rsid w:val="001459C3"/>
    <w:rsid w:val="00145A3A"/>
    <w:rsid w:val="001530AD"/>
    <w:rsid w:val="00155CA4"/>
    <w:rsid w:val="00165E82"/>
    <w:rsid w:val="00180EA0"/>
    <w:rsid w:val="00182F21"/>
    <w:rsid w:val="0018346D"/>
    <w:rsid w:val="0018392B"/>
    <w:rsid w:val="00194944"/>
    <w:rsid w:val="001970F5"/>
    <w:rsid w:val="001C0756"/>
    <w:rsid w:val="001C2886"/>
    <w:rsid w:val="001C5CAD"/>
    <w:rsid w:val="001D5EA1"/>
    <w:rsid w:val="001F4FF6"/>
    <w:rsid w:val="00203133"/>
    <w:rsid w:val="00206AF3"/>
    <w:rsid w:val="002102CC"/>
    <w:rsid w:val="00210EC7"/>
    <w:rsid w:val="0021172F"/>
    <w:rsid w:val="00214575"/>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96998"/>
    <w:rsid w:val="00297669"/>
    <w:rsid w:val="002A0B84"/>
    <w:rsid w:val="002A3425"/>
    <w:rsid w:val="002C570F"/>
    <w:rsid w:val="002C65C0"/>
    <w:rsid w:val="002C6BB3"/>
    <w:rsid w:val="002D1DBB"/>
    <w:rsid w:val="002E22BA"/>
    <w:rsid w:val="002E4F28"/>
    <w:rsid w:val="002E6AF3"/>
    <w:rsid w:val="002F04A9"/>
    <w:rsid w:val="002F50B0"/>
    <w:rsid w:val="002F7434"/>
    <w:rsid w:val="00305A16"/>
    <w:rsid w:val="0031235E"/>
    <w:rsid w:val="00320270"/>
    <w:rsid w:val="0032538F"/>
    <w:rsid w:val="00327015"/>
    <w:rsid w:val="00335102"/>
    <w:rsid w:val="00344B4E"/>
    <w:rsid w:val="00345DD8"/>
    <w:rsid w:val="00350235"/>
    <w:rsid w:val="00352AC5"/>
    <w:rsid w:val="003648BE"/>
    <w:rsid w:val="003676AA"/>
    <w:rsid w:val="00370738"/>
    <w:rsid w:val="00371DB0"/>
    <w:rsid w:val="0037568F"/>
    <w:rsid w:val="00377F4D"/>
    <w:rsid w:val="00384D77"/>
    <w:rsid w:val="00386422"/>
    <w:rsid w:val="003875DE"/>
    <w:rsid w:val="003904DC"/>
    <w:rsid w:val="00395503"/>
    <w:rsid w:val="003A17CB"/>
    <w:rsid w:val="003A53E6"/>
    <w:rsid w:val="003A5F62"/>
    <w:rsid w:val="003B5315"/>
    <w:rsid w:val="003B5657"/>
    <w:rsid w:val="003B61CD"/>
    <w:rsid w:val="003B7142"/>
    <w:rsid w:val="003C53DC"/>
    <w:rsid w:val="003C567B"/>
    <w:rsid w:val="003C6B50"/>
    <w:rsid w:val="003D043D"/>
    <w:rsid w:val="003D0AFE"/>
    <w:rsid w:val="003D197D"/>
    <w:rsid w:val="003D43B5"/>
    <w:rsid w:val="003D5FFA"/>
    <w:rsid w:val="003E25C3"/>
    <w:rsid w:val="003F1F80"/>
    <w:rsid w:val="0040030D"/>
    <w:rsid w:val="00400F60"/>
    <w:rsid w:val="00401860"/>
    <w:rsid w:val="00403914"/>
    <w:rsid w:val="0040472C"/>
    <w:rsid w:val="0040496C"/>
    <w:rsid w:val="00404E61"/>
    <w:rsid w:val="00405629"/>
    <w:rsid w:val="0040758A"/>
    <w:rsid w:val="00410F1A"/>
    <w:rsid w:val="00411F89"/>
    <w:rsid w:val="00412922"/>
    <w:rsid w:val="00414084"/>
    <w:rsid w:val="004208B8"/>
    <w:rsid w:val="004235E9"/>
    <w:rsid w:val="00425AD7"/>
    <w:rsid w:val="004348B4"/>
    <w:rsid w:val="00434C95"/>
    <w:rsid w:val="00437688"/>
    <w:rsid w:val="004435FB"/>
    <w:rsid w:val="00454090"/>
    <w:rsid w:val="00454B49"/>
    <w:rsid w:val="00456518"/>
    <w:rsid w:val="00471D5C"/>
    <w:rsid w:val="00473D0D"/>
    <w:rsid w:val="0047776C"/>
    <w:rsid w:val="00480874"/>
    <w:rsid w:val="00482524"/>
    <w:rsid w:val="00491007"/>
    <w:rsid w:val="00495519"/>
    <w:rsid w:val="004A103B"/>
    <w:rsid w:val="004A3FBE"/>
    <w:rsid w:val="004A5123"/>
    <w:rsid w:val="004A729B"/>
    <w:rsid w:val="004A7BBC"/>
    <w:rsid w:val="004B2C80"/>
    <w:rsid w:val="004C2A89"/>
    <w:rsid w:val="004C433B"/>
    <w:rsid w:val="004D2A82"/>
    <w:rsid w:val="004D6D59"/>
    <w:rsid w:val="004F338D"/>
    <w:rsid w:val="005044B5"/>
    <w:rsid w:val="00512165"/>
    <w:rsid w:val="005169FE"/>
    <w:rsid w:val="00524424"/>
    <w:rsid w:val="005250ED"/>
    <w:rsid w:val="0052530C"/>
    <w:rsid w:val="00525438"/>
    <w:rsid w:val="0053232B"/>
    <w:rsid w:val="00532A17"/>
    <w:rsid w:val="00541155"/>
    <w:rsid w:val="005416D5"/>
    <w:rsid w:val="00546C39"/>
    <w:rsid w:val="005501CE"/>
    <w:rsid w:val="00551D62"/>
    <w:rsid w:val="005531C4"/>
    <w:rsid w:val="00557158"/>
    <w:rsid w:val="005607DB"/>
    <w:rsid w:val="00564572"/>
    <w:rsid w:val="00567EE4"/>
    <w:rsid w:val="00570137"/>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A5F89"/>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25B96"/>
    <w:rsid w:val="0063618E"/>
    <w:rsid w:val="00636D36"/>
    <w:rsid w:val="006372F9"/>
    <w:rsid w:val="00642C05"/>
    <w:rsid w:val="00650664"/>
    <w:rsid w:val="00655DEE"/>
    <w:rsid w:val="006649F5"/>
    <w:rsid w:val="006653E1"/>
    <w:rsid w:val="00670338"/>
    <w:rsid w:val="00671D2E"/>
    <w:rsid w:val="00674577"/>
    <w:rsid w:val="00676117"/>
    <w:rsid w:val="006816AD"/>
    <w:rsid w:val="00695E3E"/>
    <w:rsid w:val="006A3CAB"/>
    <w:rsid w:val="006A44B4"/>
    <w:rsid w:val="006A5698"/>
    <w:rsid w:val="006C4514"/>
    <w:rsid w:val="006C6349"/>
    <w:rsid w:val="006D0153"/>
    <w:rsid w:val="006D01DF"/>
    <w:rsid w:val="006D4F84"/>
    <w:rsid w:val="006D7D92"/>
    <w:rsid w:val="006E7B2E"/>
    <w:rsid w:val="006F0207"/>
    <w:rsid w:val="006F17DB"/>
    <w:rsid w:val="006F5AD4"/>
    <w:rsid w:val="006F5B80"/>
    <w:rsid w:val="00700867"/>
    <w:rsid w:val="00700DD7"/>
    <w:rsid w:val="0070207C"/>
    <w:rsid w:val="00706C60"/>
    <w:rsid w:val="00726229"/>
    <w:rsid w:val="00730528"/>
    <w:rsid w:val="007510B7"/>
    <w:rsid w:val="00757D1A"/>
    <w:rsid w:val="00760F9A"/>
    <w:rsid w:val="00765C61"/>
    <w:rsid w:val="007676B6"/>
    <w:rsid w:val="007678CB"/>
    <w:rsid w:val="00774401"/>
    <w:rsid w:val="00775903"/>
    <w:rsid w:val="00780774"/>
    <w:rsid w:val="007862D2"/>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533D"/>
    <w:rsid w:val="007E7084"/>
    <w:rsid w:val="007F17C1"/>
    <w:rsid w:val="007F2D20"/>
    <w:rsid w:val="007F329B"/>
    <w:rsid w:val="00811966"/>
    <w:rsid w:val="008142E6"/>
    <w:rsid w:val="008142E9"/>
    <w:rsid w:val="00827503"/>
    <w:rsid w:val="00832DC2"/>
    <w:rsid w:val="00840582"/>
    <w:rsid w:val="00842094"/>
    <w:rsid w:val="00842C59"/>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066A"/>
    <w:rsid w:val="008A5B93"/>
    <w:rsid w:val="008B14A0"/>
    <w:rsid w:val="008B55E6"/>
    <w:rsid w:val="008B5832"/>
    <w:rsid w:val="008C03D8"/>
    <w:rsid w:val="008C14D2"/>
    <w:rsid w:val="008C30B4"/>
    <w:rsid w:val="008C3D3D"/>
    <w:rsid w:val="008D0FD8"/>
    <w:rsid w:val="008D6C88"/>
    <w:rsid w:val="008D735B"/>
    <w:rsid w:val="008E4BF7"/>
    <w:rsid w:val="008E4E18"/>
    <w:rsid w:val="008F172C"/>
    <w:rsid w:val="008F4E8B"/>
    <w:rsid w:val="00910FBD"/>
    <w:rsid w:val="00914572"/>
    <w:rsid w:val="009151E7"/>
    <w:rsid w:val="00917941"/>
    <w:rsid w:val="0092046A"/>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6F47"/>
    <w:rsid w:val="009816F3"/>
    <w:rsid w:val="00982869"/>
    <w:rsid w:val="00984442"/>
    <w:rsid w:val="009851C3"/>
    <w:rsid w:val="00996987"/>
    <w:rsid w:val="009A7521"/>
    <w:rsid w:val="009B1121"/>
    <w:rsid w:val="009B1A0C"/>
    <w:rsid w:val="009B2515"/>
    <w:rsid w:val="009B2A2F"/>
    <w:rsid w:val="009B2D82"/>
    <w:rsid w:val="009C076C"/>
    <w:rsid w:val="009C5FB6"/>
    <w:rsid w:val="009C61BE"/>
    <w:rsid w:val="009D1D60"/>
    <w:rsid w:val="009D3726"/>
    <w:rsid w:val="009D512A"/>
    <w:rsid w:val="009E0109"/>
    <w:rsid w:val="009E064F"/>
    <w:rsid w:val="009E337E"/>
    <w:rsid w:val="009E4D1E"/>
    <w:rsid w:val="009E6A12"/>
    <w:rsid w:val="009E6E9A"/>
    <w:rsid w:val="009F7369"/>
    <w:rsid w:val="00A030C9"/>
    <w:rsid w:val="00A04C81"/>
    <w:rsid w:val="00A14154"/>
    <w:rsid w:val="00A14CAC"/>
    <w:rsid w:val="00A15EA4"/>
    <w:rsid w:val="00A34A09"/>
    <w:rsid w:val="00A36564"/>
    <w:rsid w:val="00A41F1D"/>
    <w:rsid w:val="00A533ED"/>
    <w:rsid w:val="00A53899"/>
    <w:rsid w:val="00A55BAC"/>
    <w:rsid w:val="00A61AAD"/>
    <w:rsid w:val="00A64410"/>
    <w:rsid w:val="00A72796"/>
    <w:rsid w:val="00A72D45"/>
    <w:rsid w:val="00A77631"/>
    <w:rsid w:val="00A812BA"/>
    <w:rsid w:val="00A835AE"/>
    <w:rsid w:val="00A855AC"/>
    <w:rsid w:val="00A85A29"/>
    <w:rsid w:val="00A86237"/>
    <w:rsid w:val="00A92DDC"/>
    <w:rsid w:val="00A93172"/>
    <w:rsid w:val="00AB5FFD"/>
    <w:rsid w:val="00AC1060"/>
    <w:rsid w:val="00AC2BA7"/>
    <w:rsid w:val="00AC691F"/>
    <w:rsid w:val="00AD18F6"/>
    <w:rsid w:val="00AD5BE1"/>
    <w:rsid w:val="00AD62DF"/>
    <w:rsid w:val="00AE03D8"/>
    <w:rsid w:val="00AE4311"/>
    <w:rsid w:val="00AF03B5"/>
    <w:rsid w:val="00AF60A2"/>
    <w:rsid w:val="00B04302"/>
    <w:rsid w:val="00B104AE"/>
    <w:rsid w:val="00B13178"/>
    <w:rsid w:val="00B22F6F"/>
    <w:rsid w:val="00B2760E"/>
    <w:rsid w:val="00B327BB"/>
    <w:rsid w:val="00B366A0"/>
    <w:rsid w:val="00B36759"/>
    <w:rsid w:val="00B430BD"/>
    <w:rsid w:val="00B43134"/>
    <w:rsid w:val="00B45872"/>
    <w:rsid w:val="00B471E1"/>
    <w:rsid w:val="00B52D5C"/>
    <w:rsid w:val="00B552F2"/>
    <w:rsid w:val="00B60013"/>
    <w:rsid w:val="00B64D49"/>
    <w:rsid w:val="00B85F74"/>
    <w:rsid w:val="00B86063"/>
    <w:rsid w:val="00B922DE"/>
    <w:rsid w:val="00B926E1"/>
    <w:rsid w:val="00B9298E"/>
    <w:rsid w:val="00B9303A"/>
    <w:rsid w:val="00B954AB"/>
    <w:rsid w:val="00BA02D7"/>
    <w:rsid w:val="00BA04C8"/>
    <w:rsid w:val="00BA26D8"/>
    <w:rsid w:val="00BA3A45"/>
    <w:rsid w:val="00BB29C3"/>
    <w:rsid w:val="00BC566B"/>
    <w:rsid w:val="00BC7986"/>
    <w:rsid w:val="00BD5885"/>
    <w:rsid w:val="00BE3B8B"/>
    <w:rsid w:val="00BF60DD"/>
    <w:rsid w:val="00C004CB"/>
    <w:rsid w:val="00C03623"/>
    <w:rsid w:val="00C060DA"/>
    <w:rsid w:val="00C073DF"/>
    <w:rsid w:val="00C07FA0"/>
    <w:rsid w:val="00C20E7F"/>
    <w:rsid w:val="00C22CA3"/>
    <w:rsid w:val="00C3090E"/>
    <w:rsid w:val="00C31ECB"/>
    <w:rsid w:val="00C32F6A"/>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36E1D"/>
    <w:rsid w:val="00D4081E"/>
    <w:rsid w:val="00D43798"/>
    <w:rsid w:val="00D460B2"/>
    <w:rsid w:val="00D52182"/>
    <w:rsid w:val="00D52EEE"/>
    <w:rsid w:val="00D63101"/>
    <w:rsid w:val="00D6499E"/>
    <w:rsid w:val="00D72DC9"/>
    <w:rsid w:val="00D76BE6"/>
    <w:rsid w:val="00D83C42"/>
    <w:rsid w:val="00D87E9A"/>
    <w:rsid w:val="00D90D66"/>
    <w:rsid w:val="00D95864"/>
    <w:rsid w:val="00DA2D54"/>
    <w:rsid w:val="00DA5847"/>
    <w:rsid w:val="00DA77A1"/>
    <w:rsid w:val="00DB7CDF"/>
    <w:rsid w:val="00DE4AF6"/>
    <w:rsid w:val="00DE5490"/>
    <w:rsid w:val="00DE6F9C"/>
    <w:rsid w:val="00DF73CA"/>
    <w:rsid w:val="00E00961"/>
    <w:rsid w:val="00E040C7"/>
    <w:rsid w:val="00E058D1"/>
    <w:rsid w:val="00E07246"/>
    <w:rsid w:val="00E076F3"/>
    <w:rsid w:val="00E14B1E"/>
    <w:rsid w:val="00E2658C"/>
    <w:rsid w:val="00E3731D"/>
    <w:rsid w:val="00E46697"/>
    <w:rsid w:val="00E46B54"/>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745C"/>
    <w:rsid w:val="00F31305"/>
    <w:rsid w:val="00F36DB0"/>
    <w:rsid w:val="00F37EE9"/>
    <w:rsid w:val="00F46D87"/>
    <w:rsid w:val="00F5419F"/>
    <w:rsid w:val="00F548DD"/>
    <w:rsid w:val="00F55B35"/>
    <w:rsid w:val="00F6169D"/>
    <w:rsid w:val="00F636FA"/>
    <w:rsid w:val="00F63B35"/>
    <w:rsid w:val="00F6406D"/>
    <w:rsid w:val="00F661E1"/>
    <w:rsid w:val="00F66FE4"/>
    <w:rsid w:val="00F7077D"/>
    <w:rsid w:val="00F7160A"/>
    <w:rsid w:val="00F758D8"/>
    <w:rsid w:val="00F75B76"/>
    <w:rsid w:val="00F75F7A"/>
    <w:rsid w:val="00F8088F"/>
    <w:rsid w:val="00F85109"/>
    <w:rsid w:val="00F92E17"/>
    <w:rsid w:val="00F937D7"/>
    <w:rsid w:val="00F93DB5"/>
    <w:rsid w:val="00FA3298"/>
    <w:rsid w:val="00FB58DB"/>
    <w:rsid w:val="00FB79C7"/>
    <w:rsid w:val="00FB7C61"/>
    <w:rsid w:val="00FC127C"/>
    <w:rsid w:val="00FC70FF"/>
    <w:rsid w:val="00FF2B83"/>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F6616F"/>
  <w15:docId w15:val="{2E5E5C37-0681-40AC-B398-E3EF8A8B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customStyle="1" w:styleId="UnresolvedMention1">
    <w:name w:val="Unresolved Mention1"/>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9B2515"/>
    <w:pPr>
      <w:autoSpaceDE w:val="0"/>
      <w:autoSpaceDN w:val="0"/>
      <w:adjustRightInd w:val="0"/>
      <w:spacing w:after="0" w:line="240" w:lineRule="auto"/>
    </w:pPr>
    <w:rPr>
      <w:rFonts w:ascii="Cambria" w:hAnsi="Cambria" w:cs="Cambria"/>
      <w:color w:val="000000"/>
      <w:sz w:val="24"/>
      <w:szCs w:val="24"/>
    </w:rPr>
  </w:style>
  <w:style w:type="paragraph" w:customStyle="1" w:styleId="MELegal1">
    <w:name w:val="ME Legal 1"/>
    <w:basedOn w:val="Normal"/>
    <w:rsid w:val="00F758D8"/>
    <w:pPr>
      <w:numPr>
        <w:numId w:val="6"/>
      </w:numPr>
      <w:spacing w:after="240"/>
      <w:outlineLvl w:val="0"/>
    </w:pPr>
    <w:rPr>
      <w:rFonts w:ascii="Times New Roman" w:hAnsi="Times New Roman" w:cs="Times New Roman"/>
      <w:sz w:val="24"/>
      <w:szCs w:val="24"/>
      <w:lang w:eastAsia="en-US"/>
    </w:rPr>
  </w:style>
  <w:style w:type="paragraph" w:customStyle="1" w:styleId="MELegal2">
    <w:name w:val="ME Legal 2"/>
    <w:basedOn w:val="Normal"/>
    <w:rsid w:val="00F758D8"/>
    <w:pPr>
      <w:numPr>
        <w:ilvl w:val="1"/>
        <w:numId w:val="6"/>
      </w:numPr>
      <w:spacing w:after="240"/>
      <w:outlineLvl w:val="1"/>
    </w:pPr>
    <w:rPr>
      <w:rFonts w:ascii="Times New Roman" w:hAnsi="Times New Roman" w:cs="Times New Roman"/>
      <w:sz w:val="24"/>
      <w:szCs w:val="24"/>
      <w:lang w:eastAsia="en-US"/>
    </w:rPr>
  </w:style>
  <w:style w:type="paragraph" w:customStyle="1" w:styleId="MELegal3">
    <w:name w:val="ME Legal 3"/>
    <w:basedOn w:val="Normal"/>
    <w:rsid w:val="00F758D8"/>
    <w:pPr>
      <w:numPr>
        <w:ilvl w:val="2"/>
        <w:numId w:val="6"/>
      </w:numPr>
      <w:spacing w:after="240"/>
      <w:outlineLvl w:val="2"/>
    </w:pPr>
    <w:rPr>
      <w:rFonts w:ascii="Times New Roman" w:hAnsi="Times New Roman" w:cs="Times New Roman"/>
      <w:sz w:val="24"/>
      <w:szCs w:val="24"/>
      <w:lang w:eastAsia="en-US"/>
    </w:rPr>
  </w:style>
  <w:style w:type="paragraph" w:customStyle="1" w:styleId="MELegal4">
    <w:name w:val="ME Legal 4"/>
    <w:basedOn w:val="Normal"/>
    <w:rsid w:val="00F758D8"/>
    <w:pPr>
      <w:numPr>
        <w:ilvl w:val="3"/>
        <w:numId w:val="6"/>
      </w:numPr>
      <w:spacing w:after="240"/>
      <w:outlineLvl w:val="3"/>
    </w:pPr>
    <w:rPr>
      <w:rFonts w:ascii="Times New Roman" w:hAnsi="Times New Roman" w:cs="Times New Roman"/>
      <w:sz w:val="24"/>
      <w:szCs w:val="24"/>
      <w:lang w:eastAsia="en-US"/>
    </w:rPr>
  </w:style>
  <w:style w:type="paragraph" w:customStyle="1" w:styleId="MELegal5">
    <w:name w:val="ME Legal 5"/>
    <w:basedOn w:val="Normal"/>
    <w:rsid w:val="00F758D8"/>
    <w:pPr>
      <w:numPr>
        <w:ilvl w:val="4"/>
        <w:numId w:val="6"/>
      </w:numPr>
      <w:spacing w:after="240"/>
      <w:outlineLvl w:val="4"/>
    </w:pPr>
    <w:rPr>
      <w:rFonts w:ascii="Times New Roman" w:hAnsi="Times New Roman" w:cs="Times New Roman"/>
      <w:sz w:val="24"/>
      <w:szCs w:val="24"/>
      <w:lang w:eastAsia="en-US"/>
    </w:rPr>
  </w:style>
  <w:style w:type="paragraph" w:customStyle="1" w:styleId="MELegal6">
    <w:name w:val="ME Legal 6"/>
    <w:basedOn w:val="Normal"/>
    <w:rsid w:val="00F758D8"/>
    <w:pPr>
      <w:numPr>
        <w:ilvl w:val="5"/>
        <w:numId w:val="6"/>
      </w:numPr>
      <w:spacing w:after="240"/>
      <w:outlineLvl w:val="5"/>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69947">
      <w:bodyDiv w:val="1"/>
      <w:marLeft w:val="0"/>
      <w:marRight w:val="0"/>
      <w:marTop w:val="0"/>
      <w:marBottom w:val="0"/>
      <w:divBdr>
        <w:top w:val="none" w:sz="0" w:space="0" w:color="auto"/>
        <w:left w:val="none" w:sz="0" w:space="0" w:color="auto"/>
        <w:bottom w:val="none" w:sz="0" w:space="0" w:color="auto"/>
        <w:right w:val="none" w:sz="0" w:space="0" w:color="auto"/>
      </w:divBdr>
    </w:div>
    <w:div w:id="1215384200">
      <w:bodyDiv w:val="1"/>
      <w:marLeft w:val="0"/>
      <w:marRight w:val="0"/>
      <w:marTop w:val="0"/>
      <w:marBottom w:val="0"/>
      <w:divBdr>
        <w:top w:val="none" w:sz="0" w:space="0" w:color="auto"/>
        <w:left w:val="none" w:sz="0" w:space="0" w:color="auto"/>
        <w:bottom w:val="none" w:sz="0" w:space="0" w:color="auto"/>
        <w:right w:val="none" w:sz="0" w:space="0" w:color="auto"/>
      </w:divBdr>
    </w:div>
    <w:div w:id="19742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889FF0-4277-4674-A104-255AEBDB1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4</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franca morin</dc:creator>
  <cp:lastModifiedBy>Mark A Howard (DJPR)</cp:lastModifiedBy>
  <cp:revision>11</cp:revision>
  <cp:lastPrinted>2020-10-12T02:16:00Z</cp:lastPrinted>
  <dcterms:created xsi:type="dcterms:W3CDTF">2020-10-05T02:50:00Z</dcterms:created>
  <dcterms:modified xsi:type="dcterms:W3CDTF">2020-10-12T04:38:00Z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