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8D30B13" w14:textId="77777777" w:rsidR="00E05FA3" w:rsidRPr="0077512D" w:rsidRDefault="00E05FA3" w:rsidP="00E05FA3">
      <w:pPr>
        <w:pStyle w:val="Title"/>
        <w:ind w:right="2762"/>
      </w:pPr>
      <w:r w:rsidRPr="0059617C">
        <w:t>Whole of Victorian</w:t>
      </w:r>
      <w:r>
        <w:t xml:space="preserve"> </w:t>
      </w:r>
      <w:r w:rsidRPr="0059617C">
        <w:t>Government Intellectual Property Policy</w:t>
      </w:r>
    </w:p>
    <w:p w14:paraId="4B08B12A" w14:textId="77777777" w:rsidR="00E05FA3" w:rsidRPr="0077512D" w:rsidRDefault="00E05FA3" w:rsidP="00E05FA3">
      <w:pPr>
        <w:pStyle w:val="Subtitle"/>
      </w:pPr>
      <w:r w:rsidRPr="0059617C">
        <w:t>Intent and Principles</w:t>
      </w:r>
    </w:p>
    <w:p w14:paraId="2781826F" w14:textId="77777777" w:rsidR="00E05FA3" w:rsidRDefault="00E05FA3" w:rsidP="00E05FA3">
      <w:pPr>
        <w:pStyle w:val="Date"/>
      </w:pPr>
      <w:r>
        <w:t>August</w:t>
      </w:r>
      <w:r w:rsidRPr="00C03D04">
        <w:t xml:space="preserve"> </w:t>
      </w:r>
      <w:r w:rsidRPr="00FF4E42">
        <w:t>201</w:t>
      </w:r>
      <w:r>
        <w:t>2</w:t>
      </w:r>
    </w:p>
    <w:p w14:paraId="1010987E" w14:textId="623E7DA8" w:rsidR="00EC0832" w:rsidRDefault="00EC0832" w:rsidP="00DC58AF">
      <w:pPr>
        <w:pStyle w:val="Date"/>
        <w:rPr>
          <w:lang w:eastAsia="en-AU"/>
        </w:rPr>
        <w:sectPr w:rsidR="00EC0832" w:rsidSect="00D821FA">
          <w:headerReference w:type="even" r:id="rId13"/>
          <w:headerReference w:type="default" r:id="rId14"/>
          <w:footerReference w:type="even" r:id="rId15"/>
          <w:footerReference w:type="default" r:id="rId16"/>
          <w:headerReference w:type="first" r:id="rId17"/>
          <w:footerReference w:type="first" r:id="rId18"/>
          <w:type w:val="continuous"/>
          <w:pgSz w:w="11900" w:h="16840" w:code="8"/>
          <w:pgMar w:top="1134" w:right="1701" w:bottom="851" w:left="1134" w:header="454" w:footer="624" w:gutter="0"/>
          <w:cols w:space="340"/>
          <w:titlePg/>
          <w:docGrid w:linePitch="360"/>
        </w:sectPr>
      </w:pPr>
    </w:p>
    <w:p w14:paraId="000CA677" w14:textId="7C54D98B" w:rsidR="009B1C2E" w:rsidRDefault="008F2249" w:rsidP="00DD0CB2">
      <w:pPr>
        <w:pStyle w:val="Heading2"/>
      </w:pPr>
      <w:r>
        <w:t>Background</w:t>
      </w:r>
    </w:p>
    <w:p w14:paraId="47BFC015" w14:textId="77777777" w:rsidR="00B71CBC" w:rsidRDefault="00B7270C" w:rsidP="00A938BF">
      <w:r>
        <w:t>T</w:t>
      </w:r>
      <w:r w:rsidR="00BD10DC" w:rsidRPr="00586CAC">
        <w:t>he Copyright Act 1968 (Cth)</w:t>
      </w:r>
      <w:r w:rsidR="00D43B02" w:rsidRPr="00586CAC">
        <w:t xml:space="preserve"> (the Act)</w:t>
      </w:r>
      <w:r>
        <w:t xml:space="preserve"> requires</w:t>
      </w:r>
      <w:r w:rsidR="00BD10DC" w:rsidRPr="00586CAC">
        <w:t xml:space="preserve"> the State </w:t>
      </w:r>
      <w:r w:rsidR="00824637">
        <w:t>to</w:t>
      </w:r>
      <w:r w:rsidR="00FE0BF4" w:rsidRPr="00586CAC">
        <w:t xml:space="preserve"> </w:t>
      </w:r>
      <w:r w:rsidR="00BD10DC" w:rsidRPr="00586CAC">
        <w:t>pay</w:t>
      </w:r>
      <w:r w:rsidR="005952DD" w:rsidRPr="00586CAC">
        <w:t xml:space="preserve"> </w:t>
      </w:r>
      <w:r w:rsidR="00BD10DC" w:rsidRPr="00586CAC">
        <w:t>Copyright Agency</w:t>
      </w:r>
      <w:r w:rsidR="00DB2253" w:rsidRPr="00586CAC">
        <w:t xml:space="preserve"> and Screenrights</w:t>
      </w:r>
      <w:r w:rsidR="00BD10DC" w:rsidRPr="00586CAC">
        <w:t xml:space="preserve"> for the use of copyright material. </w:t>
      </w:r>
    </w:p>
    <w:p w14:paraId="25C63913" w14:textId="5B4D83A2" w:rsidR="005D09B0" w:rsidRDefault="00873646" w:rsidP="00A938BF">
      <w:r w:rsidRPr="00586CAC">
        <w:t>T</w:t>
      </w:r>
      <w:r w:rsidR="00E232CC" w:rsidRPr="00586CAC">
        <w:t xml:space="preserve">he Department of Government Services (DGS) manages </w:t>
      </w:r>
      <w:r w:rsidR="00BD10DC" w:rsidRPr="00586CAC">
        <w:t>agreement</w:t>
      </w:r>
      <w:r w:rsidR="009536DA" w:rsidRPr="00586CAC">
        <w:t>s</w:t>
      </w:r>
      <w:r w:rsidR="00BD10DC" w:rsidRPr="00586CAC">
        <w:t xml:space="preserve"> with Copyright Agency</w:t>
      </w:r>
      <w:r w:rsidR="009536DA" w:rsidRPr="00586CAC">
        <w:t xml:space="preserve"> and Screenrights</w:t>
      </w:r>
      <w:r w:rsidR="007B30C4">
        <w:t xml:space="preserve"> on behalf of the State</w:t>
      </w:r>
      <w:r w:rsidR="00BD10DC" w:rsidRPr="00586CAC">
        <w:t xml:space="preserve">. </w:t>
      </w:r>
    </w:p>
    <w:p w14:paraId="206FD42D" w14:textId="23A5EF56" w:rsidR="007B2441" w:rsidRPr="00586CAC" w:rsidRDefault="00EC0DE7" w:rsidP="00A938BF">
      <w:r>
        <w:t>Th</w:t>
      </w:r>
      <w:r w:rsidR="005D09B0">
        <w:t>e agreements</w:t>
      </w:r>
      <w:r>
        <w:t xml:space="preserve"> </w:t>
      </w:r>
      <w:r w:rsidR="00DE1ACA">
        <w:t>require annual</w:t>
      </w:r>
      <w:r w:rsidR="00B71CBC">
        <w:t xml:space="preserve"> </w:t>
      </w:r>
      <w:r w:rsidR="00824637">
        <w:t>pay</w:t>
      </w:r>
      <w:r w:rsidR="00203D1B">
        <w:t xml:space="preserve">ments </w:t>
      </w:r>
      <w:r w:rsidR="00752533">
        <w:t>from departments and participating agencies</w:t>
      </w:r>
      <w:r w:rsidR="00661CD4">
        <w:t>.</w:t>
      </w:r>
      <w:r w:rsidR="00661CD4" w:rsidRPr="00661CD4">
        <w:t xml:space="preserve"> </w:t>
      </w:r>
      <w:r w:rsidR="00661CD4" w:rsidRPr="00586CAC">
        <w:t>Copyright Agency and Screenrights distribute these payments to copyright owners.</w:t>
      </w:r>
    </w:p>
    <w:p w14:paraId="6F3EBDEE" w14:textId="77777777" w:rsidR="00E05FA3" w:rsidRPr="00E05FA3" w:rsidRDefault="00E05FA3" w:rsidP="00E05FA3">
      <w:pPr>
        <w:pStyle w:val="Heading2"/>
      </w:pPr>
      <w:r w:rsidRPr="00E05FA3">
        <w:t>IP Policy Background</w:t>
      </w:r>
    </w:p>
    <w:p w14:paraId="5509401B" w14:textId="77777777" w:rsidR="00E05FA3" w:rsidRPr="00E05FA3" w:rsidRDefault="00E05FA3" w:rsidP="00E05FA3">
      <w:pPr>
        <w:rPr>
          <w:bCs/>
        </w:rPr>
      </w:pPr>
      <w:r w:rsidRPr="00E05FA3">
        <w:rPr>
          <w:bCs/>
        </w:rPr>
        <w:t>The State of Victoria, including its departments and public bodies creates, acquires, funds and uses all forms of intellectual property.</w:t>
      </w:r>
    </w:p>
    <w:p w14:paraId="5EED3455" w14:textId="77777777" w:rsidR="00E05FA3" w:rsidRPr="00E05FA3" w:rsidRDefault="00E05FA3" w:rsidP="00E05FA3">
      <w:pPr>
        <w:rPr>
          <w:bCs/>
        </w:rPr>
      </w:pPr>
      <w:r w:rsidRPr="00E05FA3">
        <w:rPr>
          <w:bCs/>
        </w:rPr>
        <w:t>The Intellectual Property Policy represents the State’s policy and management tools in relation to intellectual property and comprises three components:</w:t>
      </w:r>
    </w:p>
    <w:p w14:paraId="4CFD89A1" w14:textId="59856C24" w:rsidR="00E05FA3" w:rsidRPr="00E05FA3" w:rsidRDefault="00E05FA3" w:rsidP="00E05FA3">
      <w:pPr>
        <w:pStyle w:val="ListParagraph"/>
        <w:numPr>
          <w:ilvl w:val="0"/>
          <w:numId w:val="39"/>
        </w:numPr>
        <w:rPr>
          <w:bCs/>
        </w:rPr>
      </w:pPr>
      <w:r w:rsidRPr="00E05FA3">
        <w:rPr>
          <w:bCs/>
        </w:rPr>
        <w:t>IP Policy Intent and Principles</w:t>
      </w:r>
    </w:p>
    <w:p w14:paraId="3595BCC8" w14:textId="5FE25F14" w:rsidR="00E05FA3" w:rsidRPr="00E05FA3" w:rsidRDefault="00E05FA3" w:rsidP="00E05FA3">
      <w:pPr>
        <w:pStyle w:val="ListParagraph"/>
        <w:numPr>
          <w:ilvl w:val="0"/>
          <w:numId w:val="39"/>
        </w:numPr>
        <w:rPr>
          <w:bCs/>
        </w:rPr>
      </w:pPr>
      <w:r w:rsidRPr="00E05FA3">
        <w:rPr>
          <w:bCs/>
        </w:rPr>
        <w:t>IP Policy Guidelines</w:t>
      </w:r>
    </w:p>
    <w:p w14:paraId="4C780F96" w14:textId="14BFDFC9" w:rsidR="00E05FA3" w:rsidRPr="00E05FA3" w:rsidRDefault="00E05FA3" w:rsidP="00E05FA3">
      <w:pPr>
        <w:pStyle w:val="ListParagraph"/>
        <w:numPr>
          <w:ilvl w:val="0"/>
          <w:numId w:val="39"/>
        </w:numPr>
        <w:rPr>
          <w:bCs/>
        </w:rPr>
      </w:pPr>
      <w:r w:rsidRPr="00E05FA3">
        <w:rPr>
          <w:bCs/>
        </w:rPr>
        <w:t>IP Policy operational tools</w:t>
      </w:r>
    </w:p>
    <w:p w14:paraId="34FAB98C" w14:textId="77777777" w:rsidR="00E05FA3" w:rsidRPr="00E05FA3" w:rsidRDefault="00E05FA3" w:rsidP="00E05FA3">
      <w:pPr>
        <w:rPr>
          <w:bCs/>
        </w:rPr>
      </w:pPr>
      <w:r w:rsidRPr="00E05FA3">
        <w:rPr>
          <w:bCs/>
        </w:rPr>
        <w:t>The IP Policy Intent is the policy’s overarching statement of purpose. The IP Principles reflect the IP Policy Intent. The IP Principles are to be read in connection with one another; they do not operate independently.</w:t>
      </w:r>
    </w:p>
    <w:p w14:paraId="11ACF15A" w14:textId="77777777" w:rsidR="00E05FA3" w:rsidRPr="00E05FA3" w:rsidRDefault="00E05FA3" w:rsidP="00E05FA3">
      <w:pPr>
        <w:rPr>
          <w:bCs/>
        </w:rPr>
      </w:pPr>
      <w:r w:rsidRPr="00E05FA3">
        <w:rPr>
          <w:bCs/>
        </w:rPr>
        <w:t>Intellectual property is a term used to describe the results of intellectual activity and creative effort. Intellectual property assets are intangible, and their economic value exists largely in the set of exclusive rights that an owner has in the asset.</w:t>
      </w:r>
    </w:p>
    <w:p w14:paraId="32B3B3BB" w14:textId="77777777" w:rsidR="00E05FA3" w:rsidRPr="00E05FA3" w:rsidRDefault="00E05FA3" w:rsidP="00E05FA3">
      <w:pPr>
        <w:rPr>
          <w:bCs/>
        </w:rPr>
      </w:pPr>
      <w:r w:rsidRPr="00E05FA3">
        <w:rPr>
          <w:bCs/>
        </w:rPr>
        <w:t xml:space="preserve">Intellectual property may be protected through copyright, trade marks, patents, designs, circuit layouts and plant breeder’s rights. </w:t>
      </w:r>
    </w:p>
    <w:p w14:paraId="3302E2F4" w14:textId="77777777" w:rsidR="00E05FA3" w:rsidRPr="00E05FA3" w:rsidRDefault="00E05FA3" w:rsidP="00E05FA3">
      <w:pPr>
        <w:rPr>
          <w:bCs/>
        </w:rPr>
      </w:pPr>
      <w:r w:rsidRPr="00E05FA3">
        <w:rPr>
          <w:bCs/>
        </w:rPr>
        <w:t>Depending on the form of intellectual property, the rights can include:</w:t>
      </w:r>
    </w:p>
    <w:p w14:paraId="10C97233" w14:textId="12B83320" w:rsidR="00E05FA3" w:rsidRPr="00E05FA3" w:rsidRDefault="00E05FA3" w:rsidP="00E05FA3">
      <w:pPr>
        <w:pStyle w:val="ListParagraph"/>
        <w:numPr>
          <w:ilvl w:val="0"/>
          <w:numId w:val="40"/>
        </w:numPr>
        <w:rPr>
          <w:bCs/>
        </w:rPr>
      </w:pPr>
      <w:r w:rsidRPr="00E05FA3">
        <w:rPr>
          <w:bCs/>
        </w:rPr>
        <w:t>Reproduction</w:t>
      </w:r>
    </w:p>
    <w:p w14:paraId="1B2ED3EA" w14:textId="462289E7" w:rsidR="00E05FA3" w:rsidRPr="00E05FA3" w:rsidRDefault="00E05FA3" w:rsidP="00E05FA3">
      <w:pPr>
        <w:pStyle w:val="ListParagraph"/>
        <w:numPr>
          <w:ilvl w:val="0"/>
          <w:numId w:val="40"/>
        </w:numPr>
        <w:rPr>
          <w:bCs/>
        </w:rPr>
      </w:pPr>
      <w:r w:rsidRPr="00E05FA3">
        <w:rPr>
          <w:bCs/>
        </w:rPr>
        <w:lastRenderedPageBreak/>
        <w:t>Assignment</w:t>
      </w:r>
    </w:p>
    <w:p w14:paraId="6E847320" w14:textId="4E1E129B" w:rsidR="00E05FA3" w:rsidRPr="00E05FA3" w:rsidRDefault="00E05FA3" w:rsidP="00E05FA3">
      <w:pPr>
        <w:pStyle w:val="ListParagraph"/>
        <w:numPr>
          <w:ilvl w:val="0"/>
          <w:numId w:val="40"/>
        </w:numPr>
        <w:rPr>
          <w:bCs/>
        </w:rPr>
      </w:pPr>
      <w:r w:rsidRPr="00E05FA3">
        <w:rPr>
          <w:bCs/>
        </w:rPr>
        <w:t>Communication</w:t>
      </w:r>
    </w:p>
    <w:p w14:paraId="6A417886" w14:textId="49370789" w:rsidR="00E05FA3" w:rsidRPr="00E05FA3" w:rsidRDefault="00E05FA3" w:rsidP="00E05FA3">
      <w:pPr>
        <w:pStyle w:val="ListParagraph"/>
        <w:numPr>
          <w:ilvl w:val="0"/>
          <w:numId w:val="40"/>
        </w:numPr>
        <w:rPr>
          <w:bCs/>
        </w:rPr>
      </w:pPr>
      <w:r w:rsidRPr="00E05FA3">
        <w:rPr>
          <w:bCs/>
        </w:rPr>
        <w:t>Adaptation</w:t>
      </w:r>
    </w:p>
    <w:p w14:paraId="6CB9AE14" w14:textId="42379541" w:rsidR="00E05FA3" w:rsidRPr="00E05FA3" w:rsidRDefault="00E05FA3" w:rsidP="00E05FA3">
      <w:pPr>
        <w:pStyle w:val="ListParagraph"/>
        <w:numPr>
          <w:ilvl w:val="0"/>
          <w:numId w:val="40"/>
        </w:numPr>
        <w:rPr>
          <w:bCs/>
        </w:rPr>
      </w:pPr>
      <w:r w:rsidRPr="00E05FA3">
        <w:rPr>
          <w:bCs/>
        </w:rPr>
        <w:t>Translation</w:t>
      </w:r>
    </w:p>
    <w:p w14:paraId="2A5829B5" w14:textId="7F3C81FB" w:rsidR="00E05FA3" w:rsidRPr="00E05FA3" w:rsidRDefault="00E05FA3" w:rsidP="00E05FA3">
      <w:pPr>
        <w:pStyle w:val="ListParagraph"/>
        <w:numPr>
          <w:ilvl w:val="0"/>
          <w:numId w:val="40"/>
        </w:numPr>
        <w:rPr>
          <w:bCs/>
        </w:rPr>
      </w:pPr>
      <w:r w:rsidRPr="00E05FA3">
        <w:rPr>
          <w:bCs/>
        </w:rPr>
        <w:t>Authorised use or sale</w:t>
      </w:r>
    </w:p>
    <w:p w14:paraId="1344C2B9" w14:textId="77777777" w:rsidR="00E05FA3" w:rsidRPr="00E05FA3" w:rsidRDefault="00E05FA3" w:rsidP="00E05FA3">
      <w:pPr>
        <w:rPr>
          <w:bCs/>
        </w:rPr>
      </w:pPr>
      <w:r w:rsidRPr="00E05FA3">
        <w:rPr>
          <w:bCs/>
        </w:rPr>
        <w:t>Access to the State’s intellectual property can be enabled, controlled or determined through the exercise of these rights.</w:t>
      </w:r>
    </w:p>
    <w:p w14:paraId="4FEEEF00" w14:textId="77777777" w:rsidR="00E05FA3" w:rsidRPr="00E05FA3" w:rsidRDefault="00E05FA3" w:rsidP="00E05FA3">
      <w:pPr>
        <w:pStyle w:val="Heading2"/>
      </w:pPr>
      <w:r w:rsidRPr="00E05FA3">
        <w:t>IP Policy Intent</w:t>
      </w:r>
    </w:p>
    <w:p w14:paraId="1C53AAE5" w14:textId="77777777" w:rsidR="00E05FA3" w:rsidRPr="00E05FA3" w:rsidRDefault="00E05FA3" w:rsidP="00E05FA3">
      <w:pPr>
        <w:rPr>
          <w:bCs/>
        </w:rPr>
      </w:pPr>
      <w:r w:rsidRPr="00E05FA3">
        <w:rPr>
          <w:bCs/>
        </w:rPr>
        <w:t>The State grants rights to its intellectual property, as a public asset, in a manner that maximises its impact, value, accessibility and benefit consistent with the public interest.</w:t>
      </w:r>
    </w:p>
    <w:p w14:paraId="50CFC924" w14:textId="77777777" w:rsidR="00E05FA3" w:rsidRPr="00E05FA3" w:rsidRDefault="00E05FA3" w:rsidP="00E05FA3">
      <w:pPr>
        <w:rPr>
          <w:bCs/>
        </w:rPr>
      </w:pPr>
      <w:r w:rsidRPr="00E05FA3">
        <w:rPr>
          <w:bCs/>
        </w:rPr>
        <w:t>The State acquires or uses third party intellectual property in a transparent and efficient way, while upholding the law and managing risk appropriately.</w:t>
      </w:r>
    </w:p>
    <w:p w14:paraId="4E643B86" w14:textId="77777777" w:rsidR="00E05FA3" w:rsidRPr="00E05FA3" w:rsidRDefault="00E05FA3" w:rsidP="00E05FA3">
      <w:pPr>
        <w:pStyle w:val="Heading2"/>
        <w:rPr>
          <w:bCs/>
        </w:rPr>
      </w:pPr>
      <w:r w:rsidRPr="00E05FA3">
        <w:rPr>
          <w:bCs/>
        </w:rPr>
        <w:t xml:space="preserve">IP Policy </w:t>
      </w:r>
      <w:r w:rsidRPr="00E05FA3">
        <w:t>Principles</w:t>
      </w:r>
    </w:p>
    <w:p w14:paraId="764C6E86" w14:textId="77777777" w:rsidR="00E05FA3" w:rsidRPr="00E05FA3" w:rsidRDefault="00E05FA3" w:rsidP="00E05FA3">
      <w:pPr>
        <w:pStyle w:val="Heading3"/>
      </w:pPr>
      <w:r w:rsidRPr="00E05FA3">
        <w:t>Management of State owned intellectual property</w:t>
      </w:r>
    </w:p>
    <w:p w14:paraId="17BA53B6" w14:textId="77777777" w:rsidR="00E05FA3" w:rsidRPr="00E05FA3" w:rsidRDefault="00E05FA3" w:rsidP="00E05FA3">
      <w:pPr>
        <w:pStyle w:val="ListParagraph"/>
        <w:numPr>
          <w:ilvl w:val="0"/>
          <w:numId w:val="41"/>
        </w:numPr>
        <w:rPr>
          <w:bCs/>
        </w:rPr>
      </w:pPr>
      <w:r w:rsidRPr="00E05FA3">
        <w:rPr>
          <w:bCs/>
        </w:rPr>
        <w:t xml:space="preserve">The State manages its intellectual property in ways that are consistent, transparent and accountable. </w:t>
      </w:r>
    </w:p>
    <w:p w14:paraId="4080108E" w14:textId="4BF882AF" w:rsidR="00E05FA3" w:rsidRPr="00E05FA3" w:rsidRDefault="00E05FA3" w:rsidP="00E05FA3">
      <w:pPr>
        <w:pStyle w:val="ListParagraph"/>
        <w:numPr>
          <w:ilvl w:val="0"/>
          <w:numId w:val="41"/>
        </w:numPr>
        <w:rPr>
          <w:bCs/>
        </w:rPr>
      </w:pPr>
      <w:r w:rsidRPr="00E05FA3">
        <w:rPr>
          <w:bCs/>
        </w:rPr>
        <w:t xml:space="preserve">The State grants rights to its intellectual property with the fewest possible restrictions. </w:t>
      </w:r>
    </w:p>
    <w:p w14:paraId="0C07F52D" w14:textId="34B3DFB4" w:rsidR="00E05FA3" w:rsidRPr="00E05FA3" w:rsidRDefault="00E05FA3" w:rsidP="00E05FA3">
      <w:pPr>
        <w:pStyle w:val="ListParagraph"/>
        <w:numPr>
          <w:ilvl w:val="0"/>
          <w:numId w:val="41"/>
        </w:numPr>
        <w:rPr>
          <w:bCs/>
        </w:rPr>
      </w:pPr>
      <w:r w:rsidRPr="00E05FA3">
        <w:rPr>
          <w:bCs/>
        </w:rPr>
        <w:t>The State may exercise its intellectual property rights restrictively for reasons of privacy, public safety, security and law enforcement, public health, commercialisation and compliance with the law.</w:t>
      </w:r>
    </w:p>
    <w:p w14:paraId="28556DCE" w14:textId="6ECBC4B8" w:rsidR="00E05FA3" w:rsidRPr="00E05FA3" w:rsidRDefault="00E05FA3" w:rsidP="00E05FA3">
      <w:pPr>
        <w:pStyle w:val="ListParagraph"/>
        <w:numPr>
          <w:ilvl w:val="0"/>
          <w:numId w:val="41"/>
        </w:numPr>
        <w:rPr>
          <w:bCs/>
        </w:rPr>
      </w:pPr>
      <w:r w:rsidRPr="00E05FA3">
        <w:rPr>
          <w:bCs/>
        </w:rPr>
        <w:t>The State owns intellectual property created by its employees in the course of their employment.</w:t>
      </w:r>
    </w:p>
    <w:p w14:paraId="706242FD" w14:textId="181C138A" w:rsidR="00E05FA3" w:rsidRPr="00E05FA3" w:rsidRDefault="00E05FA3" w:rsidP="00E05FA3">
      <w:pPr>
        <w:pStyle w:val="ListParagraph"/>
        <w:numPr>
          <w:ilvl w:val="0"/>
          <w:numId w:val="41"/>
        </w:numPr>
        <w:rPr>
          <w:bCs/>
        </w:rPr>
      </w:pPr>
      <w:r w:rsidRPr="00E05FA3">
        <w:rPr>
          <w:bCs/>
        </w:rPr>
        <w:t xml:space="preserve">The State manages the moral rights of creators as required under the Copyright Act 1968 (Cth). </w:t>
      </w:r>
    </w:p>
    <w:p w14:paraId="04B0C4DF" w14:textId="04BBFA34" w:rsidR="00E05FA3" w:rsidRPr="00E05FA3" w:rsidRDefault="00E05FA3" w:rsidP="00E05FA3">
      <w:pPr>
        <w:pStyle w:val="ListParagraph"/>
        <w:numPr>
          <w:ilvl w:val="0"/>
          <w:numId w:val="41"/>
        </w:numPr>
        <w:rPr>
          <w:bCs/>
        </w:rPr>
      </w:pPr>
      <w:r w:rsidRPr="00E05FA3">
        <w:rPr>
          <w:bCs/>
        </w:rPr>
        <w:t>The State responds to breaches of its intellectual property rights where appropriate in order to maintain its reputation or the value of its intellectual property.</w:t>
      </w:r>
    </w:p>
    <w:p w14:paraId="0C7D544A" w14:textId="77777777" w:rsidR="00E05FA3" w:rsidRPr="00E05FA3" w:rsidRDefault="00E05FA3" w:rsidP="00E05FA3">
      <w:pPr>
        <w:pStyle w:val="Heading3"/>
      </w:pPr>
      <w:r w:rsidRPr="00E05FA3">
        <w:t>State commercialisation of intellectual property</w:t>
      </w:r>
    </w:p>
    <w:p w14:paraId="3F1753FB" w14:textId="21C4F1DC" w:rsidR="00E05FA3" w:rsidRPr="00E05FA3" w:rsidRDefault="00E05FA3" w:rsidP="00E05FA3">
      <w:pPr>
        <w:pStyle w:val="ListParagraph"/>
        <w:numPr>
          <w:ilvl w:val="0"/>
          <w:numId w:val="41"/>
        </w:numPr>
        <w:rPr>
          <w:bCs/>
        </w:rPr>
      </w:pPr>
      <w:r w:rsidRPr="00E05FA3">
        <w:rPr>
          <w:bCs/>
        </w:rPr>
        <w:t xml:space="preserve">The State is not in the business of commercialising intellectual property, and does not create intellectual property in order to generate a financial return. </w:t>
      </w:r>
    </w:p>
    <w:p w14:paraId="7CFD8764" w14:textId="042EB7CB" w:rsidR="00E05FA3" w:rsidRPr="00E05FA3" w:rsidRDefault="00E05FA3" w:rsidP="00E05FA3">
      <w:pPr>
        <w:pStyle w:val="ListParagraph"/>
        <w:numPr>
          <w:ilvl w:val="0"/>
          <w:numId w:val="41"/>
        </w:numPr>
        <w:rPr>
          <w:bCs/>
        </w:rPr>
      </w:pPr>
      <w:r w:rsidRPr="00E05FA3">
        <w:rPr>
          <w:bCs/>
        </w:rPr>
        <w:t>An agency may commercialise, or apply the Cost Recovery Guidelines to, intellectual property if:</w:t>
      </w:r>
    </w:p>
    <w:p w14:paraId="254004E9" w14:textId="475D7ED2" w:rsidR="00E05FA3" w:rsidRPr="009D7C3D" w:rsidRDefault="00E05FA3" w:rsidP="009D7C3D">
      <w:pPr>
        <w:pStyle w:val="ListParagraph"/>
        <w:numPr>
          <w:ilvl w:val="0"/>
          <w:numId w:val="42"/>
        </w:numPr>
        <w:rPr>
          <w:bCs/>
        </w:rPr>
      </w:pPr>
      <w:r w:rsidRPr="009D7C3D">
        <w:rPr>
          <w:bCs/>
        </w:rPr>
        <w:t>it has an explicit statutory function to do so; or</w:t>
      </w:r>
    </w:p>
    <w:p w14:paraId="2409229B" w14:textId="3CF65F53" w:rsidR="00E05FA3" w:rsidRPr="009D7C3D" w:rsidRDefault="00E05FA3" w:rsidP="009D7C3D">
      <w:pPr>
        <w:pStyle w:val="ListParagraph"/>
        <w:numPr>
          <w:ilvl w:val="0"/>
          <w:numId w:val="42"/>
        </w:numPr>
        <w:rPr>
          <w:bCs/>
        </w:rPr>
      </w:pPr>
      <w:r w:rsidRPr="009D7C3D">
        <w:rPr>
          <w:bCs/>
        </w:rPr>
        <w:t>it has been explicitly authorised by the Treasurer to do so because of a clear net benefit to the Victorian community.</w:t>
      </w:r>
    </w:p>
    <w:p w14:paraId="0D81647C" w14:textId="77777777" w:rsidR="00E05FA3" w:rsidRPr="00E05FA3" w:rsidRDefault="00E05FA3" w:rsidP="00E05FA3">
      <w:pPr>
        <w:pStyle w:val="Heading3"/>
      </w:pPr>
      <w:r w:rsidRPr="00E05FA3">
        <w:lastRenderedPageBreak/>
        <w:t>Procurement of goods and services</w:t>
      </w:r>
    </w:p>
    <w:p w14:paraId="37F8AA29" w14:textId="76D09354" w:rsidR="00E05FA3" w:rsidRPr="009D7C3D" w:rsidRDefault="00E05FA3" w:rsidP="009D7C3D">
      <w:pPr>
        <w:pStyle w:val="ListParagraph"/>
        <w:numPr>
          <w:ilvl w:val="0"/>
          <w:numId w:val="41"/>
        </w:numPr>
        <w:rPr>
          <w:bCs/>
        </w:rPr>
      </w:pPr>
      <w:r w:rsidRPr="009D7C3D">
        <w:rPr>
          <w:bCs/>
        </w:rPr>
        <w:t>When State procurement may result in intellectual property being generated, the State:</w:t>
      </w:r>
    </w:p>
    <w:p w14:paraId="59A4BAD0" w14:textId="2E73776C" w:rsidR="00E05FA3" w:rsidRPr="009D7C3D" w:rsidRDefault="00E05FA3" w:rsidP="009D7C3D">
      <w:pPr>
        <w:pStyle w:val="ListParagraph"/>
        <w:numPr>
          <w:ilvl w:val="0"/>
          <w:numId w:val="44"/>
        </w:numPr>
        <w:rPr>
          <w:bCs/>
        </w:rPr>
      </w:pPr>
      <w:r w:rsidRPr="009D7C3D">
        <w:rPr>
          <w:bCs/>
        </w:rPr>
        <w:t xml:space="preserve">addresses in an agreement any rights to intellectual property (including pre-existing intellectual property) that may arise as a consequence of the procurement; </w:t>
      </w:r>
    </w:p>
    <w:p w14:paraId="1F9FA830" w14:textId="235C2520" w:rsidR="00E05FA3" w:rsidRPr="009D7C3D" w:rsidRDefault="00E05FA3" w:rsidP="009D7C3D">
      <w:pPr>
        <w:pStyle w:val="ListParagraph"/>
        <w:numPr>
          <w:ilvl w:val="0"/>
          <w:numId w:val="44"/>
        </w:numPr>
        <w:rPr>
          <w:bCs/>
        </w:rPr>
      </w:pPr>
      <w:r w:rsidRPr="009D7C3D">
        <w:rPr>
          <w:bCs/>
        </w:rPr>
        <w:t>secures a licence to the intellectual property, only to the extent necessary to achieve the purposes of the procurement; and</w:t>
      </w:r>
    </w:p>
    <w:p w14:paraId="4B03FF1F" w14:textId="2759DDF9" w:rsidR="00E05FA3" w:rsidRPr="009D7C3D" w:rsidRDefault="00E05FA3" w:rsidP="009D7C3D">
      <w:pPr>
        <w:pStyle w:val="ListParagraph"/>
        <w:numPr>
          <w:ilvl w:val="0"/>
          <w:numId w:val="44"/>
        </w:numPr>
        <w:rPr>
          <w:bCs/>
        </w:rPr>
      </w:pPr>
      <w:r w:rsidRPr="009D7C3D">
        <w:rPr>
          <w:bCs/>
        </w:rPr>
        <w:t>only acquires ownership of the intellectual property if a licence is not adequate in the circumstances.</w:t>
      </w:r>
    </w:p>
    <w:p w14:paraId="735F1F40" w14:textId="77777777" w:rsidR="00E05FA3" w:rsidRPr="00E05FA3" w:rsidRDefault="00E05FA3" w:rsidP="00E05FA3">
      <w:pPr>
        <w:pStyle w:val="Heading3"/>
      </w:pPr>
      <w:r w:rsidRPr="00E05FA3">
        <w:t>Funding and grants towards the development of intellectual property</w:t>
      </w:r>
    </w:p>
    <w:p w14:paraId="233ED609" w14:textId="38B6A1C9" w:rsidR="00E05FA3" w:rsidRPr="009D7C3D" w:rsidRDefault="00E05FA3" w:rsidP="009D7C3D">
      <w:pPr>
        <w:pStyle w:val="ListParagraph"/>
        <w:numPr>
          <w:ilvl w:val="0"/>
          <w:numId w:val="41"/>
        </w:numPr>
        <w:rPr>
          <w:bCs/>
        </w:rPr>
      </w:pPr>
      <w:r w:rsidRPr="009D7C3D">
        <w:rPr>
          <w:bCs/>
        </w:rPr>
        <w:t xml:space="preserve">When the State provides a grant or similar funding for an identified purpose or project, the State: </w:t>
      </w:r>
    </w:p>
    <w:p w14:paraId="3CA5CD71" w14:textId="10404560" w:rsidR="00E05FA3" w:rsidRPr="009D7C3D" w:rsidRDefault="00E05FA3" w:rsidP="009D7C3D">
      <w:pPr>
        <w:pStyle w:val="ListParagraph"/>
        <w:numPr>
          <w:ilvl w:val="0"/>
          <w:numId w:val="46"/>
        </w:numPr>
        <w:rPr>
          <w:bCs/>
        </w:rPr>
      </w:pPr>
      <w:r w:rsidRPr="009D7C3D">
        <w:rPr>
          <w:bCs/>
        </w:rPr>
        <w:t>addresses in an agreement any rights to intellectual property (including pre-existing intellectual property) that may arise as a consequence of the grant or funding;</w:t>
      </w:r>
    </w:p>
    <w:p w14:paraId="3FC74E67" w14:textId="63546CB4" w:rsidR="00E05FA3" w:rsidRPr="009D7C3D" w:rsidRDefault="00E05FA3" w:rsidP="009D7C3D">
      <w:pPr>
        <w:pStyle w:val="ListParagraph"/>
        <w:numPr>
          <w:ilvl w:val="0"/>
          <w:numId w:val="46"/>
        </w:numPr>
        <w:rPr>
          <w:bCs/>
        </w:rPr>
      </w:pPr>
      <w:r w:rsidRPr="009D7C3D">
        <w:rPr>
          <w:bCs/>
        </w:rPr>
        <w:t xml:space="preserve">does not secure a licence to the intellectual property unless there is a stated purpose for doing so, and then only to the minimum extent necessary to achieve that purpose; </w:t>
      </w:r>
    </w:p>
    <w:p w14:paraId="5C17A3E7" w14:textId="3F362D07" w:rsidR="00E05FA3" w:rsidRPr="009D7C3D" w:rsidRDefault="00E05FA3" w:rsidP="009D7C3D">
      <w:pPr>
        <w:pStyle w:val="ListParagraph"/>
        <w:numPr>
          <w:ilvl w:val="0"/>
          <w:numId w:val="46"/>
        </w:numPr>
        <w:rPr>
          <w:bCs/>
        </w:rPr>
      </w:pPr>
      <w:r w:rsidRPr="009D7C3D">
        <w:rPr>
          <w:bCs/>
        </w:rPr>
        <w:t>if a licence would not be adequate in the circumstances, acquires ownership of the resulting intellectual property; and</w:t>
      </w:r>
    </w:p>
    <w:p w14:paraId="11F7B0A2" w14:textId="75D3F8D3" w:rsidR="00E05FA3" w:rsidRPr="009D7C3D" w:rsidRDefault="00E05FA3" w:rsidP="009D7C3D">
      <w:pPr>
        <w:pStyle w:val="ListParagraph"/>
        <w:numPr>
          <w:ilvl w:val="0"/>
          <w:numId w:val="46"/>
        </w:numPr>
        <w:rPr>
          <w:bCs/>
        </w:rPr>
      </w:pPr>
      <w:r w:rsidRPr="009D7C3D">
        <w:rPr>
          <w:bCs/>
        </w:rPr>
        <w:t xml:space="preserve">ensures that ownership of the intellectual property is able to be assigned to or by the State if the intellectual property is not used by the recipient for the purpose of the grant or funding within a reasonable time. </w:t>
      </w:r>
    </w:p>
    <w:p w14:paraId="663FF6EA" w14:textId="77777777" w:rsidR="00E05FA3" w:rsidRPr="00E05FA3" w:rsidRDefault="00E05FA3" w:rsidP="00E05FA3">
      <w:pPr>
        <w:pStyle w:val="Heading3"/>
      </w:pPr>
      <w:r w:rsidRPr="00E05FA3">
        <w:t>Use of intellectual property belonging to others</w:t>
      </w:r>
    </w:p>
    <w:p w14:paraId="3EF05476" w14:textId="04988DC7" w:rsidR="00E05FA3" w:rsidRPr="009D7C3D" w:rsidRDefault="00E05FA3" w:rsidP="009D7C3D">
      <w:pPr>
        <w:pStyle w:val="ListParagraph"/>
        <w:numPr>
          <w:ilvl w:val="0"/>
          <w:numId w:val="41"/>
        </w:numPr>
        <w:rPr>
          <w:bCs/>
        </w:rPr>
      </w:pPr>
      <w:r w:rsidRPr="009D7C3D">
        <w:rPr>
          <w:bCs/>
        </w:rPr>
        <w:t>The State deals with third party intellectual property in a manner that:</w:t>
      </w:r>
    </w:p>
    <w:p w14:paraId="24E50A76" w14:textId="7E71F8E0" w:rsidR="00E05FA3" w:rsidRPr="009D7C3D" w:rsidRDefault="00E05FA3" w:rsidP="009D7C3D">
      <w:pPr>
        <w:pStyle w:val="ListParagraph"/>
        <w:numPr>
          <w:ilvl w:val="0"/>
          <w:numId w:val="48"/>
        </w:numPr>
        <w:rPr>
          <w:bCs/>
        </w:rPr>
      </w:pPr>
      <w:r w:rsidRPr="009D7C3D">
        <w:rPr>
          <w:bCs/>
        </w:rPr>
        <w:t>avoids infringing the intellectual property rights of others and complies with the law; and</w:t>
      </w:r>
    </w:p>
    <w:p w14:paraId="01CF114F" w14:textId="5ABEAF2B" w:rsidR="00E05FA3" w:rsidRPr="009D7C3D" w:rsidRDefault="00E05FA3" w:rsidP="009D7C3D">
      <w:pPr>
        <w:pStyle w:val="ListParagraph"/>
        <w:numPr>
          <w:ilvl w:val="0"/>
          <w:numId w:val="48"/>
        </w:numPr>
        <w:rPr>
          <w:bCs/>
        </w:rPr>
      </w:pPr>
      <w:r w:rsidRPr="009D7C3D">
        <w:rPr>
          <w:bCs/>
        </w:rPr>
        <w:t>provides equitable remuneration to intellectual property owners (whether directly or through collecting societies) in a manner consistent with the responsible spending of public moneys.</w:t>
      </w:r>
    </w:p>
    <w:p w14:paraId="7FD7BF43" w14:textId="77777777" w:rsidR="00E05FA3" w:rsidRPr="00BD46CB" w:rsidRDefault="00E05FA3" w:rsidP="00BD46CB">
      <w:pPr>
        <w:pStyle w:val="Heading3"/>
      </w:pPr>
      <w:r w:rsidRPr="00BD46CB">
        <w:t>Identification and recording of intellectual property</w:t>
      </w:r>
    </w:p>
    <w:p w14:paraId="12D17D0F" w14:textId="7EA1471A" w:rsidR="00E05FA3" w:rsidRPr="009D7C3D" w:rsidRDefault="00E05FA3" w:rsidP="009D7C3D">
      <w:pPr>
        <w:pStyle w:val="ListParagraph"/>
        <w:numPr>
          <w:ilvl w:val="0"/>
          <w:numId w:val="41"/>
        </w:numPr>
        <w:rPr>
          <w:bCs/>
        </w:rPr>
      </w:pPr>
      <w:r w:rsidRPr="009D7C3D">
        <w:rPr>
          <w:bCs/>
        </w:rPr>
        <w:t xml:space="preserve">Agencies of the State identify and record intellectual property in their possession, where that intellectual property: </w:t>
      </w:r>
    </w:p>
    <w:p w14:paraId="09B75B7B" w14:textId="194B3A09" w:rsidR="00E05FA3" w:rsidRPr="009D7C3D" w:rsidRDefault="00E05FA3" w:rsidP="009D7C3D">
      <w:pPr>
        <w:pStyle w:val="ListParagraph"/>
        <w:numPr>
          <w:ilvl w:val="0"/>
          <w:numId w:val="49"/>
        </w:numPr>
        <w:rPr>
          <w:bCs/>
        </w:rPr>
      </w:pPr>
      <w:r w:rsidRPr="009D7C3D">
        <w:rPr>
          <w:bCs/>
        </w:rPr>
        <w:t>involves statutory registration and renewal processes;</w:t>
      </w:r>
    </w:p>
    <w:p w14:paraId="5A3D258B" w14:textId="1EFC6A97" w:rsidR="00E05FA3" w:rsidRPr="009D7C3D" w:rsidRDefault="00E05FA3" w:rsidP="009D7C3D">
      <w:pPr>
        <w:pStyle w:val="ListParagraph"/>
        <w:numPr>
          <w:ilvl w:val="0"/>
          <w:numId w:val="49"/>
        </w:numPr>
        <w:rPr>
          <w:bCs/>
        </w:rPr>
      </w:pPr>
      <w:r w:rsidRPr="009D7C3D">
        <w:rPr>
          <w:bCs/>
        </w:rPr>
        <w:t>is critical to a deliverable or core function of the agency; or</w:t>
      </w:r>
    </w:p>
    <w:p w14:paraId="76D6379C" w14:textId="131482C4" w:rsidR="00E05FA3" w:rsidRPr="009D7C3D" w:rsidRDefault="00E05FA3" w:rsidP="009D7C3D">
      <w:pPr>
        <w:pStyle w:val="ListParagraph"/>
        <w:numPr>
          <w:ilvl w:val="0"/>
          <w:numId w:val="49"/>
        </w:numPr>
        <w:rPr>
          <w:bCs/>
        </w:rPr>
      </w:pPr>
      <w:r w:rsidRPr="009D7C3D">
        <w:rPr>
          <w:bCs/>
        </w:rPr>
        <w:t xml:space="preserve">requires active risk management. </w:t>
      </w:r>
    </w:p>
    <w:p w14:paraId="13204E04" w14:textId="77777777" w:rsidR="00E05FA3" w:rsidRPr="00E05FA3" w:rsidRDefault="00E05FA3" w:rsidP="00E05FA3">
      <w:pPr>
        <w:pStyle w:val="Heading2"/>
      </w:pPr>
      <w:r w:rsidRPr="00E05FA3">
        <w:lastRenderedPageBreak/>
        <w:t>Governance framework for this policy</w:t>
      </w:r>
    </w:p>
    <w:p w14:paraId="595DAA1F" w14:textId="77777777" w:rsidR="00E05FA3" w:rsidRPr="00E05FA3" w:rsidRDefault="00E05FA3" w:rsidP="00E05FA3">
      <w:pPr>
        <w:rPr>
          <w:bCs/>
        </w:rPr>
      </w:pPr>
      <w:r w:rsidRPr="00E05FA3">
        <w:rPr>
          <w:bCs/>
        </w:rPr>
        <w:t>The IP Policy Intent and Principles apply to all agencies (that is, all departments and public bodies) of the State. They are supported by the IP Policy Guidelines and IP Policy operational tools, as managed and updated by the Minister administering the IP Policy through the Department of Treasury and Finance.</w:t>
      </w:r>
    </w:p>
    <w:p w14:paraId="795449B7" w14:textId="77777777" w:rsidR="00E05FA3" w:rsidRPr="00E05FA3" w:rsidRDefault="00E05FA3" w:rsidP="00E05FA3">
      <w:pPr>
        <w:rPr>
          <w:bCs/>
        </w:rPr>
      </w:pPr>
      <w:r w:rsidRPr="00E05FA3">
        <w:rPr>
          <w:bCs/>
        </w:rPr>
        <w:t>Subject to the IP Policy Intent and Principles, in relation to the State’s intellectual property, a departmental Secretary or an agency head has responsibility (which may be delegated) for applying this policy to intellectual property managed by the agency.</w:t>
      </w:r>
    </w:p>
    <w:p w14:paraId="657C8669" w14:textId="2324418D" w:rsidR="00E05FA3" w:rsidRDefault="00E05FA3" w:rsidP="00E05FA3">
      <w:pPr>
        <w:rPr>
          <w:bCs/>
        </w:rPr>
      </w:pPr>
      <w:r w:rsidRPr="00E05FA3">
        <w:rPr>
          <w:bCs/>
        </w:rPr>
        <w:t xml:space="preserve">Negotiations concerning the State’s exercise of copyright acts in relation to third-party copyright works under s 183 of the Copyright Act 1968 (Cth) are the responsibility of the Department of Treasury and Finance.  </w:t>
      </w:r>
    </w:p>
    <w:p w14:paraId="64BD1FAD" w14:textId="77777777" w:rsidR="006E1EC3" w:rsidRDefault="006E1EC3" w:rsidP="00F80FDC">
      <w:pPr>
        <w:pStyle w:val="Heading2"/>
      </w:pPr>
      <w:r>
        <w:t>Contact us</w:t>
      </w:r>
    </w:p>
    <w:p w14:paraId="1D6C38D2" w14:textId="5DA5E447" w:rsidR="00B9627C" w:rsidRDefault="006E1EC3" w:rsidP="00864CDD">
      <w:pPr>
        <w:rPr>
          <w:rStyle w:val="Hyperlink"/>
        </w:rPr>
      </w:pPr>
      <w:r>
        <w:t>To discuss the</w:t>
      </w:r>
      <w:r w:rsidR="00442EC5">
        <w:t>se agreements</w:t>
      </w:r>
      <w:r>
        <w:t xml:space="preserve"> or other copyright matters contact </w:t>
      </w:r>
      <w:r w:rsidR="00442EC5">
        <w:t>DGS</w:t>
      </w:r>
      <w:r>
        <w:t xml:space="preserve">’s IP Policy team at </w:t>
      </w:r>
      <w:hyperlink r:id="rId19" w:history="1">
        <w:r w:rsidR="00442EC5" w:rsidRPr="009D7C3D">
          <w:rPr>
            <w:rStyle w:val="Hyperlink"/>
            <w:color w:val="0075BD" w:themeColor="accent2"/>
          </w:rPr>
          <w:t>ippolicy@dtf.vic.gov.au</w:t>
        </w:r>
        <w:r w:rsidR="00476497" w:rsidRPr="009D7C3D">
          <w:rPr>
            <w:rStyle w:val="Hyperlink"/>
          </w:rPr>
          <w:t>.</w:t>
        </w:r>
      </w:hyperlink>
    </w:p>
    <w:p w14:paraId="40335035" w14:textId="0B98E7FC" w:rsidR="008640EF" w:rsidRDefault="008640EF" w:rsidP="00864CDD">
      <w:pPr>
        <w:rPr>
          <w:rStyle w:val="Hyperlink"/>
        </w:rPr>
      </w:pPr>
    </w:p>
    <w:p w14:paraId="04086327" w14:textId="50D06FE9" w:rsidR="008640EF" w:rsidRDefault="008640EF" w:rsidP="00864CDD">
      <w:pPr>
        <w:rPr>
          <w:rStyle w:val="Hyperlink"/>
        </w:rPr>
      </w:pPr>
    </w:p>
    <w:p w14:paraId="676225F1" w14:textId="3B5688C2" w:rsidR="008640EF" w:rsidRDefault="008640EF" w:rsidP="00864CDD">
      <w:pPr>
        <w:rPr>
          <w:rStyle w:val="Hyperlink"/>
        </w:rPr>
      </w:pPr>
    </w:p>
    <w:p w14:paraId="01C95E23" w14:textId="252D0828" w:rsidR="008640EF" w:rsidRDefault="008640EF" w:rsidP="00864CDD">
      <w:pPr>
        <w:rPr>
          <w:rStyle w:val="Hyperlink"/>
        </w:rPr>
      </w:pPr>
    </w:p>
    <w:p w14:paraId="4B9EBD26" w14:textId="23CB4AC0" w:rsidR="008640EF" w:rsidRDefault="008640EF" w:rsidP="00864CDD">
      <w:pPr>
        <w:rPr>
          <w:rStyle w:val="Hyperlink"/>
        </w:rPr>
      </w:pPr>
    </w:p>
    <w:p w14:paraId="48FF6976" w14:textId="097DB92D" w:rsidR="008640EF" w:rsidRDefault="008640EF" w:rsidP="00864CDD">
      <w:pPr>
        <w:rPr>
          <w:rStyle w:val="Hyperlink"/>
        </w:rPr>
      </w:pPr>
    </w:p>
    <w:p w14:paraId="3D6AAE42" w14:textId="40ABE6A1" w:rsidR="008640EF" w:rsidRDefault="008640EF" w:rsidP="00864CDD">
      <w:pPr>
        <w:rPr>
          <w:rStyle w:val="Hyperlink"/>
        </w:rPr>
      </w:pPr>
    </w:p>
    <w:p w14:paraId="1DBB815D" w14:textId="53DF2522" w:rsidR="008640EF" w:rsidRDefault="008640EF" w:rsidP="00864CDD">
      <w:pPr>
        <w:rPr>
          <w:rStyle w:val="Hyperlink"/>
        </w:rPr>
      </w:pPr>
    </w:p>
    <w:p w14:paraId="32A06A29" w14:textId="4F157472" w:rsidR="008640EF" w:rsidRDefault="008640EF" w:rsidP="00864CDD">
      <w:pPr>
        <w:rPr>
          <w:rStyle w:val="Hyperlink"/>
        </w:rPr>
      </w:pPr>
    </w:p>
    <w:p w14:paraId="0521132F" w14:textId="77777777" w:rsidR="008640EF" w:rsidRDefault="008640EF" w:rsidP="00864CDD">
      <w:pPr>
        <w:rPr>
          <w:rStyle w:val="Hyperlink"/>
        </w:rPr>
      </w:pPr>
    </w:p>
    <w:p w14:paraId="065A2A0A" w14:textId="2A3BD705" w:rsidR="008640EF" w:rsidRPr="008640EF" w:rsidRDefault="008640EF" w:rsidP="008640EF">
      <w:pPr>
        <w:autoSpaceDE w:val="0"/>
        <w:autoSpaceDN w:val="0"/>
        <w:adjustRightInd w:val="0"/>
        <w:spacing w:before="120" w:after="120"/>
        <w:rPr>
          <w:rStyle w:val="Hyperlink"/>
          <w:rFonts w:ascii="Helv" w:hAnsi="Helv" w:cs="Helv"/>
          <w:color w:val="000000"/>
          <w:u w:val="none"/>
        </w:rPr>
      </w:pPr>
      <w:r>
        <w:rPr>
          <w:rFonts w:ascii="Helv" w:hAnsi="Helv" w:cs="Helv"/>
          <w:color w:val="000000"/>
        </w:rPr>
        <w:t>© State of Victoria 20</w:t>
      </w:r>
      <w:r>
        <w:rPr>
          <w:rFonts w:ascii="Helv" w:hAnsi="Helv" w:cs="Helv"/>
          <w:color w:val="000000"/>
        </w:rPr>
        <w:t>12</w:t>
      </w:r>
    </w:p>
    <w:p w14:paraId="5B727C30" w14:textId="77777777" w:rsidR="008640EF" w:rsidRDefault="008640EF" w:rsidP="008640EF">
      <w:pPr>
        <w:autoSpaceDE w:val="0"/>
        <w:autoSpaceDN w:val="0"/>
        <w:adjustRightInd w:val="0"/>
        <w:spacing w:before="120" w:after="120"/>
        <w:rPr>
          <w:rStyle w:val="Hyperlink"/>
        </w:rPr>
      </w:pPr>
    </w:p>
    <w:p w14:paraId="4C435BDF" w14:textId="77777777" w:rsidR="008640EF" w:rsidRDefault="008640EF" w:rsidP="008640EF">
      <w:pPr>
        <w:autoSpaceDE w:val="0"/>
        <w:autoSpaceDN w:val="0"/>
        <w:adjustRightInd w:val="0"/>
        <w:spacing w:before="120" w:after="120"/>
        <w:rPr>
          <w:rFonts w:ascii="Helv" w:hAnsi="Helv" w:cs="Helv"/>
          <w:color w:val="000000"/>
        </w:rPr>
      </w:pPr>
      <w:hyperlink r:id="rId20" w:history="1">
        <w:r>
          <w:rPr>
            <w:rFonts w:ascii="Helv" w:hAnsi="Helv" w:cs="Helv"/>
            <w:noProof/>
            <w:color w:val="000000"/>
          </w:rPr>
          <w:drawing>
            <wp:anchor distT="0" distB="0" distL="114300" distR="114300" simplePos="0" relativeHeight="251658240" behindDoc="1" locked="0" layoutInCell="1" allowOverlap="1" wp14:anchorId="645604B0" wp14:editId="7B3835E8">
              <wp:simplePos x="0" y="0"/>
              <wp:positionH relativeFrom="column">
                <wp:posOffset>3810</wp:posOffset>
              </wp:positionH>
              <wp:positionV relativeFrom="paragraph">
                <wp:posOffset>-248920</wp:posOffset>
              </wp:positionV>
              <wp:extent cx="1114425" cy="389890"/>
              <wp:effectExtent l="0" t="0" r="9525" b="0"/>
              <wp:wrapTight wrapText="bothSides">
                <wp:wrapPolygon edited="0">
                  <wp:start x="0" y="0"/>
                  <wp:lineTo x="0" y="20052"/>
                  <wp:lineTo x="21415" y="20052"/>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14425" cy="389890"/>
                      </a:xfrm>
                      <a:prstGeom prst="rect">
                        <a:avLst/>
                      </a:prstGeom>
                      <a:noFill/>
                      <a:ln>
                        <a:noFill/>
                      </a:ln>
                    </pic:spPr>
                  </pic:pic>
                </a:graphicData>
              </a:graphic>
            </wp:anchor>
          </w:drawing>
        </w:r>
        <w:r>
          <w:rPr>
            <w:rFonts w:ascii="Helv" w:hAnsi="Helv" w:cs="Helv"/>
            <w:color w:val="000000"/>
          </w:rPr>
          <w:t xml:space="preserve"> </w:t>
        </w:r>
      </w:hyperlink>
      <w:r>
        <w:rPr>
          <w:rFonts w:ascii="Helv" w:hAnsi="Helv" w:cs="Helv"/>
          <w:color w:val="000000"/>
        </w:rPr>
        <w:t xml:space="preserve"> </w:t>
      </w:r>
    </w:p>
    <w:p w14:paraId="4F2865E8" w14:textId="77777777" w:rsidR="008640EF" w:rsidRDefault="008640EF" w:rsidP="008640EF">
      <w:pPr>
        <w:autoSpaceDE w:val="0"/>
        <w:autoSpaceDN w:val="0"/>
        <w:adjustRightInd w:val="0"/>
        <w:spacing w:before="120" w:after="120"/>
        <w:rPr>
          <w:color w:val="000000"/>
        </w:rPr>
      </w:pPr>
      <w:r>
        <w:rPr>
          <w:color w:val="000000"/>
        </w:rPr>
        <w:t xml:space="preserve">You are free to re-use this work under a </w:t>
      </w:r>
      <w:hyperlink r:id="rId22" w:history="1">
        <w:r>
          <w:rPr>
            <w:color w:val="4F4F4F"/>
          </w:rPr>
          <w:t>Creative Commons Attribution 4.0 licence</w:t>
        </w:r>
      </w:hyperlink>
      <w:r>
        <w:rPr>
          <w:color w:val="4F4F4F"/>
        </w:rPr>
        <w:t>,</w:t>
      </w:r>
      <w:r>
        <w:rPr>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1A17BD6D" w14:textId="60E9966A" w:rsidR="008640EF" w:rsidRPr="008640EF" w:rsidRDefault="008640EF" w:rsidP="00864CDD">
      <w:pPr>
        <w:rPr>
          <w:rFonts w:ascii="Helv" w:hAnsi="Helv" w:cs="Helv"/>
          <w:color w:val="4F4F4F"/>
        </w:rPr>
      </w:pPr>
      <w:r>
        <w:rPr>
          <w:color w:val="000000"/>
        </w:rPr>
        <w:t>Copyright queries may be directed to</w:t>
      </w:r>
      <w:r>
        <w:rPr>
          <w:rFonts w:ascii="Helv" w:hAnsi="Helv" w:cs="Helv"/>
          <w:color w:val="000000"/>
        </w:rPr>
        <w:t xml:space="preserve"> </w:t>
      </w:r>
      <w:hyperlink r:id="rId23" w:history="1">
        <w:r>
          <w:rPr>
            <w:rFonts w:ascii="Helv" w:hAnsi="Helv" w:cs="Helv"/>
            <w:color w:val="4F4F4F"/>
          </w:rPr>
          <w:t>IPpolicy@dtf.vic.gov.au</w:t>
        </w:r>
      </w:hyperlink>
    </w:p>
    <w:sectPr w:rsidR="008640EF" w:rsidRPr="008640EF" w:rsidSect="00594817">
      <w:type w:val="continuous"/>
      <w:pgSz w:w="11900" w:h="16840" w:code="8"/>
      <w:pgMar w:top="1247"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9FD3" w14:textId="77777777" w:rsidR="00642098" w:rsidRDefault="00642098" w:rsidP="002F6A6E">
      <w:r>
        <w:separator/>
      </w:r>
    </w:p>
    <w:p w14:paraId="586F3A24" w14:textId="77777777" w:rsidR="00642098" w:rsidRDefault="00642098"/>
    <w:p w14:paraId="3E1664C6" w14:textId="77777777" w:rsidR="00642098" w:rsidRDefault="00642098"/>
  </w:endnote>
  <w:endnote w:type="continuationSeparator" w:id="0">
    <w:p w14:paraId="2C50316A" w14:textId="77777777" w:rsidR="00642098" w:rsidRDefault="00642098" w:rsidP="002F6A6E">
      <w:r>
        <w:continuationSeparator/>
      </w:r>
    </w:p>
    <w:p w14:paraId="1B846E13" w14:textId="77777777" w:rsidR="00642098" w:rsidRDefault="00642098"/>
    <w:p w14:paraId="427F9C14" w14:textId="77777777" w:rsidR="00642098" w:rsidRDefault="00642098"/>
  </w:endnote>
  <w:endnote w:type="continuationNotice" w:id="1">
    <w:p w14:paraId="1AEA6889" w14:textId="77777777" w:rsidR="00642098" w:rsidRDefault="00642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SD Gothic NeoI 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7D6A" w14:textId="7ECB9F4A" w:rsidR="00AB60AA" w:rsidRDefault="00320409" w:rsidP="002F6A6E">
    <w:r>
      <w:rPr>
        <w:noProof/>
      </w:rPr>
      <mc:AlternateContent>
        <mc:Choice Requires="wps">
          <w:drawing>
            <wp:anchor distT="0" distB="0" distL="0" distR="0" simplePos="0" relativeHeight="251658240" behindDoc="0" locked="0" layoutInCell="1" allowOverlap="1" wp14:anchorId="64AAE207" wp14:editId="0DD971C3">
              <wp:simplePos x="635" y="635"/>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0BE6D" w14:textId="5BE64D6A" w:rsidR="00320409" w:rsidRPr="00320409" w:rsidRDefault="00320409"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AAE207"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090BE6D" w14:textId="5BE64D6A" w:rsidR="00320409" w:rsidRPr="00320409" w:rsidRDefault="00320409" w:rsidP="002F6A6E">
                    <w:pPr>
                      <w:rPr>
                        <w:noProof/>
                      </w:rPr>
                    </w:pPr>
                    <w:r w:rsidRPr="00320409">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2C54" w14:textId="49366652" w:rsidR="009D7C3D" w:rsidRDefault="009D7C3D" w:rsidP="009D7C3D">
    <w:pPr>
      <w:pStyle w:val="Heading9"/>
      <w:tabs>
        <w:tab w:val="left" w:pos="5228"/>
      </w:tabs>
      <w:ind w:right="1127"/>
    </w:pPr>
    <w:r>
      <w:rPr>
        <w:noProof/>
      </w:rPr>
      <w:drawing>
        <wp:anchor distT="0" distB="0" distL="114300" distR="114300" simplePos="0" relativeHeight="251658241" behindDoc="1" locked="0" layoutInCell="1" allowOverlap="1" wp14:anchorId="7C2BE8A3" wp14:editId="6EA3B8B5">
          <wp:simplePos x="0" y="0"/>
          <wp:positionH relativeFrom="page">
            <wp:posOffset>40323</wp:posOffset>
          </wp:positionH>
          <wp:positionV relativeFrom="paragraph">
            <wp:posOffset>-8890</wp:posOffset>
          </wp:positionV>
          <wp:extent cx="7559675" cy="889000"/>
          <wp:effectExtent l="0" t="0" r="317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59675" cy="889000"/>
                  </a:xfrm>
                  <a:prstGeom prst="rect">
                    <a:avLst/>
                  </a:prstGeom>
                </pic:spPr>
              </pic:pic>
            </a:graphicData>
          </a:graphic>
          <wp14:sizeRelH relativeFrom="page">
            <wp14:pctWidth>0</wp14:pctWidth>
          </wp14:sizeRelH>
          <wp14:sizeRelV relativeFrom="page">
            <wp14:pctHeight>0</wp14:pctHeight>
          </wp14:sizeRelV>
        </wp:anchor>
      </w:drawing>
    </w:r>
    <w:r w:rsidR="00594817">
      <w:rPr>
        <w:noProof/>
      </w:rPr>
      <mc:AlternateContent>
        <mc:Choice Requires="wps">
          <w:drawing>
            <wp:anchor distT="45720" distB="45720" distL="114300" distR="114300" simplePos="0" relativeHeight="251658247" behindDoc="0" locked="0" layoutInCell="1" allowOverlap="1" wp14:anchorId="53E3EAE4" wp14:editId="511CFC82">
              <wp:simplePos x="0" y="0"/>
              <wp:positionH relativeFrom="column">
                <wp:posOffset>-640577</wp:posOffset>
              </wp:positionH>
              <wp:positionV relativeFrom="paragraph">
                <wp:posOffset>331111</wp:posOffset>
              </wp:positionV>
              <wp:extent cx="1049020" cy="3098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268A5116" w14:textId="77777777" w:rsidR="00594817" w:rsidRPr="00594817" w:rsidRDefault="00594817" w:rsidP="00594817">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3EAE4" id="_x0000_t202" coordsize="21600,21600" o:spt="202" path="m,l,21600r21600,l21600,xe">
              <v:stroke joinstyle="miter"/>
              <v:path gradientshapeok="t" o:connecttype="rect"/>
            </v:shapetype>
            <v:shape id="Text Box 2" o:spid="_x0000_s1027" type="#_x0000_t202" style="position:absolute;margin-left:-50.45pt;margin-top:26.05pt;width:82.6pt;height:24.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" stroked="f">
              <v:textbox>
                <w:txbxContent>
                  <w:p w14:paraId="268A5116" w14:textId="77777777" w:rsidR="00594817" w:rsidRPr="00594817" w:rsidRDefault="00594817" w:rsidP="00594817">
                    <w:pPr>
                      <w:rPr>
                        <w:rFonts w:ascii="Arial" w:hAnsi="Arial"/>
                        <w:sz w:val="20"/>
                        <w:szCs w:val="20"/>
                      </w:rPr>
                    </w:pPr>
                    <w:r w:rsidRPr="00594817">
                      <w:rPr>
                        <w:rFonts w:ascii="Arial" w:hAnsi="Arial"/>
                        <w:sz w:val="20"/>
                        <w:szCs w:val="20"/>
                      </w:rPr>
                      <w:t>OFFICIAL</w:t>
                    </w:r>
                  </w:p>
                </w:txbxContent>
              </v:textbox>
              <w10:wrap type="square"/>
            </v:shape>
          </w:pict>
        </mc:Fallback>
      </mc:AlternateContent>
    </w:r>
    <w:r w:rsidR="007F36F7">
      <w:rPr>
        <w:noProof/>
      </w:rPr>
      <mc:AlternateContent>
        <mc:Choice Requires="wps">
          <w:drawing>
            <wp:anchor distT="0" distB="0" distL="114300" distR="114300" simplePos="0" relativeHeight="251658244" behindDoc="0" locked="0" layoutInCell="0" allowOverlap="1" wp14:anchorId="4206C336" wp14:editId="19EA3C44">
              <wp:simplePos x="0" y="0"/>
              <wp:positionH relativeFrom="page">
                <wp:posOffset>0</wp:posOffset>
              </wp:positionH>
              <wp:positionV relativeFrom="bottomMargin">
                <wp:posOffset>10229850</wp:posOffset>
              </wp:positionV>
              <wp:extent cx="7556500" cy="273050"/>
              <wp:effectExtent l="0" t="0" r="0" b="12700"/>
              <wp:wrapNone/>
              <wp:docPr id="1" name="MSIPCMff4247ba85a743e738d407d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260D9" w14:textId="2FDF505F" w:rsidR="007F36F7" w:rsidRPr="007F36F7" w:rsidRDefault="007F36F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206C336" id="MSIPCMff4247ba85a743e738d407d0" o:spid="_x0000_s1028" type="#_x0000_t202" alt="{&quot;HashCode&quot;:-1267603503,&quot;Height&quot;:842.0,&quot;Width&quot;:595.0,&quot;Placement&quot;:&quot;Footer&quot;,&quot;Index&quot;:&quot;Primary&quot;,&quot;Section&quot;:1,&quot;Top&quot;:0.0,&quot;Left&quot;:0.0}" style="position:absolute;margin-left:0;margin-top:805.5pt;width:595pt;height:21.5pt;z-index:251658244;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Q+T2AGwIAACwEAAAOAAAAAAAAAAAAAAAAAC4CAABkcnMvZTJvRG9jLnhtbFBLAQItABQA&#10;BgAIAAAAIQBkLZlG3AAAAAsBAAAPAAAAAAAAAAAAAAAAAHUEAABkcnMvZG93bnJldi54bWxQSwUG&#10;AAAAAAQABADzAAAAfgUAAAAA&#10;" o:allowincell="f" filled="f" stroked="f" strokeweight=".5pt">
              <v:textbox inset="20pt,0,,0">
                <w:txbxContent>
                  <w:p w14:paraId="6DA260D9" w14:textId="2FDF505F" w:rsidR="007F36F7" w:rsidRPr="007F36F7" w:rsidRDefault="007F36F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00193CA3" w:rsidRPr="00157BA8">
      <w:fldChar w:fldCharType="begin"/>
    </w:r>
    <w:r w:rsidR="00193CA3" w:rsidRPr="00157BA8">
      <w:instrText xml:space="preserve"> PAGE   \* MERGEFORMAT </w:instrText>
    </w:r>
    <w:r w:rsidR="00193CA3" w:rsidRPr="00157BA8">
      <w:fldChar w:fldCharType="separate"/>
    </w:r>
    <w:r w:rsidR="00193CA3" w:rsidRPr="00157BA8">
      <w:t>3</w:t>
    </w:r>
    <w:r w:rsidR="00193CA3" w:rsidRPr="00157BA8">
      <w:fldChar w:fldCharType="end"/>
    </w:r>
    <w:bookmarkStart w:id="0" w:name="aliashNonProtectiveMarking2FooterPrimary"/>
    <w:r w:rsidR="002F6A6E">
      <w:fldChar w:fldCharType="begin"/>
    </w:r>
    <w:r w:rsidR="002F6A6E">
      <w:instrText xml:space="preserve"> TITLE  \* MERGEFORMAT </w:instrText>
    </w:r>
    <w:r w:rsidR="002F6A6E">
      <w:fldChar w:fldCharType="end"/>
    </w:r>
    <w:bookmarkEnd w:id="0"/>
    <w:r w:rsidR="002F6A6E">
      <w:fldChar w:fldCharType="begin"/>
    </w:r>
    <w:r w:rsidR="002F6A6E">
      <w:instrText xml:space="preserve"> TITLE  \* MERGEFORMAT </w:instrText>
    </w:r>
    <w:r w:rsidR="002F6A6E">
      <w:fldChar w:fldCharType="end"/>
    </w:r>
    <w:r w:rsidR="002F6A6E">
      <w:fldChar w:fldCharType="begin"/>
    </w:r>
    <w:r w:rsidR="002F6A6E">
      <w:instrText xml:space="preserve"> TITLE  \* MERGEFORMAT </w:instrText>
    </w:r>
    <w:r w:rsidR="002F6A6E">
      <w:fldChar w:fldCharType="end"/>
    </w:r>
    <w:r>
      <w:rPr>
        <w:noProof/>
      </w:rPr>
      <mc:AlternateContent>
        <mc:Choice Requires="wps">
          <w:drawing>
            <wp:anchor distT="45720" distB="45720" distL="114300" distR="114300" simplePos="0" relativeHeight="251661320" behindDoc="0" locked="0" layoutInCell="1" allowOverlap="1" wp14:anchorId="5FFE6949" wp14:editId="3E1A0324">
              <wp:simplePos x="0" y="0"/>
              <wp:positionH relativeFrom="column">
                <wp:posOffset>-521335</wp:posOffset>
              </wp:positionH>
              <wp:positionV relativeFrom="paragraph">
                <wp:posOffset>342265</wp:posOffset>
              </wp:positionV>
              <wp:extent cx="1049020" cy="3098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351DF56A" w14:textId="77777777" w:rsidR="009D7C3D" w:rsidRPr="00594817" w:rsidRDefault="009D7C3D" w:rsidP="009D7C3D">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E6949" id="_x0000_s1029" type="#_x0000_t202" style="position:absolute;margin-left:-41.05pt;margin-top:26.95pt;width:82.6pt;height:24.4pt;z-index:251661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jBEA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" stroked="f">
              <v:textbox>
                <w:txbxContent>
                  <w:p w14:paraId="351DF56A" w14:textId="77777777" w:rsidR="009D7C3D" w:rsidRPr="00594817" w:rsidRDefault="009D7C3D" w:rsidP="009D7C3D">
                    <w:pPr>
                      <w:rPr>
                        <w:rFonts w:ascii="Arial" w:hAnsi="Arial"/>
                        <w:sz w:val="20"/>
                        <w:szCs w:val="20"/>
                      </w:rPr>
                    </w:pPr>
                    <w:r w:rsidRPr="00594817">
                      <w:rPr>
                        <w:rFonts w:ascii="Arial" w:hAnsi="Arial"/>
                        <w:sz w:val="20"/>
                        <w:szCs w:val="20"/>
                      </w:rPr>
                      <w:t>OFFICIAL</w:t>
                    </w:r>
                  </w:p>
                </w:txbxContent>
              </v:textbox>
              <w10:wrap type="square"/>
            </v:shape>
          </w:pict>
        </mc:Fallback>
      </mc:AlternateContent>
    </w:r>
    <w:r w:rsidRPr="00157BA8">
      <w:t xml:space="preserve">  </w:t>
    </w:r>
    <w:r>
      <w:fldChar w:fldCharType="begin"/>
    </w:r>
    <w:r>
      <w:instrText xml:space="preserve"> TITLE  \* MERGEFORMAT </w:instrText>
    </w:r>
    <w:r>
      <w:fldChar w:fldCharType="end"/>
    </w:r>
    <w:r>
      <w:fldChar w:fldCharType="begin"/>
    </w:r>
    <w:r>
      <w:instrText xml:space="preserve"> TITLE  \* MERGEFORMAT </w:instrText>
    </w:r>
    <w:r>
      <w:fldChar w:fldCharType="end"/>
    </w:r>
    <w:r>
      <w:fldChar w:fldCharType="begin"/>
    </w:r>
    <w:r>
      <w:instrText xml:space="preserve"> TITLE  \* MERGEFORMAT </w:instrText>
    </w:r>
    <w:r>
      <w:fldChar w:fldCharType="end"/>
    </w:r>
    <w:r w:rsidRPr="00157BA8">
      <w:t xml:space="preserve"> </w:t>
    </w:r>
    <w:fldSimple w:instr="TITLE  \* MERGEFORMAT">
      <w:r w:rsidRPr="009D7C3D">
        <w:t>Whole of Victorian Government Intellectual Property Policy</w:t>
      </w:r>
    </w:fldSimple>
    <w:r>
      <w:t xml:space="preserve"> </w:t>
    </w:r>
    <w:r>
      <w:br/>
      <w:t>August 20</w:t>
    </w:r>
    <w:r w:rsidR="008640EF">
      <w:t>12</w:t>
    </w:r>
    <w:r>
      <w:tab/>
    </w:r>
  </w:p>
  <w:p w14:paraId="79616252" w14:textId="67622660" w:rsidR="009D7C3D" w:rsidRPr="009D7C3D" w:rsidRDefault="009D7C3D" w:rsidP="009D7C3D"/>
  <w:p w14:paraId="1C61C5A6" w14:textId="4951BE4D" w:rsidR="009D7C3D" w:rsidRPr="00157BA8" w:rsidRDefault="009D7C3D" w:rsidP="009D7C3D">
    <w:pPr>
      <w:pStyle w:val="Heading9"/>
      <w:ind w:right="1127"/>
    </w:pPr>
    <w:r w:rsidRPr="00157BA8">
      <w:t xml:space="preserve"> </w:t>
    </w:r>
  </w:p>
  <w:p w14:paraId="6B61D926" w14:textId="4D9B0C9A" w:rsidR="00AB60AA" w:rsidRPr="00157BA8" w:rsidRDefault="00AB60AA" w:rsidP="00574ABF">
    <w:pPr>
      <w:pStyle w:val="Heading9"/>
      <w:ind w:right="11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430F" w14:textId="71508F37" w:rsidR="00D821FA" w:rsidRDefault="00594817" w:rsidP="00D821FA">
    <w:pPr>
      <w:pStyle w:val="Heading9"/>
      <w:ind w:right="1127"/>
    </w:pPr>
    <w:r>
      <w:rPr>
        <w:noProof/>
      </w:rPr>
      <mc:AlternateContent>
        <mc:Choice Requires="wps">
          <w:drawing>
            <wp:anchor distT="45720" distB="45720" distL="114300" distR="114300" simplePos="0" relativeHeight="251658246" behindDoc="0" locked="0" layoutInCell="1" allowOverlap="1" wp14:anchorId="1205863B" wp14:editId="1C3DDCA4">
              <wp:simplePos x="0" y="0"/>
              <wp:positionH relativeFrom="column">
                <wp:posOffset>-521335</wp:posOffset>
              </wp:positionH>
              <wp:positionV relativeFrom="paragraph">
                <wp:posOffset>342265</wp:posOffset>
              </wp:positionV>
              <wp:extent cx="1049020" cy="309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70766022" w14:textId="4A23EBC9" w:rsidR="00594817" w:rsidRPr="00594817" w:rsidRDefault="00594817">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5863B" id="_x0000_t202" coordsize="21600,21600" o:spt="202" path="m,l,21600r21600,l21600,xe">
              <v:stroke joinstyle="miter"/>
              <v:path gradientshapeok="t" o:connecttype="rect"/>
            </v:shapetype>
            <v:shape id="_x0000_s1030" type="#_x0000_t202" style="position:absolute;margin-left:-41.05pt;margin-top:26.95pt;width:82.6pt;height:24.4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JvEQ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" stroked="f">
              <v:textbox>
                <w:txbxContent>
                  <w:p w14:paraId="70766022" w14:textId="4A23EBC9" w:rsidR="00594817" w:rsidRPr="00594817" w:rsidRDefault="00594817">
                    <w:pPr>
                      <w:rPr>
                        <w:rFonts w:ascii="Arial" w:hAnsi="Arial"/>
                        <w:sz w:val="20"/>
                        <w:szCs w:val="20"/>
                      </w:rPr>
                    </w:pPr>
                    <w:r w:rsidRPr="00594817">
                      <w:rPr>
                        <w:rFonts w:ascii="Arial" w:hAnsi="Arial"/>
                        <w:sz w:val="20"/>
                        <w:szCs w:val="20"/>
                      </w:rPr>
                      <w:t>OFFICIAL</w:t>
                    </w:r>
                  </w:p>
                </w:txbxContent>
              </v:textbox>
              <w10:wrap type="square"/>
            </v:shape>
          </w:pict>
        </mc:Fallback>
      </mc:AlternateContent>
    </w:r>
    <w:r w:rsidR="007F36F7">
      <w:rPr>
        <w:noProof/>
      </w:rPr>
      <mc:AlternateContent>
        <mc:Choice Requires="wps">
          <w:drawing>
            <wp:anchor distT="0" distB="0" distL="114300" distR="114300" simplePos="0" relativeHeight="251658245" behindDoc="0" locked="0" layoutInCell="0" allowOverlap="1" wp14:anchorId="7991E02A" wp14:editId="6D01B72B">
              <wp:simplePos x="0" y="0"/>
              <wp:positionH relativeFrom="page">
                <wp:posOffset>0</wp:posOffset>
              </wp:positionH>
              <wp:positionV relativeFrom="bottomMargin">
                <wp:posOffset>10229850</wp:posOffset>
              </wp:positionV>
              <wp:extent cx="7556500" cy="273050"/>
              <wp:effectExtent l="0" t="0" r="0" b="12700"/>
              <wp:wrapNone/>
              <wp:docPr id="2" name="MSIPCMeab2490b8b3eecca4f52cc1d"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4B626" w14:textId="7945AA2E" w:rsidR="007F36F7" w:rsidRPr="007F36F7" w:rsidRDefault="007F36F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991E02A" id="MSIPCMeab2490b8b3eecca4f52cc1d" o:spid="_x0000_s1031" type="#_x0000_t202" alt="{&quot;HashCode&quot;:-1267603503,&quot;Height&quot;:842.0,&quot;Width&quot;:595.0,&quot;Placement&quot;:&quot;Footer&quot;,&quot;Index&quot;:&quot;FirstPage&quot;,&quot;Section&quot;:1,&quot;Top&quot;:0.0,&quot;Left&quot;:0.0}" style="position:absolute;margin-left:0;margin-top:805.5pt;width:595pt;height:21.5pt;z-index:251658245;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669VBRwCAAAsBAAADgAAAAAAAAAAAAAAAAAuAgAAZHJzL2Uyb0RvYy54bWxQSwECLQAU&#10;AAYACAAAACEAZC2ZRtwAAAALAQAADwAAAAAAAAAAAAAAAAB2BAAAZHJzL2Rvd25yZXYueG1sUEsF&#10;BgAAAAAEAAQA8wAAAH8FAAAAAA==&#10;" o:allowincell="f" filled="f" stroked="f" strokeweight=".5pt">
              <v:textbox inset="20pt,0,,0">
                <w:txbxContent>
                  <w:p w14:paraId="5F14B626" w14:textId="7945AA2E" w:rsidR="007F36F7" w:rsidRPr="007F36F7" w:rsidRDefault="007F36F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00D821FA" w:rsidRPr="00157BA8">
      <w:fldChar w:fldCharType="begin"/>
    </w:r>
    <w:r w:rsidR="00D821FA" w:rsidRPr="00157BA8">
      <w:instrText xml:space="preserve"> PAGE   \* MERGEFORMAT </w:instrText>
    </w:r>
    <w:r w:rsidR="00D821FA" w:rsidRPr="00157BA8">
      <w:fldChar w:fldCharType="separate"/>
    </w:r>
    <w:r w:rsidR="00D821FA">
      <w:t>2</w:t>
    </w:r>
    <w:r w:rsidR="00D821FA" w:rsidRPr="00157BA8">
      <w:fldChar w:fldCharType="end"/>
    </w:r>
    <w:r w:rsidR="00D821FA" w:rsidRPr="00157BA8">
      <w:t xml:space="preserve">  </w:t>
    </w:r>
    <w:r w:rsidR="00D821FA">
      <w:fldChar w:fldCharType="begin"/>
    </w:r>
    <w:r w:rsidR="00D821FA">
      <w:instrText xml:space="preserve"> TITLE  \* MERGEFORMAT </w:instrText>
    </w:r>
    <w:r w:rsidR="00D821FA">
      <w:fldChar w:fldCharType="end"/>
    </w:r>
    <w:r w:rsidR="00D821FA">
      <w:fldChar w:fldCharType="begin"/>
    </w:r>
    <w:r w:rsidR="00D821FA">
      <w:instrText xml:space="preserve"> TITLE  \* MERGEFORMAT </w:instrText>
    </w:r>
    <w:r w:rsidR="00D821FA">
      <w:fldChar w:fldCharType="end"/>
    </w:r>
    <w:r w:rsidR="00D821FA">
      <w:fldChar w:fldCharType="begin"/>
    </w:r>
    <w:r w:rsidR="00D821FA">
      <w:instrText xml:space="preserve"> TITLE  \* MERGEFORMAT </w:instrText>
    </w:r>
    <w:r w:rsidR="00D821FA">
      <w:fldChar w:fldCharType="end"/>
    </w:r>
    <w:r w:rsidR="00D821FA" w:rsidRPr="00157BA8">
      <w:t xml:space="preserve"> </w:t>
    </w:r>
    <w:r w:rsidR="00000000">
      <w:fldChar w:fldCharType="begin"/>
    </w:r>
    <w:r w:rsidR="00000000">
      <w:instrText>TITLE  \* MERGEFORMAT</w:instrText>
    </w:r>
    <w:r w:rsidR="00000000">
      <w:fldChar w:fldCharType="separate"/>
    </w:r>
    <w:r w:rsidR="009D7C3D" w:rsidRPr="009D7C3D">
      <w:t>Whole of Victorian Government Intellectual Property Policy</w:t>
    </w:r>
    <w:r w:rsidR="000000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772D" w14:textId="77777777" w:rsidR="00642098" w:rsidRDefault="00642098" w:rsidP="002F6A6E">
      <w:r>
        <w:separator/>
      </w:r>
    </w:p>
    <w:p w14:paraId="22C8BDD6" w14:textId="77777777" w:rsidR="00642098" w:rsidRDefault="00642098"/>
    <w:p w14:paraId="0A276EF9" w14:textId="77777777" w:rsidR="00642098" w:rsidRDefault="00642098"/>
  </w:footnote>
  <w:footnote w:type="continuationSeparator" w:id="0">
    <w:p w14:paraId="0DB191C1" w14:textId="77777777" w:rsidR="00642098" w:rsidRDefault="00642098" w:rsidP="002F6A6E">
      <w:r>
        <w:continuationSeparator/>
      </w:r>
    </w:p>
    <w:p w14:paraId="703144B8" w14:textId="77777777" w:rsidR="00642098" w:rsidRDefault="00642098"/>
    <w:p w14:paraId="2D263C1C" w14:textId="77777777" w:rsidR="00642098" w:rsidRDefault="00642098"/>
  </w:footnote>
  <w:footnote w:type="continuationNotice" w:id="1">
    <w:p w14:paraId="6524AD21" w14:textId="77777777" w:rsidR="00642098" w:rsidRDefault="00642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FA29" w14:textId="77777777" w:rsidR="008640EF" w:rsidRDefault="00864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7ABC" w14:textId="3B8E1F70" w:rsidR="00AB60AA" w:rsidRDefault="005B5273" w:rsidP="002F6A6E">
    <w:r w:rsidRPr="00490CCD">
      <w:rPr>
        <w:noProof/>
        <w:color w:val="FFFFFF" w:themeColor="background1"/>
        <w:sz w:val="18"/>
        <w:szCs w:val="18"/>
      </w:rPr>
      <w:drawing>
        <wp:anchor distT="0" distB="0" distL="114300" distR="114300" simplePos="0" relativeHeight="251658242" behindDoc="1" locked="0" layoutInCell="1" allowOverlap="1" wp14:anchorId="24D7F0ED" wp14:editId="4D6BAED5">
          <wp:simplePos x="0" y="0"/>
          <wp:positionH relativeFrom="page">
            <wp:posOffset>1270</wp:posOffset>
          </wp:positionH>
          <wp:positionV relativeFrom="page">
            <wp:posOffset>0</wp:posOffset>
          </wp:positionV>
          <wp:extent cx="7570371" cy="360000"/>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91A0" w14:textId="6C909399" w:rsidR="008142D6" w:rsidRDefault="00D821FA">
    <w:r w:rsidRPr="001C74DF">
      <w:rPr>
        <w:noProof/>
      </w:rPr>
      <w:drawing>
        <wp:anchor distT="0" distB="0" distL="114300" distR="114300" simplePos="0" relativeHeight="251658248" behindDoc="1" locked="0" layoutInCell="1" allowOverlap="1" wp14:anchorId="34D2040A" wp14:editId="218512C3">
          <wp:simplePos x="0" y="0"/>
          <wp:positionH relativeFrom="page">
            <wp:posOffset>0</wp:posOffset>
          </wp:positionH>
          <wp:positionV relativeFrom="page">
            <wp:posOffset>1270</wp:posOffset>
          </wp:positionV>
          <wp:extent cx="7559675" cy="14357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6E6CD5">
      <w:rPr>
        <w:noProof/>
      </w:rPr>
      <w:drawing>
        <wp:anchor distT="0" distB="0" distL="114300" distR="114300" simplePos="0" relativeHeight="251658243" behindDoc="0" locked="0" layoutInCell="1" allowOverlap="1" wp14:anchorId="46891968" wp14:editId="3443A105">
          <wp:simplePos x="0" y="0"/>
          <wp:positionH relativeFrom="column">
            <wp:posOffset>-635</wp:posOffset>
          </wp:positionH>
          <wp:positionV relativeFrom="paragraph">
            <wp:posOffset>287757</wp:posOffset>
          </wp:positionV>
          <wp:extent cx="1915894" cy="432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BA0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904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2DB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9C6C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2881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24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C07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E86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08E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04C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B35D9"/>
    <w:multiLevelType w:val="hybridMultilevel"/>
    <w:tmpl w:val="083092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5F5EBF"/>
    <w:multiLevelType w:val="hybridMultilevel"/>
    <w:tmpl w:val="0BA29D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0075BD"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11758F8"/>
    <w:multiLevelType w:val="hybridMultilevel"/>
    <w:tmpl w:val="BD6451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E84B46"/>
    <w:multiLevelType w:val="hybridMultilevel"/>
    <w:tmpl w:val="F208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BD6E1F"/>
    <w:multiLevelType w:val="hybridMultilevel"/>
    <w:tmpl w:val="C1FA0C3E"/>
    <w:lvl w:ilvl="0" w:tplc="16866290">
      <w:start w:val="1"/>
      <w:numFmt w:val="bullet"/>
      <w:lvlText w:val="g"/>
      <w:lvlJc w:val="left"/>
      <w:pPr>
        <w:ind w:left="284" w:hanging="284"/>
      </w:pPr>
      <w:rPr>
        <w:rFonts w:ascii="Wingdings 3" w:hAnsi="Wingdings 3" w:hint="default"/>
        <w:b w:val="0"/>
        <w:i w:val="0"/>
        <w:color w:val="A4AAA4" w:themeColor="background2" w:themeShade="BF"/>
        <w:w w:val="1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AE27C32"/>
    <w:multiLevelType w:val="hybridMultilevel"/>
    <w:tmpl w:val="2DF473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896FFD"/>
    <w:multiLevelType w:val="hybridMultilevel"/>
    <w:tmpl w:val="2398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00087F"/>
    <w:multiLevelType w:val="hybridMultilevel"/>
    <w:tmpl w:val="B1E6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0B717D"/>
    <w:multiLevelType w:val="hybridMultilevel"/>
    <w:tmpl w:val="E214C746"/>
    <w:lvl w:ilvl="0" w:tplc="08090005">
      <w:start w:val="1"/>
      <w:numFmt w:val="bullet"/>
      <w:lvlText w:val=""/>
      <w:lvlJc w:val="left"/>
      <w:pPr>
        <w:ind w:left="360" w:hanging="360"/>
      </w:pPr>
      <w:rPr>
        <w:rFonts w:ascii="Wingdings" w:hAnsi="Wingdings" w:cs="Wingdings" w:hint="default"/>
        <w:b w:val="0"/>
        <w:i w:val="0"/>
        <w:color w:val="A4AAA4" w:themeColor="background2" w:themeShade="BF"/>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63A3808"/>
    <w:multiLevelType w:val="hybridMultilevel"/>
    <w:tmpl w:val="DB6E95E0"/>
    <w:lvl w:ilvl="0" w:tplc="A9E8B29E">
      <w:numFmt w:val="bullet"/>
      <w:lvlText w:val="-"/>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4D03F7"/>
    <w:multiLevelType w:val="multilevel"/>
    <w:tmpl w:val="70E20C1E"/>
    <w:lvl w:ilvl="0">
      <w:numFmt w:val="bullet"/>
      <w:lvlText w:val="4"/>
      <w:lvlJc w:val="left"/>
      <w:pPr>
        <w:ind w:left="340" w:hanging="340"/>
      </w:pPr>
      <w:rPr>
        <w:rFonts w:ascii="Wingdings 3" w:hAnsi="Wingdings 3" w:cs="Arial" w:hint="default"/>
        <w:color w:val="A4AAA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93E4625"/>
    <w:multiLevelType w:val="hybridMultilevel"/>
    <w:tmpl w:val="BCFEF7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A959F9"/>
    <w:multiLevelType w:val="multilevel"/>
    <w:tmpl w:val="5D1C909C"/>
    <w:lvl w:ilvl="0">
      <w:start w:val="1"/>
      <w:numFmt w:val="bullet"/>
      <w:lvlText w:val=""/>
      <w:lvlJc w:val="left"/>
      <w:pPr>
        <w:ind w:left="360" w:hanging="360"/>
      </w:pPr>
      <w:rPr>
        <w:rFonts w:ascii="Symbol" w:hAnsi="Symbol" w:hint="default"/>
        <w:b w:val="0"/>
        <w:i w:val="0"/>
        <w:color w:val="C8CBC8" w:themeColor="background2" w:themeShade="E6"/>
        <w:w w:val="15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969A9C"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DAA4AA9"/>
    <w:multiLevelType w:val="hybridMultilevel"/>
    <w:tmpl w:val="ED9AF5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236031"/>
    <w:multiLevelType w:val="hybridMultilevel"/>
    <w:tmpl w:val="95820C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4714EA"/>
    <w:multiLevelType w:val="hybridMultilevel"/>
    <w:tmpl w:val="FF3AE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BA5F7B"/>
    <w:multiLevelType w:val="hybridMultilevel"/>
    <w:tmpl w:val="48FC74B2"/>
    <w:lvl w:ilvl="0" w:tplc="6AD25712">
      <w:start w:val="1"/>
      <w:numFmt w:val="bullet"/>
      <w:lvlText w:val="g"/>
      <w:lvlJc w:val="left"/>
      <w:pPr>
        <w:ind w:left="284" w:hanging="284"/>
      </w:pPr>
      <w:rPr>
        <w:rFonts w:ascii="Wingdings 3" w:hAnsi="Wingdings 3" w:hint="default"/>
        <w:b w:val="0"/>
        <w:i w:val="0"/>
        <w:color w:val="B9BBBD" w:themeColor="text2" w:themeTint="66"/>
        <w:w w:val="1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67783B"/>
    <w:multiLevelType w:val="hybridMultilevel"/>
    <w:tmpl w:val="A546FA96"/>
    <w:lvl w:ilvl="0" w:tplc="17A8DE70">
      <w:start w:val="1"/>
      <w:numFmt w:val="bullet"/>
      <w:lvlText w:val="⇢"/>
      <w:lvlJc w:val="left"/>
      <w:pPr>
        <w:tabs>
          <w:tab w:val="num" w:pos="720"/>
        </w:tabs>
        <w:ind w:left="720" w:hanging="360"/>
      </w:pPr>
      <w:rPr>
        <w:rFonts w:ascii=".Apple SD Gothic NeoI Regular" w:hAnsi=".Apple SD Gothic NeoI Regular" w:hint="default"/>
      </w:rPr>
    </w:lvl>
    <w:lvl w:ilvl="1" w:tplc="197AB990">
      <w:start w:val="1"/>
      <w:numFmt w:val="bullet"/>
      <w:lvlText w:val="⇢"/>
      <w:lvlJc w:val="left"/>
      <w:pPr>
        <w:tabs>
          <w:tab w:val="num" w:pos="1440"/>
        </w:tabs>
        <w:ind w:left="1440" w:hanging="360"/>
      </w:pPr>
      <w:rPr>
        <w:rFonts w:ascii=".Apple SD Gothic NeoI Regular" w:hAnsi=".Apple SD Gothic NeoI Regular" w:hint="default"/>
      </w:rPr>
    </w:lvl>
    <w:lvl w:ilvl="2" w:tplc="6BEA684E" w:tentative="1">
      <w:start w:val="1"/>
      <w:numFmt w:val="bullet"/>
      <w:lvlText w:val="⇢"/>
      <w:lvlJc w:val="left"/>
      <w:pPr>
        <w:tabs>
          <w:tab w:val="num" w:pos="2160"/>
        </w:tabs>
        <w:ind w:left="2160" w:hanging="360"/>
      </w:pPr>
      <w:rPr>
        <w:rFonts w:ascii=".Apple SD Gothic NeoI Regular" w:hAnsi=".Apple SD Gothic NeoI Regular" w:hint="default"/>
      </w:rPr>
    </w:lvl>
    <w:lvl w:ilvl="3" w:tplc="04CE8DAA" w:tentative="1">
      <w:start w:val="1"/>
      <w:numFmt w:val="bullet"/>
      <w:lvlText w:val="⇢"/>
      <w:lvlJc w:val="left"/>
      <w:pPr>
        <w:tabs>
          <w:tab w:val="num" w:pos="2880"/>
        </w:tabs>
        <w:ind w:left="2880" w:hanging="360"/>
      </w:pPr>
      <w:rPr>
        <w:rFonts w:ascii=".Apple SD Gothic NeoI Regular" w:hAnsi=".Apple SD Gothic NeoI Regular" w:hint="default"/>
      </w:rPr>
    </w:lvl>
    <w:lvl w:ilvl="4" w:tplc="35D247F2" w:tentative="1">
      <w:start w:val="1"/>
      <w:numFmt w:val="bullet"/>
      <w:lvlText w:val="⇢"/>
      <w:lvlJc w:val="left"/>
      <w:pPr>
        <w:tabs>
          <w:tab w:val="num" w:pos="3600"/>
        </w:tabs>
        <w:ind w:left="3600" w:hanging="360"/>
      </w:pPr>
      <w:rPr>
        <w:rFonts w:ascii=".Apple SD Gothic NeoI Regular" w:hAnsi=".Apple SD Gothic NeoI Regular" w:hint="default"/>
      </w:rPr>
    </w:lvl>
    <w:lvl w:ilvl="5" w:tplc="960027E0" w:tentative="1">
      <w:start w:val="1"/>
      <w:numFmt w:val="bullet"/>
      <w:lvlText w:val="⇢"/>
      <w:lvlJc w:val="left"/>
      <w:pPr>
        <w:tabs>
          <w:tab w:val="num" w:pos="4320"/>
        </w:tabs>
        <w:ind w:left="4320" w:hanging="360"/>
      </w:pPr>
      <w:rPr>
        <w:rFonts w:ascii=".Apple SD Gothic NeoI Regular" w:hAnsi=".Apple SD Gothic NeoI Regular" w:hint="default"/>
      </w:rPr>
    </w:lvl>
    <w:lvl w:ilvl="6" w:tplc="0CA42F3E" w:tentative="1">
      <w:start w:val="1"/>
      <w:numFmt w:val="bullet"/>
      <w:lvlText w:val="⇢"/>
      <w:lvlJc w:val="left"/>
      <w:pPr>
        <w:tabs>
          <w:tab w:val="num" w:pos="5040"/>
        </w:tabs>
        <w:ind w:left="5040" w:hanging="360"/>
      </w:pPr>
      <w:rPr>
        <w:rFonts w:ascii=".Apple SD Gothic NeoI Regular" w:hAnsi=".Apple SD Gothic NeoI Regular" w:hint="default"/>
      </w:rPr>
    </w:lvl>
    <w:lvl w:ilvl="7" w:tplc="D02EF816" w:tentative="1">
      <w:start w:val="1"/>
      <w:numFmt w:val="bullet"/>
      <w:lvlText w:val="⇢"/>
      <w:lvlJc w:val="left"/>
      <w:pPr>
        <w:tabs>
          <w:tab w:val="num" w:pos="5760"/>
        </w:tabs>
        <w:ind w:left="5760" w:hanging="360"/>
      </w:pPr>
      <w:rPr>
        <w:rFonts w:ascii=".Apple SD Gothic NeoI Regular" w:hAnsi=".Apple SD Gothic NeoI Regular" w:hint="default"/>
      </w:rPr>
    </w:lvl>
    <w:lvl w:ilvl="8" w:tplc="F4FAE0A8" w:tentative="1">
      <w:start w:val="1"/>
      <w:numFmt w:val="bullet"/>
      <w:lvlText w:val="⇢"/>
      <w:lvlJc w:val="left"/>
      <w:pPr>
        <w:tabs>
          <w:tab w:val="num" w:pos="6480"/>
        </w:tabs>
        <w:ind w:left="6480" w:hanging="360"/>
      </w:pPr>
      <w:rPr>
        <w:rFonts w:ascii=".Apple SD Gothic NeoI Regular" w:hAnsi=".Apple SD Gothic NeoI Regular" w:hint="default"/>
      </w:rPr>
    </w:lvl>
  </w:abstractNum>
  <w:abstractNum w:abstractNumId="33" w15:restartNumberingAfterBreak="0">
    <w:nsid w:val="592067BC"/>
    <w:multiLevelType w:val="hybridMultilevel"/>
    <w:tmpl w:val="0F301822"/>
    <w:lvl w:ilvl="0" w:tplc="DFB6E80E">
      <w:start w:val="1"/>
      <w:numFmt w:val="bullet"/>
      <w:lvlText w:val=""/>
      <w:lvlJc w:val="left"/>
      <w:pPr>
        <w:ind w:left="454" w:hanging="454"/>
      </w:pPr>
      <w:rPr>
        <w:rFonts w:ascii="Symbol" w:hAnsi="Symbol" w:hint="default"/>
        <w:b w:val="0"/>
        <w:i w:val="0"/>
        <w:color w:val="C8CBC8" w:themeColor="background2" w:themeShade="E6"/>
        <w:w w:val="150"/>
        <w:sz w:val="18"/>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5B592619"/>
    <w:multiLevelType w:val="hybridMultilevel"/>
    <w:tmpl w:val="B35EA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2C3BED"/>
    <w:multiLevelType w:val="hybridMultilevel"/>
    <w:tmpl w:val="C546C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43070F"/>
    <w:multiLevelType w:val="hybridMultilevel"/>
    <w:tmpl w:val="6A12A7C4"/>
    <w:lvl w:ilvl="0" w:tplc="A5FEB47C">
      <w:start w:val="1"/>
      <w:numFmt w:val="bullet"/>
      <w:lvlText w:val="g"/>
      <w:lvlJc w:val="left"/>
      <w:pPr>
        <w:ind w:left="284" w:hanging="284"/>
      </w:pPr>
      <w:rPr>
        <w:rFonts w:ascii="Wingdings 3" w:hAnsi="Wingdings 3" w:hint="default"/>
        <w:b w:val="0"/>
        <w:i w:val="0"/>
        <w:color w:val="A4AAA4" w:themeColor="background2" w:themeShade="BF"/>
        <w:w w:val="100"/>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07D35E8"/>
    <w:multiLevelType w:val="hybridMultilevel"/>
    <w:tmpl w:val="4254EE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1D4E0C"/>
    <w:multiLevelType w:val="hybridMultilevel"/>
    <w:tmpl w:val="E85E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C0901"/>
    <w:multiLevelType w:val="hybridMultilevel"/>
    <w:tmpl w:val="29DC37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342490"/>
    <w:multiLevelType w:val="hybridMultilevel"/>
    <w:tmpl w:val="BAE6BD88"/>
    <w:lvl w:ilvl="0" w:tplc="099AC378">
      <w:numFmt w:val="bullet"/>
      <w:lvlText w:val="•"/>
      <w:lvlJc w:val="left"/>
      <w:pPr>
        <w:ind w:left="720" w:hanging="720"/>
      </w:pPr>
      <w:rPr>
        <w:rFonts w:ascii="VIC" w:eastAsia="Times" w:hAnsi="V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694CE9"/>
    <w:multiLevelType w:val="hybridMultilevel"/>
    <w:tmpl w:val="B1908A34"/>
    <w:lvl w:ilvl="0" w:tplc="E3AAB124">
      <w:start w:val="1"/>
      <w:numFmt w:val="bullet"/>
      <w:lvlText w:val="g"/>
      <w:lvlJc w:val="left"/>
      <w:pPr>
        <w:ind w:left="360" w:hanging="360"/>
      </w:pPr>
      <w:rPr>
        <w:rFonts w:ascii="Wingdings 3" w:hAnsi="Wingdings 3" w:hint="default"/>
        <w:b w:val="0"/>
        <w:i w:val="0"/>
        <w:color w:val="B9BBBD" w:themeColor="text2" w:themeTint="66"/>
        <w:w w:val="1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C8010E"/>
    <w:multiLevelType w:val="hybridMultilevel"/>
    <w:tmpl w:val="47CCF43A"/>
    <w:lvl w:ilvl="0" w:tplc="099AC378">
      <w:numFmt w:val="bullet"/>
      <w:lvlText w:val="•"/>
      <w:lvlJc w:val="left"/>
      <w:pPr>
        <w:ind w:left="1080" w:hanging="720"/>
      </w:pPr>
      <w:rPr>
        <w:rFonts w:ascii="VIC" w:eastAsia="Times" w:hAnsi="V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714306">
    <w:abstractNumId w:val="9"/>
  </w:num>
  <w:num w:numId="2" w16cid:durableId="1073818014">
    <w:abstractNumId w:val="9"/>
  </w:num>
  <w:num w:numId="3" w16cid:durableId="316080515">
    <w:abstractNumId w:val="33"/>
  </w:num>
  <w:num w:numId="4" w16cid:durableId="1712075240">
    <w:abstractNumId w:val="37"/>
  </w:num>
  <w:num w:numId="5" w16cid:durableId="860633682">
    <w:abstractNumId w:val="40"/>
  </w:num>
  <w:num w:numId="6" w16cid:durableId="2027705756">
    <w:abstractNumId w:val="45"/>
  </w:num>
  <w:num w:numId="7" w16cid:durableId="1432776387">
    <w:abstractNumId w:val="43"/>
  </w:num>
  <w:num w:numId="8" w16cid:durableId="751197205">
    <w:abstractNumId w:val="44"/>
  </w:num>
  <w:num w:numId="9" w16cid:durableId="1612933128">
    <w:abstractNumId w:val="44"/>
  </w:num>
  <w:num w:numId="10" w16cid:durableId="201021">
    <w:abstractNumId w:val="44"/>
  </w:num>
  <w:num w:numId="11" w16cid:durableId="1501654571">
    <w:abstractNumId w:val="26"/>
  </w:num>
  <w:num w:numId="12" w16cid:durableId="873545147">
    <w:abstractNumId w:val="23"/>
  </w:num>
  <w:num w:numId="13" w16cid:durableId="1603224989">
    <w:abstractNumId w:val="31"/>
  </w:num>
  <w:num w:numId="14" w16cid:durableId="883099022">
    <w:abstractNumId w:val="17"/>
  </w:num>
  <w:num w:numId="15" w16cid:durableId="1700546938">
    <w:abstractNumId w:val="24"/>
  </w:num>
  <w:num w:numId="16" w16cid:durableId="978076196">
    <w:abstractNumId w:val="32"/>
  </w:num>
  <w:num w:numId="17" w16cid:durableId="783961428">
    <w:abstractNumId w:val="35"/>
  </w:num>
  <w:num w:numId="18" w16cid:durableId="1418985511">
    <w:abstractNumId w:val="0"/>
  </w:num>
  <w:num w:numId="19" w16cid:durableId="1245870531">
    <w:abstractNumId w:val="1"/>
  </w:num>
  <w:num w:numId="20" w16cid:durableId="117571705">
    <w:abstractNumId w:val="2"/>
  </w:num>
  <w:num w:numId="21" w16cid:durableId="858465520">
    <w:abstractNumId w:val="3"/>
  </w:num>
  <w:num w:numId="22" w16cid:durableId="1841851724">
    <w:abstractNumId w:val="8"/>
  </w:num>
  <w:num w:numId="23" w16cid:durableId="216597871">
    <w:abstractNumId w:val="4"/>
  </w:num>
  <w:num w:numId="24" w16cid:durableId="1694576261">
    <w:abstractNumId w:val="5"/>
  </w:num>
  <w:num w:numId="25" w16cid:durableId="1353611917">
    <w:abstractNumId w:val="6"/>
  </w:num>
  <w:num w:numId="26" w16cid:durableId="1345747757">
    <w:abstractNumId w:val="7"/>
  </w:num>
  <w:num w:numId="27" w16cid:durableId="686373305">
    <w:abstractNumId w:val="11"/>
  </w:num>
  <w:num w:numId="28" w16cid:durableId="164639685">
    <w:abstractNumId w:val="12"/>
  </w:num>
  <w:num w:numId="29" w16cid:durableId="140274240">
    <w:abstractNumId w:val="21"/>
  </w:num>
  <w:num w:numId="30" w16cid:durableId="421952371">
    <w:abstractNumId w:val="14"/>
  </w:num>
  <w:num w:numId="31" w16cid:durableId="1314143035">
    <w:abstractNumId w:val="42"/>
  </w:num>
  <w:num w:numId="32" w16cid:durableId="1683780631">
    <w:abstractNumId w:val="38"/>
  </w:num>
  <w:num w:numId="33" w16cid:durableId="1927111882">
    <w:abstractNumId w:val="27"/>
  </w:num>
  <w:num w:numId="34" w16cid:durableId="1291547410">
    <w:abstractNumId w:val="22"/>
  </w:num>
  <w:num w:numId="35" w16cid:durableId="1076711455">
    <w:abstractNumId w:val="28"/>
  </w:num>
  <w:num w:numId="36" w16cid:durableId="717627740">
    <w:abstractNumId w:val="16"/>
  </w:num>
  <w:num w:numId="37" w16cid:durableId="289170344">
    <w:abstractNumId w:val="19"/>
  </w:num>
  <w:num w:numId="38" w16cid:durableId="1793865662">
    <w:abstractNumId w:val="39"/>
  </w:num>
  <w:num w:numId="39" w16cid:durableId="2074885094">
    <w:abstractNumId w:val="20"/>
  </w:num>
  <w:num w:numId="40" w16cid:durableId="1827427986">
    <w:abstractNumId w:val="34"/>
  </w:num>
  <w:num w:numId="41" w16cid:durableId="352072756">
    <w:abstractNumId w:val="36"/>
  </w:num>
  <w:num w:numId="42" w16cid:durableId="1327125195">
    <w:abstractNumId w:val="13"/>
  </w:num>
  <w:num w:numId="43" w16cid:durableId="1511875128">
    <w:abstractNumId w:val="30"/>
  </w:num>
  <w:num w:numId="44" w16cid:durableId="1233929489">
    <w:abstractNumId w:val="25"/>
  </w:num>
  <w:num w:numId="45" w16cid:durableId="1088387689">
    <w:abstractNumId w:val="29"/>
  </w:num>
  <w:num w:numId="46" w16cid:durableId="154616202">
    <w:abstractNumId w:val="18"/>
  </w:num>
  <w:num w:numId="47" w16cid:durableId="1842548419">
    <w:abstractNumId w:val="15"/>
  </w:num>
  <w:num w:numId="48" w16cid:durableId="1031224380">
    <w:abstractNumId w:val="10"/>
  </w:num>
  <w:num w:numId="49" w16cid:durableId="81495095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3C1E"/>
    <w:rsid w:val="00005D70"/>
    <w:rsid w:val="00011F1D"/>
    <w:rsid w:val="0001232A"/>
    <w:rsid w:val="000147C0"/>
    <w:rsid w:val="0001667E"/>
    <w:rsid w:val="000213B4"/>
    <w:rsid w:val="000218D1"/>
    <w:rsid w:val="000312ED"/>
    <w:rsid w:val="0003485F"/>
    <w:rsid w:val="000439B3"/>
    <w:rsid w:val="00045959"/>
    <w:rsid w:val="0005123F"/>
    <w:rsid w:val="0005286E"/>
    <w:rsid w:val="00060D91"/>
    <w:rsid w:val="00062C0C"/>
    <w:rsid w:val="000850B7"/>
    <w:rsid w:val="000948B0"/>
    <w:rsid w:val="000A23FF"/>
    <w:rsid w:val="000A3862"/>
    <w:rsid w:val="000C4311"/>
    <w:rsid w:val="000C68D7"/>
    <w:rsid w:val="000C6C11"/>
    <w:rsid w:val="000D301B"/>
    <w:rsid w:val="000D409F"/>
    <w:rsid w:val="000E72F8"/>
    <w:rsid w:val="000F4B6D"/>
    <w:rsid w:val="001001B7"/>
    <w:rsid w:val="00100224"/>
    <w:rsid w:val="001002FF"/>
    <w:rsid w:val="00111DCE"/>
    <w:rsid w:val="00112C52"/>
    <w:rsid w:val="0011328E"/>
    <w:rsid w:val="00117F2E"/>
    <w:rsid w:val="00131C37"/>
    <w:rsid w:val="001365AC"/>
    <w:rsid w:val="00146A94"/>
    <w:rsid w:val="0015181B"/>
    <w:rsid w:val="00157BA8"/>
    <w:rsid w:val="001603D1"/>
    <w:rsid w:val="001624DD"/>
    <w:rsid w:val="001662A7"/>
    <w:rsid w:val="00172F09"/>
    <w:rsid w:val="00183031"/>
    <w:rsid w:val="00190324"/>
    <w:rsid w:val="00190CD8"/>
    <w:rsid w:val="00193CA3"/>
    <w:rsid w:val="001A00AE"/>
    <w:rsid w:val="001A392C"/>
    <w:rsid w:val="001B24DF"/>
    <w:rsid w:val="001B755D"/>
    <w:rsid w:val="001C67EF"/>
    <w:rsid w:val="001C74DF"/>
    <w:rsid w:val="001C7B61"/>
    <w:rsid w:val="001D49D2"/>
    <w:rsid w:val="001E050B"/>
    <w:rsid w:val="001E2545"/>
    <w:rsid w:val="001E4055"/>
    <w:rsid w:val="001E7462"/>
    <w:rsid w:val="001E7717"/>
    <w:rsid w:val="001F546C"/>
    <w:rsid w:val="00202E0C"/>
    <w:rsid w:val="00203D1B"/>
    <w:rsid w:val="00211FED"/>
    <w:rsid w:val="0021481D"/>
    <w:rsid w:val="00215878"/>
    <w:rsid w:val="00225DE1"/>
    <w:rsid w:val="002315D5"/>
    <w:rsid w:val="0024131D"/>
    <w:rsid w:val="00243F43"/>
    <w:rsid w:val="00244064"/>
    <w:rsid w:val="002570F2"/>
    <w:rsid w:val="00262E24"/>
    <w:rsid w:val="00265F19"/>
    <w:rsid w:val="0026618F"/>
    <w:rsid w:val="002703B8"/>
    <w:rsid w:val="00284148"/>
    <w:rsid w:val="00285B40"/>
    <w:rsid w:val="00292552"/>
    <w:rsid w:val="002A190B"/>
    <w:rsid w:val="002A6DE5"/>
    <w:rsid w:val="002B637B"/>
    <w:rsid w:val="002C5030"/>
    <w:rsid w:val="002D46C5"/>
    <w:rsid w:val="002D557B"/>
    <w:rsid w:val="002D7AAA"/>
    <w:rsid w:val="002E25FF"/>
    <w:rsid w:val="002F120D"/>
    <w:rsid w:val="002F195F"/>
    <w:rsid w:val="002F6A6E"/>
    <w:rsid w:val="002F7453"/>
    <w:rsid w:val="003003F6"/>
    <w:rsid w:val="003040A0"/>
    <w:rsid w:val="00313947"/>
    <w:rsid w:val="00314F59"/>
    <w:rsid w:val="00315CAF"/>
    <w:rsid w:val="00315F69"/>
    <w:rsid w:val="00316636"/>
    <w:rsid w:val="00320409"/>
    <w:rsid w:val="00330B2B"/>
    <w:rsid w:val="0033181A"/>
    <w:rsid w:val="00335A05"/>
    <w:rsid w:val="00336FF2"/>
    <w:rsid w:val="00347F97"/>
    <w:rsid w:val="00354953"/>
    <w:rsid w:val="00357C09"/>
    <w:rsid w:val="00362BF5"/>
    <w:rsid w:val="003647A3"/>
    <w:rsid w:val="00365FC8"/>
    <w:rsid w:val="00373BFA"/>
    <w:rsid w:val="00373C6E"/>
    <w:rsid w:val="003A5399"/>
    <w:rsid w:val="003B4445"/>
    <w:rsid w:val="003C2E36"/>
    <w:rsid w:val="003D13B9"/>
    <w:rsid w:val="003D2AA7"/>
    <w:rsid w:val="003E2490"/>
    <w:rsid w:val="003E5411"/>
    <w:rsid w:val="00412BDB"/>
    <w:rsid w:val="00412CB6"/>
    <w:rsid w:val="0041710F"/>
    <w:rsid w:val="004200F4"/>
    <w:rsid w:val="004224BC"/>
    <w:rsid w:val="00422E7D"/>
    <w:rsid w:val="00431C60"/>
    <w:rsid w:val="00431F60"/>
    <w:rsid w:val="00434019"/>
    <w:rsid w:val="00434248"/>
    <w:rsid w:val="00437D07"/>
    <w:rsid w:val="00442EC5"/>
    <w:rsid w:val="0044445D"/>
    <w:rsid w:val="00447B18"/>
    <w:rsid w:val="004574E6"/>
    <w:rsid w:val="00474562"/>
    <w:rsid w:val="00476497"/>
    <w:rsid w:val="004766BD"/>
    <w:rsid w:val="00477BB8"/>
    <w:rsid w:val="004801F8"/>
    <w:rsid w:val="004805CA"/>
    <w:rsid w:val="00481149"/>
    <w:rsid w:val="00491D22"/>
    <w:rsid w:val="004936AE"/>
    <w:rsid w:val="004A3A5D"/>
    <w:rsid w:val="004A439A"/>
    <w:rsid w:val="004B0EAC"/>
    <w:rsid w:val="004B140A"/>
    <w:rsid w:val="004B4E23"/>
    <w:rsid w:val="004B6279"/>
    <w:rsid w:val="004B678F"/>
    <w:rsid w:val="004C1120"/>
    <w:rsid w:val="004D55A4"/>
    <w:rsid w:val="004D6EF2"/>
    <w:rsid w:val="004E3ADA"/>
    <w:rsid w:val="004F0943"/>
    <w:rsid w:val="00503BBB"/>
    <w:rsid w:val="005321F3"/>
    <w:rsid w:val="00534971"/>
    <w:rsid w:val="005355F1"/>
    <w:rsid w:val="00536047"/>
    <w:rsid w:val="005421C8"/>
    <w:rsid w:val="005454B2"/>
    <w:rsid w:val="00557A32"/>
    <w:rsid w:val="00566E72"/>
    <w:rsid w:val="00571213"/>
    <w:rsid w:val="0057453D"/>
    <w:rsid w:val="00574ABF"/>
    <w:rsid w:val="00577297"/>
    <w:rsid w:val="005774BB"/>
    <w:rsid w:val="00582B0F"/>
    <w:rsid w:val="00586CAC"/>
    <w:rsid w:val="00591779"/>
    <w:rsid w:val="00594817"/>
    <w:rsid w:val="005952DD"/>
    <w:rsid w:val="00595A29"/>
    <w:rsid w:val="005A7958"/>
    <w:rsid w:val="005B28E3"/>
    <w:rsid w:val="005B5273"/>
    <w:rsid w:val="005B7AA4"/>
    <w:rsid w:val="005D09B0"/>
    <w:rsid w:val="005D7115"/>
    <w:rsid w:val="005D7EB9"/>
    <w:rsid w:val="005F0311"/>
    <w:rsid w:val="005F5285"/>
    <w:rsid w:val="0060140E"/>
    <w:rsid w:val="00603478"/>
    <w:rsid w:val="0060376A"/>
    <w:rsid w:val="006049DC"/>
    <w:rsid w:val="00611CED"/>
    <w:rsid w:val="00614034"/>
    <w:rsid w:val="0062063E"/>
    <w:rsid w:val="00621521"/>
    <w:rsid w:val="00625FCA"/>
    <w:rsid w:val="006260B0"/>
    <w:rsid w:val="00634417"/>
    <w:rsid w:val="00636335"/>
    <w:rsid w:val="0063745A"/>
    <w:rsid w:val="00642098"/>
    <w:rsid w:val="0065233C"/>
    <w:rsid w:val="00654997"/>
    <w:rsid w:val="00656D3E"/>
    <w:rsid w:val="00661CD4"/>
    <w:rsid w:val="00665065"/>
    <w:rsid w:val="0067464E"/>
    <w:rsid w:val="00687BA9"/>
    <w:rsid w:val="006A4A05"/>
    <w:rsid w:val="006A7F6D"/>
    <w:rsid w:val="006B3EEA"/>
    <w:rsid w:val="006C756E"/>
    <w:rsid w:val="006D195C"/>
    <w:rsid w:val="006D1D07"/>
    <w:rsid w:val="006E1EC3"/>
    <w:rsid w:val="006E2DD9"/>
    <w:rsid w:val="006E4259"/>
    <w:rsid w:val="006E6B6B"/>
    <w:rsid w:val="006E6CD5"/>
    <w:rsid w:val="006F56E0"/>
    <w:rsid w:val="007064F2"/>
    <w:rsid w:val="0070689D"/>
    <w:rsid w:val="00711D7C"/>
    <w:rsid w:val="00720905"/>
    <w:rsid w:val="00725D05"/>
    <w:rsid w:val="007264EE"/>
    <w:rsid w:val="00735AD5"/>
    <w:rsid w:val="007446B4"/>
    <w:rsid w:val="007514D3"/>
    <w:rsid w:val="00752533"/>
    <w:rsid w:val="00753087"/>
    <w:rsid w:val="00755D56"/>
    <w:rsid w:val="00755EC9"/>
    <w:rsid w:val="00763903"/>
    <w:rsid w:val="007643B9"/>
    <w:rsid w:val="00765714"/>
    <w:rsid w:val="007739B2"/>
    <w:rsid w:val="00773DD6"/>
    <w:rsid w:val="007740C0"/>
    <w:rsid w:val="0077681B"/>
    <w:rsid w:val="00784CC7"/>
    <w:rsid w:val="007952EB"/>
    <w:rsid w:val="007A5FF8"/>
    <w:rsid w:val="007B2441"/>
    <w:rsid w:val="007B30C4"/>
    <w:rsid w:val="007B32A4"/>
    <w:rsid w:val="007B52A9"/>
    <w:rsid w:val="007C7AA1"/>
    <w:rsid w:val="007D5CD7"/>
    <w:rsid w:val="007E0913"/>
    <w:rsid w:val="007E187B"/>
    <w:rsid w:val="007E3DCF"/>
    <w:rsid w:val="007F1722"/>
    <w:rsid w:val="007F17C3"/>
    <w:rsid w:val="007F36F7"/>
    <w:rsid w:val="007F5842"/>
    <w:rsid w:val="00801B34"/>
    <w:rsid w:val="00805E98"/>
    <w:rsid w:val="00812620"/>
    <w:rsid w:val="008142D6"/>
    <w:rsid w:val="00817639"/>
    <w:rsid w:val="00824637"/>
    <w:rsid w:val="00826691"/>
    <w:rsid w:val="00831F71"/>
    <w:rsid w:val="00834306"/>
    <w:rsid w:val="00840833"/>
    <w:rsid w:val="00853603"/>
    <w:rsid w:val="008640EF"/>
    <w:rsid w:val="00864CDD"/>
    <w:rsid w:val="0086613F"/>
    <w:rsid w:val="00871EE1"/>
    <w:rsid w:val="00873646"/>
    <w:rsid w:val="00885B27"/>
    <w:rsid w:val="00893BEA"/>
    <w:rsid w:val="0089608E"/>
    <w:rsid w:val="008B4860"/>
    <w:rsid w:val="008C1A12"/>
    <w:rsid w:val="008C1DAB"/>
    <w:rsid w:val="008C7282"/>
    <w:rsid w:val="008E75D1"/>
    <w:rsid w:val="008F16A0"/>
    <w:rsid w:val="008F2249"/>
    <w:rsid w:val="009055AE"/>
    <w:rsid w:val="009117F1"/>
    <w:rsid w:val="00911CEB"/>
    <w:rsid w:val="00913619"/>
    <w:rsid w:val="00921723"/>
    <w:rsid w:val="00926A6C"/>
    <w:rsid w:val="00933430"/>
    <w:rsid w:val="009369F9"/>
    <w:rsid w:val="0094725B"/>
    <w:rsid w:val="009536DA"/>
    <w:rsid w:val="00954092"/>
    <w:rsid w:val="00954274"/>
    <w:rsid w:val="00976AFB"/>
    <w:rsid w:val="009809FD"/>
    <w:rsid w:val="009B1C2E"/>
    <w:rsid w:val="009B28D4"/>
    <w:rsid w:val="009B2BB0"/>
    <w:rsid w:val="009C3379"/>
    <w:rsid w:val="009C4065"/>
    <w:rsid w:val="009C682A"/>
    <w:rsid w:val="009C68C3"/>
    <w:rsid w:val="009D0360"/>
    <w:rsid w:val="009D384F"/>
    <w:rsid w:val="009D6B08"/>
    <w:rsid w:val="009D7131"/>
    <w:rsid w:val="009D7C3D"/>
    <w:rsid w:val="009F4D2D"/>
    <w:rsid w:val="00A00536"/>
    <w:rsid w:val="00A0581E"/>
    <w:rsid w:val="00A06854"/>
    <w:rsid w:val="00A144CF"/>
    <w:rsid w:val="00A2189F"/>
    <w:rsid w:val="00A32B63"/>
    <w:rsid w:val="00A36012"/>
    <w:rsid w:val="00A52600"/>
    <w:rsid w:val="00A61D23"/>
    <w:rsid w:val="00A66E6B"/>
    <w:rsid w:val="00A8093B"/>
    <w:rsid w:val="00A84823"/>
    <w:rsid w:val="00A84D7B"/>
    <w:rsid w:val="00A85CE0"/>
    <w:rsid w:val="00A86515"/>
    <w:rsid w:val="00A92F35"/>
    <w:rsid w:val="00A938BF"/>
    <w:rsid w:val="00A955D6"/>
    <w:rsid w:val="00AA29CF"/>
    <w:rsid w:val="00AA4AAC"/>
    <w:rsid w:val="00AA4E41"/>
    <w:rsid w:val="00AA7A49"/>
    <w:rsid w:val="00AB3A4D"/>
    <w:rsid w:val="00AB4569"/>
    <w:rsid w:val="00AB60AA"/>
    <w:rsid w:val="00AC2E28"/>
    <w:rsid w:val="00AC3CA3"/>
    <w:rsid w:val="00AD3F8F"/>
    <w:rsid w:val="00AE0C6D"/>
    <w:rsid w:val="00AE0E72"/>
    <w:rsid w:val="00AE324E"/>
    <w:rsid w:val="00AE5037"/>
    <w:rsid w:val="00AF4471"/>
    <w:rsid w:val="00B14A8A"/>
    <w:rsid w:val="00B2266B"/>
    <w:rsid w:val="00B24A3A"/>
    <w:rsid w:val="00B50203"/>
    <w:rsid w:val="00B57A5A"/>
    <w:rsid w:val="00B71CBC"/>
    <w:rsid w:val="00B7270C"/>
    <w:rsid w:val="00B73FE2"/>
    <w:rsid w:val="00B80566"/>
    <w:rsid w:val="00B82EF2"/>
    <w:rsid w:val="00B94E58"/>
    <w:rsid w:val="00B9627C"/>
    <w:rsid w:val="00B96906"/>
    <w:rsid w:val="00BA722A"/>
    <w:rsid w:val="00BB1616"/>
    <w:rsid w:val="00BB1A8C"/>
    <w:rsid w:val="00BB1BCF"/>
    <w:rsid w:val="00BB2A9C"/>
    <w:rsid w:val="00BC7E86"/>
    <w:rsid w:val="00BD10DC"/>
    <w:rsid w:val="00BD46CB"/>
    <w:rsid w:val="00BD4F79"/>
    <w:rsid w:val="00BE10C4"/>
    <w:rsid w:val="00BE16CF"/>
    <w:rsid w:val="00BE3FF9"/>
    <w:rsid w:val="00BE7978"/>
    <w:rsid w:val="00C06ACC"/>
    <w:rsid w:val="00C07EEA"/>
    <w:rsid w:val="00C11BA5"/>
    <w:rsid w:val="00C15F1A"/>
    <w:rsid w:val="00C23147"/>
    <w:rsid w:val="00C2334D"/>
    <w:rsid w:val="00C2419A"/>
    <w:rsid w:val="00C26538"/>
    <w:rsid w:val="00C32AF3"/>
    <w:rsid w:val="00C34FB0"/>
    <w:rsid w:val="00C40318"/>
    <w:rsid w:val="00C429BD"/>
    <w:rsid w:val="00C46187"/>
    <w:rsid w:val="00C46EA7"/>
    <w:rsid w:val="00C4753D"/>
    <w:rsid w:val="00C736C9"/>
    <w:rsid w:val="00C77593"/>
    <w:rsid w:val="00C8322C"/>
    <w:rsid w:val="00C833D6"/>
    <w:rsid w:val="00C83B2D"/>
    <w:rsid w:val="00C85A6C"/>
    <w:rsid w:val="00C9269E"/>
    <w:rsid w:val="00C97ED5"/>
    <w:rsid w:val="00CA3ED4"/>
    <w:rsid w:val="00CA604D"/>
    <w:rsid w:val="00CB53D4"/>
    <w:rsid w:val="00CC24D5"/>
    <w:rsid w:val="00CD25B7"/>
    <w:rsid w:val="00CD4C5E"/>
    <w:rsid w:val="00CE1F62"/>
    <w:rsid w:val="00CE7486"/>
    <w:rsid w:val="00CF77ED"/>
    <w:rsid w:val="00D03F8C"/>
    <w:rsid w:val="00D04500"/>
    <w:rsid w:val="00D074ED"/>
    <w:rsid w:val="00D11DC5"/>
    <w:rsid w:val="00D16BB0"/>
    <w:rsid w:val="00D2420C"/>
    <w:rsid w:val="00D25000"/>
    <w:rsid w:val="00D34F2F"/>
    <w:rsid w:val="00D43B02"/>
    <w:rsid w:val="00D457FA"/>
    <w:rsid w:val="00D45C84"/>
    <w:rsid w:val="00D46F65"/>
    <w:rsid w:val="00D52F6F"/>
    <w:rsid w:val="00D6104D"/>
    <w:rsid w:val="00D61AC5"/>
    <w:rsid w:val="00D63C13"/>
    <w:rsid w:val="00D71B26"/>
    <w:rsid w:val="00D72569"/>
    <w:rsid w:val="00D81474"/>
    <w:rsid w:val="00D814ED"/>
    <w:rsid w:val="00D81745"/>
    <w:rsid w:val="00D821FA"/>
    <w:rsid w:val="00D946DD"/>
    <w:rsid w:val="00DA1941"/>
    <w:rsid w:val="00DB2253"/>
    <w:rsid w:val="00DC3D43"/>
    <w:rsid w:val="00DC58AF"/>
    <w:rsid w:val="00DD0CB2"/>
    <w:rsid w:val="00DE1ACA"/>
    <w:rsid w:val="00DE2F84"/>
    <w:rsid w:val="00DF1025"/>
    <w:rsid w:val="00DF457E"/>
    <w:rsid w:val="00E00580"/>
    <w:rsid w:val="00E0112C"/>
    <w:rsid w:val="00E05FA3"/>
    <w:rsid w:val="00E07873"/>
    <w:rsid w:val="00E12E81"/>
    <w:rsid w:val="00E232CC"/>
    <w:rsid w:val="00E361FE"/>
    <w:rsid w:val="00E40EEA"/>
    <w:rsid w:val="00E55EC9"/>
    <w:rsid w:val="00E63A51"/>
    <w:rsid w:val="00E70D89"/>
    <w:rsid w:val="00E74788"/>
    <w:rsid w:val="00E81483"/>
    <w:rsid w:val="00E82DB0"/>
    <w:rsid w:val="00E84B71"/>
    <w:rsid w:val="00E84CD3"/>
    <w:rsid w:val="00E92507"/>
    <w:rsid w:val="00E95A85"/>
    <w:rsid w:val="00EA10DE"/>
    <w:rsid w:val="00EA2180"/>
    <w:rsid w:val="00EA3EAE"/>
    <w:rsid w:val="00EB7864"/>
    <w:rsid w:val="00EC0832"/>
    <w:rsid w:val="00EC0DE7"/>
    <w:rsid w:val="00EC2E51"/>
    <w:rsid w:val="00EE0AC4"/>
    <w:rsid w:val="00EF2F03"/>
    <w:rsid w:val="00F06899"/>
    <w:rsid w:val="00F07295"/>
    <w:rsid w:val="00F1572C"/>
    <w:rsid w:val="00F25A07"/>
    <w:rsid w:val="00F31301"/>
    <w:rsid w:val="00F55B97"/>
    <w:rsid w:val="00F56CE6"/>
    <w:rsid w:val="00F62EEE"/>
    <w:rsid w:val="00F65BB2"/>
    <w:rsid w:val="00F67D36"/>
    <w:rsid w:val="00F76707"/>
    <w:rsid w:val="00F80FDC"/>
    <w:rsid w:val="00F839A1"/>
    <w:rsid w:val="00F86064"/>
    <w:rsid w:val="00F97EB8"/>
    <w:rsid w:val="00FA1907"/>
    <w:rsid w:val="00FA5321"/>
    <w:rsid w:val="00FC29FE"/>
    <w:rsid w:val="00FC6875"/>
    <w:rsid w:val="00FC7401"/>
    <w:rsid w:val="00FC7A20"/>
    <w:rsid w:val="00FE0BF4"/>
    <w:rsid w:val="00FF2A5E"/>
    <w:rsid w:val="00FF308F"/>
    <w:rsid w:val="00FF48FF"/>
    <w:rsid w:val="00FF7E55"/>
    <w:rsid w:val="0121871D"/>
    <w:rsid w:val="0A04B1F2"/>
    <w:rsid w:val="0A932E8A"/>
    <w:rsid w:val="0BA49790"/>
    <w:rsid w:val="27672952"/>
    <w:rsid w:val="2A2478A9"/>
    <w:rsid w:val="3EE63A71"/>
    <w:rsid w:val="3F15565F"/>
    <w:rsid w:val="4C475273"/>
    <w:rsid w:val="4CB554BC"/>
    <w:rsid w:val="4D76816B"/>
    <w:rsid w:val="4FDAEDD9"/>
    <w:rsid w:val="502FED5E"/>
    <w:rsid w:val="5074B4FE"/>
    <w:rsid w:val="5CF0EE24"/>
    <w:rsid w:val="5D9CA67C"/>
    <w:rsid w:val="5DC8E550"/>
    <w:rsid w:val="60D70E3B"/>
    <w:rsid w:val="69C18738"/>
    <w:rsid w:val="71B370C0"/>
    <w:rsid w:val="71BD36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15:docId w15:val="{1DE5B1C8-DD8B-4B31-8525-609219ED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4D55A4"/>
    <w:pPr>
      <w:snapToGrid w:val="0"/>
      <w:spacing w:after="160" w:line="280" w:lineRule="exact"/>
    </w:pPr>
    <w:rPr>
      <w:rFonts w:asciiTheme="minorHAnsi" w:eastAsia="Times" w:hAnsiTheme="minorHAnsi" w:cs="Arial"/>
      <w:color w:val="000000" w:themeColor="text1"/>
      <w:sz w:val="22"/>
      <w:szCs w:val="21"/>
    </w:rPr>
  </w:style>
  <w:style w:type="paragraph" w:styleId="Heading1">
    <w:name w:val="heading 1"/>
    <w:basedOn w:val="Normal"/>
    <w:next w:val="Normal"/>
    <w:link w:val="Heading1Char"/>
    <w:uiPriority w:val="1"/>
    <w:qFormat/>
    <w:rsid w:val="00D821FA"/>
    <w:pPr>
      <w:spacing w:before="560" w:after="240" w:line="480" w:lineRule="exact"/>
      <w:ind w:right="1134"/>
      <w:outlineLvl w:val="0"/>
    </w:pPr>
    <w:rPr>
      <w:rFonts w:asciiTheme="majorHAnsi" w:hAnsiTheme="majorHAnsi"/>
      <w:b/>
      <w:bCs/>
      <w:color w:val="545759" w:themeColor="text2"/>
      <w:sz w:val="44"/>
      <w:szCs w:val="44"/>
    </w:rPr>
  </w:style>
  <w:style w:type="paragraph" w:styleId="Heading2">
    <w:name w:val="heading 2"/>
    <w:basedOn w:val="Normal"/>
    <w:next w:val="Normal"/>
    <w:link w:val="Heading2Char"/>
    <w:uiPriority w:val="1"/>
    <w:qFormat/>
    <w:rsid w:val="00D821FA"/>
    <w:pPr>
      <w:spacing w:before="360" w:after="240" w:line="400" w:lineRule="exact"/>
      <w:ind w:right="1134"/>
      <w:outlineLvl w:val="1"/>
    </w:pPr>
    <w:rPr>
      <w:rFonts w:asciiTheme="majorHAnsi" w:hAnsiTheme="majorHAnsi"/>
      <w:color w:val="005F9E" w:themeColor="accent1"/>
      <w:spacing w:val="-1"/>
      <w:sz w:val="36"/>
      <w:szCs w:val="28"/>
    </w:rPr>
  </w:style>
  <w:style w:type="paragraph" w:styleId="Heading3">
    <w:name w:val="heading 3"/>
    <w:basedOn w:val="Normal"/>
    <w:next w:val="Normal"/>
    <w:link w:val="Heading3Char"/>
    <w:uiPriority w:val="1"/>
    <w:qFormat/>
    <w:rsid w:val="00801B34"/>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uiPriority w:val="1"/>
    <w:qFormat/>
    <w:rsid w:val="00801B34"/>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801B34"/>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7F5842"/>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D821FA"/>
    <w:rPr>
      <w:rFonts w:asciiTheme="majorHAnsi" w:eastAsia="Times" w:hAnsiTheme="majorHAnsi" w:cs="Arial"/>
      <w:b/>
      <w:bCs/>
      <w:color w:val="545759" w:themeColor="text2"/>
      <w:sz w:val="44"/>
      <w:szCs w:val="44"/>
    </w:rPr>
  </w:style>
  <w:style w:type="character" w:customStyle="1" w:styleId="Heading2Char">
    <w:name w:val="Heading 2 Char"/>
    <w:link w:val="Heading2"/>
    <w:uiPriority w:val="1"/>
    <w:rsid w:val="00D821FA"/>
    <w:rPr>
      <w:rFonts w:asciiTheme="majorHAnsi" w:eastAsia="Times" w:hAnsiTheme="majorHAnsi" w:cs="Arial"/>
      <w:color w:val="005F9E" w:themeColor="accent1"/>
      <w:spacing w:val="-1"/>
      <w:sz w:val="36"/>
      <w:szCs w:val="28"/>
    </w:rPr>
  </w:style>
  <w:style w:type="character" w:customStyle="1" w:styleId="Heading3Char">
    <w:name w:val="Heading 3 Char"/>
    <w:link w:val="Heading3"/>
    <w:uiPriority w:val="1"/>
    <w:rsid w:val="00801B34"/>
    <w:rPr>
      <w:rFonts w:asciiTheme="majorHAnsi" w:eastAsia="Times" w:hAnsiTheme="majorHAnsi" w:cs="Arial"/>
      <w:b/>
      <w:color w:val="003A5E" w:themeColor="accent2" w:themeShade="80"/>
      <w:sz w:val="26"/>
      <w:szCs w:val="24"/>
    </w:rPr>
  </w:style>
  <w:style w:type="character" w:customStyle="1" w:styleId="Heading4Char">
    <w:name w:val="Heading 4 Char"/>
    <w:link w:val="Heading4"/>
    <w:uiPriority w:val="1"/>
    <w:rsid w:val="00801B34"/>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801B34"/>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28"/>
    <w:qFormat/>
    <w:rsid w:val="00D821FA"/>
    <w:pPr>
      <w:spacing w:before="1600" w:after="200" w:line="560" w:lineRule="exact"/>
      <w:ind w:right="567"/>
    </w:pPr>
    <w:rPr>
      <w:rFonts w:asciiTheme="majorHAnsi" w:eastAsiaTheme="minorEastAsia" w:hAnsiTheme="majorHAnsi" w:cstheme="minorBidi"/>
      <w:b/>
      <w:bCs/>
      <w:color w:val="005F9E" w:themeColor="accent1"/>
      <w:kern w:val="2"/>
      <w:sz w:val="52"/>
      <w:szCs w:val="72"/>
      <w:lang w:eastAsia="ja-JP"/>
    </w:rPr>
  </w:style>
  <w:style w:type="character" w:customStyle="1" w:styleId="TitleChar">
    <w:name w:val="Title Char"/>
    <w:basedOn w:val="DefaultParagraphFont"/>
    <w:link w:val="Title"/>
    <w:uiPriority w:val="28"/>
    <w:rsid w:val="00D821FA"/>
    <w:rPr>
      <w:rFonts w:asciiTheme="majorHAnsi" w:eastAsiaTheme="minorEastAsia" w:hAnsiTheme="majorHAnsi" w:cstheme="minorBidi"/>
      <w:b/>
      <w:bCs/>
      <w:color w:val="005F9E" w:themeColor="accent1"/>
      <w:kern w:val="2"/>
      <w:sz w:val="52"/>
      <w:szCs w:val="72"/>
      <w:lang w:eastAsia="ja-JP"/>
    </w:rPr>
  </w:style>
  <w:style w:type="paragraph" w:styleId="FootnoteText">
    <w:name w:val="footnote text"/>
    <w:basedOn w:val="Normal"/>
    <w:link w:val="FootnoteTextChar"/>
    <w:uiPriority w:val="8"/>
    <w:semiHidden/>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D821FA"/>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15"/>
      </w:numPr>
    </w:pPr>
  </w:style>
  <w:style w:type="paragraph" w:styleId="EndnoteText">
    <w:name w:val="endnote text"/>
    <w:basedOn w:val="Normal"/>
    <w:link w:val="EndnoteTextChar"/>
    <w:uiPriority w:val="99"/>
    <w:semiHidden/>
    <w:unhideWhenUsed/>
    <w:rsid w:val="001C67EF"/>
    <w:pPr>
      <w:spacing w:after="0" w:line="240" w:lineRule="auto"/>
    </w:pPr>
    <w:rPr>
      <w:sz w:val="20"/>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27"/>
      </w:numPr>
    </w:pPr>
  </w:style>
  <w:style w:type="character" w:customStyle="1" w:styleId="QuoteChar">
    <w:name w:val="Quote Char"/>
    <w:basedOn w:val="DefaultParagraphFont"/>
    <w:link w:val="Quote"/>
    <w:uiPriority w:val="73"/>
    <w:rsid w:val="00D821FA"/>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D821FA"/>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17"/>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Normal"/>
    <w:next w:val="Normal"/>
    <w:link w:val="SubtitleChar"/>
    <w:uiPriority w:val="29"/>
    <w:qFormat/>
    <w:rsid w:val="00D821FA"/>
    <w:pPr>
      <w:spacing w:before="120" w:after="120" w:line="400" w:lineRule="exact"/>
      <w:ind w:right="2268"/>
    </w:pPr>
    <w:rPr>
      <w:color w:val="545759" w:themeColor="text2"/>
      <w:sz w:val="34"/>
      <w:szCs w:val="34"/>
    </w:rPr>
  </w:style>
  <w:style w:type="character" w:customStyle="1" w:styleId="SubtitleChar">
    <w:name w:val="Subtitle Char"/>
    <w:basedOn w:val="DefaultParagraphFont"/>
    <w:link w:val="Subtitle"/>
    <w:uiPriority w:val="29"/>
    <w:rsid w:val="00D821FA"/>
    <w:rPr>
      <w:rFonts w:asciiTheme="minorHAnsi" w:eastAsia="Times" w:hAnsiTheme="minorHAnsi" w:cs="Arial"/>
      <w:color w:val="545759" w:themeColor="text2"/>
      <w:sz w:val="34"/>
      <w:szCs w:val="34"/>
    </w:rPr>
  </w:style>
  <w:style w:type="numbering" w:customStyle="1" w:styleId="CurrentList6">
    <w:name w:val="Current List6"/>
    <w:uiPriority w:val="99"/>
    <w:rsid w:val="002F6A6E"/>
    <w:pPr>
      <w:numPr>
        <w:numId w:val="32"/>
      </w:numPr>
    </w:pPr>
  </w:style>
  <w:style w:type="character" w:customStyle="1" w:styleId="FootnoteTextChar">
    <w:name w:val="Footnote Text Char"/>
    <w:basedOn w:val="DefaultParagraphFont"/>
    <w:link w:val="FootnoteText"/>
    <w:uiPriority w:val="8"/>
    <w:semiHidden/>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28"/>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31"/>
      </w:numPr>
    </w:pPr>
  </w:style>
  <w:style w:type="paragraph" w:styleId="List">
    <w:name w:val="List"/>
    <w:basedOn w:val="Normal"/>
    <w:uiPriority w:val="99"/>
    <w:unhideWhenUsed/>
    <w:qFormat/>
    <w:rsid w:val="002F6A6E"/>
    <w:pPr>
      <w:numPr>
        <w:numId w:val="30"/>
      </w:numPr>
      <w:contextualSpacing/>
    </w:pPr>
    <w:rPr>
      <w:color w:val="auto"/>
    </w:rPr>
  </w:style>
  <w:style w:type="paragraph" w:styleId="List2">
    <w:name w:val="List 2"/>
    <w:basedOn w:val="Normal"/>
    <w:uiPriority w:val="99"/>
    <w:unhideWhenUsed/>
    <w:qFormat/>
    <w:rsid w:val="002F6A6E"/>
    <w:pPr>
      <w:numPr>
        <w:numId w:val="33"/>
      </w:numPr>
      <w:ind w:left="568"/>
      <w:contextualSpacing/>
    </w:pPr>
    <w:rPr>
      <w:color w:val="auto"/>
    </w:rPr>
  </w:style>
  <w:style w:type="paragraph" w:styleId="Date">
    <w:name w:val="Date"/>
    <w:basedOn w:val="Heading7"/>
    <w:next w:val="Normal"/>
    <w:link w:val="DateChar"/>
    <w:uiPriority w:val="99"/>
    <w:unhideWhenUsed/>
    <w:qFormat/>
    <w:rsid w:val="00D821FA"/>
    <w:pPr>
      <w:spacing w:line="220" w:lineRule="exact"/>
      <w:ind w:right="4536"/>
    </w:pPr>
    <w:rPr>
      <w:rFonts w:asciiTheme="minorHAnsi" w:hAnsiTheme="minorHAnsi"/>
      <w:sz w:val="18"/>
      <w:szCs w:val="18"/>
    </w:rPr>
  </w:style>
  <w:style w:type="character" w:customStyle="1" w:styleId="DateChar">
    <w:name w:val="Date Char"/>
    <w:basedOn w:val="DefaultParagraphFont"/>
    <w:link w:val="Date"/>
    <w:uiPriority w:val="99"/>
    <w:rsid w:val="00D821FA"/>
    <w:rPr>
      <w:rFonts w:asciiTheme="minorHAnsi" w:eastAsia="Times" w:hAnsiTheme="minorHAnsi" w:cs="Arial"/>
      <w:color w:val="000000" w:themeColor="text1"/>
      <w:sz w:val="18"/>
      <w:szCs w:val="18"/>
    </w:rPr>
  </w:style>
  <w:style w:type="paragraph" w:styleId="Header">
    <w:name w:val="header"/>
    <w:basedOn w:val="Normal"/>
    <w:link w:val="HeaderChar"/>
    <w:uiPriority w:val="99"/>
    <w:unhideWhenUsed/>
    <w:rsid w:val="007F3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F7"/>
    <w:rPr>
      <w:rFonts w:asciiTheme="minorHAnsi" w:eastAsia="Times" w:hAnsiTheme="minorHAnsi" w:cs="Arial"/>
      <w:color w:val="000000" w:themeColor="text1"/>
      <w:sz w:val="22"/>
      <w:szCs w:val="21"/>
    </w:rPr>
  </w:style>
  <w:style w:type="paragraph" w:styleId="ListParagraph">
    <w:name w:val="List Paragraph"/>
    <w:basedOn w:val="Normal"/>
    <w:uiPriority w:val="34"/>
    <w:rsid w:val="00AA4AAC"/>
    <w:pPr>
      <w:ind w:left="720"/>
      <w:contextualSpacing/>
    </w:pPr>
  </w:style>
  <w:style w:type="character" w:styleId="UnresolvedMention">
    <w:name w:val="Unresolved Mention"/>
    <w:basedOn w:val="DefaultParagraphFont"/>
    <w:uiPriority w:val="99"/>
    <w:semiHidden/>
    <w:unhideWhenUsed/>
    <w:rsid w:val="00476497"/>
    <w:rPr>
      <w:color w:val="605E5C"/>
      <w:shd w:val="clear" w:color="auto" w:fill="E1DFDD"/>
    </w:rPr>
  </w:style>
  <w:style w:type="character" w:styleId="PlaceholderText">
    <w:name w:val="Placeholder Text"/>
    <w:basedOn w:val="DefaultParagraphFont"/>
    <w:uiPriority w:val="99"/>
    <w:semiHidden/>
    <w:rsid w:val="002D46C5"/>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imes" w:hAnsiTheme="minorHAnsi" w:cs="Arial"/>
      <w:color w:val="000000" w:themeColor="text1"/>
    </w:rPr>
  </w:style>
  <w:style w:type="character" w:styleId="CommentReference">
    <w:name w:val="annotation reference"/>
    <w:basedOn w:val="DefaultParagraphFont"/>
    <w:uiPriority w:val="99"/>
    <w:semiHidden/>
    <w:unhideWhenUsed/>
    <w:rPr>
      <w:sz w:val="16"/>
      <w:szCs w:val="16"/>
    </w:rPr>
  </w:style>
  <w:style w:type="paragraph" w:styleId="ListNumber">
    <w:name w:val="List Number"/>
    <w:basedOn w:val="Normal"/>
    <w:uiPriority w:val="99"/>
    <w:semiHidden/>
    <w:unhideWhenUsed/>
    <w:rsid w:val="00E05FA3"/>
    <w:pPr>
      <w:numPr>
        <w:numId w:val="22"/>
      </w:numPr>
      <w:contextualSpacing/>
    </w:pPr>
  </w:style>
  <w:style w:type="paragraph" w:styleId="ListNumber2">
    <w:name w:val="List Number 2"/>
    <w:basedOn w:val="Normal"/>
    <w:uiPriority w:val="99"/>
    <w:semiHidden/>
    <w:unhideWhenUsed/>
    <w:rsid w:val="00E05FA3"/>
    <w:pPr>
      <w:numPr>
        <w:numId w:val="21"/>
      </w:numPr>
      <w:contextualSpacing/>
    </w:pPr>
  </w:style>
  <w:style w:type="paragraph" w:customStyle="1" w:styleId="TertiaryTitle">
    <w:name w:val="Tertiary Title"/>
    <w:basedOn w:val="Normal"/>
    <w:rsid w:val="00E05FA3"/>
    <w:pPr>
      <w:snapToGrid/>
      <w:spacing w:after="0" w:line="440" w:lineRule="exact"/>
    </w:pPr>
    <w:rPr>
      <w:rFonts w:ascii="Calibri" w:eastAsia="Times New Roman" w:hAnsi="Calibri" w:cs="Calibri"/>
      <w:color w:val="4D4D4D"/>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IPpolicy@dtf.vic.gov.au" TargetMode="External"/><Relationship Id="rId10" Type="http://schemas.openxmlformats.org/officeDocument/2006/relationships/webSettings" Target="webSettings.xml"/><Relationship Id="rId19" Type="http://schemas.openxmlformats.org/officeDocument/2006/relationships/hyperlink" Target="mailto:ippolicy@dtf.vic.gov.au?subject=IP%20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AF0E78FFD2547B93531676D4A23D2" ma:contentTypeVersion="4" ma:contentTypeDescription="Create a new document." ma:contentTypeScope="" ma:versionID="00f00d439b5d1c773235bdb188cee60c">
  <xsd:schema xmlns:xsd="http://www.w3.org/2001/XMLSchema" xmlns:xs="http://www.w3.org/2001/XMLSchema" xmlns:p="http://schemas.microsoft.com/office/2006/metadata/properties" xmlns:ns2="9b468c4b-c0b4-4915-9869-bfab5e36b819" xmlns:ns3="93127818-ac1c-49cc-bbf0-d07c6aa78e24" targetNamespace="http://schemas.microsoft.com/office/2006/metadata/properties" ma:root="true" ma:fieldsID="244351f65b5de2dbbd352b56ea60b48f" ns2:_="" ns3:_="">
    <xsd:import namespace="9b468c4b-c0b4-4915-9869-bfab5e36b819"/>
    <xsd:import namespace="93127818-ac1c-49cc-bbf0-d07c6aa78e24"/>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8c4b-c0b4-4915-9869-bfab5e36b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27818-ac1c-49cc-bbf0-d07c6aa78e2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3127818-ac1c-49cc-bbf0-d07c6aa78e24">D7TZXCSMP7H3-2063396267-31</_dlc_DocId>
    <_dlc_DocIdUrl xmlns="93127818-ac1c-49cc-bbf0-d07c6aa78e24">
      <Url>https://vicgov.sharepoint.com/sites/VG002352/_layouts/15/DocIdRedir.aspx?ID=D7TZXCSMP7H3-2063396267-31</Url>
      <Description>D7TZXCSMP7H3-2063396267-31</Description>
    </_dlc_DocIdUrl>
    <SharedWithUsers xmlns="93127818-ac1c-49cc-bbf0-d07c6aa78e24">
      <UserInfo>
        <DisplayName>Carlyn Wong (DJCS)</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5F197C4-8183-411C-8B59-76D27AE18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8c4b-c0b4-4915-9869-bfab5e36b819"/>
    <ds:schemaRef ds:uri="93127818-ac1c-49cc-bbf0-d07c6aa78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AB152-BBB2-462F-BF0F-B12D470FBA52}">
  <ds:schemaRefs>
    <ds:schemaRef ds:uri="http://schemas.microsoft.com/office/2006/metadata/properties"/>
    <ds:schemaRef ds:uri="http://schemas.microsoft.com/office/infopath/2007/PartnerControls"/>
    <ds:schemaRef ds:uri="93127818-ac1c-49cc-bbf0-d07c6aa78e24"/>
  </ds:schemaRefs>
</ds:datastoreItem>
</file>

<file path=customXml/itemProps3.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4.xml><?xml version="1.0" encoding="utf-8"?>
<ds:datastoreItem xmlns:ds="http://schemas.openxmlformats.org/officeDocument/2006/customXml" ds:itemID="{A74BB1DF-1DAF-4872-8288-3BE87044BC70}">
  <ds:schemaRefs>
    <ds:schemaRef ds:uri="http://schemas.microsoft.com/sharepoint/v3/contenttype/forms"/>
  </ds:schemaRefs>
</ds:datastoreItem>
</file>

<file path=customXml/itemProps5.xml><?xml version="1.0" encoding="utf-8"?>
<ds:datastoreItem xmlns:ds="http://schemas.openxmlformats.org/officeDocument/2006/customXml" ds:itemID="{1E5DDFDA-7A10-45EA-9035-4B26ADD2CB2E}">
  <ds:schemaRefs>
    <ds:schemaRef ds:uri="http://schemas.microsoft.com/sharepoint/events"/>
  </ds:schemaRefs>
</ds:datastoreItem>
</file>

<file path=customXml/itemProps6.xml><?xml version="1.0" encoding="utf-8"?>
<ds:datastoreItem xmlns:ds="http://schemas.openxmlformats.org/officeDocument/2006/customXml" ds:itemID="{FC7EE0FF-C205-4632-82F8-89534BB7591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Agreements with Copyright Agency and Screenrights</vt:lpstr>
    </vt:vector>
  </TitlesOfParts>
  <Manager/>
  <Company/>
  <LinksUpToDate>false</LinksUpToDate>
  <CharactersWithSpaces>7137</CharactersWithSpaces>
  <SharedDoc>false</SharedDoc>
  <HyperlinkBase/>
  <HLinks>
    <vt:vector size="6" baseType="variant">
      <vt:variant>
        <vt:i4>1900578</vt:i4>
      </vt:variant>
      <vt:variant>
        <vt:i4>0</vt:i4>
      </vt:variant>
      <vt:variant>
        <vt:i4>0</vt:i4>
      </vt:variant>
      <vt:variant>
        <vt:i4>5</vt:i4>
      </vt:variant>
      <vt:variant>
        <vt:lpwstr>mailto:ippolicy@dtf.vic.gov.au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Agreements with Copyright Agency and Screenrights</dc:title>
  <dc:subject/>
  <dc:creator>peter.gray@dtf.vic.gov.au</dc:creator>
  <cp:keywords/>
  <dc:description/>
  <cp:lastModifiedBy>Rebecca Cameron (DGS)</cp:lastModifiedBy>
  <cp:revision>3</cp:revision>
  <dcterms:created xsi:type="dcterms:W3CDTF">2023-06-19T06:11:00Z</dcterms:created>
  <dcterms:modified xsi:type="dcterms:W3CDTF">2023-06-20T00:13:00Z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5,13,6,7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0x0101006C6AF0E78FFD2547B93531676D4A23D2</vt:lpwstr>
  </property>
  <property fmtid="{D5CDD505-2E9C-101B-9397-08002B2CF9AE}" pid="6" name="_dlc_DocIdItemGuid">
    <vt:lpwstr>6c3819ff-8dc1-4cf4-a134-ccc96e347188</vt:lpwstr>
  </property>
  <property fmtid="{D5CDD505-2E9C-101B-9397-08002B2CF9AE}" pid="7" name="MSIP_Label_7158ebbd-6c5e-441f-bfc9-4eb8c11e3978_Enabled">
    <vt:lpwstr>true</vt:lpwstr>
  </property>
  <property fmtid="{D5CDD505-2E9C-101B-9397-08002B2CF9AE}" pid="8" name="MSIP_Label_7158ebbd-6c5e-441f-bfc9-4eb8c11e3978_SetDate">
    <vt:lpwstr>2023-06-20T00:13:45Z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143ce38d-a146-49e5-a101-b8ef64ed5718</vt:lpwstr>
  </property>
  <property fmtid="{D5CDD505-2E9C-101B-9397-08002B2CF9AE}" pid="13" name="MSIP_Label_7158ebbd-6c5e-441f-bfc9-4eb8c11e3978_ContentBits">
    <vt:lpwstr>2</vt:lpwstr>
  </property>
</Properties>
</file>