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8235" w14:textId="47F7A951" w:rsidR="00D54931" w:rsidRPr="00D54931" w:rsidRDefault="00D54931" w:rsidP="00D54931">
      <w:pPr>
        <w:pStyle w:val="TOC1"/>
        <w:jc w:val="center"/>
      </w:pPr>
      <w:r w:rsidRPr="00D54931">
        <w:t>Table of Contents</w:t>
      </w:r>
    </w:p>
    <w:p w14:paraId="7791818A" w14:textId="20009D74" w:rsidR="004C533B" w:rsidRDefault="00D54931">
      <w:pPr>
        <w:pStyle w:val="TOC1"/>
        <w:rPr>
          <w:rFonts w:eastAsiaTheme="minorEastAsia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\u \t "Heading 2,1" </w:instrText>
      </w:r>
      <w:r>
        <w:fldChar w:fldCharType="separate"/>
      </w:r>
      <w:hyperlink w:anchor="_Toc31729299" w:history="1">
        <w:r w:rsidR="004C533B" w:rsidRPr="00496012">
          <w:rPr>
            <w:rStyle w:val="Hyperlink"/>
          </w:rPr>
          <w:t>Removal of bonus opportunities from public entity executive contracts</w:t>
        </w:r>
        <w:r w:rsidR="004C533B">
          <w:rPr>
            <w:webHidden/>
          </w:rPr>
          <w:tab/>
        </w:r>
        <w:r w:rsidR="004C533B">
          <w:rPr>
            <w:webHidden/>
          </w:rPr>
          <w:fldChar w:fldCharType="begin"/>
        </w:r>
        <w:r w:rsidR="004C533B">
          <w:rPr>
            <w:webHidden/>
          </w:rPr>
          <w:instrText xml:space="preserve"> PAGEREF _Toc31729299 \h </w:instrText>
        </w:r>
        <w:r w:rsidR="004C533B">
          <w:rPr>
            <w:webHidden/>
          </w:rPr>
        </w:r>
        <w:r w:rsidR="004C533B">
          <w:rPr>
            <w:webHidden/>
          </w:rPr>
          <w:fldChar w:fldCharType="separate"/>
        </w:r>
        <w:r w:rsidR="004C533B">
          <w:rPr>
            <w:webHidden/>
          </w:rPr>
          <w:t>2</w:t>
        </w:r>
        <w:r w:rsidR="004C533B">
          <w:rPr>
            <w:webHidden/>
          </w:rPr>
          <w:fldChar w:fldCharType="end"/>
        </w:r>
      </w:hyperlink>
    </w:p>
    <w:p w14:paraId="2423898A" w14:textId="0187E0AE" w:rsidR="004C533B" w:rsidRDefault="003400F7">
      <w:pPr>
        <w:pStyle w:val="TOC1"/>
        <w:rPr>
          <w:rFonts w:eastAsiaTheme="minorEastAsia" w:cstheme="minorBidi"/>
          <w:b w:val="0"/>
          <w:sz w:val="22"/>
          <w:szCs w:val="22"/>
          <w:lang w:eastAsia="en-AU"/>
        </w:rPr>
      </w:pPr>
      <w:hyperlink w:anchor="_Toc31729300" w:history="1">
        <w:r w:rsidR="004C533B" w:rsidRPr="00496012">
          <w:rPr>
            <w:rStyle w:val="Hyperlink"/>
          </w:rPr>
          <w:t>What do public entities need to do?</w:t>
        </w:r>
        <w:r w:rsidR="004C533B">
          <w:rPr>
            <w:webHidden/>
          </w:rPr>
          <w:tab/>
        </w:r>
        <w:r w:rsidR="004C533B">
          <w:rPr>
            <w:webHidden/>
          </w:rPr>
          <w:fldChar w:fldCharType="begin"/>
        </w:r>
        <w:r w:rsidR="004C533B">
          <w:rPr>
            <w:webHidden/>
          </w:rPr>
          <w:instrText xml:space="preserve"> PAGEREF _Toc31729300 \h </w:instrText>
        </w:r>
        <w:r w:rsidR="004C533B">
          <w:rPr>
            <w:webHidden/>
          </w:rPr>
        </w:r>
        <w:r w:rsidR="004C533B">
          <w:rPr>
            <w:webHidden/>
          </w:rPr>
          <w:fldChar w:fldCharType="separate"/>
        </w:r>
        <w:r w:rsidR="004C533B">
          <w:rPr>
            <w:webHidden/>
          </w:rPr>
          <w:t>3</w:t>
        </w:r>
        <w:r w:rsidR="004C533B">
          <w:rPr>
            <w:webHidden/>
          </w:rPr>
          <w:fldChar w:fldCharType="end"/>
        </w:r>
      </w:hyperlink>
    </w:p>
    <w:p w14:paraId="02603719" w14:textId="3CA8A8E6" w:rsidR="004C533B" w:rsidRDefault="003400F7">
      <w:pPr>
        <w:pStyle w:val="TOC1"/>
        <w:rPr>
          <w:rFonts w:eastAsiaTheme="minorEastAsia" w:cstheme="minorBidi"/>
          <w:b w:val="0"/>
          <w:sz w:val="22"/>
          <w:szCs w:val="22"/>
          <w:lang w:eastAsia="en-AU"/>
        </w:rPr>
      </w:pPr>
      <w:hyperlink w:anchor="_Toc31729301" w:history="1">
        <w:r w:rsidR="004C533B" w:rsidRPr="00496012">
          <w:rPr>
            <w:rStyle w:val="Hyperlink"/>
          </w:rPr>
          <w:t>What do public entity executives need to do?</w:t>
        </w:r>
        <w:r w:rsidR="004C533B">
          <w:rPr>
            <w:webHidden/>
          </w:rPr>
          <w:tab/>
        </w:r>
        <w:r w:rsidR="004C533B">
          <w:rPr>
            <w:webHidden/>
          </w:rPr>
          <w:fldChar w:fldCharType="begin"/>
        </w:r>
        <w:r w:rsidR="004C533B">
          <w:rPr>
            <w:webHidden/>
          </w:rPr>
          <w:instrText xml:space="preserve"> PAGEREF _Toc31729301 \h </w:instrText>
        </w:r>
        <w:r w:rsidR="004C533B">
          <w:rPr>
            <w:webHidden/>
          </w:rPr>
        </w:r>
        <w:r w:rsidR="004C533B">
          <w:rPr>
            <w:webHidden/>
          </w:rPr>
          <w:fldChar w:fldCharType="separate"/>
        </w:r>
        <w:r w:rsidR="004C533B">
          <w:rPr>
            <w:webHidden/>
          </w:rPr>
          <w:t>3</w:t>
        </w:r>
        <w:r w:rsidR="004C533B">
          <w:rPr>
            <w:webHidden/>
          </w:rPr>
          <w:fldChar w:fldCharType="end"/>
        </w:r>
      </w:hyperlink>
    </w:p>
    <w:p w14:paraId="402E63E4" w14:textId="482932F9" w:rsidR="004C533B" w:rsidRDefault="003400F7">
      <w:pPr>
        <w:pStyle w:val="TOC1"/>
        <w:rPr>
          <w:rFonts w:eastAsiaTheme="minorEastAsia" w:cstheme="minorBidi"/>
          <w:b w:val="0"/>
          <w:sz w:val="22"/>
          <w:szCs w:val="22"/>
          <w:lang w:eastAsia="en-AU"/>
        </w:rPr>
      </w:pPr>
      <w:hyperlink w:anchor="_Toc31729302" w:history="1">
        <w:r w:rsidR="004C533B" w:rsidRPr="00496012">
          <w:rPr>
            <w:rStyle w:val="Hyperlink"/>
          </w:rPr>
          <w:t>How is the offer calculated?</w:t>
        </w:r>
        <w:r w:rsidR="004C533B">
          <w:rPr>
            <w:webHidden/>
          </w:rPr>
          <w:tab/>
        </w:r>
        <w:r w:rsidR="004C533B">
          <w:rPr>
            <w:webHidden/>
          </w:rPr>
          <w:fldChar w:fldCharType="begin"/>
        </w:r>
        <w:r w:rsidR="004C533B">
          <w:rPr>
            <w:webHidden/>
          </w:rPr>
          <w:instrText xml:space="preserve"> PAGEREF _Toc31729302 \h </w:instrText>
        </w:r>
        <w:r w:rsidR="004C533B">
          <w:rPr>
            <w:webHidden/>
          </w:rPr>
        </w:r>
        <w:r w:rsidR="004C533B">
          <w:rPr>
            <w:webHidden/>
          </w:rPr>
          <w:fldChar w:fldCharType="separate"/>
        </w:r>
        <w:r w:rsidR="004C533B">
          <w:rPr>
            <w:webHidden/>
          </w:rPr>
          <w:t>4</w:t>
        </w:r>
        <w:r w:rsidR="004C533B">
          <w:rPr>
            <w:webHidden/>
          </w:rPr>
          <w:fldChar w:fldCharType="end"/>
        </w:r>
      </w:hyperlink>
    </w:p>
    <w:p w14:paraId="49C4B84E" w14:textId="7DDBE29C" w:rsidR="00595C39" w:rsidRDefault="00D54931" w:rsidP="00FB546B">
      <w:pPr>
        <w:pStyle w:val="DPCbody"/>
      </w:pPr>
      <w:r>
        <w:fldChar w:fldCharType="end"/>
      </w:r>
    </w:p>
    <w:p w14:paraId="06DD28FD" w14:textId="6DBC425E" w:rsidR="00595C39" w:rsidRDefault="00595C39" w:rsidP="00FB546B">
      <w:pPr>
        <w:pStyle w:val="DPCbody"/>
      </w:pPr>
    </w:p>
    <w:p w14:paraId="02B6D01B" w14:textId="6A4B1119" w:rsidR="00595C39" w:rsidRDefault="00595C39" w:rsidP="00FB546B">
      <w:pPr>
        <w:pStyle w:val="DPCbody"/>
      </w:pPr>
    </w:p>
    <w:p w14:paraId="350AFBEB" w14:textId="5CDBDD26" w:rsidR="00595C39" w:rsidRDefault="00595C39" w:rsidP="00FB546B">
      <w:pPr>
        <w:pStyle w:val="DPCbody"/>
      </w:pPr>
    </w:p>
    <w:p w14:paraId="5D6BEA00" w14:textId="77777777" w:rsidR="00595C39" w:rsidRDefault="00595C39">
      <w:pPr>
        <w:rPr>
          <w:rFonts w:asciiTheme="minorHAnsi" w:eastAsia="Times" w:hAnsiTheme="minorHAnsi" w:cs="Arial"/>
          <w:color w:val="000000" w:themeColor="text1"/>
          <w:sz w:val="22"/>
          <w:szCs w:val="22"/>
        </w:rPr>
      </w:pPr>
      <w:r>
        <w:br w:type="page"/>
      </w:r>
    </w:p>
    <w:p w14:paraId="489A78B7" w14:textId="48E9AEDC" w:rsidR="00D54931" w:rsidRDefault="00D54931" w:rsidP="00D54931">
      <w:pPr>
        <w:pStyle w:val="Heading2"/>
      </w:pPr>
      <w:bookmarkStart w:id="0" w:name="_Toc31729299"/>
      <w:r>
        <w:lastRenderedPageBreak/>
        <w:t>Removal of bonus opportunities from public entity executive contracts</w:t>
      </w:r>
      <w:bookmarkEnd w:id="0"/>
    </w:p>
    <w:p w14:paraId="0EFFA929" w14:textId="5ACAA126" w:rsidR="00FB546B" w:rsidRDefault="00FB546B" w:rsidP="00FB546B">
      <w:pPr>
        <w:pStyle w:val="DPCbody"/>
      </w:pPr>
      <w:r>
        <w:t>Executives</w:t>
      </w:r>
      <w:r w:rsidR="0066478D">
        <w:t xml:space="preserve"> in Victorian public entities</w:t>
      </w:r>
      <w:r>
        <w:t xml:space="preserve"> play a leading </w:t>
      </w:r>
      <w:r w:rsidR="0066478D">
        <w:t xml:space="preserve">role in </w:t>
      </w:r>
      <w:r>
        <w:t>support</w:t>
      </w:r>
      <w:r w:rsidR="0066478D">
        <w:t>ing</w:t>
      </w:r>
      <w:r>
        <w:t xml:space="preserve"> delivery of high-quality services </w:t>
      </w:r>
      <w:r w:rsidR="00983AAC">
        <w:t xml:space="preserve">for </w:t>
      </w:r>
      <w:r>
        <w:t xml:space="preserve">all Victorians. To attract and retain </w:t>
      </w:r>
      <w:r w:rsidR="0066478D">
        <w:t>high</w:t>
      </w:r>
      <w:r w:rsidR="005F6A75">
        <w:t>-performing</w:t>
      </w:r>
      <w:r w:rsidR="0066478D">
        <w:t xml:space="preserve"> leaders</w:t>
      </w:r>
      <w:r>
        <w:t xml:space="preserve">, employment arrangements should reflect </w:t>
      </w:r>
      <w:r w:rsidR="0066478D">
        <w:t>b</w:t>
      </w:r>
      <w:r>
        <w:t>est practice.</w:t>
      </w:r>
    </w:p>
    <w:p w14:paraId="010944DE" w14:textId="00A41629" w:rsidR="00FB546B" w:rsidRDefault="005F6A75" w:rsidP="00FB546B">
      <w:pPr>
        <w:pStyle w:val="DPCbody"/>
      </w:pPr>
      <w:r>
        <w:t xml:space="preserve">In its </w:t>
      </w:r>
      <w:r w:rsidR="00FB546B">
        <w:t xml:space="preserve">review of executive workforce arrangements in public entities, the Victorian Public Sector Commission (VPSC) </w:t>
      </w:r>
      <w:r w:rsidR="0066478D">
        <w:t>recommended phas</w:t>
      </w:r>
      <w:r w:rsidR="00A2578C">
        <w:t>ing</w:t>
      </w:r>
      <w:r w:rsidR="00983AAC">
        <w:t xml:space="preserve"> </w:t>
      </w:r>
      <w:r w:rsidR="0066478D">
        <w:t xml:space="preserve">out </w:t>
      </w:r>
      <w:r w:rsidR="00FB546B">
        <w:t>bonus opportunities</w:t>
      </w:r>
      <w:r w:rsidR="00CE3181">
        <w:t xml:space="preserve">. The review found that there </w:t>
      </w:r>
      <w:proofErr w:type="gramStart"/>
      <w:r w:rsidR="00CE3181">
        <w:t>is</w:t>
      </w:r>
      <w:proofErr w:type="gramEnd"/>
      <w:r w:rsidR="00CE3181">
        <w:t xml:space="preserve"> little </w:t>
      </w:r>
      <w:r w:rsidR="0066478D">
        <w:t xml:space="preserve">evidence </w:t>
      </w:r>
      <w:r w:rsidR="00CE3181">
        <w:t xml:space="preserve">bonuses </w:t>
      </w:r>
      <w:r w:rsidR="0066478D">
        <w:t xml:space="preserve">are </w:t>
      </w:r>
      <w:r w:rsidR="00FB546B">
        <w:t>linked to higher performance</w:t>
      </w:r>
      <w:r w:rsidR="00CE3181">
        <w:t xml:space="preserve">. </w:t>
      </w:r>
    </w:p>
    <w:p w14:paraId="5BA3AA40" w14:textId="7EF302BA" w:rsidR="00FB546B" w:rsidRPr="00E743B7" w:rsidRDefault="00CE3181" w:rsidP="00FB546B">
      <w:pPr>
        <w:pStyle w:val="DPCbody"/>
      </w:pPr>
      <w:r>
        <w:t>T</w:t>
      </w:r>
      <w:r w:rsidR="00FB546B">
        <w:t xml:space="preserve">he Premier </w:t>
      </w:r>
      <w:r w:rsidR="004C533B">
        <w:t xml:space="preserve">has now </w:t>
      </w:r>
      <w:r w:rsidR="00FB546B">
        <w:t xml:space="preserve">approved the removal of bonus opportunities from public entity executive remuneration arrangements. </w:t>
      </w:r>
      <w:r>
        <w:t xml:space="preserve">This recommendation will also better align remuneration arrangements with the Victorian Public Service. </w:t>
      </w:r>
      <w:r w:rsidR="00FB546B">
        <w:t>This is reflected in the updated</w:t>
      </w:r>
      <w:r w:rsidR="00FB546B" w:rsidRPr="005835D0">
        <w:t xml:space="preserve"> </w:t>
      </w:r>
      <w:r w:rsidR="00FB546B" w:rsidRPr="00D54931">
        <w:rPr>
          <w:i/>
        </w:rPr>
        <w:t>Victorian Government Public Entity Executive Remuneration Polic</w:t>
      </w:r>
      <w:r w:rsidR="00D54931">
        <w:rPr>
          <w:i/>
        </w:rPr>
        <w:t>y</w:t>
      </w:r>
      <w:r w:rsidR="005F6A75">
        <w:t xml:space="preserve"> (</w:t>
      </w:r>
      <w:r w:rsidR="00A2578C">
        <w:t>P</w:t>
      </w:r>
      <w:r w:rsidR="005F6A75">
        <w:t>olicy)</w:t>
      </w:r>
      <w:r w:rsidR="00D54931">
        <w:t xml:space="preserve"> published on 4 February 2020</w:t>
      </w:r>
      <w:r w:rsidR="005F6A75">
        <w:t>.</w:t>
      </w:r>
      <w:r w:rsidR="00FB546B">
        <w:t xml:space="preserve"> </w:t>
      </w:r>
    </w:p>
    <w:p w14:paraId="30C73C88" w14:textId="74B98AEA" w:rsidR="00FB546B" w:rsidRDefault="00FB546B" w:rsidP="00FB546B">
      <w:pPr>
        <w:pStyle w:val="DPCbody"/>
      </w:pPr>
      <w:bookmarkStart w:id="1" w:name="_Hlk2330574"/>
      <w:r>
        <w:t xml:space="preserve">In summary, the </w:t>
      </w:r>
      <w:r w:rsidR="00A2578C">
        <w:t>P</w:t>
      </w:r>
      <w:r>
        <w:t>olicy requires that:</w:t>
      </w:r>
    </w:p>
    <w:p w14:paraId="666A0632" w14:textId="273627F0" w:rsidR="00FB546B" w:rsidRDefault="00FB546B" w:rsidP="00FB546B">
      <w:pPr>
        <w:pStyle w:val="DPCbody"/>
        <w:numPr>
          <w:ilvl w:val="0"/>
          <w:numId w:val="8"/>
        </w:numPr>
      </w:pPr>
      <w:r>
        <w:t xml:space="preserve">all new contracts </w:t>
      </w:r>
      <w:r w:rsidR="001666DD">
        <w:t xml:space="preserve">— both new appointments and re-appointments — </w:t>
      </w:r>
      <w:r>
        <w:t xml:space="preserve">for public entity executives </w:t>
      </w:r>
      <w:proofErr w:type="gramStart"/>
      <w:r>
        <w:t>entered into</w:t>
      </w:r>
      <w:proofErr w:type="gramEnd"/>
      <w:r>
        <w:t xml:space="preserve"> on or after </w:t>
      </w:r>
      <w:r w:rsidR="00D54931">
        <w:t xml:space="preserve">4 February 2020 </w:t>
      </w:r>
      <w:r>
        <w:t xml:space="preserve">must not include a bonus opportunity </w:t>
      </w:r>
    </w:p>
    <w:p w14:paraId="0C7C8F5F" w14:textId="63A6DBA8" w:rsidR="00FB546B" w:rsidRDefault="00FB546B" w:rsidP="00FB546B">
      <w:pPr>
        <w:pStyle w:val="DPCbody"/>
        <w:numPr>
          <w:ilvl w:val="0"/>
          <w:numId w:val="8"/>
        </w:numPr>
      </w:pPr>
      <w:r>
        <w:t xml:space="preserve">for each existing public entity executive who has a bonus opportunity specified in their current contract, the employer </w:t>
      </w:r>
      <w:r w:rsidR="00983AAC">
        <w:t xml:space="preserve">may </w:t>
      </w:r>
      <w:r>
        <w:t>make a bonus buy-out offer that represents a once-off increase to the total remuneration package (TRP)</w:t>
      </w:r>
      <w:r w:rsidRPr="00CC4416">
        <w:t xml:space="preserve"> </w:t>
      </w:r>
      <w:r>
        <w:t xml:space="preserve">of the executive in exchange for removal of the bonus opportunity from the current contract. These offers must be made by </w:t>
      </w:r>
      <w:r w:rsidR="00D54931">
        <w:t>1 May 2020</w:t>
      </w:r>
      <w:r>
        <w:t xml:space="preserve"> and implemented by </w:t>
      </w:r>
      <w:r w:rsidR="00D54931">
        <w:t>30 June 2020 (the end of the current financial year)</w:t>
      </w:r>
      <w:r w:rsidR="009434FD">
        <w:t xml:space="preserve">. </w:t>
      </w:r>
    </w:p>
    <w:p w14:paraId="29F315E0" w14:textId="57789A0C" w:rsidR="00983AAC" w:rsidRDefault="00983AAC" w:rsidP="00983AAC">
      <w:pPr>
        <w:pStyle w:val="DPCbody"/>
      </w:pPr>
      <w:r>
        <w:t>Eligible executives are those executives in the public entity who have a provision for a bonus opportunity in their current contract.</w:t>
      </w:r>
    </w:p>
    <w:p w14:paraId="48BAAE87" w14:textId="66943256" w:rsidR="00390501" w:rsidRDefault="00390501" w:rsidP="00983AAC">
      <w:pPr>
        <w:pStyle w:val="DPCbody"/>
      </w:pPr>
      <w:r>
        <w:t xml:space="preserve">The Policy does not apply to existing executives who do not have a bonus opportunity provision in their current contract. </w:t>
      </w:r>
    </w:p>
    <w:p w14:paraId="2194F5DF" w14:textId="75F3050D" w:rsidR="00FB546B" w:rsidRDefault="00FB546B" w:rsidP="00FB546B">
      <w:pPr>
        <w:pStyle w:val="DPCbody"/>
      </w:pPr>
      <w:r>
        <w:t xml:space="preserve">While there are no restrictions on minimum bonus buy-out offers, caps apply to maximum offers that may be made. The maximum buy-out offer </w:t>
      </w:r>
      <w:r w:rsidR="009C72FE">
        <w:t xml:space="preserve">(individual cap) </w:t>
      </w:r>
      <w:r w:rsidR="007D41F3">
        <w:t>is</w:t>
      </w:r>
      <w:r>
        <w:t xml:space="preserve"> </w:t>
      </w:r>
      <w:r w:rsidR="007D41F3">
        <w:t xml:space="preserve">the </w:t>
      </w:r>
      <w:r w:rsidR="007D41F3" w:rsidRPr="00BA6D7B">
        <w:rPr>
          <w:b/>
          <w:i/>
        </w:rPr>
        <w:t xml:space="preserve">lower </w:t>
      </w:r>
      <w:r w:rsidR="007D41F3">
        <w:t>of</w:t>
      </w:r>
      <w:r>
        <w:t>:</w:t>
      </w:r>
    </w:p>
    <w:p w14:paraId="54BBD593" w14:textId="08E0F2D5" w:rsidR="007D41F3" w:rsidRDefault="00FB546B" w:rsidP="00FB546B">
      <w:pPr>
        <w:pStyle w:val="DPCbody"/>
        <w:numPr>
          <w:ilvl w:val="0"/>
          <w:numId w:val="9"/>
        </w:numPr>
      </w:pPr>
      <w:r>
        <w:t>the average percentage bonus rate received by the executive</w:t>
      </w:r>
      <w:r w:rsidR="000B4A02">
        <w:t>,</w:t>
      </w:r>
      <w:r>
        <w:t xml:space="preserve"> in their current role</w:t>
      </w:r>
      <w:r w:rsidR="000B4A02">
        <w:t>,</w:t>
      </w:r>
      <w:r>
        <w:t xml:space="preserve"> over the financial years</w:t>
      </w:r>
      <w:r w:rsidR="009434FD">
        <w:t xml:space="preserve"> </w:t>
      </w:r>
      <w:r>
        <w:t>2016-17</w:t>
      </w:r>
      <w:r w:rsidR="009434FD">
        <w:t>,</w:t>
      </w:r>
      <w:r>
        <w:t xml:space="preserve"> 2017-18</w:t>
      </w:r>
      <w:r w:rsidR="009434FD">
        <w:t xml:space="preserve"> and 2018-19</w:t>
      </w:r>
      <w:r>
        <w:t xml:space="preserve"> (excluding years when the executive was not eligible for a bonus)</w:t>
      </w:r>
      <w:r w:rsidR="00AE1D7D">
        <w:t>;</w:t>
      </w:r>
      <w:r>
        <w:t xml:space="preserve"> </w:t>
      </w:r>
      <w:r w:rsidRPr="00BA6D7B">
        <w:rPr>
          <w:i/>
        </w:rPr>
        <w:t>or</w:t>
      </w:r>
      <w:r w:rsidRPr="00BA6D7B">
        <w:t xml:space="preserve"> </w:t>
      </w:r>
    </w:p>
    <w:p w14:paraId="6AA934FD" w14:textId="74225D95" w:rsidR="00FB546B" w:rsidRDefault="00FB546B" w:rsidP="00FB546B">
      <w:pPr>
        <w:pStyle w:val="DPCbody"/>
        <w:numPr>
          <w:ilvl w:val="0"/>
          <w:numId w:val="9"/>
        </w:numPr>
      </w:pPr>
      <w:r>
        <w:t>10 per cent</w:t>
      </w:r>
      <w:r w:rsidR="009C72FE">
        <w:t xml:space="preserve"> of their TRP, as at</w:t>
      </w:r>
      <w:r w:rsidR="00D54931">
        <w:t xml:space="preserve"> 3 February 2020 (immediately prior to the Policy being re</w:t>
      </w:r>
      <w:r w:rsidR="00006CBB">
        <w:t>-issued)</w:t>
      </w:r>
      <w:r w:rsidR="009C72FE">
        <w:t>.</w:t>
      </w:r>
    </w:p>
    <w:p w14:paraId="7862CAF6" w14:textId="45FFA7C7" w:rsidR="00FB546B" w:rsidRDefault="00FB546B" w:rsidP="00FB546B">
      <w:pPr>
        <w:pStyle w:val="DPCbody"/>
      </w:pPr>
      <w:r>
        <w:t xml:space="preserve">In addition, </w:t>
      </w:r>
      <w:r w:rsidR="0027714B">
        <w:t xml:space="preserve">for each public entity, </w:t>
      </w:r>
      <w:r w:rsidR="002168C3">
        <w:t xml:space="preserve">the </w:t>
      </w:r>
      <w:r w:rsidRPr="005211CB">
        <w:t xml:space="preserve">total sum of all bonus buy-out offers made to </w:t>
      </w:r>
      <w:r w:rsidR="0027714B">
        <w:t>all its</w:t>
      </w:r>
      <w:r w:rsidRPr="005211CB">
        <w:t xml:space="preserve"> </w:t>
      </w:r>
      <w:r w:rsidR="0027714B">
        <w:t xml:space="preserve">eligible </w:t>
      </w:r>
      <w:r w:rsidRPr="005211CB">
        <w:t xml:space="preserve">executives must be no </w:t>
      </w:r>
      <w:r w:rsidR="009C29D6">
        <w:t xml:space="preserve">more </w:t>
      </w:r>
      <w:r w:rsidRPr="005211CB">
        <w:t xml:space="preserve">than 8 per cent of the combined value of the TRPs of </w:t>
      </w:r>
      <w:r w:rsidR="0027714B">
        <w:t>thos</w:t>
      </w:r>
      <w:r w:rsidRPr="005211CB">
        <w:t>e executives, as at</w:t>
      </w:r>
      <w:r w:rsidR="00006CBB">
        <w:t xml:space="preserve"> 3 February 2020</w:t>
      </w:r>
      <w:r w:rsidRPr="005211CB">
        <w:t xml:space="preserve"> (</w:t>
      </w:r>
      <w:r w:rsidR="0027714B">
        <w:t>this is called the</w:t>
      </w:r>
      <w:r w:rsidR="002C0A61">
        <w:t xml:space="preserve"> </w:t>
      </w:r>
      <w:r w:rsidRPr="002C0A61">
        <w:rPr>
          <w:i/>
        </w:rPr>
        <w:t>entity pool cap</w:t>
      </w:r>
      <w:r w:rsidRPr="005211CB">
        <w:t>).</w:t>
      </w:r>
    </w:p>
    <w:p w14:paraId="1D925458" w14:textId="77777777" w:rsidR="00390501" w:rsidRDefault="00390501" w:rsidP="00390501">
      <w:pPr>
        <w:pStyle w:val="DPCbody"/>
      </w:pPr>
      <w:r>
        <w:t xml:space="preserve">For eligible executives with contracts that commenced on or after 1 July 2019, the individual cap is the </w:t>
      </w:r>
      <w:r w:rsidRPr="00AA6112">
        <w:rPr>
          <w:b/>
          <w:i/>
        </w:rPr>
        <w:t>lower</w:t>
      </w:r>
      <w:r>
        <w:t xml:space="preserve"> of the maximum bonus opportunity specified in the current contract or 10 per cent of their TRP, as at 3 February 2020. </w:t>
      </w:r>
    </w:p>
    <w:p w14:paraId="7BD460CB" w14:textId="77777777" w:rsidR="00390501" w:rsidRDefault="00390501" w:rsidP="00FB546B">
      <w:pPr>
        <w:pStyle w:val="DPCbody"/>
      </w:pPr>
    </w:p>
    <w:p w14:paraId="54D5C140" w14:textId="027E3E00" w:rsidR="00FB546B" w:rsidRDefault="00A2578C" w:rsidP="00FB546B">
      <w:pPr>
        <w:pStyle w:val="DPCbody"/>
      </w:pPr>
      <w:r w:rsidRPr="009434FD">
        <w:lastRenderedPageBreak/>
        <w:t xml:space="preserve">All </w:t>
      </w:r>
      <w:r w:rsidR="00FB546B" w:rsidRPr="009434FD">
        <w:t>public entities</w:t>
      </w:r>
      <w:r w:rsidRPr="009434FD">
        <w:t xml:space="preserve"> listed in </w:t>
      </w:r>
      <w:r w:rsidR="00FB546B" w:rsidRPr="009434FD">
        <w:t xml:space="preserve">the </w:t>
      </w:r>
      <w:r w:rsidRPr="009434FD">
        <w:t>P</w:t>
      </w:r>
      <w:r w:rsidR="00FB546B" w:rsidRPr="009434FD">
        <w:t>olicy</w:t>
      </w:r>
      <w:r>
        <w:t xml:space="preserve"> are subject to the requirement to phase</w:t>
      </w:r>
      <w:r w:rsidR="00DD2468">
        <w:t xml:space="preserve"> </w:t>
      </w:r>
      <w:r>
        <w:t>out bonuses</w:t>
      </w:r>
      <w:r w:rsidR="002C0A61">
        <w:t xml:space="preserve"> in executive contracts</w:t>
      </w:r>
      <w:r w:rsidR="00FB546B">
        <w:t xml:space="preserve">. </w:t>
      </w:r>
    </w:p>
    <w:p w14:paraId="0B05FFD0" w14:textId="30250870" w:rsidR="002A3ABD" w:rsidRDefault="002A3ABD" w:rsidP="00D54931">
      <w:pPr>
        <w:pStyle w:val="Heading2"/>
      </w:pPr>
      <w:bookmarkStart w:id="2" w:name="_Toc31729300"/>
      <w:bookmarkStart w:id="3" w:name="_Hlk2348715"/>
      <w:bookmarkEnd w:id="1"/>
      <w:r>
        <w:t xml:space="preserve">What do </w:t>
      </w:r>
      <w:r w:rsidR="00C659CB">
        <w:t>public entities</w:t>
      </w:r>
      <w:r>
        <w:t xml:space="preserve"> need to do?</w:t>
      </w:r>
      <w:bookmarkEnd w:id="2"/>
    </w:p>
    <w:bookmarkEnd w:id="3"/>
    <w:p w14:paraId="2E1BBFF4" w14:textId="57F38C01" w:rsidR="00D26CE9" w:rsidRDefault="00B53530" w:rsidP="002A3ABD">
      <w:pPr>
        <w:pStyle w:val="DPCbody"/>
      </w:pPr>
      <w:r>
        <w:t>Public entities must ensure that a</w:t>
      </w:r>
      <w:r w:rsidR="00D26CE9">
        <w:t xml:space="preserve">ll new contracts for executives </w:t>
      </w:r>
      <w:proofErr w:type="gramStart"/>
      <w:r w:rsidR="00D26CE9">
        <w:t>entered into</w:t>
      </w:r>
      <w:proofErr w:type="gramEnd"/>
      <w:r w:rsidR="00D26CE9">
        <w:t xml:space="preserve"> on or after</w:t>
      </w:r>
      <w:r w:rsidR="00006CBB">
        <w:t xml:space="preserve"> 4 February 2020</w:t>
      </w:r>
      <w:r w:rsidR="009434FD">
        <w:t xml:space="preserve"> </w:t>
      </w:r>
      <w:r>
        <w:t xml:space="preserve">do </w:t>
      </w:r>
      <w:r w:rsidRPr="00B53530">
        <w:rPr>
          <w:b/>
        </w:rPr>
        <w:t xml:space="preserve">not </w:t>
      </w:r>
      <w:r>
        <w:t xml:space="preserve">contain provision for a bonus opportunity. This requirement applies to </w:t>
      </w:r>
      <w:r w:rsidR="00707D18">
        <w:t xml:space="preserve">both new </w:t>
      </w:r>
      <w:r>
        <w:t xml:space="preserve">appointments </w:t>
      </w:r>
      <w:r w:rsidR="00707D18">
        <w:t xml:space="preserve">and re-appointments </w:t>
      </w:r>
      <w:r>
        <w:t xml:space="preserve">of executives in public entities from </w:t>
      </w:r>
      <w:r w:rsidR="00006CBB">
        <w:t>4 February 2020</w:t>
      </w:r>
      <w:r>
        <w:t>.</w:t>
      </w:r>
    </w:p>
    <w:p w14:paraId="0801A309" w14:textId="4BBC949A" w:rsidR="004454A8" w:rsidRDefault="00815C9F" w:rsidP="002A3ABD">
      <w:pPr>
        <w:pStyle w:val="DPCbody"/>
      </w:pPr>
      <w:r>
        <w:t xml:space="preserve">Where an employer elects to make a </w:t>
      </w:r>
      <w:r w:rsidR="00F70D95">
        <w:t>bonus buy-out offer</w:t>
      </w:r>
      <w:r>
        <w:t xml:space="preserve">, that offer must be made </w:t>
      </w:r>
      <w:r w:rsidR="00390501">
        <w:t xml:space="preserve">to eligible executives </w:t>
      </w:r>
      <w:r w:rsidR="002A3ABD" w:rsidRPr="00586FDE">
        <w:t>by</w:t>
      </w:r>
      <w:r w:rsidR="00006CBB">
        <w:t xml:space="preserve"> 1 May 2020</w:t>
      </w:r>
      <w:r w:rsidR="002A3ABD" w:rsidRPr="0071730C">
        <w:t>,</w:t>
      </w:r>
      <w:r w:rsidR="00F70D95">
        <w:t xml:space="preserve"> with the decision </w:t>
      </w:r>
      <w:r w:rsidR="00E06B4E">
        <w:t xml:space="preserve">on the offer </w:t>
      </w:r>
      <w:r w:rsidR="00F70D95">
        <w:t xml:space="preserve">to be implemented </w:t>
      </w:r>
      <w:r w:rsidR="005835D0" w:rsidRPr="00586FDE">
        <w:t xml:space="preserve">by </w:t>
      </w:r>
      <w:r w:rsidR="00006CBB">
        <w:t>30 June 2020</w:t>
      </w:r>
      <w:r w:rsidR="005835D0" w:rsidRPr="00586FDE">
        <w:t>.</w:t>
      </w:r>
      <w:r w:rsidR="001D4079" w:rsidRPr="001D4079">
        <w:t xml:space="preserve"> </w:t>
      </w:r>
      <w:r w:rsidR="001D4079">
        <w:t>Buy-out offers should be made in writing</w:t>
      </w:r>
      <w:r w:rsidR="00D9037B">
        <w:t>.</w:t>
      </w:r>
    </w:p>
    <w:p w14:paraId="003373E2" w14:textId="2BB425FA" w:rsidR="002A3ABD" w:rsidRDefault="004454A8" w:rsidP="002A3ABD">
      <w:pPr>
        <w:pStyle w:val="DPCbody"/>
      </w:pPr>
      <w:r>
        <w:t xml:space="preserve">Provided they are within the </w:t>
      </w:r>
      <w:r w:rsidR="00815C9F">
        <w:t xml:space="preserve">individual cap and the entity pool </w:t>
      </w:r>
      <w:r>
        <w:t>cap, public entities are free to choose the level of bonus buy-out offer made to each executive (including zero if they wish to do so). However, p</w:t>
      </w:r>
      <w:r w:rsidRPr="006B34E6">
        <w:t xml:space="preserve">ublic entities should ensure that offers are consistent with any </w:t>
      </w:r>
      <w:r w:rsidR="00CE3181">
        <w:t>contractual or legal requirements for approval that may apply</w:t>
      </w:r>
      <w:r>
        <w:t xml:space="preserve">. Public entities should also refer to the </w:t>
      </w:r>
      <w:r w:rsidRPr="00006CBB">
        <w:t>principles</w:t>
      </w:r>
      <w:r>
        <w:t xml:space="preserve"> for setting executive remuneration in the Policy when deter</w:t>
      </w:r>
      <w:bookmarkStart w:id="4" w:name="_GoBack"/>
      <w:bookmarkEnd w:id="4"/>
      <w:r>
        <w:t>mining buy-out offers (Part 5 of the Policy).</w:t>
      </w:r>
    </w:p>
    <w:p w14:paraId="53E39845" w14:textId="23CAC6B5" w:rsidR="004454A8" w:rsidRDefault="004454A8" w:rsidP="002A3ABD">
      <w:pPr>
        <w:pStyle w:val="DPCbody"/>
      </w:pPr>
      <w:r>
        <w:t xml:space="preserve">If offers are consistent with the Policy, prior approval from VIRT is not required to make bonus buy-out offers to executives. This includes in cases that may potentially breach </w:t>
      </w:r>
      <w:r w:rsidRPr="00006CBB">
        <w:t>the ‘70/80 rule’ if the</w:t>
      </w:r>
      <w:r>
        <w:t xml:space="preserve"> breach would arise solely due to implementing the bonus buy-out offers.</w:t>
      </w:r>
    </w:p>
    <w:p w14:paraId="3535CF64" w14:textId="3921A33D" w:rsidR="009D1E89" w:rsidRDefault="009D1E89" w:rsidP="002A3ABD">
      <w:pPr>
        <w:pStyle w:val="DPCbody"/>
      </w:pPr>
      <w:r>
        <w:t>The once-off increase in TRP accepted in exchange for removal of the bonus opportunity should be paid to executives through the ordinary pay cycle, commencing from 1 July 2020</w:t>
      </w:r>
      <w:r w:rsidR="00815C9F">
        <w:t>, not in one lump-sum</w:t>
      </w:r>
      <w:r>
        <w:t xml:space="preserve">. </w:t>
      </w:r>
    </w:p>
    <w:p w14:paraId="20667546" w14:textId="77777777" w:rsidR="001D4079" w:rsidRDefault="001D4079" w:rsidP="001D4079">
      <w:pPr>
        <w:pStyle w:val="Heading2"/>
      </w:pPr>
      <w:bookmarkStart w:id="5" w:name="_Toc31729301"/>
      <w:r>
        <w:t>What do public entity executives need to do?</w:t>
      </w:r>
      <w:bookmarkEnd w:id="5"/>
    </w:p>
    <w:p w14:paraId="15ADBA60" w14:textId="56DFB433" w:rsidR="001D4079" w:rsidRDefault="00CE3181" w:rsidP="001D4079">
      <w:pPr>
        <w:pStyle w:val="DPCbody"/>
      </w:pPr>
      <w:r>
        <w:t>E</w:t>
      </w:r>
      <w:r w:rsidR="001D4079">
        <w:t>xisting executives with a bonus opportunity in their current contract should receive a bonus buy-out offer (or request to remove the bonus provision from the contract) from their employer by 1 May 2020</w:t>
      </w:r>
      <w:r>
        <w:t>. A</w:t>
      </w:r>
      <w:r w:rsidR="001D4079">
        <w:t xml:space="preserve">s all offers must be implemented by </w:t>
      </w:r>
      <w:r>
        <w:t>1 July</w:t>
      </w:r>
      <w:r w:rsidR="001D4079">
        <w:t xml:space="preserve"> 2020</w:t>
      </w:r>
      <w:r>
        <w:t xml:space="preserve">, executives should consider the offer and accept or reject promptly (within the </w:t>
      </w:r>
      <w:r w:rsidR="007362A1">
        <w:t>period determined by the employer)</w:t>
      </w:r>
      <w:r w:rsidR="001D4079">
        <w:t>.</w:t>
      </w:r>
      <w:r w:rsidR="007362A1">
        <w:t xml:space="preserve"> This will allow time for any accepted offer to be implemented by 1 July 2020.</w:t>
      </w:r>
    </w:p>
    <w:p w14:paraId="44D3B457" w14:textId="77777777" w:rsidR="001D4079" w:rsidRDefault="001D4079" w:rsidP="001D4079">
      <w:pPr>
        <w:pStyle w:val="DPCbody"/>
      </w:pPr>
      <w:r>
        <w:t xml:space="preserve">Executives who accept the buy-out offer will remain eligible for consideration for a potential bonus for the 2019-20 financial year, subject to a performance review, but will not be eligible for bonuses in subsequent years. </w:t>
      </w:r>
    </w:p>
    <w:p w14:paraId="6FB24198" w14:textId="77777777" w:rsidR="004454A8" w:rsidRDefault="004454A8" w:rsidP="001D4079">
      <w:pPr>
        <w:pStyle w:val="DPCbody"/>
      </w:pPr>
      <w:r>
        <w:t xml:space="preserve">Executives who decline the buy-out offer will remain eligible for consideration for bonus payments for the remainder of their current contract term, following a performance review. However, </w:t>
      </w:r>
      <w:r w:rsidRPr="00FA0AAD">
        <w:t>any new contract entered into on or after</w:t>
      </w:r>
      <w:r>
        <w:t xml:space="preserve"> 4 February 2020 (</w:t>
      </w:r>
      <w:r w:rsidRPr="00FA0AAD">
        <w:t xml:space="preserve">including </w:t>
      </w:r>
      <w:r>
        <w:t>c</w:t>
      </w:r>
      <w:r w:rsidRPr="00FA0AAD">
        <w:t>ontract</w:t>
      </w:r>
      <w:r>
        <w:t>s</w:t>
      </w:r>
      <w:r w:rsidRPr="00FA0AAD">
        <w:t xml:space="preserve"> re</w:t>
      </w:r>
      <w:r>
        <w:t>-</w:t>
      </w:r>
      <w:r w:rsidRPr="00FA0AAD">
        <w:t>negotiated due to contract expiry</w:t>
      </w:r>
      <w:r>
        <w:t>)</w:t>
      </w:r>
      <w:r w:rsidRPr="00FA0AAD">
        <w:t xml:space="preserve"> </w:t>
      </w:r>
      <w:r>
        <w:t xml:space="preserve">must </w:t>
      </w:r>
      <w:r w:rsidRPr="00414184">
        <w:rPr>
          <w:b/>
        </w:rPr>
        <w:t>not</w:t>
      </w:r>
      <w:r>
        <w:t xml:space="preserve"> contain provision for a</w:t>
      </w:r>
      <w:r w:rsidRPr="00FA0AAD">
        <w:t xml:space="preserve"> bonus opportunity</w:t>
      </w:r>
      <w:r>
        <w:t>.</w:t>
      </w:r>
    </w:p>
    <w:p w14:paraId="6C765C0B" w14:textId="14613170" w:rsidR="001D4079" w:rsidRPr="00D4374F" w:rsidRDefault="001D4079" w:rsidP="001D4079">
      <w:pPr>
        <w:pStyle w:val="DPCbody"/>
      </w:pPr>
      <w:r>
        <w:t>In all cases, when an executive is offered a new contract (including any contract offered at expiry of the current contract), no bonus opportunity will apply.</w:t>
      </w:r>
    </w:p>
    <w:p w14:paraId="73262C06" w14:textId="5D852AC0" w:rsidR="00390501" w:rsidRDefault="00390501" w:rsidP="0011056E">
      <w:pPr>
        <w:pStyle w:val="Heading2"/>
      </w:pPr>
      <w:bookmarkStart w:id="6" w:name="_Toc31729302"/>
      <w:r w:rsidRPr="00815C9F">
        <w:lastRenderedPageBreak/>
        <w:t>How is the offer calculated?</w:t>
      </w:r>
      <w:bookmarkEnd w:id="6"/>
    </w:p>
    <w:p w14:paraId="74C61369" w14:textId="79C58288" w:rsidR="001D4079" w:rsidRDefault="00815C9F" w:rsidP="001D4079">
      <w:pPr>
        <w:pStyle w:val="DPCbody"/>
      </w:pPr>
      <w:r>
        <w:t>The government</w:t>
      </w:r>
      <w:r w:rsidR="001D4079">
        <w:t xml:space="preserve"> has developed a </w:t>
      </w:r>
      <w:r w:rsidR="001D4079" w:rsidRPr="00D4374F">
        <w:t xml:space="preserve">bonus buy-out calculator </w:t>
      </w:r>
      <w:r w:rsidR="001D4079">
        <w:t xml:space="preserve">for public entities to guide entities through the process of </w:t>
      </w:r>
      <w:r w:rsidR="001D4079" w:rsidRPr="00D4374F">
        <w:t>determin</w:t>
      </w:r>
      <w:r w:rsidR="001D4079">
        <w:t>ing</w:t>
      </w:r>
      <w:r w:rsidR="001D4079" w:rsidRPr="00D4374F">
        <w:t xml:space="preserve"> </w:t>
      </w:r>
      <w:r w:rsidR="001D4079">
        <w:t xml:space="preserve">bonus buy-out </w:t>
      </w:r>
      <w:r w:rsidR="001D4079" w:rsidRPr="00D4374F">
        <w:t xml:space="preserve">offers </w:t>
      </w:r>
      <w:r w:rsidR="001D4079">
        <w:t xml:space="preserve">that are consistent with the Policy. The </w:t>
      </w:r>
      <w:r w:rsidR="001D4079" w:rsidRPr="00D4374F">
        <w:t>calculator</w:t>
      </w:r>
      <w:r w:rsidR="001D4079">
        <w:t xml:space="preserve"> is available </w:t>
      </w:r>
      <w:r w:rsidR="007362A1">
        <w:t xml:space="preserve">at </w:t>
      </w:r>
      <w:hyperlink r:id="rId9" w:history="1">
        <w:r w:rsidR="007362A1" w:rsidRPr="003431B5">
          <w:rPr>
            <w:rStyle w:val="Hyperlink"/>
          </w:rPr>
          <w:t>www.vic.gov.au/bonus-removal-offer</w:t>
        </w:r>
      </w:hyperlink>
      <w:r w:rsidR="001D4079">
        <w:t xml:space="preserve">. </w:t>
      </w:r>
    </w:p>
    <w:p w14:paraId="6DE38F57" w14:textId="77777777" w:rsidR="001D4079" w:rsidRPr="00D4374F" w:rsidRDefault="001D4079" w:rsidP="001D4079">
      <w:pPr>
        <w:pStyle w:val="DPCbody"/>
      </w:pPr>
      <w:r>
        <w:t xml:space="preserve">To use the calculator, public entities will need to collect </w:t>
      </w:r>
      <w:r w:rsidRPr="00D4374F">
        <w:t xml:space="preserve">the following information </w:t>
      </w:r>
      <w:r>
        <w:t xml:space="preserve">for each </w:t>
      </w:r>
      <w:r w:rsidRPr="00D4374F">
        <w:t xml:space="preserve">executive </w:t>
      </w:r>
      <w:r>
        <w:t xml:space="preserve">in their organisation who has a </w:t>
      </w:r>
      <w:r w:rsidRPr="00D4374F">
        <w:t>bonus opportunit</w:t>
      </w:r>
      <w:r>
        <w:t xml:space="preserve">y </w:t>
      </w:r>
      <w:r w:rsidRPr="00D4374F">
        <w:t xml:space="preserve">in their </w:t>
      </w:r>
      <w:r>
        <w:t xml:space="preserve">current </w:t>
      </w:r>
      <w:r w:rsidRPr="00D4374F">
        <w:t>contract:</w:t>
      </w:r>
    </w:p>
    <w:p w14:paraId="4DFEE189" w14:textId="77777777" w:rsidR="001D4079" w:rsidRPr="00D4374F" w:rsidRDefault="001D4079" w:rsidP="001D4079">
      <w:pPr>
        <w:pStyle w:val="DPCbody"/>
        <w:numPr>
          <w:ilvl w:val="0"/>
          <w:numId w:val="10"/>
        </w:numPr>
      </w:pPr>
      <w:r w:rsidRPr="00D4374F">
        <w:t>total remuneration package (TRP)</w:t>
      </w:r>
      <w:r>
        <w:t xml:space="preserve">, </w:t>
      </w:r>
      <w:r w:rsidRPr="00D4374F">
        <w:t>as at</w:t>
      </w:r>
      <w:r>
        <w:t xml:space="preserve"> 3 February 2020</w:t>
      </w:r>
    </w:p>
    <w:p w14:paraId="5616A45D" w14:textId="77777777" w:rsidR="001D4079" w:rsidRDefault="001D4079" w:rsidP="001D4079">
      <w:pPr>
        <w:pStyle w:val="DPCbody"/>
        <w:numPr>
          <w:ilvl w:val="0"/>
          <w:numId w:val="10"/>
        </w:numPr>
      </w:pPr>
      <w:r w:rsidRPr="00D4374F">
        <w:t>maximum bonus opportunity available</w:t>
      </w:r>
      <w:r>
        <w:t xml:space="preserve"> in the current contract</w:t>
      </w:r>
    </w:p>
    <w:p w14:paraId="0CA5EB80" w14:textId="7D919BE5" w:rsidR="001D4079" w:rsidRDefault="001D4079" w:rsidP="00815C9F">
      <w:pPr>
        <w:pStyle w:val="DPCbody"/>
        <w:numPr>
          <w:ilvl w:val="0"/>
          <w:numId w:val="10"/>
        </w:numPr>
      </w:pPr>
      <w:r w:rsidRPr="00D4374F">
        <w:t xml:space="preserve">bonus rate paid </w:t>
      </w:r>
      <w:r>
        <w:t>in</w:t>
      </w:r>
      <w:r w:rsidRPr="00D4374F">
        <w:t xml:space="preserve"> each of the</w:t>
      </w:r>
      <w:r>
        <w:t>se</w:t>
      </w:r>
      <w:r w:rsidRPr="00D4374F">
        <w:t xml:space="preserve"> financial years: 2016-17, 2017-18</w:t>
      </w:r>
      <w:r>
        <w:t xml:space="preserve"> and 2018-19</w:t>
      </w:r>
      <w:r w:rsidRPr="00D4374F">
        <w:t>.</w:t>
      </w:r>
    </w:p>
    <w:p w14:paraId="22D41AC7" w14:textId="0731DD9A" w:rsidR="004B027C" w:rsidRDefault="004B027C" w:rsidP="005D2DEE">
      <w:pPr>
        <w:pStyle w:val="DPCbody"/>
      </w:pPr>
      <w:r>
        <w:t>The process for determining maximum bonus buy-out offers reflects each executive’s bonus history over the financial years 2016-17</w:t>
      </w:r>
      <w:r w:rsidR="009434FD">
        <w:t>,</w:t>
      </w:r>
      <w:r>
        <w:t xml:space="preserve"> 2017-18</w:t>
      </w:r>
      <w:r w:rsidR="009434FD">
        <w:t xml:space="preserve"> and 2018-19</w:t>
      </w:r>
      <w:r>
        <w:t xml:space="preserve"> </w:t>
      </w:r>
      <w:r w:rsidRPr="004B027C">
        <w:rPr>
          <w:i/>
        </w:rPr>
        <w:t>in their current role</w:t>
      </w:r>
      <w:r>
        <w:t xml:space="preserve">. </w:t>
      </w:r>
      <w:r w:rsidRPr="004B027C">
        <w:t xml:space="preserve">For example, </w:t>
      </w:r>
      <w:r w:rsidR="002A64B3">
        <w:t xml:space="preserve">if </w:t>
      </w:r>
      <w:r w:rsidRPr="004B027C">
        <w:t xml:space="preserve">the </w:t>
      </w:r>
      <w:r w:rsidR="00AE1D7D">
        <w:t>C</w:t>
      </w:r>
      <w:r w:rsidR="00C74AC2">
        <w:t xml:space="preserve">hief </w:t>
      </w:r>
      <w:r w:rsidR="00AE1D7D">
        <w:t>O</w:t>
      </w:r>
      <w:r w:rsidR="00C74AC2">
        <w:t xml:space="preserve">perating </w:t>
      </w:r>
      <w:r w:rsidR="00AE1D7D">
        <w:t>O</w:t>
      </w:r>
      <w:r w:rsidR="00C74AC2">
        <w:t>fficer</w:t>
      </w:r>
      <w:r w:rsidR="00E06B4E">
        <w:t xml:space="preserve"> </w:t>
      </w:r>
      <w:r w:rsidR="00AF6133">
        <w:t>(</w:t>
      </w:r>
      <w:r w:rsidR="00E06B4E">
        <w:t>who</w:t>
      </w:r>
      <w:r w:rsidRPr="004B027C">
        <w:t xml:space="preserve"> received bonus payments in 2016-17</w:t>
      </w:r>
      <w:r w:rsidR="009434FD">
        <w:t xml:space="preserve"> and 2017-18</w:t>
      </w:r>
      <w:r w:rsidR="00AF6133">
        <w:t>)</w:t>
      </w:r>
      <w:r w:rsidR="00F105E6">
        <w:t xml:space="preserve"> subsequently </w:t>
      </w:r>
      <w:r w:rsidRPr="004B027C">
        <w:t xml:space="preserve">changed roles within the same public entity to </w:t>
      </w:r>
      <w:r w:rsidR="00F105E6">
        <w:t>become</w:t>
      </w:r>
      <w:r w:rsidRPr="004B027C">
        <w:t xml:space="preserve"> the </w:t>
      </w:r>
      <w:r w:rsidR="00AE1D7D">
        <w:t>C</w:t>
      </w:r>
      <w:r w:rsidRPr="004B027C">
        <w:t xml:space="preserve">hief </w:t>
      </w:r>
      <w:r w:rsidR="00AE1D7D">
        <w:t>E</w:t>
      </w:r>
      <w:r w:rsidR="00C74AC2">
        <w:t>xecutive</w:t>
      </w:r>
      <w:r w:rsidRPr="004B027C">
        <w:t xml:space="preserve"> </w:t>
      </w:r>
      <w:r w:rsidR="00AE1D7D">
        <w:t>O</w:t>
      </w:r>
      <w:r w:rsidRPr="004B027C">
        <w:t>fficer</w:t>
      </w:r>
      <w:r w:rsidR="00C74AC2">
        <w:t xml:space="preserve"> (CEO)</w:t>
      </w:r>
      <w:r w:rsidR="00F105E6">
        <w:t>,</w:t>
      </w:r>
      <w:r w:rsidRPr="004B027C">
        <w:t xml:space="preserve"> </w:t>
      </w:r>
      <w:r w:rsidR="00F105E6">
        <w:t>t</w:t>
      </w:r>
      <w:r w:rsidRPr="004B027C">
        <w:t xml:space="preserve">he relevant information for determining a bonus buy-out offer </w:t>
      </w:r>
      <w:r w:rsidR="00F105E6">
        <w:t>would be</w:t>
      </w:r>
      <w:r w:rsidRPr="004B027C">
        <w:t xml:space="preserve"> </w:t>
      </w:r>
      <w:r w:rsidR="007362A1">
        <w:t>any</w:t>
      </w:r>
      <w:r w:rsidRPr="004B027C">
        <w:t xml:space="preserve"> bonus received in </w:t>
      </w:r>
      <w:r w:rsidR="007362A1">
        <w:t xml:space="preserve">since commencing their </w:t>
      </w:r>
      <w:r w:rsidRPr="004B027C">
        <w:t xml:space="preserve">current role as </w:t>
      </w:r>
      <w:r w:rsidR="00C74AC2">
        <w:t>CEO</w:t>
      </w:r>
      <w:r w:rsidRPr="004B027C">
        <w:t xml:space="preserve">. The bonus rates received in earlier years </w:t>
      </w:r>
      <w:r w:rsidR="00F105E6">
        <w:t>would</w:t>
      </w:r>
      <w:r w:rsidRPr="004B027C">
        <w:t xml:space="preserve"> not </w:t>
      </w:r>
      <w:r w:rsidR="00F105E6">
        <w:t xml:space="preserve">be </w:t>
      </w:r>
      <w:r w:rsidRPr="004B027C">
        <w:t>relevant as they apply to a different executive role.</w:t>
      </w:r>
    </w:p>
    <w:p w14:paraId="3DD65283" w14:textId="17673404" w:rsidR="00D26CE9" w:rsidRDefault="00D26CE9" w:rsidP="00D26CE9">
      <w:pPr>
        <w:pStyle w:val="DPCbody"/>
      </w:pPr>
      <w:r>
        <w:t>For eligible executives with contracts that commenced on or after 1 July 201</w:t>
      </w:r>
      <w:r w:rsidR="009434FD">
        <w:t>9</w:t>
      </w:r>
      <w:r>
        <w:t xml:space="preserve">, the individual cap is the </w:t>
      </w:r>
      <w:r w:rsidRPr="00AA6112">
        <w:rPr>
          <w:b/>
          <w:i/>
        </w:rPr>
        <w:t>lower</w:t>
      </w:r>
      <w:r>
        <w:t xml:space="preserve"> of the maximum bonus opportunity specified in the current contract or 10 per cent of their TRP, as at</w:t>
      </w:r>
      <w:r w:rsidR="00006CBB">
        <w:t xml:space="preserve"> 3 February 2020</w:t>
      </w:r>
      <w:r>
        <w:t xml:space="preserve">. </w:t>
      </w:r>
    </w:p>
    <w:p w14:paraId="78BDDF71" w14:textId="56DADAC3" w:rsidR="00EE68B9" w:rsidRDefault="00EE68B9" w:rsidP="00D26CE9">
      <w:pPr>
        <w:pStyle w:val="DPCbody"/>
      </w:pPr>
      <w:r>
        <w:t xml:space="preserve">Executives who have </w:t>
      </w:r>
      <w:r w:rsidR="009C29D6">
        <w:t xml:space="preserve">a bonus provision in their current contract who have </w:t>
      </w:r>
      <w:r>
        <w:t>not been paid a bonus in the 2016-17</w:t>
      </w:r>
      <w:r w:rsidR="009434FD">
        <w:t xml:space="preserve">, </w:t>
      </w:r>
      <w:r>
        <w:t>2017-18</w:t>
      </w:r>
      <w:r w:rsidR="009434FD">
        <w:t xml:space="preserve"> and 2018-19</w:t>
      </w:r>
      <w:r>
        <w:t xml:space="preserve"> financial years </w:t>
      </w:r>
      <w:r w:rsidR="007362A1">
        <w:t xml:space="preserve">may still be offered bonus buy-out offers at the employer’s discretion. Alternatively, the employer may choose not to make a bonus buy-out offer but </w:t>
      </w:r>
      <w:r w:rsidR="00FC1B7C">
        <w:t xml:space="preserve">may still </w:t>
      </w:r>
      <w:r w:rsidR="007362A1">
        <w:t xml:space="preserve">seek </w:t>
      </w:r>
      <w:r w:rsidR="00FC1B7C">
        <w:t xml:space="preserve">an executive’s agreement to remove the bonus opportunity clause from their contract. </w:t>
      </w:r>
    </w:p>
    <w:p w14:paraId="75C41EBB" w14:textId="4B2344F2" w:rsidR="00D4374F" w:rsidRPr="00D4374F" w:rsidRDefault="00D26CE9" w:rsidP="00815C9F">
      <w:pPr>
        <w:pStyle w:val="DPCbody"/>
      </w:pPr>
      <w:r>
        <w:t>Executives who accept buy-out offer</w:t>
      </w:r>
      <w:r w:rsidR="00AF6133">
        <w:t>s</w:t>
      </w:r>
      <w:r>
        <w:t xml:space="preserve"> will </w:t>
      </w:r>
      <w:r w:rsidR="00414184">
        <w:t>remain</w:t>
      </w:r>
      <w:r>
        <w:t xml:space="preserve"> eligible for consideration for a bonus in respect of the 201</w:t>
      </w:r>
      <w:r w:rsidR="00B03102">
        <w:t>9</w:t>
      </w:r>
      <w:r>
        <w:t>-</w:t>
      </w:r>
      <w:r w:rsidR="00B03102">
        <w:t>20</w:t>
      </w:r>
      <w:r>
        <w:t xml:space="preserve"> financial year, following </w:t>
      </w:r>
      <w:r w:rsidR="006D493F">
        <w:t>a</w:t>
      </w:r>
      <w:r w:rsidR="003A4A3C">
        <w:t xml:space="preserve"> </w:t>
      </w:r>
      <w:r>
        <w:t xml:space="preserve">performance review, but </w:t>
      </w:r>
      <w:r w:rsidR="00414184">
        <w:t xml:space="preserve">will </w:t>
      </w:r>
      <w:r>
        <w:t xml:space="preserve">not </w:t>
      </w:r>
      <w:r w:rsidR="00414184">
        <w:t xml:space="preserve">be </w:t>
      </w:r>
      <w:r>
        <w:t>eligible for bonuses in subsequent years.</w:t>
      </w:r>
    </w:p>
    <w:sectPr w:rsidR="00D4374F" w:rsidRPr="00D4374F" w:rsidSect="00E03A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2589" w14:textId="77777777" w:rsidR="0047665A" w:rsidRDefault="0047665A">
      <w:r>
        <w:separator/>
      </w:r>
    </w:p>
  </w:endnote>
  <w:endnote w:type="continuationSeparator" w:id="0">
    <w:p w14:paraId="175E33E0" w14:textId="77777777" w:rsidR="0047665A" w:rsidRDefault="004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D7FF" w14:textId="77777777" w:rsidR="001C7428" w:rsidRDefault="001C7428" w:rsidP="00B418FB">
    <w:pPr>
      <w:pStyle w:val="Footer"/>
      <w:rPr>
        <w:rFonts w:ascii="Arial" w:hAnsi="Arial"/>
        <w:b/>
        <w:color w:val="3F3F3F"/>
      </w:rPr>
    </w:pPr>
    <w:bookmarkStart w:id="7" w:name="aliashNonProtectiveMarki1FooterEvenPages"/>
    <w:r>
      <w:rPr>
        <w:rFonts w:ascii="Arial" w:hAnsi="Arial"/>
        <w:b/>
        <w:color w:val="3F3F3F"/>
      </w:rPr>
      <w:t>For Official Use Only</w:t>
    </w:r>
  </w:p>
  <w:bookmarkEnd w:id="7"/>
  <w:p w14:paraId="2CA53FEF" w14:textId="77777777" w:rsidR="001C7428" w:rsidRDefault="001C7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D0" w14:textId="6608BF6B" w:rsidR="001C7428" w:rsidRDefault="00B03102" w:rsidP="00B418FB">
    <w:pPr>
      <w:pStyle w:val="DPCfooter"/>
      <w:rPr>
        <w:rFonts w:ascii="Arial" w:hAnsi="Arial" w:cs="Arial"/>
        <w:b/>
        <w:color w:val="3F3F3F"/>
        <w:sz w:val="20"/>
      </w:rPr>
    </w:pPr>
    <w:bookmarkStart w:id="8" w:name="aliashNonProtectiveMarking1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A45A16" wp14:editId="7AF8A53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0a2415a895387ceae487770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F1A6F" w14:textId="3ABCF1A0" w:rsidR="00B03102" w:rsidRPr="00B03102" w:rsidRDefault="00B03102" w:rsidP="00B03102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0310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45A16" id="_x0000_t202" coordsize="21600,21600" o:spt="202" path="m,l,21600r21600,l21600,xe">
              <v:stroke joinstyle="miter"/>
              <v:path gradientshapeok="t" o:connecttype="rect"/>
            </v:shapetype>
            <v:shape id="MSIPCM60a2415a895387ceae487770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LVtU0h8DAAA4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3FAF1A6F" w14:textId="3ABCF1A0" w:rsidR="00B03102" w:rsidRPr="00B03102" w:rsidRDefault="00B03102" w:rsidP="00B03102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03102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428">
      <w:rPr>
        <w:rFonts w:ascii="Arial" w:hAnsi="Arial" w:cs="Arial"/>
        <w:b/>
        <w:color w:val="3F3F3F"/>
        <w:sz w:val="20"/>
      </w:rPr>
      <w:t>For Official Use Only</w:t>
    </w:r>
  </w:p>
  <w:bookmarkEnd w:id="8"/>
  <w:p w14:paraId="514DEC56" w14:textId="0047F51F" w:rsidR="001C7428" w:rsidRPr="00A95E3B" w:rsidRDefault="001C7428">
    <w:pPr>
      <w:pStyle w:val="DPCfooter"/>
    </w:pPr>
    <w:r w:rsidRPr="00A95E3B">
      <w:tab/>
    </w:r>
    <w:r w:rsidRPr="00A95E3B">
      <w:fldChar w:fldCharType="begin"/>
    </w:r>
    <w:r w:rsidRPr="00A95E3B">
      <w:instrText xml:space="preserve"> PAGE   \* MERGEFORMAT </w:instrText>
    </w:r>
    <w:r w:rsidRPr="00A95E3B">
      <w:fldChar w:fldCharType="separate"/>
    </w:r>
    <w:r>
      <w:rPr>
        <w:noProof/>
      </w:rPr>
      <w:t>3</w:t>
    </w:r>
    <w:r w:rsidRPr="00A95E3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81BF" w14:textId="367938D4" w:rsidR="001C7428" w:rsidRDefault="00B03102" w:rsidP="00B418FB">
    <w:pPr>
      <w:pStyle w:val="Footer"/>
      <w:rPr>
        <w:rFonts w:ascii="Arial" w:hAnsi="Arial"/>
        <w:b/>
        <w:color w:val="3F3F3F"/>
      </w:rPr>
    </w:pPr>
    <w:bookmarkStart w:id="9" w:name="aliashNonProtectiveMarki1FooterFirstPage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85E1CC" wp14:editId="6E864CD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0104b3980f1f2d9d03214a7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631CE7" w14:textId="777F742A" w:rsidR="00B03102" w:rsidRPr="00B03102" w:rsidRDefault="00B03102" w:rsidP="00B03102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0310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E1CC" id="_x0000_t202" coordsize="21600,21600" o:spt="202" path="m,l,21600r21600,l21600,xe">
              <v:stroke joinstyle="miter"/>
              <v:path gradientshapeok="t" o:connecttype="rect"/>
            </v:shapetype>
            <v:shape id="MSIPCM40104b3980f1f2d9d03214a7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CUL/rHHgMAAEE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0C631CE7" w14:textId="777F742A" w:rsidR="00B03102" w:rsidRPr="00B03102" w:rsidRDefault="00B03102" w:rsidP="00B03102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03102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428">
      <w:rPr>
        <w:rFonts w:ascii="Arial" w:hAnsi="Arial"/>
        <w:b/>
        <w:color w:val="3F3F3F"/>
      </w:rPr>
      <w:t>For Official Use Only</w:t>
    </w:r>
  </w:p>
  <w:bookmarkEnd w:id="9"/>
  <w:p w14:paraId="75966522" w14:textId="77777777" w:rsidR="001C7428" w:rsidRDefault="001C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CC2B" w14:textId="77777777" w:rsidR="0047665A" w:rsidRDefault="0047665A" w:rsidP="002862F1">
      <w:pPr>
        <w:spacing w:before="120"/>
      </w:pPr>
      <w:r>
        <w:separator/>
      </w:r>
    </w:p>
  </w:footnote>
  <w:footnote w:type="continuationSeparator" w:id="0">
    <w:p w14:paraId="4F9ADCFF" w14:textId="77777777" w:rsidR="0047665A" w:rsidRDefault="0047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7804" w14:textId="77777777" w:rsidR="00CE4300" w:rsidRDefault="00CE4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89754" w14:textId="77777777" w:rsidR="001C7428" w:rsidRDefault="001C742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0" locked="1" layoutInCell="0" allowOverlap="1" wp14:anchorId="6F9D72F4" wp14:editId="064FDE60">
          <wp:simplePos x="0" y="0"/>
          <wp:positionH relativeFrom="page">
            <wp:posOffset>2540</wp:posOffset>
          </wp:positionH>
          <wp:positionV relativeFrom="page">
            <wp:posOffset>300355</wp:posOffset>
          </wp:positionV>
          <wp:extent cx="7563485" cy="502920"/>
          <wp:effectExtent l="0" t="0" r="0" b="0"/>
          <wp:wrapNone/>
          <wp:docPr id="15" name="Picture 1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report header strip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1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05"/>
    </w:tblGrid>
    <w:tr w:rsidR="001C7428" w:rsidRPr="000D7DEE" w14:paraId="4ACA5153" w14:textId="77777777" w:rsidTr="00C2527D">
      <w:trPr>
        <w:trHeight w:val="640"/>
      </w:trPr>
      <w:tc>
        <w:tcPr>
          <w:tcW w:w="7105" w:type="dxa"/>
          <w:shd w:val="clear" w:color="auto" w:fill="auto"/>
          <w:vAlign w:val="bottom"/>
        </w:tcPr>
        <w:p w14:paraId="3A2C2669" w14:textId="1F096289" w:rsidR="001C7428" w:rsidRPr="000D7DEE" w:rsidRDefault="001C7428">
          <w:pPr>
            <w:pStyle w:val="DPCmainheading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4144" behindDoc="1" locked="1" layoutInCell="0" allowOverlap="1" wp14:anchorId="4112B35C" wp14:editId="0577A9E4">
                <wp:simplePos x="0" y="0"/>
                <wp:positionH relativeFrom="page">
                  <wp:posOffset>8255</wp:posOffset>
                </wp:positionH>
                <wp:positionV relativeFrom="page">
                  <wp:posOffset>319405</wp:posOffset>
                </wp:positionV>
                <wp:extent cx="7563485" cy="1508760"/>
                <wp:effectExtent l="0" t="0" r="0" b="0"/>
                <wp:wrapNone/>
                <wp:docPr id="35" name="Picture 35" descr="Decor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ct Sheet Banner 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485" cy="1508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4079">
            <w:t>Bonus removal policy fact sheet</w:t>
          </w:r>
        </w:p>
      </w:tc>
    </w:tr>
    <w:tr w:rsidR="001C7428" w:rsidRPr="00CE750D" w14:paraId="3D151AF5" w14:textId="77777777" w:rsidTr="00C2527D">
      <w:trPr>
        <w:trHeight w:val="210"/>
      </w:trPr>
      <w:tc>
        <w:tcPr>
          <w:tcW w:w="7105" w:type="dxa"/>
          <w:shd w:val="clear" w:color="auto" w:fill="auto"/>
          <w:tcMar>
            <w:top w:w="284" w:type="dxa"/>
            <w:bottom w:w="454" w:type="dxa"/>
          </w:tcMar>
        </w:tcPr>
        <w:p w14:paraId="4E9ECC6C" w14:textId="1C498BD6" w:rsidR="001C7428" w:rsidRPr="00CE750D" w:rsidRDefault="001C7428" w:rsidP="00C2527D">
          <w:pPr>
            <w:pStyle w:val="DPCmainsubheading"/>
          </w:pPr>
        </w:p>
      </w:tc>
    </w:tr>
  </w:tbl>
  <w:p w14:paraId="6DB80D08" w14:textId="77777777" w:rsidR="001C7428" w:rsidRDefault="001C7428" w:rsidP="00E03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242E95"/>
    <w:multiLevelType w:val="hybridMultilevel"/>
    <w:tmpl w:val="B032F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550"/>
    <w:multiLevelType w:val="hybridMultilevel"/>
    <w:tmpl w:val="E8048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478D2"/>
    <w:multiLevelType w:val="multilevel"/>
    <w:tmpl w:val="6B4EFD40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683273"/>
    <w:multiLevelType w:val="hybridMultilevel"/>
    <w:tmpl w:val="793C75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C85695"/>
    <w:multiLevelType w:val="hybridMultilevel"/>
    <w:tmpl w:val="1C646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FEE"/>
    <w:rsid w:val="00003AD2"/>
    <w:rsid w:val="00006CBB"/>
    <w:rsid w:val="00006E83"/>
    <w:rsid w:val="000072B6"/>
    <w:rsid w:val="0001021B"/>
    <w:rsid w:val="00011968"/>
    <w:rsid w:val="00011D89"/>
    <w:rsid w:val="000137AB"/>
    <w:rsid w:val="00024D89"/>
    <w:rsid w:val="0002578B"/>
    <w:rsid w:val="00025E00"/>
    <w:rsid w:val="000269F2"/>
    <w:rsid w:val="00030EAC"/>
    <w:rsid w:val="00031D2E"/>
    <w:rsid w:val="00033D81"/>
    <w:rsid w:val="00037C1F"/>
    <w:rsid w:val="00037D82"/>
    <w:rsid w:val="00041BF0"/>
    <w:rsid w:val="000443B0"/>
    <w:rsid w:val="0004536B"/>
    <w:rsid w:val="00046B68"/>
    <w:rsid w:val="00051CE2"/>
    <w:rsid w:val="000527DD"/>
    <w:rsid w:val="000578B2"/>
    <w:rsid w:val="00060959"/>
    <w:rsid w:val="00064EBB"/>
    <w:rsid w:val="00071A09"/>
    <w:rsid w:val="00074219"/>
    <w:rsid w:val="00074ED5"/>
    <w:rsid w:val="00080D07"/>
    <w:rsid w:val="000815CF"/>
    <w:rsid w:val="00085705"/>
    <w:rsid w:val="00090171"/>
    <w:rsid w:val="0009080D"/>
    <w:rsid w:val="00093D75"/>
    <w:rsid w:val="00096CD1"/>
    <w:rsid w:val="000A012C"/>
    <w:rsid w:val="000A0EB9"/>
    <w:rsid w:val="000A13E4"/>
    <w:rsid w:val="000A186C"/>
    <w:rsid w:val="000A5A0A"/>
    <w:rsid w:val="000A75B3"/>
    <w:rsid w:val="000B0FF0"/>
    <w:rsid w:val="000B21ED"/>
    <w:rsid w:val="000B3B7B"/>
    <w:rsid w:val="000B48B1"/>
    <w:rsid w:val="000B4A02"/>
    <w:rsid w:val="000B543D"/>
    <w:rsid w:val="000B5BF7"/>
    <w:rsid w:val="000B6BC8"/>
    <w:rsid w:val="000C3495"/>
    <w:rsid w:val="000C42EA"/>
    <w:rsid w:val="000C4546"/>
    <w:rsid w:val="000C4E3A"/>
    <w:rsid w:val="000D0516"/>
    <w:rsid w:val="000D1242"/>
    <w:rsid w:val="000D7DEE"/>
    <w:rsid w:val="000E0DF7"/>
    <w:rsid w:val="000E3CC7"/>
    <w:rsid w:val="000E404E"/>
    <w:rsid w:val="000E6A2A"/>
    <w:rsid w:val="000E6BD4"/>
    <w:rsid w:val="000E6C80"/>
    <w:rsid w:val="000E6F6A"/>
    <w:rsid w:val="000F15C2"/>
    <w:rsid w:val="000F1F1E"/>
    <w:rsid w:val="000F2259"/>
    <w:rsid w:val="0010342F"/>
    <w:rsid w:val="0010392D"/>
    <w:rsid w:val="00103E86"/>
    <w:rsid w:val="00104FE3"/>
    <w:rsid w:val="0011056E"/>
    <w:rsid w:val="00115FC1"/>
    <w:rsid w:val="00120BD3"/>
    <w:rsid w:val="001214D0"/>
    <w:rsid w:val="00122FEA"/>
    <w:rsid w:val="001232BD"/>
    <w:rsid w:val="001243BE"/>
    <w:rsid w:val="00124ED5"/>
    <w:rsid w:val="001447B3"/>
    <w:rsid w:val="001461AD"/>
    <w:rsid w:val="00147CD3"/>
    <w:rsid w:val="00154FB9"/>
    <w:rsid w:val="00161939"/>
    <w:rsid w:val="00161AA0"/>
    <w:rsid w:val="00162093"/>
    <w:rsid w:val="00164CF0"/>
    <w:rsid w:val="001666DD"/>
    <w:rsid w:val="00166A92"/>
    <w:rsid w:val="0017068A"/>
    <w:rsid w:val="0017144E"/>
    <w:rsid w:val="00172660"/>
    <w:rsid w:val="001771DD"/>
    <w:rsid w:val="00177995"/>
    <w:rsid w:val="00177A8C"/>
    <w:rsid w:val="001828F5"/>
    <w:rsid w:val="00186B33"/>
    <w:rsid w:val="00192F9D"/>
    <w:rsid w:val="00196C18"/>
    <w:rsid w:val="00196EB8"/>
    <w:rsid w:val="001979FF"/>
    <w:rsid w:val="00197B17"/>
    <w:rsid w:val="001A1090"/>
    <w:rsid w:val="001A3ACE"/>
    <w:rsid w:val="001B5CC1"/>
    <w:rsid w:val="001B7E97"/>
    <w:rsid w:val="001C102F"/>
    <w:rsid w:val="001C1999"/>
    <w:rsid w:val="001C2371"/>
    <w:rsid w:val="001C2A72"/>
    <w:rsid w:val="001C64FB"/>
    <w:rsid w:val="001C7428"/>
    <w:rsid w:val="001D0B75"/>
    <w:rsid w:val="001D3C09"/>
    <w:rsid w:val="001D4079"/>
    <w:rsid w:val="001D44E8"/>
    <w:rsid w:val="001D4AC4"/>
    <w:rsid w:val="001D60EC"/>
    <w:rsid w:val="001E0279"/>
    <w:rsid w:val="001E44DF"/>
    <w:rsid w:val="001E5EDC"/>
    <w:rsid w:val="001E68A5"/>
    <w:rsid w:val="001E6F85"/>
    <w:rsid w:val="001F61D2"/>
    <w:rsid w:val="001F6E46"/>
    <w:rsid w:val="001F7C91"/>
    <w:rsid w:val="002017A7"/>
    <w:rsid w:val="00202850"/>
    <w:rsid w:val="00206463"/>
    <w:rsid w:val="00206D98"/>
    <w:rsid w:val="00206F2F"/>
    <w:rsid w:val="00207157"/>
    <w:rsid w:val="0020761D"/>
    <w:rsid w:val="002104CB"/>
    <w:rsid w:val="0021053D"/>
    <w:rsid w:val="00210A92"/>
    <w:rsid w:val="00211869"/>
    <w:rsid w:val="00214D82"/>
    <w:rsid w:val="002163A9"/>
    <w:rsid w:val="002168C3"/>
    <w:rsid w:val="00216C03"/>
    <w:rsid w:val="00217FED"/>
    <w:rsid w:val="00220C04"/>
    <w:rsid w:val="00223EEE"/>
    <w:rsid w:val="002333F5"/>
    <w:rsid w:val="002337BE"/>
    <w:rsid w:val="00235D6F"/>
    <w:rsid w:val="00237C67"/>
    <w:rsid w:val="00240BF3"/>
    <w:rsid w:val="002417F8"/>
    <w:rsid w:val="00244A44"/>
    <w:rsid w:val="00246C5E"/>
    <w:rsid w:val="00247C9B"/>
    <w:rsid w:val="00250184"/>
    <w:rsid w:val="00251343"/>
    <w:rsid w:val="002513A8"/>
    <w:rsid w:val="00251BCE"/>
    <w:rsid w:val="00252ECB"/>
    <w:rsid w:val="00253641"/>
    <w:rsid w:val="00254F7A"/>
    <w:rsid w:val="002620BC"/>
    <w:rsid w:val="00263A90"/>
    <w:rsid w:val="0026408B"/>
    <w:rsid w:val="00267C3E"/>
    <w:rsid w:val="002709BB"/>
    <w:rsid w:val="0027714B"/>
    <w:rsid w:val="002802E3"/>
    <w:rsid w:val="0028213D"/>
    <w:rsid w:val="002862F1"/>
    <w:rsid w:val="00290F7E"/>
    <w:rsid w:val="00291373"/>
    <w:rsid w:val="00293565"/>
    <w:rsid w:val="00294314"/>
    <w:rsid w:val="0029597D"/>
    <w:rsid w:val="002962C3"/>
    <w:rsid w:val="0029717F"/>
    <w:rsid w:val="002A3ABD"/>
    <w:rsid w:val="002A483C"/>
    <w:rsid w:val="002A64B3"/>
    <w:rsid w:val="002B08E0"/>
    <w:rsid w:val="002B1729"/>
    <w:rsid w:val="002B4DD4"/>
    <w:rsid w:val="002B5277"/>
    <w:rsid w:val="002B77C1"/>
    <w:rsid w:val="002C0A61"/>
    <w:rsid w:val="002C2728"/>
    <w:rsid w:val="002C2FD1"/>
    <w:rsid w:val="002C31F8"/>
    <w:rsid w:val="002D150B"/>
    <w:rsid w:val="002E01D0"/>
    <w:rsid w:val="002E0799"/>
    <w:rsid w:val="002E161D"/>
    <w:rsid w:val="002E6C95"/>
    <w:rsid w:val="002E7C36"/>
    <w:rsid w:val="002F32D0"/>
    <w:rsid w:val="002F5F31"/>
    <w:rsid w:val="002F7A47"/>
    <w:rsid w:val="00301D52"/>
    <w:rsid w:val="00302216"/>
    <w:rsid w:val="00303E53"/>
    <w:rsid w:val="00306E5F"/>
    <w:rsid w:val="00307E14"/>
    <w:rsid w:val="00311B0C"/>
    <w:rsid w:val="0031290E"/>
    <w:rsid w:val="00314054"/>
    <w:rsid w:val="00314F95"/>
    <w:rsid w:val="0031510A"/>
    <w:rsid w:val="00316709"/>
    <w:rsid w:val="00316F27"/>
    <w:rsid w:val="00326A66"/>
    <w:rsid w:val="00327870"/>
    <w:rsid w:val="0033259D"/>
    <w:rsid w:val="00336814"/>
    <w:rsid w:val="003400F7"/>
    <w:rsid w:val="003406C6"/>
    <w:rsid w:val="003418CC"/>
    <w:rsid w:val="00342F95"/>
    <w:rsid w:val="003452D9"/>
    <w:rsid w:val="003459BD"/>
    <w:rsid w:val="0034687F"/>
    <w:rsid w:val="00350D38"/>
    <w:rsid w:val="003545C1"/>
    <w:rsid w:val="003600D0"/>
    <w:rsid w:val="003606E1"/>
    <w:rsid w:val="003643F6"/>
    <w:rsid w:val="0037062A"/>
    <w:rsid w:val="003744CF"/>
    <w:rsid w:val="00374717"/>
    <w:rsid w:val="00374B81"/>
    <w:rsid w:val="0037676C"/>
    <w:rsid w:val="00377E53"/>
    <w:rsid w:val="00381450"/>
    <w:rsid w:val="003829E5"/>
    <w:rsid w:val="00382DEA"/>
    <w:rsid w:val="00387C24"/>
    <w:rsid w:val="00390501"/>
    <w:rsid w:val="003910E6"/>
    <w:rsid w:val="0039185F"/>
    <w:rsid w:val="003956CC"/>
    <w:rsid w:val="00395C9A"/>
    <w:rsid w:val="003A150B"/>
    <w:rsid w:val="003A3413"/>
    <w:rsid w:val="003A4A3C"/>
    <w:rsid w:val="003A6B67"/>
    <w:rsid w:val="003B127C"/>
    <w:rsid w:val="003B15E6"/>
    <w:rsid w:val="003B4592"/>
    <w:rsid w:val="003B5DCC"/>
    <w:rsid w:val="003B6ECA"/>
    <w:rsid w:val="003C003A"/>
    <w:rsid w:val="003C2045"/>
    <w:rsid w:val="003C2E6A"/>
    <w:rsid w:val="003C43A1"/>
    <w:rsid w:val="003C55F4"/>
    <w:rsid w:val="003C7A3F"/>
    <w:rsid w:val="003D3E8F"/>
    <w:rsid w:val="003D6475"/>
    <w:rsid w:val="003D717A"/>
    <w:rsid w:val="003D768D"/>
    <w:rsid w:val="003E2811"/>
    <w:rsid w:val="003E375C"/>
    <w:rsid w:val="003E6FA6"/>
    <w:rsid w:val="003F0445"/>
    <w:rsid w:val="003F0CF0"/>
    <w:rsid w:val="003F3289"/>
    <w:rsid w:val="003F4285"/>
    <w:rsid w:val="00401EDC"/>
    <w:rsid w:val="00401FCF"/>
    <w:rsid w:val="00405433"/>
    <w:rsid w:val="004061A8"/>
    <w:rsid w:val="00414184"/>
    <w:rsid w:val="004148F9"/>
    <w:rsid w:val="0041787D"/>
    <w:rsid w:val="0042084E"/>
    <w:rsid w:val="00421E18"/>
    <w:rsid w:val="00424D65"/>
    <w:rsid w:val="00424E59"/>
    <w:rsid w:val="00435D7D"/>
    <w:rsid w:val="00436F62"/>
    <w:rsid w:val="00442727"/>
    <w:rsid w:val="00442C6C"/>
    <w:rsid w:val="00443CBE"/>
    <w:rsid w:val="004441BC"/>
    <w:rsid w:val="004450DF"/>
    <w:rsid w:val="004454A8"/>
    <w:rsid w:val="00451575"/>
    <w:rsid w:val="00451977"/>
    <w:rsid w:val="0045230A"/>
    <w:rsid w:val="004548CB"/>
    <w:rsid w:val="00457337"/>
    <w:rsid w:val="0046021C"/>
    <w:rsid w:val="004623E5"/>
    <w:rsid w:val="00462781"/>
    <w:rsid w:val="0047156E"/>
    <w:rsid w:val="0047372D"/>
    <w:rsid w:val="004743C1"/>
    <w:rsid w:val="004743DD"/>
    <w:rsid w:val="00474CEA"/>
    <w:rsid w:val="0047665A"/>
    <w:rsid w:val="00477509"/>
    <w:rsid w:val="00483968"/>
    <w:rsid w:val="004843BE"/>
    <w:rsid w:val="00484F86"/>
    <w:rsid w:val="00487D4F"/>
    <w:rsid w:val="004900D0"/>
    <w:rsid w:val="00490746"/>
    <w:rsid w:val="00490852"/>
    <w:rsid w:val="004909D3"/>
    <w:rsid w:val="004946F4"/>
    <w:rsid w:val="0049487E"/>
    <w:rsid w:val="004A00C9"/>
    <w:rsid w:val="004A3E81"/>
    <w:rsid w:val="004A4288"/>
    <w:rsid w:val="004A5C62"/>
    <w:rsid w:val="004A6773"/>
    <w:rsid w:val="004A707D"/>
    <w:rsid w:val="004B027C"/>
    <w:rsid w:val="004C533B"/>
    <w:rsid w:val="004C6EEE"/>
    <w:rsid w:val="004C702B"/>
    <w:rsid w:val="004D016B"/>
    <w:rsid w:val="004D1B22"/>
    <w:rsid w:val="004D3255"/>
    <w:rsid w:val="004D36F2"/>
    <w:rsid w:val="004D6050"/>
    <w:rsid w:val="004D6533"/>
    <w:rsid w:val="004D6651"/>
    <w:rsid w:val="004E1736"/>
    <w:rsid w:val="004E4649"/>
    <w:rsid w:val="004E5C2B"/>
    <w:rsid w:val="004F00DD"/>
    <w:rsid w:val="004F2133"/>
    <w:rsid w:val="004F2F3E"/>
    <w:rsid w:val="004F55F1"/>
    <w:rsid w:val="004F6936"/>
    <w:rsid w:val="00503DC6"/>
    <w:rsid w:val="005061AB"/>
    <w:rsid w:val="00506D3C"/>
    <w:rsid w:val="00506F5D"/>
    <w:rsid w:val="005126D0"/>
    <w:rsid w:val="00512D7D"/>
    <w:rsid w:val="00520AB8"/>
    <w:rsid w:val="005211CB"/>
    <w:rsid w:val="00524C14"/>
    <w:rsid w:val="00526345"/>
    <w:rsid w:val="00526865"/>
    <w:rsid w:val="00536499"/>
    <w:rsid w:val="00543903"/>
    <w:rsid w:val="00546E29"/>
    <w:rsid w:val="00547090"/>
    <w:rsid w:val="005472C4"/>
    <w:rsid w:val="00547A95"/>
    <w:rsid w:val="005514C5"/>
    <w:rsid w:val="0055226A"/>
    <w:rsid w:val="005546D9"/>
    <w:rsid w:val="00555B7E"/>
    <w:rsid w:val="00562E20"/>
    <w:rsid w:val="00572031"/>
    <w:rsid w:val="00575193"/>
    <w:rsid w:val="00576368"/>
    <w:rsid w:val="00576E84"/>
    <w:rsid w:val="00581CF6"/>
    <w:rsid w:val="005835D0"/>
    <w:rsid w:val="00584170"/>
    <w:rsid w:val="00586AEF"/>
    <w:rsid w:val="00586FDE"/>
    <w:rsid w:val="0058757E"/>
    <w:rsid w:val="00587C57"/>
    <w:rsid w:val="00595C39"/>
    <w:rsid w:val="00596A4B"/>
    <w:rsid w:val="00597507"/>
    <w:rsid w:val="005A7647"/>
    <w:rsid w:val="005B0649"/>
    <w:rsid w:val="005B21B6"/>
    <w:rsid w:val="005B7A63"/>
    <w:rsid w:val="005C42BA"/>
    <w:rsid w:val="005C49DA"/>
    <w:rsid w:val="005C50F3"/>
    <w:rsid w:val="005C5D91"/>
    <w:rsid w:val="005D07B8"/>
    <w:rsid w:val="005D1011"/>
    <w:rsid w:val="005D2DEE"/>
    <w:rsid w:val="005D6597"/>
    <w:rsid w:val="005D7F03"/>
    <w:rsid w:val="005E14E7"/>
    <w:rsid w:val="005E4097"/>
    <w:rsid w:val="005E447E"/>
    <w:rsid w:val="005E5290"/>
    <w:rsid w:val="005E750F"/>
    <w:rsid w:val="005F0775"/>
    <w:rsid w:val="005F0CF5"/>
    <w:rsid w:val="005F21EB"/>
    <w:rsid w:val="005F3F5B"/>
    <w:rsid w:val="005F40F0"/>
    <w:rsid w:val="005F6A75"/>
    <w:rsid w:val="00601389"/>
    <w:rsid w:val="00605908"/>
    <w:rsid w:val="00610D7C"/>
    <w:rsid w:val="00613414"/>
    <w:rsid w:val="006165BD"/>
    <w:rsid w:val="00622F83"/>
    <w:rsid w:val="0062408D"/>
    <w:rsid w:val="00627DA7"/>
    <w:rsid w:val="00634C9A"/>
    <w:rsid w:val="006358B4"/>
    <w:rsid w:val="006371A6"/>
    <w:rsid w:val="006419AA"/>
    <w:rsid w:val="00641B75"/>
    <w:rsid w:val="00644B1D"/>
    <w:rsid w:val="00644B7E"/>
    <w:rsid w:val="00646A68"/>
    <w:rsid w:val="00646E12"/>
    <w:rsid w:val="0065092E"/>
    <w:rsid w:val="006517EB"/>
    <w:rsid w:val="006557A7"/>
    <w:rsid w:val="00656290"/>
    <w:rsid w:val="00657303"/>
    <w:rsid w:val="006621D7"/>
    <w:rsid w:val="00662D58"/>
    <w:rsid w:val="0066302A"/>
    <w:rsid w:val="0066478D"/>
    <w:rsid w:val="00670597"/>
    <w:rsid w:val="00673388"/>
    <w:rsid w:val="00673A34"/>
    <w:rsid w:val="006768DF"/>
    <w:rsid w:val="00677574"/>
    <w:rsid w:val="0068454C"/>
    <w:rsid w:val="00691B62"/>
    <w:rsid w:val="00694843"/>
    <w:rsid w:val="006A0DB1"/>
    <w:rsid w:val="006A18C2"/>
    <w:rsid w:val="006A2472"/>
    <w:rsid w:val="006A7655"/>
    <w:rsid w:val="006B077C"/>
    <w:rsid w:val="006B34E6"/>
    <w:rsid w:val="006C2DBB"/>
    <w:rsid w:val="006D2A3F"/>
    <w:rsid w:val="006D493F"/>
    <w:rsid w:val="006D5097"/>
    <w:rsid w:val="006E138B"/>
    <w:rsid w:val="006E1F16"/>
    <w:rsid w:val="006E3994"/>
    <w:rsid w:val="006F11A3"/>
    <w:rsid w:val="006F1FDC"/>
    <w:rsid w:val="006F36B5"/>
    <w:rsid w:val="00701338"/>
    <w:rsid w:val="007013EF"/>
    <w:rsid w:val="007023E0"/>
    <w:rsid w:val="00702B10"/>
    <w:rsid w:val="0070581C"/>
    <w:rsid w:val="00707D18"/>
    <w:rsid w:val="00710D36"/>
    <w:rsid w:val="00711694"/>
    <w:rsid w:val="00711DC6"/>
    <w:rsid w:val="00715B4D"/>
    <w:rsid w:val="0071730C"/>
    <w:rsid w:val="007216AA"/>
    <w:rsid w:val="00721AB5"/>
    <w:rsid w:val="00721DEF"/>
    <w:rsid w:val="00722719"/>
    <w:rsid w:val="00724A43"/>
    <w:rsid w:val="007270D9"/>
    <w:rsid w:val="00733758"/>
    <w:rsid w:val="007346E4"/>
    <w:rsid w:val="00735D59"/>
    <w:rsid w:val="007362A1"/>
    <w:rsid w:val="00736869"/>
    <w:rsid w:val="00740F22"/>
    <w:rsid w:val="00741F1A"/>
    <w:rsid w:val="00741FE7"/>
    <w:rsid w:val="007450F8"/>
    <w:rsid w:val="0074696E"/>
    <w:rsid w:val="007471ED"/>
    <w:rsid w:val="00750135"/>
    <w:rsid w:val="0075285D"/>
    <w:rsid w:val="00753AB4"/>
    <w:rsid w:val="00754E36"/>
    <w:rsid w:val="00754FEE"/>
    <w:rsid w:val="00763139"/>
    <w:rsid w:val="00765028"/>
    <w:rsid w:val="00765AB9"/>
    <w:rsid w:val="0076737C"/>
    <w:rsid w:val="00772D5E"/>
    <w:rsid w:val="007746B6"/>
    <w:rsid w:val="00776928"/>
    <w:rsid w:val="00777624"/>
    <w:rsid w:val="00782F2C"/>
    <w:rsid w:val="00786F16"/>
    <w:rsid w:val="00792B58"/>
    <w:rsid w:val="00795D85"/>
    <w:rsid w:val="00796E20"/>
    <w:rsid w:val="00797C32"/>
    <w:rsid w:val="00797FA8"/>
    <w:rsid w:val="007A5384"/>
    <w:rsid w:val="007A57F6"/>
    <w:rsid w:val="007B0914"/>
    <w:rsid w:val="007B1374"/>
    <w:rsid w:val="007B4F77"/>
    <w:rsid w:val="007B589F"/>
    <w:rsid w:val="007B6186"/>
    <w:rsid w:val="007C7301"/>
    <w:rsid w:val="007C7859"/>
    <w:rsid w:val="007D0A10"/>
    <w:rsid w:val="007D2BDE"/>
    <w:rsid w:val="007D2FB6"/>
    <w:rsid w:val="007D2FDF"/>
    <w:rsid w:val="007D3EA2"/>
    <w:rsid w:val="007D41F3"/>
    <w:rsid w:val="007D4CC1"/>
    <w:rsid w:val="007D4D5A"/>
    <w:rsid w:val="007E0DE2"/>
    <w:rsid w:val="007E2C2E"/>
    <w:rsid w:val="007E5373"/>
    <w:rsid w:val="007E55B3"/>
    <w:rsid w:val="007F07D8"/>
    <w:rsid w:val="007F1A66"/>
    <w:rsid w:val="007F31B6"/>
    <w:rsid w:val="007F546C"/>
    <w:rsid w:val="007F665E"/>
    <w:rsid w:val="007F7E5C"/>
    <w:rsid w:val="00800412"/>
    <w:rsid w:val="00801EEF"/>
    <w:rsid w:val="00802512"/>
    <w:rsid w:val="0080587B"/>
    <w:rsid w:val="00805E6C"/>
    <w:rsid w:val="00806468"/>
    <w:rsid w:val="00815C9F"/>
    <w:rsid w:val="00816735"/>
    <w:rsid w:val="00820141"/>
    <w:rsid w:val="00820BD5"/>
    <w:rsid w:val="00820E0C"/>
    <w:rsid w:val="008260DA"/>
    <w:rsid w:val="00830C7A"/>
    <w:rsid w:val="00840E0D"/>
    <w:rsid w:val="008516F2"/>
    <w:rsid w:val="00852EE6"/>
    <w:rsid w:val="00853EE4"/>
    <w:rsid w:val="00855535"/>
    <w:rsid w:val="00860662"/>
    <w:rsid w:val="008633F0"/>
    <w:rsid w:val="00867A21"/>
    <w:rsid w:val="00867D9D"/>
    <w:rsid w:val="00872E0A"/>
    <w:rsid w:val="00875285"/>
    <w:rsid w:val="008770B0"/>
    <w:rsid w:val="00880C9F"/>
    <w:rsid w:val="00884B62"/>
    <w:rsid w:val="0088529C"/>
    <w:rsid w:val="00892553"/>
    <w:rsid w:val="0089270A"/>
    <w:rsid w:val="00893AF6"/>
    <w:rsid w:val="00894BC4"/>
    <w:rsid w:val="008A07A8"/>
    <w:rsid w:val="008A6BAC"/>
    <w:rsid w:val="008B2EE4"/>
    <w:rsid w:val="008B4D3D"/>
    <w:rsid w:val="008B57C7"/>
    <w:rsid w:val="008B6C60"/>
    <w:rsid w:val="008C14F9"/>
    <w:rsid w:val="008C2F92"/>
    <w:rsid w:val="008C748D"/>
    <w:rsid w:val="008D281D"/>
    <w:rsid w:val="008D4236"/>
    <w:rsid w:val="008D462F"/>
    <w:rsid w:val="008E3F24"/>
    <w:rsid w:val="008E4376"/>
    <w:rsid w:val="008F4D26"/>
    <w:rsid w:val="008F6799"/>
    <w:rsid w:val="008F765E"/>
    <w:rsid w:val="00900719"/>
    <w:rsid w:val="00900E39"/>
    <w:rsid w:val="009022E8"/>
    <w:rsid w:val="00906490"/>
    <w:rsid w:val="009111B2"/>
    <w:rsid w:val="00916CB3"/>
    <w:rsid w:val="00924AE1"/>
    <w:rsid w:val="009269B1"/>
    <w:rsid w:val="00931817"/>
    <w:rsid w:val="00937BD9"/>
    <w:rsid w:val="0094130D"/>
    <w:rsid w:val="009434FD"/>
    <w:rsid w:val="009500F3"/>
    <w:rsid w:val="00950E2C"/>
    <w:rsid w:val="00951D50"/>
    <w:rsid w:val="009525EB"/>
    <w:rsid w:val="00952FC3"/>
    <w:rsid w:val="00961400"/>
    <w:rsid w:val="00961F0B"/>
    <w:rsid w:val="00963646"/>
    <w:rsid w:val="00966D48"/>
    <w:rsid w:val="0097122E"/>
    <w:rsid w:val="00973EC3"/>
    <w:rsid w:val="009817CA"/>
    <w:rsid w:val="00983AAC"/>
    <w:rsid w:val="009853E1"/>
    <w:rsid w:val="00986052"/>
    <w:rsid w:val="00986E6B"/>
    <w:rsid w:val="009873E5"/>
    <w:rsid w:val="00987B49"/>
    <w:rsid w:val="00990816"/>
    <w:rsid w:val="0099137C"/>
    <w:rsid w:val="00991769"/>
    <w:rsid w:val="00994386"/>
    <w:rsid w:val="00996541"/>
    <w:rsid w:val="00997666"/>
    <w:rsid w:val="009A279E"/>
    <w:rsid w:val="009B0A6F"/>
    <w:rsid w:val="009B4852"/>
    <w:rsid w:val="009B59E9"/>
    <w:rsid w:val="009B6213"/>
    <w:rsid w:val="009C29D6"/>
    <w:rsid w:val="009C72FE"/>
    <w:rsid w:val="009C7A7E"/>
    <w:rsid w:val="009D02E8"/>
    <w:rsid w:val="009D099A"/>
    <w:rsid w:val="009D1E89"/>
    <w:rsid w:val="009D1EAC"/>
    <w:rsid w:val="009D51D0"/>
    <w:rsid w:val="009D70A4"/>
    <w:rsid w:val="009E08D1"/>
    <w:rsid w:val="009E1B95"/>
    <w:rsid w:val="009E496F"/>
    <w:rsid w:val="009E4B0D"/>
    <w:rsid w:val="009E6FE6"/>
    <w:rsid w:val="009E7212"/>
    <w:rsid w:val="009E7F92"/>
    <w:rsid w:val="009F02A3"/>
    <w:rsid w:val="009F2F27"/>
    <w:rsid w:val="009F6BCB"/>
    <w:rsid w:val="009F75D9"/>
    <w:rsid w:val="009F7B78"/>
    <w:rsid w:val="00A0057A"/>
    <w:rsid w:val="00A02608"/>
    <w:rsid w:val="00A113E3"/>
    <w:rsid w:val="00A11421"/>
    <w:rsid w:val="00A157B1"/>
    <w:rsid w:val="00A22229"/>
    <w:rsid w:val="00A2578C"/>
    <w:rsid w:val="00A27FBD"/>
    <w:rsid w:val="00A34DFE"/>
    <w:rsid w:val="00A34E09"/>
    <w:rsid w:val="00A4306B"/>
    <w:rsid w:val="00A44882"/>
    <w:rsid w:val="00A52B79"/>
    <w:rsid w:val="00A54715"/>
    <w:rsid w:val="00A56D44"/>
    <w:rsid w:val="00A6061C"/>
    <w:rsid w:val="00A62D44"/>
    <w:rsid w:val="00A65FEE"/>
    <w:rsid w:val="00A70331"/>
    <w:rsid w:val="00A7161C"/>
    <w:rsid w:val="00A74462"/>
    <w:rsid w:val="00A745F2"/>
    <w:rsid w:val="00A77AA3"/>
    <w:rsid w:val="00A824FB"/>
    <w:rsid w:val="00A872E5"/>
    <w:rsid w:val="00A95E3B"/>
    <w:rsid w:val="00A96067"/>
    <w:rsid w:val="00A96E65"/>
    <w:rsid w:val="00A979B6"/>
    <w:rsid w:val="00A97C72"/>
    <w:rsid w:val="00AA360A"/>
    <w:rsid w:val="00AA6112"/>
    <w:rsid w:val="00AA63D4"/>
    <w:rsid w:val="00AB06E8"/>
    <w:rsid w:val="00AB0AF7"/>
    <w:rsid w:val="00AB1CD3"/>
    <w:rsid w:val="00AB352F"/>
    <w:rsid w:val="00AB5739"/>
    <w:rsid w:val="00AC274B"/>
    <w:rsid w:val="00AC4E66"/>
    <w:rsid w:val="00AC6D36"/>
    <w:rsid w:val="00AC7B23"/>
    <w:rsid w:val="00AD0CBA"/>
    <w:rsid w:val="00AD26E2"/>
    <w:rsid w:val="00AD2ED9"/>
    <w:rsid w:val="00AD525E"/>
    <w:rsid w:val="00AD6D6E"/>
    <w:rsid w:val="00AE126A"/>
    <w:rsid w:val="00AE1D7D"/>
    <w:rsid w:val="00AE3005"/>
    <w:rsid w:val="00AE3B0A"/>
    <w:rsid w:val="00AE3BAA"/>
    <w:rsid w:val="00AE3F37"/>
    <w:rsid w:val="00AE59A0"/>
    <w:rsid w:val="00AE6B41"/>
    <w:rsid w:val="00AF0818"/>
    <w:rsid w:val="00AF0C57"/>
    <w:rsid w:val="00AF26F3"/>
    <w:rsid w:val="00AF3427"/>
    <w:rsid w:val="00AF6133"/>
    <w:rsid w:val="00B00672"/>
    <w:rsid w:val="00B01B4D"/>
    <w:rsid w:val="00B01E7E"/>
    <w:rsid w:val="00B03102"/>
    <w:rsid w:val="00B03360"/>
    <w:rsid w:val="00B04610"/>
    <w:rsid w:val="00B06571"/>
    <w:rsid w:val="00B068BA"/>
    <w:rsid w:val="00B078F5"/>
    <w:rsid w:val="00B135EC"/>
    <w:rsid w:val="00B13851"/>
    <w:rsid w:val="00B13B1C"/>
    <w:rsid w:val="00B22291"/>
    <w:rsid w:val="00B2417B"/>
    <w:rsid w:val="00B24E6F"/>
    <w:rsid w:val="00B26CB5"/>
    <w:rsid w:val="00B27256"/>
    <w:rsid w:val="00B2752E"/>
    <w:rsid w:val="00B300DC"/>
    <w:rsid w:val="00B307CC"/>
    <w:rsid w:val="00B30DA8"/>
    <w:rsid w:val="00B3520D"/>
    <w:rsid w:val="00B40A7A"/>
    <w:rsid w:val="00B418FB"/>
    <w:rsid w:val="00B44A60"/>
    <w:rsid w:val="00B45141"/>
    <w:rsid w:val="00B5273A"/>
    <w:rsid w:val="00B5311F"/>
    <w:rsid w:val="00B53530"/>
    <w:rsid w:val="00B573C5"/>
    <w:rsid w:val="00B57AB5"/>
    <w:rsid w:val="00B62B50"/>
    <w:rsid w:val="00B635B7"/>
    <w:rsid w:val="00B63F81"/>
    <w:rsid w:val="00B65950"/>
    <w:rsid w:val="00B672C0"/>
    <w:rsid w:val="00B722EE"/>
    <w:rsid w:val="00B731E0"/>
    <w:rsid w:val="00B752CC"/>
    <w:rsid w:val="00B75646"/>
    <w:rsid w:val="00B76CCD"/>
    <w:rsid w:val="00B822E9"/>
    <w:rsid w:val="00B82C78"/>
    <w:rsid w:val="00B9028D"/>
    <w:rsid w:val="00B90729"/>
    <w:rsid w:val="00B907DA"/>
    <w:rsid w:val="00B92656"/>
    <w:rsid w:val="00B950BC"/>
    <w:rsid w:val="00B95325"/>
    <w:rsid w:val="00B9714C"/>
    <w:rsid w:val="00BA2615"/>
    <w:rsid w:val="00BA31B6"/>
    <w:rsid w:val="00BA6D7B"/>
    <w:rsid w:val="00BA6E49"/>
    <w:rsid w:val="00BA718C"/>
    <w:rsid w:val="00BB182D"/>
    <w:rsid w:val="00BB5CF9"/>
    <w:rsid w:val="00BB7A10"/>
    <w:rsid w:val="00BC34D8"/>
    <w:rsid w:val="00BC366E"/>
    <w:rsid w:val="00BC7D4F"/>
    <w:rsid w:val="00BC7ED7"/>
    <w:rsid w:val="00BD10B7"/>
    <w:rsid w:val="00BD2850"/>
    <w:rsid w:val="00BE28D2"/>
    <w:rsid w:val="00BE336B"/>
    <w:rsid w:val="00BE7734"/>
    <w:rsid w:val="00BF25D6"/>
    <w:rsid w:val="00BF7B58"/>
    <w:rsid w:val="00BF7F58"/>
    <w:rsid w:val="00C00C7D"/>
    <w:rsid w:val="00C01381"/>
    <w:rsid w:val="00C0527D"/>
    <w:rsid w:val="00C079B8"/>
    <w:rsid w:val="00C07B16"/>
    <w:rsid w:val="00C123EA"/>
    <w:rsid w:val="00C12A49"/>
    <w:rsid w:val="00C133EE"/>
    <w:rsid w:val="00C160A6"/>
    <w:rsid w:val="00C16196"/>
    <w:rsid w:val="00C2527D"/>
    <w:rsid w:val="00C2730D"/>
    <w:rsid w:val="00C27DE9"/>
    <w:rsid w:val="00C33388"/>
    <w:rsid w:val="00C37731"/>
    <w:rsid w:val="00C37AB9"/>
    <w:rsid w:val="00C4173A"/>
    <w:rsid w:val="00C4482D"/>
    <w:rsid w:val="00C507FB"/>
    <w:rsid w:val="00C602FF"/>
    <w:rsid w:val="00C61174"/>
    <w:rsid w:val="00C6148F"/>
    <w:rsid w:val="00C62F7A"/>
    <w:rsid w:val="00C63B9C"/>
    <w:rsid w:val="00C659CB"/>
    <w:rsid w:val="00C6682F"/>
    <w:rsid w:val="00C676CE"/>
    <w:rsid w:val="00C67970"/>
    <w:rsid w:val="00C7275E"/>
    <w:rsid w:val="00C74AC2"/>
    <w:rsid w:val="00C74C5D"/>
    <w:rsid w:val="00C76E88"/>
    <w:rsid w:val="00C80475"/>
    <w:rsid w:val="00C863C4"/>
    <w:rsid w:val="00C93C3E"/>
    <w:rsid w:val="00C952A3"/>
    <w:rsid w:val="00CA0B17"/>
    <w:rsid w:val="00CA12E3"/>
    <w:rsid w:val="00CA4E02"/>
    <w:rsid w:val="00CA6611"/>
    <w:rsid w:val="00CB177C"/>
    <w:rsid w:val="00CB3F85"/>
    <w:rsid w:val="00CB5B6B"/>
    <w:rsid w:val="00CC2BFD"/>
    <w:rsid w:val="00CC4416"/>
    <w:rsid w:val="00CD26B2"/>
    <w:rsid w:val="00CD3476"/>
    <w:rsid w:val="00CD64DF"/>
    <w:rsid w:val="00CE3181"/>
    <w:rsid w:val="00CE37A2"/>
    <w:rsid w:val="00CE4300"/>
    <w:rsid w:val="00CE750D"/>
    <w:rsid w:val="00CF10EA"/>
    <w:rsid w:val="00CF2F50"/>
    <w:rsid w:val="00CF3C87"/>
    <w:rsid w:val="00CF48DF"/>
    <w:rsid w:val="00D02919"/>
    <w:rsid w:val="00D043B6"/>
    <w:rsid w:val="00D04C61"/>
    <w:rsid w:val="00D04D8E"/>
    <w:rsid w:val="00D05B8D"/>
    <w:rsid w:val="00D07EC0"/>
    <w:rsid w:val="00D07F00"/>
    <w:rsid w:val="00D1367C"/>
    <w:rsid w:val="00D14664"/>
    <w:rsid w:val="00D14990"/>
    <w:rsid w:val="00D208B9"/>
    <w:rsid w:val="00D21873"/>
    <w:rsid w:val="00D23A1E"/>
    <w:rsid w:val="00D26CE9"/>
    <w:rsid w:val="00D32BC1"/>
    <w:rsid w:val="00D33E72"/>
    <w:rsid w:val="00D35BD6"/>
    <w:rsid w:val="00D361B5"/>
    <w:rsid w:val="00D411A2"/>
    <w:rsid w:val="00D4374F"/>
    <w:rsid w:val="00D50B9C"/>
    <w:rsid w:val="00D51362"/>
    <w:rsid w:val="00D52D73"/>
    <w:rsid w:val="00D52E58"/>
    <w:rsid w:val="00D54931"/>
    <w:rsid w:val="00D55AF8"/>
    <w:rsid w:val="00D56C68"/>
    <w:rsid w:val="00D677DD"/>
    <w:rsid w:val="00D714CC"/>
    <w:rsid w:val="00D75EA7"/>
    <w:rsid w:val="00D75F50"/>
    <w:rsid w:val="00D81F21"/>
    <w:rsid w:val="00D9037B"/>
    <w:rsid w:val="00D95470"/>
    <w:rsid w:val="00D96810"/>
    <w:rsid w:val="00D97CC0"/>
    <w:rsid w:val="00DA067D"/>
    <w:rsid w:val="00DA2619"/>
    <w:rsid w:val="00DA4239"/>
    <w:rsid w:val="00DA64C3"/>
    <w:rsid w:val="00DA7B18"/>
    <w:rsid w:val="00DB0B61"/>
    <w:rsid w:val="00DB314A"/>
    <w:rsid w:val="00DB38CA"/>
    <w:rsid w:val="00DB6419"/>
    <w:rsid w:val="00DB64FE"/>
    <w:rsid w:val="00DC090B"/>
    <w:rsid w:val="00DC2CF1"/>
    <w:rsid w:val="00DC4FCF"/>
    <w:rsid w:val="00DC50E0"/>
    <w:rsid w:val="00DC6386"/>
    <w:rsid w:val="00DD1130"/>
    <w:rsid w:val="00DD1951"/>
    <w:rsid w:val="00DD1CD1"/>
    <w:rsid w:val="00DD2468"/>
    <w:rsid w:val="00DD3E6F"/>
    <w:rsid w:val="00DD6628"/>
    <w:rsid w:val="00DE3250"/>
    <w:rsid w:val="00DE4EF9"/>
    <w:rsid w:val="00DE55C8"/>
    <w:rsid w:val="00DE58BB"/>
    <w:rsid w:val="00DE6028"/>
    <w:rsid w:val="00DE78A3"/>
    <w:rsid w:val="00DE7D04"/>
    <w:rsid w:val="00DF1A71"/>
    <w:rsid w:val="00DF68C7"/>
    <w:rsid w:val="00E03A36"/>
    <w:rsid w:val="00E0653A"/>
    <w:rsid w:val="00E06991"/>
    <w:rsid w:val="00E06B3F"/>
    <w:rsid w:val="00E06B4E"/>
    <w:rsid w:val="00E10117"/>
    <w:rsid w:val="00E170DC"/>
    <w:rsid w:val="00E20341"/>
    <w:rsid w:val="00E222C0"/>
    <w:rsid w:val="00E26818"/>
    <w:rsid w:val="00E27FFC"/>
    <w:rsid w:val="00E30B15"/>
    <w:rsid w:val="00E33D10"/>
    <w:rsid w:val="00E40181"/>
    <w:rsid w:val="00E43220"/>
    <w:rsid w:val="00E46998"/>
    <w:rsid w:val="00E46F03"/>
    <w:rsid w:val="00E5090F"/>
    <w:rsid w:val="00E54342"/>
    <w:rsid w:val="00E57D9C"/>
    <w:rsid w:val="00E61DDE"/>
    <w:rsid w:val="00E629A1"/>
    <w:rsid w:val="00E63343"/>
    <w:rsid w:val="00E673AA"/>
    <w:rsid w:val="00E70E4B"/>
    <w:rsid w:val="00E743B7"/>
    <w:rsid w:val="00E7578A"/>
    <w:rsid w:val="00E767FD"/>
    <w:rsid w:val="00E82C55"/>
    <w:rsid w:val="00E851B1"/>
    <w:rsid w:val="00E86CB4"/>
    <w:rsid w:val="00E87E47"/>
    <w:rsid w:val="00E92AC3"/>
    <w:rsid w:val="00E94CD4"/>
    <w:rsid w:val="00E95C2E"/>
    <w:rsid w:val="00E96F1F"/>
    <w:rsid w:val="00EA0542"/>
    <w:rsid w:val="00EA6F92"/>
    <w:rsid w:val="00EA7698"/>
    <w:rsid w:val="00EB00E0"/>
    <w:rsid w:val="00EB5286"/>
    <w:rsid w:val="00EC059F"/>
    <w:rsid w:val="00EC1F24"/>
    <w:rsid w:val="00ED5B9B"/>
    <w:rsid w:val="00ED6BAD"/>
    <w:rsid w:val="00ED6C97"/>
    <w:rsid w:val="00ED7447"/>
    <w:rsid w:val="00EE1488"/>
    <w:rsid w:val="00EE3166"/>
    <w:rsid w:val="00EE4D5D"/>
    <w:rsid w:val="00EE62E6"/>
    <w:rsid w:val="00EE68B9"/>
    <w:rsid w:val="00EE7A6A"/>
    <w:rsid w:val="00EF0CD8"/>
    <w:rsid w:val="00EF109B"/>
    <w:rsid w:val="00EF2D9B"/>
    <w:rsid w:val="00EF362A"/>
    <w:rsid w:val="00EF36AF"/>
    <w:rsid w:val="00EF45DA"/>
    <w:rsid w:val="00F00F9C"/>
    <w:rsid w:val="00F02573"/>
    <w:rsid w:val="00F02ABA"/>
    <w:rsid w:val="00F0437A"/>
    <w:rsid w:val="00F105E6"/>
    <w:rsid w:val="00F11037"/>
    <w:rsid w:val="00F13C2A"/>
    <w:rsid w:val="00F22EF4"/>
    <w:rsid w:val="00F237AE"/>
    <w:rsid w:val="00F250A9"/>
    <w:rsid w:val="00F2542E"/>
    <w:rsid w:val="00F30FCC"/>
    <w:rsid w:val="00F30FF4"/>
    <w:rsid w:val="00F32AC6"/>
    <w:rsid w:val="00F32BEA"/>
    <w:rsid w:val="00F331AD"/>
    <w:rsid w:val="00F34599"/>
    <w:rsid w:val="00F40703"/>
    <w:rsid w:val="00F41D12"/>
    <w:rsid w:val="00F43A37"/>
    <w:rsid w:val="00F4641B"/>
    <w:rsid w:val="00F46E3C"/>
    <w:rsid w:val="00F46EB8"/>
    <w:rsid w:val="00F47277"/>
    <w:rsid w:val="00F47826"/>
    <w:rsid w:val="00F511E4"/>
    <w:rsid w:val="00F5261B"/>
    <w:rsid w:val="00F52D09"/>
    <w:rsid w:val="00F52E08"/>
    <w:rsid w:val="00F53D0B"/>
    <w:rsid w:val="00F55B21"/>
    <w:rsid w:val="00F56EF6"/>
    <w:rsid w:val="00F64696"/>
    <w:rsid w:val="00F65AA9"/>
    <w:rsid w:val="00F6768F"/>
    <w:rsid w:val="00F67797"/>
    <w:rsid w:val="00F70575"/>
    <w:rsid w:val="00F70D95"/>
    <w:rsid w:val="00F72C2C"/>
    <w:rsid w:val="00F73838"/>
    <w:rsid w:val="00F73C6C"/>
    <w:rsid w:val="00F74F1A"/>
    <w:rsid w:val="00F761AE"/>
    <w:rsid w:val="00F76CAB"/>
    <w:rsid w:val="00F772C6"/>
    <w:rsid w:val="00F77BCB"/>
    <w:rsid w:val="00F84D6C"/>
    <w:rsid w:val="00F85195"/>
    <w:rsid w:val="00F938BA"/>
    <w:rsid w:val="00F94A4E"/>
    <w:rsid w:val="00F9697E"/>
    <w:rsid w:val="00FA0AAD"/>
    <w:rsid w:val="00FA260A"/>
    <w:rsid w:val="00FA2C46"/>
    <w:rsid w:val="00FA70A0"/>
    <w:rsid w:val="00FB1EB5"/>
    <w:rsid w:val="00FB4CDA"/>
    <w:rsid w:val="00FB546B"/>
    <w:rsid w:val="00FC0F81"/>
    <w:rsid w:val="00FC1B7C"/>
    <w:rsid w:val="00FC20F2"/>
    <w:rsid w:val="00FC2283"/>
    <w:rsid w:val="00FC395C"/>
    <w:rsid w:val="00FD2FEB"/>
    <w:rsid w:val="00FD3766"/>
    <w:rsid w:val="00FD47C4"/>
    <w:rsid w:val="00FE19A5"/>
    <w:rsid w:val="00FE2DCF"/>
    <w:rsid w:val="00FF12A7"/>
    <w:rsid w:val="00FF2FCE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7FC3F7D"/>
  <w15:docId w15:val="{323E6EC5-D092-4BA2-9C69-13D2FB86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E0653A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1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1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6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2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3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2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3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4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2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2"/>
      </w:numPr>
    </w:pPr>
  </w:style>
  <w:style w:type="paragraph" w:customStyle="1" w:styleId="DPCquotebullet">
    <w:name w:val="DPC quote bullet"/>
    <w:basedOn w:val="DPCquote"/>
    <w:rsid w:val="00526865"/>
    <w:pPr>
      <w:numPr>
        <w:numId w:val="5"/>
      </w:numPr>
    </w:pPr>
  </w:style>
  <w:style w:type="numbering" w:customStyle="1" w:styleId="ZZBullets">
    <w:name w:val="ZZ Bullets"/>
    <w:rsid w:val="00526865"/>
    <w:pPr>
      <w:numPr>
        <w:numId w:val="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3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4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5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6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E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7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8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87D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87D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5E5290"/>
    <w:rPr>
      <w:rFonts w:ascii="Cambria" w:hAnsi="Cambri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367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4931"/>
    <w:pPr>
      <w:spacing w:before="240" w:after="0" w:line="259" w:lineRule="auto"/>
      <w:outlineLvl w:val="9"/>
    </w:pPr>
    <w:rPr>
      <w:rFonts w:eastAsiaTheme="majorEastAsia" w:cstheme="majorBidi"/>
      <w:bCs w:val="0"/>
      <w:color w:val="00559A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vic.gov.au/bonus-removal-off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PC001\DPC_APPS01$\DPC\ZEN\Template\DPC%20Templates\Portrait_no%20cover.dotx" TargetMode="External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35A9-D4C1-482C-A086-E7203D5097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85133D-B811-44C1-A262-ACFA53B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Portrait_no cover.dotx</Template>
  <TotalTime>2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8314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Governance Branch 2</dc:creator>
  <cp:lastModifiedBy>Elise Lima-Bosworth (DPC)</cp:lastModifiedBy>
  <cp:revision>5</cp:revision>
  <cp:lastPrinted>2019-03-01T03:11:00Z</cp:lastPrinted>
  <dcterms:created xsi:type="dcterms:W3CDTF">2020-02-06T22:46:00Z</dcterms:created>
  <dcterms:modified xsi:type="dcterms:W3CDTF">2020-02-06T22:47:00Z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1614b021-2041-440b-9feb-3c11054008f2</vt:lpwstr>
  </property>
  <property fmtid="{D5CDD505-2E9C-101B-9397-08002B2CF9AE}" pid="4" name="PSPFClassification">
    <vt:lpwstr>For Official Use Only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elise.lima-bosworth@dpc.vic.gov.au</vt:lpwstr>
  </property>
  <property fmtid="{D5CDD505-2E9C-101B-9397-08002B2CF9AE}" pid="8" name="MSIP_Label_7158ebbd-6c5e-441f-bfc9-4eb8c11e3978_SetDate">
    <vt:lpwstr>2019-10-30T21:37:41.7776229Z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