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E4ECC" w14:textId="77777777" w:rsidR="00807D76" w:rsidRPr="00280C4B" w:rsidRDefault="00807D76" w:rsidP="00807D76">
      <w:pPr>
        <w:pStyle w:val="Sectionbreakfirstpage"/>
      </w:pPr>
      <w:r w:rsidRPr="00280C4B">
        <w:drawing>
          <wp:anchor distT="0" distB="0" distL="114300" distR="114300" simplePos="0" relativeHeight="251658240" behindDoc="1" locked="1" layoutInCell="1" allowOverlap="1" wp14:anchorId="3877F95A" wp14:editId="6DA5C191">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01E432" w14:textId="77777777" w:rsidR="00807D76" w:rsidRPr="00280C4B" w:rsidRDefault="00807D76" w:rsidP="00807D76">
      <w:pPr>
        <w:pStyle w:val="Sectionbreakfirstpage"/>
        <w:tabs>
          <w:tab w:val="left" w:pos="2865"/>
        </w:tabs>
        <w:sectPr w:rsidR="00807D76" w:rsidRPr="00280C4B" w:rsidSect="00807D76">
          <w:footerReference w:type="even" r:id="rId11"/>
          <w:footerReference w:type="default" r:id="rId12"/>
          <w:footerReference w:type="first" r:id="rId13"/>
          <w:pgSz w:w="11906" w:h="16838" w:code="9"/>
          <w:pgMar w:top="454" w:right="851" w:bottom="1418" w:left="851" w:header="340" w:footer="567" w:gutter="0"/>
          <w:cols w:space="708"/>
          <w:docGrid w:linePitch="360"/>
        </w:sectPr>
      </w:pPr>
      <w:r>
        <w:tab/>
      </w:r>
    </w:p>
    <w:tbl>
      <w:tblPr>
        <w:tblpPr w:leftFromText="180" w:rightFromText="180" w:vertAnchor="text" w:tblpY="1"/>
        <w:tblW w:w="6663" w:type="dxa"/>
        <w:tblLook w:val="04A0" w:firstRow="1" w:lastRow="0" w:firstColumn="1" w:lastColumn="0" w:noHBand="0" w:noVBand="1"/>
      </w:tblPr>
      <w:tblGrid>
        <w:gridCol w:w="6663"/>
      </w:tblGrid>
      <w:tr w:rsidR="00807D76" w14:paraId="4D6643B4" w14:textId="77777777" w:rsidTr="00176084">
        <w:trPr>
          <w:trHeight w:val="1418"/>
        </w:trPr>
        <w:tc>
          <w:tcPr>
            <w:tcW w:w="6663" w:type="dxa"/>
          </w:tcPr>
          <w:p w14:paraId="7A9BFDD8" w14:textId="77777777" w:rsidR="00807D76" w:rsidRPr="0009050A" w:rsidRDefault="00807D76" w:rsidP="00176084">
            <w:pPr>
              <w:pStyle w:val="Heading1"/>
            </w:pPr>
            <w:r>
              <w:t>Preparing to register with the Social Services Regulator</w:t>
            </w:r>
          </w:p>
        </w:tc>
      </w:tr>
      <w:tr w:rsidR="00807D76" w14:paraId="22423AE3" w14:textId="77777777" w:rsidTr="00176084">
        <w:trPr>
          <w:trHeight w:val="712"/>
        </w:trPr>
        <w:tc>
          <w:tcPr>
            <w:tcW w:w="6663" w:type="dxa"/>
          </w:tcPr>
          <w:p w14:paraId="67402116" w14:textId="77777777" w:rsidR="00807D76" w:rsidRPr="0016037B" w:rsidRDefault="00807D76" w:rsidP="00176084">
            <w:pPr>
              <w:pStyle w:val="Heading1"/>
            </w:pPr>
            <w:r>
              <w:t>Group 3</w:t>
            </w:r>
          </w:p>
        </w:tc>
      </w:tr>
      <w:tr w:rsidR="00807D76" w14:paraId="7BAEEE03" w14:textId="77777777" w:rsidTr="00176084">
        <w:trPr>
          <w:trHeight w:val="284"/>
        </w:trPr>
        <w:tc>
          <w:tcPr>
            <w:tcW w:w="6663" w:type="dxa"/>
          </w:tcPr>
          <w:p w14:paraId="61D9CD89" w14:textId="77777777" w:rsidR="00807D76" w:rsidRPr="00250DC4" w:rsidRDefault="00807D76" w:rsidP="00176084">
            <w:pPr>
              <w:pStyle w:val="Bannermarking"/>
            </w:pPr>
            <w:fldSimple w:instr=" FILLIN  &quot;Type the protective marking&quot; \d OFFICIAL \o  \* MERGEFORMAT ">
              <w:r>
                <w:t>OFFICIAL</w:t>
              </w:r>
            </w:fldSimple>
          </w:p>
        </w:tc>
      </w:tr>
    </w:tbl>
    <w:p w14:paraId="00EDE2DA" w14:textId="77777777" w:rsidR="00807D76" w:rsidRDefault="00807D76" w:rsidP="00807D76">
      <w:pPr>
        <w:pStyle w:val="Body"/>
      </w:pPr>
      <w:r>
        <w:br w:type="textWrapping" w:clear="all"/>
      </w:r>
    </w:p>
    <w:p w14:paraId="41247F1D" w14:textId="77777777" w:rsidR="00807D76" w:rsidRPr="00B57329" w:rsidRDefault="00807D76" w:rsidP="00807D76">
      <w:pPr>
        <w:pStyle w:val="Heading2"/>
      </w:pPr>
      <w:r w:rsidRPr="00B57329">
        <w:t>Contents</w:t>
      </w:r>
    </w:p>
    <w:p w14:paraId="302D6509" w14:textId="2F58D07C"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3679331" w:history="1">
        <w:r w:rsidRPr="00B22795">
          <w:rPr>
            <w:rStyle w:val="Hyperlink"/>
          </w:rPr>
          <w:t>The Social Services Regulator</w:t>
        </w:r>
        <w:r>
          <w:rPr>
            <w:webHidden/>
          </w:rPr>
          <w:tab/>
        </w:r>
        <w:r>
          <w:rPr>
            <w:webHidden/>
          </w:rPr>
          <w:fldChar w:fldCharType="begin"/>
        </w:r>
        <w:r>
          <w:rPr>
            <w:webHidden/>
          </w:rPr>
          <w:instrText xml:space="preserve"> PAGEREF _Toc183679331 \h </w:instrText>
        </w:r>
        <w:r>
          <w:rPr>
            <w:webHidden/>
          </w:rPr>
        </w:r>
        <w:r>
          <w:rPr>
            <w:webHidden/>
          </w:rPr>
          <w:fldChar w:fldCharType="separate"/>
        </w:r>
        <w:r w:rsidR="004A6055">
          <w:rPr>
            <w:webHidden/>
          </w:rPr>
          <w:t>1</w:t>
        </w:r>
        <w:r>
          <w:rPr>
            <w:webHidden/>
          </w:rPr>
          <w:fldChar w:fldCharType="end"/>
        </w:r>
      </w:hyperlink>
    </w:p>
    <w:p w14:paraId="5889E5FB" w14:textId="1BDCE0E9"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32" w:history="1">
        <w:r w:rsidRPr="00B22795">
          <w:rPr>
            <w:rStyle w:val="Hyperlink"/>
          </w:rPr>
          <w:t>Registration</w:t>
        </w:r>
        <w:r>
          <w:rPr>
            <w:webHidden/>
          </w:rPr>
          <w:tab/>
        </w:r>
        <w:r>
          <w:rPr>
            <w:webHidden/>
          </w:rPr>
          <w:fldChar w:fldCharType="begin"/>
        </w:r>
        <w:r>
          <w:rPr>
            <w:webHidden/>
          </w:rPr>
          <w:instrText xml:space="preserve"> PAGEREF _Toc183679332 \h </w:instrText>
        </w:r>
        <w:r>
          <w:rPr>
            <w:webHidden/>
          </w:rPr>
        </w:r>
        <w:r>
          <w:rPr>
            <w:webHidden/>
          </w:rPr>
          <w:fldChar w:fldCharType="separate"/>
        </w:r>
        <w:r w:rsidR="004A6055">
          <w:rPr>
            <w:webHidden/>
          </w:rPr>
          <w:t>2</w:t>
        </w:r>
        <w:r>
          <w:rPr>
            <w:webHidden/>
          </w:rPr>
          <w:fldChar w:fldCharType="end"/>
        </w:r>
      </w:hyperlink>
    </w:p>
    <w:p w14:paraId="3D48B49C" w14:textId="1DC346C4"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33" w:history="1">
        <w:r w:rsidRPr="00B22795">
          <w:rPr>
            <w:rStyle w:val="Hyperlink"/>
          </w:rPr>
          <w:t>Why is registering important?</w:t>
        </w:r>
        <w:r>
          <w:rPr>
            <w:webHidden/>
          </w:rPr>
          <w:tab/>
        </w:r>
        <w:r>
          <w:rPr>
            <w:webHidden/>
          </w:rPr>
          <w:fldChar w:fldCharType="begin"/>
        </w:r>
        <w:r>
          <w:rPr>
            <w:webHidden/>
          </w:rPr>
          <w:instrText xml:space="preserve"> PAGEREF _Toc183679333 \h </w:instrText>
        </w:r>
        <w:r>
          <w:rPr>
            <w:webHidden/>
          </w:rPr>
        </w:r>
        <w:r>
          <w:rPr>
            <w:webHidden/>
          </w:rPr>
          <w:fldChar w:fldCharType="separate"/>
        </w:r>
        <w:r w:rsidR="004A6055">
          <w:rPr>
            <w:webHidden/>
          </w:rPr>
          <w:t>2</w:t>
        </w:r>
        <w:r>
          <w:rPr>
            <w:webHidden/>
          </w:rPr>
          <w:fldChar w:fldCharType="end"/>
        </w:r>
      </w:hyperlink>
    </w:p>
    <w:p w14:paraId="2945AA20" w14:textId="7BFB9ACB"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34" w:history="1">
        <w:r w:rsidRPr="00B22795">
          <w:rPr>
            <w:rStyle w:val="Hyperlink"/>
          </w:rPr>
          <w:t>What if I am already registered with a different regulator?</w:t>
        </w:r>
        <w:r>
          <w:rPr>
            <w:webHidden/>
          </w:rPr>
          <w:tab/>
        </w:r>
        <w:r>
          <w:rPr>
            <w:webHidden/>
          </w:rPr>
          <w:fldChar w:fldCharType="begin"/>
        </w:r>
        <w:r>
          <w:rPr>
            <w:webHidden/>
          </w:rPr>
          <w:instrText xml:space="preserve"> PAGEREF _Toc183679334 \h </w:instrText>
        </w:r>
        <w:r>
          <w:rPr>
            <w:webHidden/>
          </w:rPr>
        </w:r>
        <w:r>
          <w:rPr>
            <w:webHidden/>
          </w:rPr>
          <w:fldChar w:fldCharType="separate"/>
        </w:r>
        <w:r w:rsidR="004A6055">
          <w:rPr>
            <w:webHidden/>
          </w:rPr>
          <w:t>2</w:t>
        </w:r>
        <w:r>
          <w:rPr>
            <w:webHidden/>
          </w:rPr>
          <w:fldChar w:fldCharType="end"/>
        </w:r>
      </w:hyperlink>
    </w:p>
    <w:p w14:paraId="709C6537" w14:textId="68D81EE3"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35" w:history="1">
        <w:r w:rsidRPr="00B22795">
          <w:rPr>
            <w:rStyle w:val="Hyperlink"/>
          </w:rPr>
          <w:t xml:space="preserve">Snapshot: Registration Group </w:t>
        </w:r>
        <w:r>
          <w:rPr>
            <w:rStyle w:val="Hyperlink"/>
          </w:rPr>
          <w:t>3</w:t>
        </w:r>
        <w:r>
          <w:rPr>
            <w:webHidden/>
          </w:rPr>
          <w:tab/>
        </w:r>
        <w:r>
          <w:rPr>
            <w:webHidden/>
          </w:rPr>
          <w:fldChar w:fldCharType="begin"/>
        </w:r>
        <w:r>
          <w:rPr>
            <w:webHidden/>
          </w:rPr>
          <w:instrText xml:space="preserve"> PAGEREF _Toc183679335 \h </w:instrText>
        </w:r>
        <w:r>
          <w:rPr>
            <w:webHidden/>
          </w:rPr>
        </w:r>
        <w:r>
          <w:rPr>
            <w:webHidden/>
          </w:rPr>
          <w:fldChar w:fldCharType="separate"/>
        </w:r>
        <w:r w:rsidR="004A6055">
          <w:rPr>
            <w:webHidden/>
          </w:rPr>
          <w:t>2</w:t>
        </w:r>
        <w:r>
          <w:rPr>
            <w:webHidden/>
          </w:rPr>
          <w:fldChar w:fldCharType="end"/>
        </w:r>
      </w:hyperlink>
    </w:p>
    <w:p w14:paraId="3AE3D5C8" w14:textId="35AE8A8E"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36" w:history="1">
        <w:r w:rsidRPr="00B22795">
          <w:rPr>
            <w:rStyle w:val="Hyperlink"/>
          </w:rPr>
          <w:t>Registration dates</w:t>
        </w:r>
        <w:r>
          <w:rPr>
            <w:webHidden/>
          </w:rPr>
          <w:tab/>
        </w:r>
        <w:r>
          <w:rPr>
            <w:webHidden/>
          </w:rPr>
          <w:fldChar w:fldCharType="begin"/>
        </w:r>
        <w:r>
          <w:rPr>
            <w:webHidden/>
          </w:rPr>
          <w:instrText xml:space="preserve"> PAGEREF _Toc183679336 \h </w:instrText>
        </w:r>
        <w:r>
          <w:rPr>
            <w:webHidden/>
          </w:rPr>
        </w:r>
        <w:r>
          <w:rPr>
            <w:webHidden/>
          </w:rPr>
          <w:fldChar w:fldCharType="separate"/>
        </w:r>
        <w:r w:rsidR="004A6055">
          <w:rPr>
            <w:webHidden/>
          </w:rPr>
          <w:t>3</w:t>
        </w:r>
        <w:r>
          <w:rPr>
            <w:webHidden/>
          </w:rPr>
          <w:fldChar w:fldCharType="end"/>
        </w:r>
      </w:hyperlink>
    </w:p>
    <w:p w14:paraId="518D3B96" w14:textId="7EBA4540"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37" w:history="1">
        <w:r w:rsidRPr="00B22795">
          <w:rPr>
            <w:rStyle w:val="Hyperlink"/>
          </w:rPr>
          <w:t>Getting ready for registration</w:t>
        </w:r>
        <w:r>
          <w:rPr>
            <w:webHidden/>
          </w:rPr>
          <w:tab/>
        </w:r>
        <w:r>
          <w:rPr>
            <w:webHidden/>
          </w:rPr>
          <w:fldChar w:fldCharType="begin"/>
        </w:r>
        <w:r>
          <w:rPr>
            <w:webHidden/>
          </w:rPr>
          <w:instrText xml:space="preserve"> PAGEREF _Toc183679337 \h </w:instrText>
        </w:r>
        <w:r>
          <w:rPr>
            <w:webHidden/>
          </w:rPr>
        </w:r>
        <w:r>
          <w:rPr>
            <w:webHidden/>
          </w:rPr>
          <w:fldChar w:fldCharType="separate"/>
        </w:r>
        <w:r w:rsidR="004A6055">
          <w:rPr>
            <w:webHidden/>
          </w:rPr>
          <w:t>3</w:t>
        </w:r>
        <w:r>
          <w:rPr>
            <w:webHidden/>
          </w:rPr>
          <w:fldChar w:fldCharType="end"/>
        </w:r>
      </w:hyperlink>
    </w:p>
    <w:p w14:paraId="3233D2D8" w14:textId="4BB7C9DB"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38" w:history="1">
        <w:r w:rsidRPr="00B22795">
          <w:rPr>
            <w:rStyle w:val="Hyperlink"/>
          </w:rPr>
          <w:t xml:space="preserve">Overview of the Group </w:t>
        </w:r>
        <w:r>
          <w:rPr>
            <w:rStyle w:val="Hyperlink"/>
          </w:rPr>
          <w:t>3</w:t>
        </w:r>
        <w:r w:rsidRPr="00B22795">
          <w:rPr>
            <w:rStyle w:val="Hyperlink"/>
          </w:rPr>
          <w:t xml:space="preserve"> registration process</w:t>
        </w:r>
        <w:r>
          <w:rPr>
            <w:webHidden/>
          </w:rPr>
          <w:tab/>
        </w:r>
        <w:r>
          <w:rPr>
            <w:webHidden/>
          </w:rPr>
          <w:fldChar w:fldCharType="begin"/>
        </w:r>
        <w:r>
          <w:rPr>
            <w:webHidden/>
          </w:rPr>
          <w:instrText xml:space="preserve"> PAGEREF _Toc183679338 \h </w:instrText>
        </w:r>
        <w:r>
          <w:rPr>
            <w:webHidden/>
          </w:rPr>
        </w:r>
        <w:r>
          <w:rPr>
            <w:webHidden/>
          </w:rPr>
          <w:fldChar w:fldCharType="separate"/>
        </w:r>
        <w:r w:rsidR="004A6055">
          <w:rPr>
            <w:webHidden/>
          </w:rPr>
          <w:t>3</w:t>
        </w:r>
        <w:r>
          <w:rPr>
            <w:webHidden/>
          </w:rPr>
          <w:fldChar w:fldCharType="end"/>
        </w:r>
      </w:hyperlink>
    </w:p>
    <w:p w14:paraId="092C6AC9" w14:textId="5A76B9DB"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39" w:history="1">
        <w:r w:rsidRPr="00B22795">
          <w:rPr>
            <w:rStyle w:val="Hyperlink"/>
          </w:rPr>
          <w:t>Beginning your registration application</w:t>
        </w:r>
        <w:r>
          <w:rPr>
            <w:webHidden/>
          </w:rPr>
          <w:tab/>
        </w:r>
        <w:r>
          <w:rPr>
            <w:webHidden/>
          </w:rPr>
          <w:fldChar w:fldCharType="begin"/>
        </w:r>
        <w:r>
          <w:rPr>
            <w:webHidden/>
          </w:rPr>
          <w:instrText xml:space="preserve"> PAGEREF _Toc183679339 \h </w:instrText>
        </w:r>
        <w:r>
          <w:rPr>
            <w:webHidden/>
          </w:rPr>
        </w:r>
        <w:r>
          <w:rPr>
            <w:webHidden/>
          </w:rPr>
          <w:fldChar w:fldCharType="separate"/>
        </w:r>
        <w:r w:rsidR="004A6055">
          <w:rPr>
            <w:webHidden/>
          </w:rPr>
          <w:t>4</w:t>
        </w:r>
        <w:r>
          <w:rPr>
            <w:webHidden/>
          </w:rPr>
          <w:fldChar w:fldCharType="end"/>
        </w:r>
      </w:hyperlink>
    </w:p>
    <w:p w14:paraId="08094AFC" w14:textId="7A14B5DE"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40" w:history="1">
        <w:r w:rsidRPr="00B22795">
          <w:rPr>
            <w:rStyle w:val="Hyperlink"/>
          </w:rPr>
          <w:t>How will I know the outcome of my registration application?</w:t>
        </w:r>
        <w:r>
          <w:rPr>
            <w:webHidden/>
          </w:rPr>
          <w:tab/>
        </w:r>
        <w:r>
          <w:rPr>
            <w:webHidden/>
          </w:rPr>
          <w:fldChar w:fldCharType="begin"/>
        </w:r>
        <w:r>
          <w:rPr>
            <w:webHidden/>
          </w:rPr>
          <w:instrText xml:space="preserve"> PAGEREF _Toc183679340 \h </w:instrText>
        </w:r>
        <w:r>
          <w:rPr>
            <w:webHidden/>
          </w:rPr>
        </w:r>
        <w:r>
          <w:rPr>
            <w:webHidden/>
          </w:rPr>
          <w:fldChar w:fldCharType="separate"/>
        </w:r>
        <w:r w:rsidR="004A6055">
          <w:rPr>
            <w:webHidden/>
          </w:rPr>
          <w:t>4</w:t>
        </w:r>
        <w:r>
          <w:rPr>
            <w:webHidden/>
          </w:rPr>
          <w:fldChar w:fldCharType="end"/>
        </w:r>
      </w:hyperlink>
    </w:p>
    <w:p w14:paraId="678E4E3B" w14:textId="045C9789"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41" w:history="1">
        <w:r w:rsidRPr="00B22795">
          <w:rPr>
            <w:rStyle w:val="Hyperlink"/>
          </w:rPr>
          <w:t>Ongoing registration requirements</w:t>
        </w:r>
        <w:r>
          <w:rPr>
            <w:webHidden/>
          </w:rPr>
          <w:tab/>
        </w:r>
        <w:r>
          <w:rPr>
            <w:webHidden/>
          </w:rPr>
          <w:fldChar w:fldCharType="begin"/>
        </w:r>
        <w:r>
          <w:rPr>
            <w:webHidden/>
          </w:rPr>
          <w:instrText xml:space="preserve"> PAGEREF _Toc183679341 \h </w:instrText>
        </w:r>
        <w:r>
          <w:rPr>
            <w:webHidden/>
          </w:rPr>
        </w:r>
        <w:r>
          <w:rPr>
            <w:webHidden/>
          </w:rPr>
          <w:fldChar w:fldCharType="separate"/>
        </w:r>
        <w:r w:rsidR="004A6055">
          <w:rPr>
            <w:webHidden/>
          </w:rPr>
          <w:t>4</w:t>
        </w:r>
        <w:r>
          <w:rPr>
            <w:webHidden/>
          </w:rPr>
          <w:fldChar w:fldCharType="end"/>
        </w:r>
      </w:hyperlink>
    </w:p>
    <w:p w14:paraId="595C1F79" w14:textId="5523EB8D"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42" w:history="1">
        <w:r w:rsidRPr="00B22795">
          <w:rPr>
            <w:rStyle w:val="Hyperlink"/>
          </w:rPr>
          <w:t>Useful resources and contacts</w:t>
        </w:r>
        <w:r>
          <w:rPr>
            <w:webHidden/>
          </w:rPr>
          <w:tab/>
        </w:r>
        <w:r>
          <w:rPr>
            <w:webHidden/>
          </w:rPr>
          <w:fldChar w:fldCharType="begin"/>
        </w:r>
        <w:r>
          <w:rPr>
            <w:webHidden/>
          </w:rPr>
          <w:instrText xml:space="preserve"> PAGEREF _Toc183679342 \h </w:instrText>
        </w:r>
        <w:r>
          <w:rPr>
            <w:webHidden/>
          </w:rPr>
        </w:r>
        <w:r>
          <w:rPr>
            <w:webHidden/>
          </w:rPr>
          <w:fldChar w:fldCharType="separate"/>
        </w:r>
        <w:r w:rsidR="004A6055">
          <w:rPr>
            <w:webHidden/>
          </w:rPr>
          <w:t>5</w:t>
        </w:r>
        <w:r>
          <w:rPr>
            <w:webHidden/>
          </w:rPr>
          <w:fldChar w:fldCharType="end"/>
        </w:r>
      </w:hyperlink>
    </w:p>
    <w:p w14:paraId="3E305054" w14:textId="350E2178"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43" w:history="1">
        <w:r w:rsidRPr="00B22795">
          <w:rPr>
            <w:rStyle w:val="Hyperlink"/>
          </w:rPr>
          <w:t>Resources</w:t>
        </w:r>
        <w:r>
          <w:rPr>
            <w:webHidden/>
          </w:rPr>
          <w:tab/>
        </w:r>
        <w:r>
          <w:rPr>
            <w:webHidden/>
          </w:rPr>
          <w:fldChar w:fldCharType="begin"/>
        </w:r>
        <w:r>
          <w:rPr>
            <w:webHidden/>
          </w:rPr>
          <w:instrText xml:space="preserve"> PAGEREF _Toc183679343 \h </w:instrText>
        </w:r>
        <w:r>
          <w:rPr>
            <w:webHidden/>
          </w:rPr>
        </w:r>
        <w:r>
          <w:rPr>
            <w:webHidden/>
          </w:rPr>
          <w:fldChar w:fldCharType="separate"/>
        </w:r>
        <w:r w:rsidR="004A6055">
          <w:rPr>
            <w:webHidden/>
          </w:rPr>
          <w:t>5</w:t>
        </w:r>
        <w:r>
          <w:rPr>
            <w:webHidden/>
          </w:rPr>
          <w:fldChar w:fldCharType="end"/>
        </w:r>
      </w:hyperlink>
    </w:p>
    <w:p w14:paraId="5E868B84" w14:textId="3A86EA7C"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44" w:history="1">
        <w:r w:rsidRPr="00B22795">
          <w:rPr>
            <w:rStyle w:val="Hyperlink"/>
          </w:rPr>
          <w:t>Contact us</w:t>
        </w:r>
        <w:r>
          <w:rPr>
            <w:webHidden/>
          </w:rPr>
          <w:tab/>
        </w:r>
        <w:r>
          <w:rPr>
            <w:webHidden/>
          </w:rPr>
          <w:fldChar w:fldCharType="begin"/>
        </w:r>
        <w:r>
          <w:rPr>
            <w:webHidden/>
          </w:rPr>
          <w:instrText xml:space="preserve"> PAGEREF _Toc183679344 \h </w:instrText>
        </w:r>
        <w:r>
          <w:rPr>
            <w:webHidden/>
          </w:rPr>
        </w:r>
        <w:r>
          <w:rPr>
            <w:webHidden/>
          </w:rPr>
          <w:fldChar w:fldCharType="separate"/>
        </w:r>
        <w:r w:rsidR="004A6055">
          <w:rPr>
            <w:webHidden/>
          </w:rPr>
          <w:t>5</w:t>
        </w:r>
        <w:r>
          <w:rPr>
            <w:webHidden/>
          </w:rPr>
          <w:fldChar w:fldCharType="end"/>
        </w:r>
      </w:hyperlink>
    </w:p>
    <w:p w14:paraId="6AA34175" w14:textId="444D09C2" w:rsidR="00807D76" w:rsidRDefault="00807D76" w:rsidP="00807D76">
      <w:pPr>
        <w:pStyle w:val="TOC1"/>
        <w:rPr>
          <w:rFonts w:asciiTheme="minorHAnsi" w:eastAsiaTheme="minorEastAsia" w:hAnsiTheme="minorHAnsi" w:cstheme="minorBidi"/>
          <w:b w:val="0"/>
          <w:kern w:val="2"/>
          <w:sz w:val="24"/>
          <w:szCs w:val="24"/>
          <w:lang w:eastAsia="en-AU"/>
          <w14:ligatures w14:val="standardContextual"/>
        </w:rPr>
      </w:pPr>
      <w:hyperlink w:anchor="_Toc183679345" w:history="1">
        <w:r w:rsidRPr="00B22795">
          <w:rPr>
            <w:rStyle w:val="Hyperlink"/>
          </w:rPr>
          <w:t>Appendix: About us</w:t>
        </w:r>
        <w:r>
          <w:rPr>
            <w:webHidden/>
          </w:rPr>
          <w:tab/>
        </w:r>
        <w:r>
          <w:rPr>
            <w:webHidden/>
          </w:rPr>
          <w:fldChar w:fldCharType="begin"/>
        </w:r>
        <w:r>
          <w:rPr>
            <w:webHidden/>
          </w:rPr>
          <w:instrText xml:space="preserve"> PAGEREF _Toc183679345 \h </w:instrText>
        </w:r>
        <w:r>
          <w:rPr>
            <w:webHidden/>
          </w:rPr>
        </w:r>
        <w:r>
          <w:rPr>
            <w:webHidden/>
          </w:rPr>
          <w:fldChar w:fldCharType="separate"/>
        </w:r>
        <w:r w:rsidR="004A6055">
          <w:rPr>
            <w:webHidden/>
          </w:rPr>
          <w:t>6</w:t>
        </w:r>
        <w:r>
          <w:rPr>
            <w:webHidden/>
          </w:rPr>
          <w:fldChar w:fldCharType="end"/>
        </w:r>
      </w:hyperlink>
    </w:p>
    <w:p w14:paraId="14132509" w14:textId="6977025B" w:rsidR="00807D76" w:rsidRDefault="00807D76" w:rsidP="00807D76">
      <w:pPr>
        <w:pStyle w:val="TOC2"/>
        <w:rPr>
          <w:rFonts w:asciiTheme="minorHAnsi" w:eastAsiaTheme="minorEastAsia" w:hAnsiTheme="minorHAnsi" w:cstheme="minorBidi"/>
          <w:kern w:val="2"/>
          <w:sz w:val="24"/>
          <w:szCs w:val="24"/>
          <w:lang w:eastAsia="en-AU"/>
          <w14:ligatures w14:val="standardContextual"/>
        </w:rPr>
      </w:pPr>
      <w:hyperlink w:anchor="_Toc183679346" w:history="1">
        <w:r w:rsidRPr="00B22795">
          <w:rPr>
            <w:rStyle w:val="Hyperlink"/>
          </w:rPr>
          <w:t>What is the Regulator’s role?</w:t>
        </w:r>
        <w:r>
          <w:rPr>
            <w:webHidden/>
          </w:rPr>
          <w:tab/>
        </w:r>
        <w:r>
          <w:rPr>
            <w:webHidden/>
          </w:rPr>
          <w:fldChar w:fldCharType="begin"/>
        </w:r>
        <w:r>
          <w:rPr>
            <w:webHidden/>
          </w:rPr>
          <w:instrText xml:space="preserve"> PAGEREF _Toc183679346 \h </w:instrText>
        </w:r>
        <w:r>
          <w:rPr>
            <w:webHidden/>
          </w:rPr>
        </w:r>
        <w:r>
          <w:rPr>
            <w:webHidden/>
          </w:rPr>
          <w:fldChar w:fldCharType="separate"/>
        </w:r>
        <w:r w:rsidR="004A6055">
          <w:rPr>
            <w:webHidden/>
          </w:rPr>
          <w:t>6</w:t>
        </w:r>
        <w:r>
          <w:rPr>
            <w:webHidden/>
          </w:rPr>
          <w:fldChar w:fldCharType="end"/>
        </w:r>
      </w:hyperlink>
    </w:p>
    <w:p w14:paraId="3D808397" w14:textId="77777777" w:rsidR="00807D76" w:rsidRDefault="00807D76" w:rsidP="00807D76">
      <w:pPr>
        <w:pStyle w:val="Body"/>
      </w:pPr>
      <w:r>
        <w:fldChar w:fldCharType="end"/>
      </w:r>
    </w:p>
    <w:tbl>
      <w:tblPr>
        <w:tblStyle w:val="TableGrid"/>
        <w:tblW w:w="0" w:type="auto"/>
        <w:tblLook w:val="04A0" w:firstRow="1" w:lastRow="0" w:firstColumn="1" w:lastColumn="0" w:noHBand="0" w:noVBand="1"/>
      </w:tblPr>
      <w:tblGrid>
        <w:gridCol w:w="10194"/>
      </w:tblGrid>
      <w:tr w:rsidR="00807D76" w14:paraId="1C180BF3" w14:textId="77777777" w:rsidTr="00176084">
        <w:tc>
          <w:tcPr>
            <w:tcW w:w="10194" w:type="dxa"/>
          </w:tcPr>
          <w:p w14:paraId="06450FFA" w14:textId="77777777" w:rsidR="00807D76" w:rsidRPr="000F6A23" w:rsidRDefault="00807D76" w:rsidP="00176084">
            <w:pPr>
              <w:pStyle w:val="Body"/>
              <w:rPr>
                <w:color w:val="201547"/>
                <w:szCs w:val="21"/>
              </w:rPr>
            </w:pPr>
            <w:bookmarkStart w:id="0" w:name="_Hlk166133847"/>
            <w:bookmarkStart w:id="1" w:name="_Hlk180412615"/>
            <w:r w:rsidRPr="000F6A23">
              <w:rPr>
                <w:color w:val="201547"/>
                <w:szCs w:val="21"/>
              </w:rPr>
              <w:t xml:space="preserve">This guidance is an overview to help Group </w:t>
            </w:r>
            <w:r>
              <w:rPr>
                <w:color w:val="201547"/>
                <w:szCs w:val="21"/>
              </w:rPr>
              <w:t>3</w:t>
            </w:r>
            <w:r w:rsidRPr="000F6A23">
              <w:rPr>
                <w:color w:val="201547"/>
                <w:szCs w:val="21"/>
              </w:rPr>
              <w:t xml:space="preserve"> service providers prepare for registration.</w:t>
            </w:r>
          </w:p>
          <w:p w14:paraId="22828E50" w14:textId="77777777" w:rsidR="00807D76" w:rsidRPr="000F6A23" w:rsidRDefault="00807D76" w:rsidP="00176084">
            <w:pPr>
              <w:pStyle w:val="Body"/>
              <w:rPr>
                <w:color w:val="201547"/>
                <w:szCs w:val="21"/>
              </w:rPr>
            </w:pPr>
            <w:r w:rsidRPr="000F6A23">
              <w:rPr>
                <w:color w:val="201547"/>
                <w:szCs w:val="21"/>
              </w:rPr>
              <w:t xml:space="preserve">Group </w:t>
            </w:r>
            <w:r>
              <w:rPr>
                <w:color w:val="201547"/>
                <w:szCs w:val="21"/>
              </w:rPr>
              <w:t>3</w:t>
            </w:r>
            <w:r w:rsidRPr="000F6A23">
              <w:rPr>
                <w:color w:val="201547"/>
                <w:szCs w:val="21"/>
              </w:rPr>
              <w:t xml:space="preserve"> includes social service providers that:</w:t>
            </w:r>
          </w:p>
          <w:p w14:paraId="059A5826" w14:textId="77777777" w:rsidR="00807D76" w:rsidRPr="000F6A23" w:rsidRDefault="00807D76" w:rsidP="00176084">
            <w:pPr>
              <w:pStyle w:val="Body"/>
              <w:numPr>
                <w:ilvl w:val="0"/>
                <w:numId w:val="2"/>
              </w:numPr>
              <w:ind w:left="426"/>
              <w:rPr>
                <w:color w:val="201547"/>
                <w:szCs w:val="21"/>
              </w:rPr>
            </w:pPr>
            <w:proofErr w:type="spellStart"/>
            <w:r w:rsidRPr="000F6A23">
              <w:rPr>
                <w:color w:val="201547"/>
                <w:szCs w:val="21"/>
              </w:rPr>
              <w:t>were</w:t>
            </w:r>
            <w:proofErr w:type="spellEnd"/>
            <w:r w:rsidRPr="000F6A23">
              <w:rPr>
                <w:color w:val="201547"/>
                <w:szCs w:val="21"/>
              </w:rPr>
              <w:t xml:space="preserve"> delivering disability services before 1 July 2024, </w:t>
            </w:r>
          </w:p>
          <w:p w14:paraId="0D346F6B" w14:textId="77777777" w:rsidR="00807D76" w:rsidRPr="000F6A23" w:rsidRDefault="00807D76" w:rsidP="00176084">
            <w:pPr>
              <w:pStyle w:val="Body"/>
              <w:numPr>
                <w:ilvl w:val="0"/>
                <w:numId w:val="2"/>
              </w:numPr>
              <w:ind w:left="426"/>
              <w:rPr>
                <w:color w:val="201547"/>
                <w:szCs w:val="21"/>
              </w:rPr>
            </w:pPr>
            <w:proofErr w:type="spellStart"/>
            <w:r w:rsidRPr="000F6A23">
              <w:rPr>
                <w:color w:val="201547"/>
                <w:szCs w:val="21"/>
              </w:rPr>
              <w:t>were</w:t>
            </w:r>
            <w:proofErr w:type="spellEnd"/>
            <w:r w:rsidRPr="000F6A23">
              <w:rPr>
                <w:color w:val="201547"/>
                <w:szCs w:val="21"/>
              </w:rPr>
              <w:t xml:space="preserve"> not required to register with the Human Services Regulator (HSR), and </w:t>
            </w:r>
          </w:p>
          <w:p w14:paraId="2FA30588" w14:textId="77777777" w:rsidR="00807D76" w:rsidRPr="00B91473" w:rsidRDefault="00807D76" w:rsidP="00176084">
            <w:pPr>
              <w:pStyle w:val="Body"/>
              <w:numPr>
                <w:ilvl w:val="0"/>
                <w:numId w:val="2"/>
              </w:numPr>
              <w:ind w:left="426"/>
              <w:rPr>
                <w:color w:val="201547"/>
                <w:sz w:val="22"/>
                <w:szCs w:val="22"/>
              </w:rPr>
            </w:pPr>
            <w:r w:rsidRPr="000F6A23">
              <w:rPr>
                <w:color w:val="201547"/>
                <w:szCs w:val="21"/>
              </w:rPr>
              <w:t xml:space="preserve">are funded by the Transport Accident Commission (TAC) and/or the Victorian </w:t>
            </w:r>
            <w:proofErr w:type="spellStart"/>
            <w:r w:rsidRPr="000F6A23">
              <w:rPr>
                <w:color w:val="201547"/>
                <w:szCs w:val="21"/>
              </w:rPr>
              <w:t>WorkCover</w:t>
            </w:r>
            <w:proofErr w:type="spellEnd"/>
            <w:r w:rsidRPr="000F6A23">
              <w:rPr>
                <w:color w:val="201547"/>
                <w:szCs w:val="21"/>
              </w:rPr>
              <w:t xml:space="preserve"> Authority (WorkSafe).</w:t>
            </w:r>
          </w:p>
        </w:tc>
      </w:tr>
    </w:tbl>
    <w:p w14:paraId="618F1F13" w14:textId="77777777" w:rsidR="00807D76" w:rsidRDefault="00807D76" w:rsidP="00807D76">
      <w:pPr>
        <w:pStyle w:val="Heading2"/>
      </w:pPr>
      <w:bookmarkStart w:id="2" w:name="_Toc183679331"/>
      <w:r>
        <w:t>The Social Services Regulator</w:t>
      </w:r>
      <w:bookmarkEnd w:id="2"/>
    </w:p>
    <w:p w14:paraId="4AA805C7" w14:textId="77777777" w:rsidR="00807D76" w:rsidRPr="006A3BCC" w:rsidRDefault="00807D76" w:rsidP="00807D76">
      <w:pPr>
        <w:pStyle w:val="Body"/>
      </w:pPr>
      <w:r w:rsidRPr="006A3BCC">
        <w:t xml:space="preserve">The Social Services Regulator </w:t>
      </w:r>
      <w:r>
        <w:t xml:space="preserve">(the Regulator) </w:t>
      </w:r>
      <w:r w:rsidRPr="006A3BCC">
        <w:t xml:space="preserve">aims to strengthen </w:t>
      </w:r>
      <w:r w:rsidRPr="006A3BCC">
        <w:rPr>
          <w:rStyle w:val="cf01"/>
        </w:rPr>
        <w:t xml:space="preserve">protections for social services users to safeguard </w:t>
      </w:r>
      <w:r>
        <w:rPr>
          <w:rStyle w:val="cf01"/>
        </w:rPr>
        <w:t>service users</w:t>
      </w:r>
      <w:r w:rsidRPr="006A3BCC">
        <w:rPr>
          <w:rStyle w:val="cf01"/>
        </w:rPr>
        <w:t xml:space="preserve"> from harm, abuse and neglect</w:t>
      </w:r>
      <w:r w:rsidRPr="006A3BCC">
        <w:t>. The new</w:t>
      </w:r>
      <w:r>
        <w:t xml:space="preserve"> laws</w:t>
      </w:r>
      <w:r w:rsidRPr="006A3BCC">
        <w:t xml:space="preserve"> establish a consistent set of registration requirements for social service providers</w:t>
      </w:r>
      <w:r>
        <w:t xml:space="preserve"> (service providers)</w:t>
      </w:r>
      <w:r w:rsidRPr="006A3BCC">
        <w:t xml:space="preserve">. Previously, </w:t>
      </w:r>
      <w:r>
        <w:t xml:space="preserve">service </w:t>
      </w:r>
      <w:r w:rsidRPr="006A3BCC">
        <w:t xml:space="preserve">providers had to meet different requirements under different </w:t>
      </w:r>
      <w:r>
        <w:t xml:space="preserve">Victorian </w:t>
      </w:r>
      <w:r w:rsidRPr="006A3BCC">
        <w:t xml:space="preserve">laws. </w:t>
      </w:r>
    </w:p>
    <w:p w14:paraId="2AF27005" w14:textId="77777777" w:rsidR="00807D76" w:rsidRDefault="00807D76" w:rsidP="00807D76">
      <w:pPr>
        <w:pStyle w:val="Body"/>
      </w:pPr>
      <w:r w:rsidRPr="006A3BCC">
        <w:lastRenderedPageBreak/>
        <w:t xml:space="preserve">The new social services </w:t>
      </w:r>
      <w:r>
        <w:t>laws</w:t>
      </w:r>
      <w:r w:rsidRPr="006A3BCC">
        <w:t xml:space="preserve"> started on 1 July 2024.</w:t>
      </w:r>
      <w:bookmarkStart w:id="3" w:name="_Hlk166133551"/>
      <w:r>
        <w:t xml:space="preserve"> The laws will be implemented in stages, with a focus on supporting service providers to be ready. </w:t>
      </w:r>
      <w:bookmarkEnd w:id="3"/>
    </w:p>
    <w:p w14:paraId="31C049A8" w14:textId="63A738EC" w:rsidR="00807D76" w:rsidRDefault="00807D76" w:rsidP="00807D76">
      <w:pPr>
        <w:pStyle w:val="Body"/>
      </w:pPr>
      <w:r>
        <w:t xml:space="preserve">See </w:t>
      </w:r>
      <w:r w:rsidRPr="00410AB9">
        <w:rPr>
          <w:i/>
          <w:iCs/>
        </w:rPr>
        <w:fldChar w:fldCharType="begin"/>
      </w:r>
      <w:r w:rsidRPr="00410AB9">
        <w:rPr>
          <w:i/>
          <w:iCs/>
        </w:rPr>
        <w:instrText xml:space="preserve"> REF _Ref181172451 \h </w:instrText>
      </w:r>
      <w:r>
        <w:rPr>
          <w:i/>
          <w:iCs/>
        </w:rPr>
        <w:instrText xml:space="preserve"> \* MERGEFORMAT </w:instrText>
      </w:r>
      <w:r w:rsidRPr="00410AB9">
        <w:rPr>
          <w:i/>
          <w:iCs/>
        </w:rPr>
      </w:r>
      <w:r w:rsidRPr="00410AB9">
        <w:rPr>
          <w:i/>
          <w:iCs/>
        </w:rPr>
        <w:fldChar w:fldCharType="separate"/>
      </w:r>
      <w:r w:rsidR="004A6055" w:rsidRPr="004A6055">
        <w:rPr>
          <w:i/>
          <w:iCs/>
        </w:rPr>
        <w:t>Appendix: About us</w:t>
      </w:r>
      <w:r w:rsidRPr="00410AB9">
        <w:rPr>
          <w:i/>
          <w:iCs/>
        </w:rPr>
        <w:fldChar w:fldCharType="end"/>
      </w:r>
      <w:r>
        <w:t xml:space="preserve"> for more information about the Regulator and the new laws.</w:t>
      </w:r>
    </w:p>
    <w:p w14:paraId="38D683B4" w14:textId="77777777" w:rsidR="00807D76" w:rsidRDefault="00807D76" w:rsidP="00807D76">
      <w:pPr>
        <w:pStyle w:val="Heading2"/>
      </w:pPr>
      <w:bookmarkStart w:id="4" w:name="_Toc183679332"/>
      <w:bookmarkEnd w:id="0"/>
      <w:r>
        <w:t>Registration</w:t>
      </w:r>
      <w:bookmarkEnd w:id="4"/>
    </w:p>
    <w:p w14:paraId="188769C8" w14:textId="77777777" w:rsidR="00807D76" w:rsidRPr="006A3BCC" w:rsidRDefault="00807D76" w:rsidP="00807D76">
      <w:pPr>
        <w:pStyle w:val="Body"/>
      </w:pPr>
      <w:r w:rsidRPr="006A3BCC">
        <w:t>Service providers</w:t>
      </w:r>
      <w:r>
        <w:t xml:space="preserve"> operating</w:t>
      </w:r>
      <w:r w:rsidRPr="006A3BCC">
        <w:t xml:space="preserve"> in Victoria </w:t>
      </w:r>
      <w:r>
        <w:t>covered by</w:t>
      </w:r>
      <w:r w:rsidRPr="006A3BCC">
        <w:t xml:space="preserve"> the new </w:t>
      </w:r>
      <w:r>
        <w:t>laws</w:t>
      </w:r>
      <w:r w:rsidRPr="006A3BCC">
        <w:t xml:space="preserve"> must register with the Regulator.</w:t>
      </w:r>
      <w:r>
        <w:t xml:space="preserve"> Visit</w:t>
      </w:r>
      <w:r w:rsidRPr="001A1F5F">
        <w:t xml:space="preserve"> </w:t>
      </w:r>
      <w:hyperlink r:id="rId14" w:history="1">
        <w:r w:rsidRPr="00201784">
          <w:rPr>
            <w:rStyle w:val="Hyperlink"/>
          </w:rPr>
          <w:t>our website</w:t>
        </w:r>
      </w:hyperlink>
      <w:r w:rsidRPr="001A1F5F">
        <w:t xml:space="preserve"> </w:t>
      </w:r>
      <w:r>
        <w:t xml:space="preserve">for more information </w:t>
      </w:r>
      <w:r w:rsidRPr="001A1F5F">
        <w:t xml:space="preserve">about </w:t>
      </w:r>
      <w:r>
        <w:t>what services covered by</w:t>
      </w:r>
      <w:r w:rsidRPr="001A1F5F">
        <w:t xml:space="preserve"> the new </w:t>
      </w:r>
      <w:r>
        <w:t>laws</w:t>
      </w:r>
      <w:r w:rsidRPr="001A1F5F">
        <w:t>.</w:t>
      </w:r>
    </w:p>
    <w:p w14:paraId="1DF1EBE2" w14:textId="77777777" w:rsidR="00807D76" w:rsidRDefault="00807D76" w:rsidP="00807D76">
      <w:pPr>
        <w:pStyle w:val="Body"/>
      </w:pPr>
      <w:r w:rsidRPr="009B7090">
        <w:t xml:space="preserve">Registration </w:t>
      </w:r>
      <w:r>
        <w:t xml:space="preserve">for service providers that were operating before 1 July 2024 </w:t>
      </w:r>
      <w:r w:rsidRPr="009B7090">
        <w:t>will take place</w:t>
      </w:r>
      <w:r>
        <w:t xml:space="preserve"> in stages</w:t>
      </w:r>
      <w:r w:rsidRPr="009B7090">
        <w:t xml:space="preserve"> from 1 July 2024.</w:t>
      </w:r>
      <w:r>
        <w:t xml:space="preserve"> Service providers will register at different times depending on what group they are in. Visit our </w:t>
      </w:r>
      <w:hyperlink r:id="rId15" w:history="1">
        <w:r w:rsidRPr="00546183">
          <w:rPr>
            <w:rStyle w:val="Hyperlink"/>
          </w:rPr>
          <w:t>registration webpage</w:t>
        </w:r>
      </w:hyperlink>
      <w:r>
        <w:t xml:space="preserve"> &gt; for information about registration timeframes for different groups.</w:t>
      </w:r>
    </w:p>
    <w:p w14:paraId="64F308DA" w14:textId="77777777" w:rsidR="00807D76" w:rsidRPr="00A079D4" w:rsidRDefault="00807D76" w:rsidP="00807D76">
      <w:pPr>
        <w:pStyle w:val="Heading3"/>
      </w:pPr>
      <w:bookmarkStart w:id="5" w:name="_Toc183679333"/>
      <w:r w:rsidRPr="00A079D4">
        <w:t>Why is registering important?</w:t>
      </w:r>
      <w:bookmarkEnd w:id="5"/>
    </w:p>
    <w:p w14:paraId="5AA78589" w14:textId="77777777" w:rsidR="00807D76" w:rsidRPr="0081780D" w:rsidRDefault="00807D76" w:rsidP="00807D76">
      <w:pPr>
        <w:pStyle w:val="Bodyafterbullets"/>
      </w:pPr>
      <w:bookmarkStart w:id="6" w:name="_Hlk166133252"/>
      <w:r>
        <w:t>Registration requires compliance with a set of minimum standards which provides confidence for service users and the community in the safety and quality of social services.</w:t>
      </w:r>
    </w:p>
    <w:bookmarkEnd w:id="6"/>
    <w:p w14:paraId="67BAB9A6" w14:textId="77777777" w:rsidR="00807D76" w:rsidRPr="00910FA6" w:rsidRDefault="00807D76" w:rsidP="00807D76">
      <w:pPr>
        <w:pStyle w:val="Bodyafterbullets"/>
      </w:pPr>
      <w:r w:rsidRPr="00910FA6">
        <w:t xml:space="preserve">Registering with the Regulator has benefits for service providers and users </w:t>
      </w:r>
      <w:r>
        <w:t>by</w:t>
      </w:r>
      <w:r w:rsidRPr="00910FA6">
        <w:t>:</w:t>
      </w:r>
    </w:p>
    <w:p w14:paraId="01711031" w14:textId="77777777" w:rsidR="00807D76" w:rsidRPr="00910FA6" w:rsidRDefault="00807D76" w:rsidP="00807D76">
      <w:pPr>
        <w:pStyle w:val="Bullet1"/>
        <w:tabs>
          <w:tab w:val="clear" w:pos="360"/>
        </w:tabs>
        <w:ind w:left="284" w:hanging="284"/>
      </w:pPr>
      <w:r w:rsidRPr="00910FA6">
        <w:t xml:space="preserve">protecting service users </w:t>
      </w:r>
      <w:r w:rsidRPr="00910FA6">
        <w:rPr>
          <w:b/>
          <w:bCs/>
        </w:rPr>
        <w:t xml:space="preserve">by identifying and reducing risks </w:t>
      </w:r>
      <w:r w:rsidRPr="00910FA6">
        <w:t xml:space="preserve">as much as possible </w:t>
      </w:r>
      <w:r>
        <w:t>before</w:t>
      </w:r>
      <w:r w:rsidRPr="00910FA6">
        <w:t xml:space="preserve"> service delivery</w:t>
      </w:r>
    </w:p>
    <w:p w14:paraId="6986D714" w14:textId="77777777" w:rsidR="00807D76" w:rsidRPr="00910FA6" w:rsidRDefault="00807D76" w:rsidP="00807D76">
      <w:pPr>
        <w:pStyle w:val="Bullet1"/>
        <w:tabs>
          <w:tab w:val="clear" w:pos="360"/>
        </w:tabs>
        <w:ind w:left="284" w:hanging="284"/>
      </w:pPr>
      <w:r w:rsidRPr="00910FA6">
        <w:t xml:space="preserve">improving public </w:t>
      </w:r>
      <w:r w:rsidRPr="00910FA6">
        <w:rPr>
          <w:b/>
          <w:bCs/>
        </w:rPr>
        <w:t>confidence</w:t>
      </w:r>
      <w:r w:rsidRPr="00910FA6">
        <w:t xml:space="preserve"> in the expertise and reputation of registered providers</w:t>
      </w:r>
    </w:p>
    <w:p w14:paraId="74F60BB5" w14:textId="77777777" w:rsidR="00807D76" w:rsidRDefault="00807D76" w:rsidP="00807D76">
      <w:pPr>
        <w:pStyle w:val="Bullet1"/>
        <w:tabs>
          <w:tab w:val="clear" w:pos="360"/>
        </w:tabs>
        <w:ind w:left="284" w:hanging="284"/>
      </w:pPr>
      <w:r>
        <w:t xml:space="preserve">supporting </w:t>
      </w:r>
      <w:r w:rsidRPr="00910FA6">
        <w:t xml:space="preserve">a </w:t>
      </w:r>
      <w:r w:rsidRPr="00D712AF">
        <w:rPr>
          <w:b/>
          <w:bCs/>
        </w:rPr>
        <w:t>level playing field</w:t>
      </w:r>
      <w:r w:rsidRPr="00910FA6">
        <w:t xml:space="preserve"> for social services providers. </w:t>
      </w:r>
      <w:bookmarkStart w:id="7" w:name="_Ref165897375"/>
      <w:bookmarkStart w:id="8" w:name="_Toc165899761"/>
      <w:bookmarkEnd w:id="1"/>
    </w:p>
    <w:p w14:paraId="1E2C0436" w14:textId="77777777" w:rsidR="00807D76" w:rsidRDefault="00807D76" w:rsidP="00807D76">
      <w:pPr>
        <w:pStyle w:val="Bodyafterbullets"/>
      </w:pPr>
      <w:r>
        <w:t>You cannot provide a service covered by the new laws if you are not registered</w:t>
      </w:r>
      <w:r>
        <w:rPr>
          <w:rStyle w:val="FootnoteReference"/>
        </w:rPr>
        <w:footnoteReference w:id="2"/>
      </w:r>
      <w:r>
        <w:t>. Failure to meet your registration requirements may result in enforcement action by the Regulator.</w:t>
      </w:r>
    </w:p>
    <w:p w14:paraId="19AA3CFF" w14:textId="77777777" w:rsidR="00807D76" w:rsidRPr="00910FA6" w:rsidRDefault="00807D76" w:rsidP="00807D76">
      <w:pPr>
        <w:pStyle w:val="Body"/>
      </w:pPr>
      <w:r w:rsidRPr="00910FA6">
        <w:t xml:space="preserve">Registration is an important part of </w:t>
      </w:r>
      <w:r>
        <w:t>our</w:t>
      </w:r>
      <w:r w:rsidRPr="00910FA6">
        <w:t xml:space="preserve"> duty to:</w:t>
      </w:r>
    </w:p>
    <w:p w14:paraId="32F2D103" w14:textId="77777777" w:rsidR="00807D76" w:rsidRDefault="00807D76" w:rsidP="00807D76">
      <w:pPr>
        <w:pStyle w:val="Bullet1"/>
        <w:tabs>
          <w:tab w:val="clear" w:pos="360"/>
        </w:tabs>
        <w:ind w:left="284" w:hanging="284"/>
      </w:pPr>
      <w:r w:rsidRPr="00910FA6">
        <w:t>protect the rights of service users</w:t>
      </w:r>
    </w:p>
    <w:p w14:paraId="284939C8" w14:textId="77777777" w:rsidR="00807D76" w:rsidRPr="00910FA6" w:rsidRDefault="00807D76" w:rsidP="00807D76">
      <w:pPr>
        <w:pStyle w:val="Bullet1"/>
        <w:tabs>
          <w:tab w:val="clear" w:pos="360"/>
        </w:tabs>
        <w:ind w:left="284" w:hanging="284"/>
      </w:pPr>
      <w:r>
        <w:t>prevent harm</w:t>
      </w:r>
    </w:p>
    <w:p w14:paraId="1C3A7165" w14:textId="77777777" w:rsidR="00807D76" w:rsidRDefault="00807D76" w:rsidP="00807D76">
      <w:pPr>
        <w:pStyle w:val="Bullet1"/>
        <w:tabs>
          <w:tab w:val="clear" w:pos="360"/>
        </w:tabs>
        <w:ind w:left="284" w:hanging="284"/>
      </w:pPr>
      <w:r w:rsidRPr="00910FA6">
        <w:t xml:space="preserve">monitor and enforce compliance </w:t>
      </w:r>
      <w:r>
        <w:t>for</w:t>
      </w:r>
      <w:r w:rsidRPr="00910FA6">
        <w:t xml:space="preserve"> safe delivery of social services.</w:t>
      </w:r>
    </w:p>
    <w:p w14:paraId="091CEAF7" w14:textId="77777777" w:rsidR="00807D76" w:rsidRDefault="00807D76" w:rsidP="00807D76">
      <w:pPr>
        <w:pStyle w:val="Heading3"/>
      </w:pPr>
      <w:bookmarkStart w:id="9" w:name="_Toc183679334"/>
      <w:r>
        <w:t>What if I am already registered with a different regulator?</w:t>
      </w:r>
      <w:bookmarkEnd w:id="9"/>
    </w:p>
    <w:p w14:paraId="356EACD8" w14:textId="77777777" w:rsidR="00807D76" w:rsidRDefault="00807D76" w:rsidP="00807D76">
      <w:pPr>
        <w:pStyle w:val="Body"/>
      </w:pPr>
      <w:r>
        <w:t>The Regulator is an independent entity. Registration with another authority, such as the National Disability Insurance Scheme, does not mean a service provider is automatically registered with the Regulator.</w:t>
      </w:r>
    </w:p>
    <w:p w14:paraId="71E9AD43" w14:textId="77777777" w:rsidR="00807D76" w:rsidRPr="00796367" w:rsidRDefault="00807D76" w:rsidP="00807D76">
      <w:pPr>
        <w:pStyle w:val="Body"/>
      </w:pPr>
      <w:r>
        <w:t xml:space="preserve">We recognise many service providers have existing systems in place that have met the requirements of other registration and standards frameworks. While there may be some overlap with other standards, compliance in other regulatory schemes does not automatically mean that your service provider meets the registration requirements. However, these should assist you in being well prepared for your registration application. </w:t>
      </w:r>
    </w:p>
    <w:p w14:paraId="2CA8D887" w14:textId="77777777" w:rsidR="00807D76" w:rsidRPr="003C4419" w:rsidRDefault="00807D76" w:rsidP="00807D76">
      <w:pPr>
        <w:pStyle w:val="Heading2"/>
      </w:pPr>
      <w:bookmarkStart w:id="10" w:name="_Toc183679335"/>
      <w:r>
        <w:t xml:space="preserve">Snapshot: Registration Group </w:t>
      </w:r>
      <w:bookmarkEnd w:id="7"/>
      <w:bookmarkEnd w:id="8"/>
      <w:bookmarkEnd w:id="10"/>
      <w:r>
        <w:t>3</w:t>
      </w:r>
    </w:p>
    <w:p w14:paraId="6487902D" w14:textId="77777777" w:rsidR="00807D76" w:rsidRDefault="00807D76" w:rsidP="00807D76">
      <w:pPr>
        <w:pStyle w:val="Body"/>
      </w:pPr>
      <w:r w:rsidRPr="00E636B0">
        <w:rPr>
          <w:b/>
          <w:bCs/>
        </w:rPr>
        <w:t xml:space="preserve">Group </w:t>
      </w:r>
      <w:r>
        <w:rPr>
          <w:b/>
          <w:bCs/>
        </w:rPr>
        <w:t xml:space="preserve">3 </w:t>
      </w:r>
      <w:r w:rsidRPr="002B5791">
        <w:t>includes service providers</w:t>
      </w:r>
      <w:r w:rsidRPr="00E636B0">
        <w:t xml:space="preserve"> that</w:t>
      </w:r>
      <w:r>
        <w:t>:</w:t>
      </w:r>
    </w:p>
    <w:p w14:paraId="3FB30615" w14:textId="77777777" w:rsidR="00807D76" w:rsidRDefault="00807D76" w:rsidP="00807D76">
      <w:pPr>
        <w:pStyle w:val="Bullet1"/>
        <w:tabs>
          <w:tab w:val="clear" w:pos="360"/>
        </w:tabs>
        <w:ind w:left="284" w:hanging="284"/>
      </w:pPr>
      <w:bookmarkStart w:id="11" w:name="_Hlk181004376"/>
      <w:proofErr w:type="spellStart"/>
      <w:r>
        <w:t>were</w:t>
      </w:r>
      <w:proofErr w:type="spellEnd"/>
      <w:r w:rsidRPr="00B90DFD">
        <w:t xml:space="preserve"> delivering disability services</w:t>
      </w:r>
      <w:r>
        <w:t xml:space="preserve"> before</w:t>
      </w:r>
      <w:r w:rsidRPr="00B90DFD">
        <w:t xml:space="preserve"> 1 July 2024 </w:t>
      </w:r>
      <w:r w:rsidRPr="00D35125">
        <w:rPr>
          <w:b/>
          <w:bCs/>
        </w:rPr>
        <w:t>and</w:t>
      </w:r>
    </w:p>
    <w:p w14:paraId="51FD3782" w14:textId="77777777" w:rsidR="00807D76" w:rsidRDefault="00807D76" w:rsidP="00807D76">
      <w:pPr>
        <w:pStyle w:val="Bullet1"/>
        <w:tabs>
          <w:tab w:val="clear" w:pos="360"/>
        </w:tabs>
        <w:ind w:left="284" w:hanging="284"/>
      </w:pPr>
      <w:proofErr w:type="spellStart"/>
      <w:r w:rsidRPr="00B90DFD">
        <w:t>were</w:t>
      </w:r>
      <w:proofErr w:type="spellEnd"/>
      <w:r w:rsidRPr="00B90DFD">
        <w:t xml:space="preserve"> not </w:t>
      </w:r>
      <w:r>
        <w:t>required to</w:t>
      </w:r>
      <w:r w:rsidRPr="00B90DFD">
        <w:t xml:space="preserve"> regist</w:t>
      </w:r>
      <w:r>
        <w:t>e</w:t>
      </w:r>
      <w:r w:rsidRPr="00B90DFD">
        <w:t xml:space="preserve">r with the </w:t>
      </w:r>
      <w:r>
        <w:t>HSR</w:t>
      </w:r>
      <w:r w:rsidRPr="00E636B0">
        <w:t xml:space="preserve"> </w:t>
      </w:r>
      <w:r w:rsidRPr="005C60E6">
        <w:rPr>
          <w:b/>
          <w:bCs/>
        </w:rPr>
        <w:t xml:space="preserve">and </w:t>
      </w:r>
    </w:p>
    <w:p w14:paraId="7A4754EF" w14:textId="77777777" w:rsidR="00807D76" w:rsidRDefault="00807D76" w:rsidP="00807D76">
      <w:pPr>
        <w:pStyle w:val="Bullet1"/>
        <w:tabs>
          <w:tab w:val="clear" w:pos="360"/>
        </w:tabs>
        <w:ind w:left="284" w:hanging="284"/>
      </w:pPr>
      <w:r>
        <w:t>are</w:t>
      </w:r>
      <w:r w:rsidRPr="00E636B0">
        <w:t xml:space="preserve"> funded by </w:t>
      </w:r>
      <w:r>
        <w:t>TAC and/</w:t>
      </w:r>
      <w:r w:rsidRPr="00E636B0">
        <w:t xml:space="preserve">or </w:t>
      </w:r>
      <w:r>
        <w:t>WorkSafe</w:t>
      </w:r>
      <w:r w:rsidRPr="00E636B0">
        <w:t>.</w:t>
      </w:r>
    </w:p>
    <w:bookmarkEnd w:id="11"/>
    <w:p w14:paraId="1D924572" w14:textId="77777777" w:rsidR="00807D76" w:rsidRDefault="00807D76" w:rsidP="00807D76">
      <w:pPr>
        <w:pStyle w:val="Bodyafterbullets"/>
      </w:pPr>
      <w:r>
        <w:t>Services funded by TAC or WorkSafe specifically for persons with a disability required to register include:</w:t>
      </w:r>
    </w:p>
    <w:p w14:paraId="0F7EDA31" w14:textId="77777777" w:rsidR="00807D76" w:rsidRDefault="00807D76" w:rsidP="00807D76">
      <w:pPr>
        <w:pStyle w:val="Bullet1"/>
        <w:tabs>
          <w:tab w:val="clear" w:pos="360"/>
        </w:tabs>
        <w:ind w:left="284" w:hanging="284"/>
      </w:pPr>
      <w:r>
        <w:t>disability support services</w:t>
      </w:r>
    </w:p>
    <w:p w14:paraId="108550FC" w14:textId="77777777" w:rsidR="00807D76" w:rsidRDefault="00807D76" w:rsidP="00807D76">
      <w:pPr>
        <w:pStyle w:val="Bullet1"/>
        <w:tabs>
          <w:tab w:val="clear" w:pos="360"/>
        </w:tabs>
        <w:ind w:left="284" w:hanging="284"/>
      </w:pPr>
      <w:r>
        <w:t>case management services</w:t>
      </w:r>
    </w:p>
    <w:p w14:paraId="65809C73" w14:textId="77777777" w:rsidR="00807D76" w:rsidRDefault="00807D76" w:rsidP="00807D76">
      <w:pPr>
        <w:pStyle w:val="Bullet1"/>
        <w:tabs>
          <w:tab w:val="clear" w:pos="360"/>
        </w:tabs>
        <w:ind w:left="284" w:hanging="284"/>
      </w:pPr>
      <w:r>
        <w:t>training and skills development services that aim to increase or maintain the independence of persons with a disability</w:t>
      </w:r>
    </w:p>
    <w:p w14:paraId="11FEDDDE" w14:textId="77777777" w:rsidR="00807D76" w:rsidRDefault="00807D76" w:rsidP="00807D76">
      <w:pPr>
        <w:pStyle w:val="Bullet1"/>
        <w:tabs>
          <w:tab w:val="clear" w:pos="360"/>
        </w:tabs>
        <w:ind w:left="284" w:hanging="284"/>
      </w:pPr>
      <w:r>
        <w:lastRenderedPageBreak/>
        <w:t>residential services for persons with a disability.</w:t>
      </w:r>
    </w:p>
    <w:p w14:paraId="79924B50" w14:textId="77777777" w:rsidR="00807D76" w:rsidRDefault="00807D76" w:rsidP="00807D76">
      <w:pPr>
        <w:pStyle w:val="Bodyafterbullets"/>
      </w:pPr>
      <w:r w:rsidRPr="008574DD">
        <w:t xml:space="preserve">The requirement </w:t>
      </w:r>
      <w:r>
        <w:t xml:space="preserve">to register </w:t>
      </w:r>
      <w:r w:rsidRPr="008574DD">
        <w:t xml:space="preserve">applies to all providers </w:t>
      </w:r>
      <w:r>
        <w:t>covered by the</w:t>
      </w:r>
      <w:r w:rsidRPr="008574DD">
        <w:t xml:space="preserve"> </w:t>
      </w:r>
      <w:r>
        <w:t>new laws</w:t>
      </w:r>
      <w:r w:rsidRPr="008574DD">
        <w:t>, no matter what size they are or how much funding they receive.</w:t>
      </w:r>
    </w:p>
    <w:p w14:paraId="7C6028B5" w14:textId="77777777" w:rsidR="00807D76" w:rsidRDefault="00807D76" w:rsidP="00807D76">
      <w:pPr>
        <w:pStyle w:val="Body"/>
      </w:pPr>
      <w:r w:rsidRPr="000F6A23">
        <w:t>Registration</w:t>
      </w:r>
      <w:r>
        <w:t xml:space="preserve"> responsibilities sit with the service provider. </w:t>
      </w:r>
    </w:p>
    <w:p w14:paraId="10069048" w14:textId="77777777" w:rsidR="00807D76" w:rsidRDefault="00807D76" w:rsidP="00807D76">
      <w:pPr>
        <w:pStyle w:val="Body"/>
      </w:pPr>
      <w:r w:rsidRPr="001E3B7F">
        <w:t>There is</w:t>
      </w:r>
      <w:r>
        <w:t xml:space="preserve"> </w:t>
      </w:r>
      <w:r w:rsidRPr="000F629F">
        <w:t>currently</w:t>
      </w:r>
      <w:r w:rsidRPr="001E3B7F">
        <w:t xml:space="preserve"> </w:t>
      </w:r>
      <w:r w:rsidRPr="00AF4CE9">
        <w:t>no cost</w:t>
      </w:r>
      <w:r w:rsidRPr="001E3B7F">
        <w:t xml:space="preserve"> for registration.</w:t>
      </w:r>
    </w:p>
    <w:p w14:paraId="66D9DC9E" w14:textId="77777777" w:rsidR="00807D76" w:rsidRPr="00FB309F" w:rsidRDefault="00807D76" w:rsidP="00807D76">
      <w:pPr>
        <w:pStyle w:val="Heading3"/>
      </w:pPr>
      <w:r w:rsidRPr="00FB309F">
        <w:t>What if I started providing TAC or WorkSafe funded services after 1 July 2024?</w:t>
      </w:r>
    </w:p>
    <w:p w14:paraId="4EF177A8" w14:textId="77777777" w:rsidR="00807D76" w:rsidRDefault="00807D76" w:rsidP="00807D76">
      <w:pPr>
        <w:pStyle w:val="Bodyafterbullets"/>
      </w:pPr>
      <w:r>
        <w:t>You are not part of Group 3 if you:</w:t>
      </w:r>
    </w:p>
    <w:p w14:paraId="20885534" w14:textId="77777777" w:rsidR="00807D76" w:rsidRDefault="00807D76" w:rsidP="00807D76">
      <w:pPr>
        <w:pStyle w:val="Bullet1"/>
        <w:tabs>
          <w:tab w:val="clear" w:pos="360"/>
        </w:tabs>
        <w:ind w:left="284" w:hanging="284"/>
      </w:pPr>
      <w:r>
        <w:t>are a newly established provider</w:t>
      </w:r>
    </w:p>
    <w:p w14:paraId="29397852" w14:textId="77777777" w:rsidR="00807D76" w:rsidRDefault="00807D76" w:rsidP="00807D76">
      <w:pPr>
        <w:pStyle w:val="Bullet1"/>
        <w:tabs>
          <w:tab w:val="clear" w:pos="360"/>
        </w:tabs>
        <w:ind w:left="284" w:hanging="284"/>
      </w:pPr>
      <w:r>
        <w:t>began receiving funding from TAC or WorkSafe after 1 July 2024, or</w:t>
      </w:r>
    </w:p>
    <w:p w14:paraId="1CC99FC2" w14:textId="77777777" w:rsidR="00807D76" w:rsidRDefault="00807D76" w:rsidP="00807D76">
      <w:pPr>
        <w:pStyle w:val="Bullet1"/>
        <w:tabs>
          <w:tab w:val="clear" w:pos="360"/>
        </w:tabs>
        <w:ind w:left="284" w:hanging="284"/>
      </w:pPr>
      <w:r>
        <w:t>did not receive funding to deliver funded disability services in the 3 months leading up to 1 July 2024.</w:t>
      </w:r>
    </w:p>
    <w:p w14:paraId="7E029144" w14:textId="77777777" w:rsidR="00807D76" w:rsidRDefault="00807D76" w:rsidP="00807D76">
      <w:pPr>
        <w:pStyle w:val="Bodyafterbullets"/>
      </w:pPr>
      <w:r>
        <w:t xml:space="preserve">Instead, you are considered a new provider. You can find more information about new registration requirements on our </w:t>
      </w:r>
      <w:hyperlink r:id="rId16" w:history="1">
        <w:r w:rsidRPr="00546183">
          <w:rPr>
            <w:rStyle w:val="Hyperlink"/>
          </w:rPr>
          <w:t>registration webpage</w:t>
        </w:r>
      </w:hyperlink>
      <w:r>
        <w:t>.</w:t>
      </w:r>
    </w:p>
    <w:p w14:paraId="438BDBF5" w14:textId="77777777" w:rsidR="00807D76" w:rsidRPr="00FB309F" w:rsidRDefault="00807D76" w:rsidP="00807D76">
      <w:pPr>
        <w:pStyle w:val="Heading2"/>
      </w:pPr>
      <w:bookmarkStart w:id="12" w:name="_Ref180578136"/>
      <w:bookmarkStart w:id="13" w:name="_Toc183679336"/>
      <w:r w:rsidRPr="00FB309F">
        <w:t>Registration dates</w:t>
      </w:r>
      <w:bookmarkEnd w:id="12"/>
      <w:bookmarkEnd w:id="13"/>
    </w:p>
    <w:p w14:paraId="67822263" w14:textId="77777777" w:rsidR="00807D76" w:rsidRDefault="00807D76" w:rsidP="00807D76">
      <w:pPr>
        <w:pStyle w:val="Body"/>
      </w:pPr>
      <w:r>
        <w:t>Group 3’s dedicated registration period is between April and June 2025.</w:t>
      </w:r>
    </w:p>
    <w:p w14:paraId="066E2EBF" w14:textId="77777777" w:rsidR="00807D76" w:rsidRDefault="00807D76" w:rsidP="00807D76">
      <w:pPr>
        <w:pStyle w:val="Body"/>
      </w:pPr>
      <w:r>
        <w:t xml:space="preserve">Group 3 service providers need to begin the registration process during this time. </w:t>
      </w:r>
    </w:p>
    <w:p w14:paraId="4C0415C0" w14:textId="77777777" w:rsidR="00807D76" w:rsidRDefault="00807D76" w:rsidP="00807D76">
      <w:pPr>
        <w:pStyle w:val="Heading3"/>
      </w:pPr>
      <w:bookmarkStart w:id="14" w:name="_Toc165903271"/>
      <w:r>
        <w:t>S</w:t>
      </w:r>
      <w:r w:rsidRPr="007E53EE">
        <w:t>ervice deliver</w:t>
      </w:r>
      <w:r>
        <w:t>y</w:t>
      </w:r>
      <w:r w:rsidRPr="007E53EE">
        <w:t xml:space="preserve"> </w:t>
      </w:r>
      <w:r>
        <w:t xml:space="preserve">before and </w:t>
      </w:r>
      <w:r w:rsidRPr="007E53EE">
        <w:t>during registration</w:t>
      </w:r>
      <w:bookmarkEnd w:id="14"/>
    </w:p>
    <w:p w14:paraId="53C341B6" w14:textId="77777777" w:rsidR="00807D76" w:rsidRDefault="00807D76" w:rsidP="00807D76">
      <w:pPr>
        <w:pStyle w:val="Body"/>
      </w:pPr>
      <w:r>
        <w:t xml:space="preserve">Group 3 service providers can continue to provide social services </w:t>
      </w:r>
      <w:r w:rsidRPr="0053367C">
        <w:t>during the</w:t>
      </w:r>
      <w:r>
        <w:t>ir</w:t>
      </w:r>
      <w:r w:rsidRPr="0053367C">
        <w:t xml:space="preserve"> registration</w:t>
      </w:r>
      <w:r>
        <w:t xml:space="preserve"> period</w:t>
      </w:r>
      <w:r w:rsidRPr="0053367C">
        <w:t>.</w:t>
      </w:r>
    </w:p>
    <w:p w14:paraId="04BCD097" w14:textId="77777777" w:rsidR="00807D76" w:rsidRDefault="00807D76" w:rsidP="00807D76">
      <w:pPr>
        <w:pStyle w:val="Body"/>
      </w:pPr>
      <w:r>
        <w:t>From 1 July 2024 until registration has been approved, you should:</w:t>
      </w:r>
    </w:p>
    <w:p w14:paraId="5A9AF2CB" w14:textId="77777777" w:rsidR="00807D76" w:rsidRDefault="00807D76" w:rsidP="00807D76">
      <w:pPr>
        <w:pStyle w:val="Bullet1"/>
        <w:tabs>
          <w:tab w:val="clear" w:pos="360"/>
        </w:tabs>
        <w:ind w:left="284" w:hanging="284"/>
      </w:pPr>
      <w:r w:rsidRPr="001D1711">
        <w:t>prepar</w:t>
      </w:r>
      <w:r>
        <w:t>e</w:t>
      </w:r>
      <w:r w:rsidRPr="001D1711">
        <w:t xml:space="preserve"> for registration</w:t>
      </w:r>
    </w:p>
    <w:p w14:paraId="05612998" w14:textId="77777777" w:rsidR="00807D76" w:rsidRDefault="00807D76" w:rsidP="00807D76">
      <w:pPr>
        <w:pStyle w:val="Bullet2"/>
        <w:tabs>
          <w:tab w:val="clear" w:pos="360"/>
        </w:tabs>
        <w:ind w:left="567" w:hanging="283"/>
      </w:pPr>
      <w:r w:rsidRPr="001D1711">
        <w:t xml:space="preserve">check </w:t>
      </w:r>
      <w:r>
        <w:t>you have</w:t>
      </w:r>
      <w:r w:rsidRPr="001D1711">
        <w:t xml:space="preserve"> </w:t>
      </w:r>
      <w:r>
        <w:t xml:space="preserve">evidence and supporting </w:t>
      </w:r>
      <w:r w:rsidRPr="001D1711">
        <w:t xml:space="preserve">information </w:t>
      </w:r>
      <w:r>
        <w:t xml:space="preserve">ready </w:t>
      </w:r>
    </w:p>
    <w:p w14:paraId="7B856982" w14:textId="77777777" w:rsidR="00807D76" w:rsidRPr="00031C9B" w:rsidRDefault="00807D76" w:rsidP="00807D76">
      <w:pPr>
        <w:pStyle w:val="Bullet2"/>
        <w:tabs>
          <w:tab w:val="clear" w:pos="360"/>
        </w:tabs>
        <w:ind w:left="567" w:hanging="283"/>
      </w:pPr>
      <w:r w:rsidRPr="001D1711">
        <w:t xml:space="preserve">get ready to complete </w:t>
      </w:r>
      <w:r>
        <w:t>your</w:t>
      </w:r>
      <w:r w:rsidRPr="001D1711">
        <w:t xml:space="preserve"> registration </w:t>
      </w:r>
      <w:r>
        <w:t>profile</w:t>
      </w:r>
    </w:p>
    <w:p w14:paraId="482D9065" w14:textId="77777777" w:rsidR="00807D76" w:rsidRPr="00E16DC8" w:rsidRDefault="00807D76" w:rsidP="00807D76">
      <w:pPr>
        <w:pStyle w:val="Bullet1"/>
        <w:tabs>
          <w:tab w:val="clear" w:pos="360"/>
        </w:tabs>
        <w:ind w:left="284" w:hanging="284"/>
      </w:pPr>
      <w:r w:rsidRPr="00230BE6">
        <w:t>updat</w:t>
      </w:r>
      <w:r>
        <w:t>e</w:t>
      </w:r>
      <w:r w:rsidRPr="00031C9B">
        <w:t xml:space="preserve"> </w:t>
      </w:r>
      <w:r>
        <w:t xml:space="preserve">your </w:t>
      </w:r>
      <w:r w:rsidRPr="00E16DC8">
        <w:t xml:space="preserve">policies and procedures to meet the </w:t>
      </w:r>
      <w:r>
        <w:t>6</w:t>
      </w:r>
      <w:r w:rsidRPr="00E16DC8">
        <w:t xml:space="preserve"> Social Services Standards </w:t>
      </w:r>
    </w:p>
    <w:p w14:paraId="17094963" w14:textId="77777777" w:rsidR="00807D76" w:rsidRDefault="00807D76" w:rsidP="00807D76">
      <w:pPr>
        <w:pStyle w:val="Bullet1"/>
        <w:tabs>
          <w:tab w:val="clear" w:pos="360"/>
        </w:tabs>
        <w:ind w:left="284" w:hanging="284"/>
      </w:pPr>
      <w:r w:rsidRPr="00E16DC8">
        <w:t>build your und</w:t>
      </w:r>
      <w:r>
        <w:t xml:space="preserve">erstanding of the requirements of the new laws. </w:t>
      </w:r>
    </w:p>
    <w:p w14:paraId="5A511482" w14:textId="77777777" w:rsidR="00807D76" w:rsidRDefault="00807D76" w:rsidP="00807D76">
      <w:pPr>
        <w:pStyle w:val="Bodyafterbullets"/>
        <w:rPr>
          <w:lang w:eastAsia="en-AU"/>
        </w:rPr>
      </w:pPr>
      <w:r>
        <w:t xml:space="preserve">An overview of the Social Services Standards and how to meet them is available on the </w:t>
      </w:r>
      <w:hyperlink r:id="rId17" w:history="1">
        <w:r w:rsidRPr="00AD31F0">
          <w:rPr>
            <w:rStyle w:val="Hyperlink"/>
            <w:lang w:val="en-GB"/>
          </w:rPr>
          <w:t>Regulator’s Guidance webpage</w:t>
        </w:r>
      </w:hyperlink>
      <w:r>
        <w:rPr>
          <w:lang w:eastAsia="en-AU"/>
        </w:rPr>
        <w:t>.</w:t>
      </w:r>
    </w:p>
    <w:p w14:paraId="738CAC3F" w14:textId="77777777" w:rsidR="00807D76" w:rsidRDefault="00807D76" w:rsidP="00807D76">
      <w:pPr>
        <w:pStyle w:val="Heading2"/>
      </w:pPr>
      <w:bookmarkStart w:id="15" w:name="_Ref165901459"/>
      <w:bookmarkStart w:id="16" w:name="_Toc165903280"/>
      <w:bookmarkStart w:id="17" w:name="_Toc183679337"/>
      <w:r>
        <w:t>Getting ready for registration</w:t>
      </w:r>
      <w:bookmarkEnd w:id="15"/>
      <w:bookmarkEnd w:id="16"/>
      <w:bookmarkEnd w:id="17"/>
    </w:p>
    <w:p w14:paraId="76B8D1BD" w14:textId="77777777" w:rsidR="00807D76" w:rsidRDefault="00807D76" w:rsidP="00807D76">
      <w:pPr>
        <w:pStyle w:val="Body"/>
        <w:rPr>
          <w:szCs w:val="21"/>
        </w:rPr>
      </w:pPr>
      <w:r>
        <w:t xml:space="preserve">You can prepare for registration by reviewing the information in this document and on the Regulator’s  </w:t>
      </w:r>
      <w:hyperlink r:id="rId18" w:history="1">
        <w:r w:rsidRPr="006872C3">
          <w:rPr>
            <w:rStyle w:val="Hyperlink"/>
          </w:rPr>
          <w:t>web</w:t>
        </w:r>
        <w:r>
          <w:rPr>
            <w:rStyle w:val="Hyperlink"/>
          </w:rPr>
          <w:t>site</w:t>
        </w:r>
      </w:hyperlink>
      <w:r>
        <w:t>.</w:t>
      </w:r>
    </w:p>
    <w:p w14:paraId="2B532C62" w14:textId="77777777" w:rsidR="00807D76" w:rsidRDefault="00807D76" w:rsidP="00807D76">
      <w:pPr>
        <w:pStyle w:val="Body"/>
      </w:pPr>
      <w:r>
        <w:rPr>
          <w:szCs w:val="21"/>
        </w:rPr>
        <w:t xml:space="preserve">We will provide </w:t>
      </w:r>
      <w:r w:rsidRPr="00873A29">
        <w:rPr>
          <w:szCs w:val="21"/>
        </w:rPr>
        <w:t xml:space="preserve">further information about </w:t>
      </w:r>
      <w:r>
        <w:rPr>
          <w:szCs w:val="21"/>
        </w:rPr>
        <w:t>specific</w:t>
      </w:r>
      <w:r w:rsidRPr="00873A29">
        <w:rPr>
          <w:szCs w:val="21"/>
        </w:rPr>
        <w:t xml:space="preserve"> evidence requirements closer to the registration timeframe.</w:t>
      </w:r>
      <w:r>
        <w:rPr>
          <w:szCs w:val="21"/>
        </w:rPr>
        <w:t xml:space="preserve"> </w:t>
      </w:r>
      <w:r>
        <w:t xml:space="preserve">You can </w:t>
      </w:r>
      <w:hyperlink r:id="rId19" w:history="1">
        <w:r>
          <w:rPr>
            <w:rStyle w:val="Hyperlink"/>
          </w:rPr>
          <w:t>subscribe to our newsletter</w:t>
        </w:r>
      </w:hyperlink>
      <w:r>
        <w:t xml:space="preserve"> to get the latest updates, sector guidance, news and events details from the Regulator </w:t>
      </w:r>
    </w:p>
    <w:p w14:paraId="30DA74A8" w14:textId="77777777" w:rsidR="00807D76" w:rsidRDefault="00807D76" w:rsidP="00807D76">
      <w:pPr>
        <w:pStyle w:val="Heading2"/>
      </w:pPr>
      <w:bookmarkStart w:id="18" w:name="_Toc165899762"/>
      <w:bookmarkStart w:id="19" w:name="_Toc183679338"/>
      <w:r>
        <w:t>Overview of the Group 3 r</w:t>
      </w:r>
      <w:r w:rsidRPr="00C0732A">
        <w:t>egistration</w:t>
      </w:r>
      <w:bookmarkEnd w:id="18"/>
      <w:r>
        <w:t xml:space="preserve"> process</w:t>
      </w:r>
      <w:bookmarkEnd w:id="19"/>
    </w:p>
    <w:p w14:paraId="47BA2EB1" w14:textId="77777777" w:rsidR="00807D76" w:rsidRDefault="00807D76" w:rsidP="00807D76">
      <w:pPr>
        <w:pStyle w:val="Body"/>
      </w:pPr>
      <w:r>
        <w:t xml:space="preserve">Where possible, the registration process for Group 3 service providers </w:t>
      </w:r>
      <w:r w:rsidRPr="00F57876">
        <w:t>use</w:t>
      </w:r>
      <w:r>
        <w:t>s</w:t>
      </w:r>
      <w:r w:rsidRPr="00F57876">
        <w:t xml:space="preserve"> relevant information the Regulator has about </w:t>
      </w:r>
      <w:r>
        <w:t xml:space="preserve">service </w:t>
      </w:r>
      <w:r w:rsidRPr="00F57876">
        <w:t>providers’ operational details</w:t>
      </w:r>
      <w:r>
        <w:t xml:space="preserve"> to help </w:t>
      </w:r>
      <w:r w:rsidRPr="00F57876">
        <w:t xml:space="preserve">streamline the registration process. </w:t>
      </w:r>
    </w:p>
    <w:p w14:paraId="4C9E1816" w14:textId="77777777" w:rsidR="00807D76" w:rsidRDefault="00807D76" w:rsidP="00807D76">
      <w:pPr>
        <w:pStyle w:val="Bodyafterbullets"/>
      </w:pPr>
      <w:r>
        <w:t>The registration process may look different to other registration groups, including those that are</w:t>
      </w:r>
      <w:r w:rsidRPr="00437517">
        <w:t xml:space="preserve"> already registered </w:t>
      </w:r>
      <w:r>
        <w:t>to deliver</w:t>
      </w:r>
      <w:r w:rsidRPr="00437517">
        <w:t xml:space="preserve"> disability service</w:t>
      </w:r>
      <w:r>
        <w:t>s.</w:t>
      </w:r>
    </w:p>
    <w:p w14:paraId="680EF163" w14:textId="77777777" w:rsidR="00807D76" w:rsidRDefault="00807D76" w:rsidP="00807D76">
      <w:pPr>
        <w:pStyle w:val="Body"/>
      </w:pPr>
      <w:r>
        <w:rPr>
          <w:noProof/>
        </w:rPr>
        <w:lastRenderedPageBreak/>
        <mc:AlternateContent>
          <mc:Choice Requires="wps">
            <w:drawing>
              <wp:inline distT="0" distB="0" distL="0" distR="0" wp14:anchorId="0AFFD51C" wp14:editId="139F4959">
                <wp:extent cx="6496215" cy="866692"/>
                <wp:effectExtent l="0" t="0" r="19050" b="10160"/>
                <wp:docPr id="1338238696" name="Text Box 1"/>
                <wp:cNvGraphicFramePr/>
                <a:graphic xmlns:a="http://schemas.openxmlformats.org/drawingml/2006/main">
                  <a:graphicData uri="http://schemas.microsoft.com/office/word/2010/wordprocessingShape">
                    <wps:wsp>
                      <wps:cNvSpPr txBox="1"/>
                      <wps:spPr>
                        <a:xfrm>
                          <a:off x="0" y="0"/>
                          <a:ext cx="6496215" cy="866692"/>
                        </a:xfrm>
                        <a:prstGeom prst="rect">
                          <a:avLst/>
                        </a:prstGeom>
                        <a:solidFill>
                          <a:schemeClr val="lt1"/>
                        </a:solidFill>
                        <a:ln w="6350">
                          <a:solidFill>
                            <a:prstClr val="black"/>
                          </a:solidFill>
                        </a:ln>
                      </wps:spPr>
                      <wps:txbx>
                        <w:txbxContent>
                          <w:p w14:paraId="5F93F5B4" w14:textId="77777777" w:rsidR="00807D76" w:rsidRDefault="00807D76" w:rsidP="00807D76">
                            <w:pPr>
                              <w:pStyle w:val="Bodyafterbullets"/>
                              <w:jc w:val="center"/>
                            </w:pPr>
                            <w:r>
                              <w:t>This information sheet provides a broad overview of the registration process.</w:t>
                            </w:r>
                          </w:p>
                          <w:p w14:paraId="4A45F400" w14:textId="77777777" w:rsidR="00807D76" w:rsidRPr="00F57876" w:rsidRDefault="00807D76" w:rsidP="00807D76">
                            <w:pPr>
                              <w:pStyle w:val="Bodyafterbullets"/>
                              <w:jc w:val="center"/>
                            </w:pPr>
                            <w:r>
                              <w:t>The Regulator will provide further guidance to help you complete your application closer to Group 3’s registration period.</w:t>
                            </w:r>
                          </w:p>
                          <w:p w14:paraId="78AE7645" w14:textId="77777777" w:rsidR="00807D76" w:rsidRDefault="00807D76" w:rsidP="00807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FFD51C" id="_x0000_t202" coordsize="21600,21600" o:spt="202" path="m,l,21600r21600,l21600,xe">
                <v:stroke joinstyle="miter"/>
                <v:path gradientshapeok="t" o:connecttype="rect"/>
              </v:shapetype>
              <v:shape id="Text Box 1" o:spid="_x0000_s1026" type="#_x0000_t202" style="width:511.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" fillcolor="white [3201]" strokeweight=".5pt">
                <v:textbox>
                  <w:txbxContent>
                    <w:p w14:paraId="5F93F5B4" w14:textId="77777777" w:rsidR="00807D76" w:rsidRDefault="00807D76" w:rsidP="00807D76">
                      <w:pPr>
                        <w:pStyle w:val="Bodyafterbullets"/>
                        <w:jc w:val="center"/>
                      </w:pPr>
                      <w:r>
                        <w:t>This information sheet provides a broad overview of the registration process.</w:t>
                      </w:r>
                    </w:p>
                    <w:p w14:paraId="4A45F400" w14:textId="77777777" w:rsidR="00807D76" w:rsidRPr="00F57876" w:rsidRDefault="00807D76" w:rsidP="00807D76">
                      <w:pPr>
                        <w:pStyle w:val="Bodyafterbullets"/>
                        <w:jc w:val="center"/>
                      </w:pPr>
                      <w:r>
                        <w:t>The Regulator will provide further guidance to help you complete your application closer to Group 3’s registration period.</w:t>
                      </w:r>
                    </w:p>
                    <w:p w14:paraId="78AE7645" w14:textId="77777777" w:rsidR="00807D76" w:rsidRDefault="00807D76" w:rsidP="00807D76"/>
                  </w:txbxContent>
                </v:textbox>
                <w10:anchorlock/>
              </v:shape>
            </w:pict>
          </mc:Fallback>
        </mc:AlternateContent>
      </w:r>
    </w:p>
    <w:p w14:paraId="204F444D" w14:textId="77777777" w:rsidR="00807D76" w:rsidRDefault="00807D76" w:rsidP="00807D76">
      <w:pPr>
        <w:pStyle w:val="Heading3"/>
      </w:pPr>
      <w:bookmarkStart w:id="20" w:name="_Toc183679339"/>
      <w:bookmarkStart w:id="21" w:name="_Hlk180581436"/>
      <w:r>
        <w:t>Beginning your registration application</w:t>
      </w:r>
      <w:bookmarkEnd w:id="20"/>
    </w:p>
    <w:p w14:paraId="1BFBEF94" w14:textId="77777777" w:rsidR="00807D76" w:rsidRDefault="00807D76" w:rsidP="00807D76">
      <w:pPr>
        <w:pStyle w:val="Body"/>
      </w:pPr>
      <w:r w:rsidRPr="00F36C75">
        <w:t xml:space="preserve">The Regulator will email Group </w:t>
      </w:r>
      <w:r>
        <w:t>3</w:t>
      </w:r>
      <w:r w:rsidRPr="00F36C75">
        <w:t xml:space="preserve"> </w:t>
      </w:r>
      <w:r>
        <w:t xml:space="preserve">service </w:t>
      </w:r>
      <w:r w:rsidRPr="00F36C75">
        <w:t xml:space="preserve">providers about starting </w:t>
      </w:r>
      <w:r>
        <w:t>your</w:t>
      </w:r>
      <w:r w:rsidRPr="00F36C75">
        <w:t xml:space="preserve"> registration </w:t>
      </w:r>
      <w:r>
        <w:t>application in line with the timeframes outlined above under ‘Registration dates’. We will use a list provided by TAC and WorkSafe of their funded service providers.</w:t>
      </w:r>
    </w:p>
    <w:p w14:paraId="2B22BDAF" w14:textId="77777777" w:rsidR="00807D76" w:rsidRDefault="00807D76" w:rsidP="00807D76">
      <w:pPr>
        <w:pStyle w:val="Body"/>
      </w:pPr>
      <w:r>
        <w:t>This is the first of a series of email communications you will have with the Regulator during the registration process.</w:t>
      </w:r>
    </w:p>
    <w:p w14:paraId="6ED3AFE6" w14:textId="77777777" w:rsidR="00807D76" w:rsidRDefault="00807D76" w:rsidP="00807D76">
      <w:pPr>
        <w:pStyle w:val="Bodyafterbullets"/>
      </w:pPr>
      <w:r w:rsidRPr="006A4053">
        <w:rPr>
          <w:rStyle w:val="Strong"/>
        </w:rPr>
        <w:t>Note</w:t>
      </w:r>
      <w:r>
        <w:t xml:space="preserve">: If you are not contacted by the Regulator to begin the registration process by </w:t>
      </w:r>
      <w:r w:rsidRPr="00B93B2D">
        <w:t>30 June 2025,</w:t>
      </w:r>
      <w:r>
        <w:t xml:space="preserve"> </w:t>
      </w:r>
      <w:hyperlink r:id="rId20" w:history="1">
        <w:r w:rsidRPr="00C825CA">
          <w:rPr>
            <w:rStyle w:val="Hyperlink"/>
          </w:rPr>
          <w:t>email the Social Services Regulator</w:t>
        </w:r>
      </w:hyperlink>
      <w:r>
        <w:t>.</w:t>
      </w:r>
    </w:p>
    <w:p w14:paraId="4A0FF5C7" w14:textId="77777777" w:rsidR="00807D76" w:rsidRDefault="00807D76" w:rsidP="00807D76">
      <w:pPr>
        <w:pStyle w:val="Heading3"/>
      </w:pPr>
      <w:bookmarkStart w:id="22" w:name="_Toc183679340"/>
      <w:r w:rsidRPr="00FC116C">
        <w:t xml:space="preserve">How will I know </w:t>
      </w:r>
      <w:r>
        <w:t>the outcome of my registration application</w:t>
      </w:r>
      <w:r w:rsidRPr="00FC116C">
        <w:t>?</w:t>
      </w:r>
      <w:bookmarkEnd w:id="22"/>
    </w:p>
    <w:p w14:paraId="6154AA6F" w14:textId="77777777" w:rsidR="00807D76" w:rsidRPr="00F12532" w:rsidRDefault="00807D76" w:rsidP="00807D76">
      <w:pPr>
        <w:pStyle w:val="Body"/>
        <w:rPr>
          <w:lang w:eastAsia="en-AU"/>
        </w:rPr>
      </w:pPr>
      <w:r>
        <w:rPr>
          <w:lang w:eastAsia="en-AU"/>
        </w:rPr>
        <w:t>We will review completed registration applications within 60 days. We</w:t>
      </w:r>
      <w:r w:rsidRPr="00704E6D">
        <w:rPr>
          <w:lang w:eastAsia="en-AU"/>
        </w:rPr>
        <w:t xml:space="preserve"> will email </w:t>
      </w:r>
      <w:r>
        <w:rPr>
          <w:lang w:eastAsia="en-AU"/>
        </w:rPr>
        <w:t xml:space="preserve">service </w:t>
      </w:r>
      <w:r w:rsidRPr="00704E6D">
        <w:rPr>
          <w:lang w:eastAsia="en-AU"/>
        </w:rPr>
        <w:t xml:space="preserve">providers once </w:t>
      </w:r>
      <w:r>
        <w:rPr>
          <w:lang w:eastAsia="en-AU"/>
        </w:rPr>
        <w:t>a decision has been made about your registration</w:t>
      </w:r>
      <w:r w:rsidRPr="00704E6D">
        <w:rPr>
          <w:lang w:eastAsia="en-AU"/>
        </w:rPr>
        <w:t>.</w:t>
      </w:r>
    </w:p>
    <w:p w14:paraId="081B47AF" w14:textId="77777777" w:rsidR="00807D76" w:rsidRPr="005D6E56" w:rsidRDefault="00807D76" w:rsidP="00807D76">
      <w:pPr>
        <w:pStyle w:val="Body"/>
      </w:pPr>
      <w:r>
        <w:t>Our</w:t>
      </w:r>
      <w:r w:rsidRPr="005D6E56">
        <w:t xml:space="preserve"> response to </w:t>
      </w:r>
      <w:r w:rsidRPr="00204E74">
        <w:t>reviewing</w:t>
      </w:r>
      <w:r w:rsidRPr="005D6E56">
        <w:t xml:space="preserve"> the application may include: </w:t>
      </w:r>
    </w:p>
    <w:p w14:paraId="1999B282" w14:textId="77777777" w:rsidR="00807D76" w:rsidRPr="005D6E56" w:rsidRDefault="00807D76" w:rsidP="00807D76">
      <w:pPr>
        <w:pStyle w:val="Bullet1"/>
        <w:tabs>
          <w:tab w:val="clear" w:pos="360"/>
        </w:tabs>
        <w:ind w:left="284" w:hanging="284"/>
      </w:pPr>
      <w:r>
        <w:t>asking you to provide more</w:t>
      </w:r>
      <w:r w:rsidRPr="005D6E56">
        <w:t xml:space="preserve"> information to complete your application</w:t>
      </w:r>
      <w:r>
        <w:rPr>
          <w:rStyle w:val="FootnoteReference"/>
        </w:rPr>
        <w:footnoteReference w:id="3"/>
      </w:r>
    </w:p>
    <w:p w14:paraId="3861E5F7" w14:textId="77777777" w:rsidR="00807D76" w:rsidRDefault="00807D76" w:rsidP="00807D76">
      <w:pPr>
        <w:pStyle w:val="Bullet1"/>
        <w:tabs>
          <w:tab w:val="clear" w:pos="360"/>
        </w:tabs>
        <w:ind w:left="284" w:hanging="284"/>
      </w:pPr>
      <w:r w:rsidRPr="005D6E56">
        <w:t>clarify</w:t>
      </w:r>
      <w:r>
        <w:t>ing</w:t>
      </w:r>
      <w:r w:rsidRPr="005D6E56">
        <w:t xml:space="preserve"> details in </w:t>
      </w:r>
      <w:r w:rsidRPr="00224F12">
        <w:t>your</w:t>
      </w:r>
      <w:r w:rsidRPr="005D6E56">
        <w:t xml:space="preserve"> application</w:t>
      </w:r>
      <w:r>
        <w:t>.</w:t>
      </w:r>
      <w:r w:rsidRPr="005D6E56">
        <w:t xml:space="preserve"> </w:t>
      </w:r>
    </w:p>
    <w:p w14:paraId="1EC00C2D" w14:textId="77777777" w:rsidR="00807D76" w:rsidRDefault="00807D76" w:rsidP="00807D76">
      <w:pPr>
        <w:pStyle w:val="Bodyafterbullets"/>
      </w:pPr>
      <w:bookmarkStart w:id="23" w:name="_Toc178584424"/>
      <w:r w:rsidRPr="00325B2E">
        <w:t xml:space="preserve">If </w:t>
      </w:r>
      <w:r>
        <w:t>you do not provide the further information we request in a timely manner, t</w:t>
      </w:r>
      <w:r w:rsidRPr="00325B2E">
        <w:t xml:space="preserve">he Regulator may </w:t>
      </w:r>
      <w:r>
        <w:t>refuse to grant your application for registration</w:t>
      </w:r>
      <w:r>
        <w:rPr>
          <w:rStyle w:val="FootnoteReference"/>
        </w:rPr>
        <w:footnoteReference w:id="4"/>
      </w:r>
      <w:r w:rsidRPr="00325B2E">
        <w:t>.</w:t>
      </w:r>
      <w:r>
        <w:t xml:space="preserve"> </w:t>
      </w:r>
      <w:bookmarkEnd w:id="23"/>
    </w:p>
    <w:p w14:paraId="489FCCD9" w14:textId="77777777" w:rsidR="00807D76" w:rsidRPr="00204E74" w:rsidRDefault="00807D76" w:rsidP="00807D76">
      <w:pPr>
        <w:pStyle w:val="Body"/>
      </w:pPr>
      <w:r w:rsidRPr="00204E74">
        <w:t xml:space="preserve">Due to the volume of registration </w:t>
      </w:r>
      <w:proofErr w:type="gramStart"/>
      <w:r w:rsidRPr="00204E74">
        <w:t>applications</w:t>
      </w:r>
      <w:proofErr w:type="gramEnd"/>
      <w:r w:rsidRPr="00204E74">
        <w:t xml:space="preserve"> we are currently assessing, we cannot provide regular updates to service providers on the status of their registration.</w:t>
      </w:r>
    </w:p>
    <w:p w14:paraId="35828B02" w14:textId="77777777" w:rsidR="00807D76" w:rsidRPr="00FB309F" w:rsidRDefault="00807D76" w:rsidP="00807D76">
      <w:pPr>
        <w:pStyle w:val="Heading3"/>
      </w:pPr>
      <w:r w:rsidRPr="00FB309F">
        <w:t xml:space="preserve">What will the Regulator do with the information I </w:t>
      </w:r>
      <w:r>
        <w:t>provide</w:t>
      </w:r>
      <w:r w:rsidRPr="00FB309F">
        <w:t>?</w:t>
      </w:r>
    </w:p>
    <w:p w14:paraId="6C1B8DF6" w14:textId="77777777" w:rsidR="00807D76" w:rsidRDefault="00807D76" w:rsidP="00807D76">
      <w:pPr>
        <w:pStyle w:val="Bodyafterbullets"/>
      </w:pPr>
      <w:r>
        <w:t>We are committed to protecting the privacy of all individuals. We</w:t>
      </w:r>
      <w:r w:rsidRPr="00AD2A36">
        <w:t xml:space="preserve"> collect, use, disclose and store personal, sensitive, health and commercially sensitive information in compliance with </w:t>
      </w:r>
      <w:r>
        <w:t>our</w:t>
      </w:r>
      <w:r w:rsidRPr="00AD2A36">
        <w:t xml:space="preserve"> obligations under relevant legislation</w:t>
      </w:r>
      <w:r>
        <w:t xml:space="preserve">. </w:t>
      </w:r>
    </w:p>
    <w:p w14:paraId="78220615" w14:textId="77777777" w:rsidR="00807D76" w:rsidRPr="00F12532" w:rsidRDefault="00807D76" w:rsidP="00807D76">
      <w:pPr>
        <w:pStyle w:val="Bodyafterbullets"/>
      </w:pPr>
      <w:r>
        <w:t xml:space="preserve">Please review the </w:t>
      </w:r>
      <w:hyperlink r:id="rId21" w:history="1">
        <w:r w:rsidRPr="00AD2A36">
          <w:rPr>
            <w:rStyle w:val="Hyperlink"/>
          </w:rPr>
          <w:t>Regulator’s Privacy webpage</w:t>
        </w:r>
      </w:hyperlink>
      <w:r>
        <w:t xml:space="preserve"> for further information.</w:t>
      </w:r>
    </w:p>
    <w:p w14:paraId="4C504D3D" w14:textId="77777777" w:rsidR="00807D76" w:rsidRDefault="00807D76" w:rsidP="00807D76">
      <w:pPr>
        <w:pStyle w:val="Heading2"/>
      </w:pPr>
      <w:bookmarkStart w:id="24" w:name="_Toc183679341"/>
      <w:r>
        <w:t>Ongoing registration requirements</w:t>
      </w:r>
      <w:bookmarkEnd w:id="24"/>
    </w:p>
    <w:p w14:paraId="3FAFEF82" w14:textId="77777777" w:rsidR="00807D76" w:rsidRDefault="00807D76" w:rsidP="00807D76">
      <w:pPr>
        <w:pStyle w:val="Bodyafterbullets"/>
      </w:pPr>
      <w:r>
        <w:t>Once registered, service p</w:t>
      </w:r>
      <w:r w:rsidRPr="00F57876">
        <w:t xml:space="preserve">roviders do </w:t>
      </w:r>
      <w:r w:rsidRPr="00F57876">
        <w:rPr>
          <w:b/>
          <w:bCs/>
        </w:rPr>
        <w:t>not</w:t>
      </w:r>
      <w:r w:rsidRPr="00F57876">
        <w:t xml:space="preserve"> need to renew registration with</w:t>
      </w:r>
      <w:r>
        <w:t xml:space="preserve"> the Regulator. Your registration will continue unless cancelled by the Regulator</w:t>
      </w:r>
      <w:r>
        <w:rPr>
          <w:rStyle w:val="FootnoteReference"/>
        </w:rPr>
        <w:footnoteReference w:id="5"/>
      </w:r>
      <w:r>
        <w:t xml:space="preserve">. </w:t>
      </w:r>
    </w:p>
    <w:p w14:paraId="5B84199A" w14:textId="77777777" w:rsidR="00807D76" w:rsidRPr="00444821" w:rsidRDefault="00807D76" w:rsidP="00807D76">
      <w:pPr>
        <w:pStyle w:val="Body"/>
        <w:rPr>
          <w:szCs w:val="21"/>
        </w:rPr>
      </w:pPr>
      <w:r>
        <w:rPr>
          <w:szCs w:val="21"/>
        </w:rPr>
        <w:t xml:space="preserve">Once registered, you must meet ongoing requirements of the new laws. </w:t>
      </w:r>
      <w:r>
        <w:t>These include:</w:t>
      </w:r>
    </w:p>
    <w:p w14:paraId="75D71ECE" w14:textId="77777777" w:rsidR="00807D76" w:rsidRDefault="00807D76" w:rsidP="00807D76">
      <w:pPr>
        <w:pStyle w:val="Bullet1"/>
        <w:tabs>
          <w:tab w:val="clear" w:pos="360"/>
        </w:tabs>
        <w:ind w:left="284" w:hanging="284"/>
      </w:pPr>
      <w:r>
        <w:t xml:space="preserve">meeting the six </w:t>
      </w:r>
      <w:hyperlink r:id="rId22" w:history="1">
        <w:r w:rsidRPr="006A7924">
          <w:rPr>
            <w:rStyle w:val="Hyperlink"/>
          </w:rPr>
          <w:t>Social Services Standards</w:t>
        </w:r>
      </w:hyperlink>
      <w:r>
        <w:rPr>
          <w:rStyle w:val="Hyperlink"/>
        </w:rPr>
        <w:t xml:space="preserve"> </w:t>
      </w:r>
    </w:p>
    <w:p w14:paraId="58C5BA53" w14:textId="77777777" w:rsidR="00807D76" w:rsidRDefault="00807D76" w:rsidP="00807D76">
      <w:pPr>
        <w:pStyle w:val="Bullet1"/>
        <w:tabs>
          <w:tab w:val="clear" w:pos="360"/>
        </w:tabs>
        <w:ind w:left="284" w:hanging="284"/>
        <w:rPr>
          <w:rStyle w:val="Hyperlink"/>
        </w:rPr>
      </w:pPr>
      <w:r>
        <w:t xml:space="preserve">meeting the </w:t>
      </w:r>
      <w:hyperlink r:id="rId23" w:history="1">
        <w:r w:rsidRPr="007A7963">
          <w:rPr>
            <w:rStyle w:val="Hyperlink"/>
          </w:rPr>
          <w:t>Child Safe Standards</w:t>
        </w:r>
      </w:hyperlink>
      <w:r>
        <w:t xml:space="preserve">, if delivering services to children and young people </w:t>
      </w:r>
    </w:p>
    <w:p w14:paraId="3489D4CD" w14:textId="77777777" w:rsidR="00807D76" w:rsidRDefault="00807D76" w:rsidP="00807D76">
      <w:pPr>
        <w:pStyle w:val="Bullet1"/>
        <w:tabs>
          <w:tab w:val="clear" w:pos="360"/>
        </w:tabs>
        <w:ind w:left="284" w:hanging="284"/>
      </w:pPr>
      <w:r>
        <w:rPr>
          <w:rStyle w:val="Hyperlink"/>
        </w:rPr>
        <w:t>complying with your registration requirements</w:t>
      </w:r>
    </w:p>
    <w:p w14:paraId="26B57D5D" w14:textId="77777777" w:rsidR="00807D76" w:rsidRPr="00E85972" w:rsidRDefault="00807D76" w:rsidP="00807D76">
      <w:pPr>
        <w:pStyle w:val="Bullet1"/>
        <w:tabs>
          <w:tab w:val="clear" w:pos="360"/>
        </w:tabs>
        <w:ind w:left="284" w:hanging="284"/>
        <w:rPr>
          <w:rFonts w:eastAsia="Times New Roman"/>
        </w:rPr>
      </w:pPr>
      <w:hyperlink r:id="rId24" w:history="1">
        <w:r w:rsidRPr="00EF4F50">
          <w:rPr>
            <w:rStyle w:val="Hyperlink"/>
          </w:rPr>
          <w:t>reporting incidents which occur during service delivery</w:t>
        </w:r>
      </w:hyperlink>
      <w:r>
        <w:t xml:space="preserve"> </w:t>
      </w:r>
      <w:bookmarkStart w:id="25" w:name="_Registration_timeframes_for"/>
      <w:bookmarkEnd w:id="25"/>
    </w:p>
    <w:p w14:paraId="1B9717CD" w14:textId="2FBC297A" w:rsidR="00807D76" w:rsidRDefault="00807D76" w:rsidP="00807D76">
      <w:pPr>
        <w:pStyle w:val="Bullet1"/>
        <w:tabs>
          <w:tab w:val="clear" w:pos="360"/>
        </w:tabs>
        <w:ind w:left="284" w:hanging="284"/>
        <w:rPr>
          <w:lang w:eastAsia="en-AU"/>
        </w:rPr>
      </w:pPr>
      <w:hyperlink r:id="rId25" w:history="1">
        <w:r w:rsidRPr="007A7963">
          <w:rPr>
            <w:rStyle w:val="Hyperlink"/>
          </w:rPr>
          <w:t>reporting changes to your organisation and operations</w:t>
        </w:r>
      </w:hyperlink>
      <w:r>
        <w:t xml:space="preserve"> </w:t>
      </w:r>
      <w:r w:rsidRPr="00325B2E">
        <w:rPr>
          <w:lang w:eastAsia="en-AU"/>
        </w:rPr>
        <w:t xml:space="preserve">It may take time and effort for some organisations to get things right. Over time, </w:t>
      </w:r>
      <w:r>
        <w:rPr>
          <w:lang w:eastAsia="en-AU"/>
        </w:rPr>
        <w:t>we</w:t>
      </w:r>
      <w:r w:rsidRPr="00325B2E">
        <w:rPr>
          <w:lang w:eastAsia="en-AU"/>
        </w:rPr>
        <w:t xml:space="preserve"> will expect organisations to have comprehensively implemented the new Standards.</w:t>
      </w:r>
      <w:r w:rsidR="007A4EF9">
        <w:rPr>
          <w:lang w:eastAsia="en-AU"/>
        </w:rPr>
        <w:t xml:space="preserve"> </w:t>
      </w:r>
    </w:p>
    <w:p w14:paraId="5E8A4C10" w14:textId="77777777" w:rsidR="007A4EF9" w:rsidRDefault="007A4EF9" w:rsidP="007A4EF9">
      <w:pPr>
        <w:pStyle w:val="Bullet1"/>
        <w:numPr>
          <w:ilvl w:val="0"/>
          <w:numId w:val="0"/>
        </w:numPr>
        <w:ind w:left="284"/>
        <w:rPr>
          <w:lang w:eastAsia="en-AU"/>
        </w:rPr>
      </w:pPr>
    </w:p>
    <w:p w14:paraId="0E78E419" w14:textId="77777777" w:rsidR="00807D76" w:rsidRDefault="00807D76" w:rsidP="00807D76">
      <w:pPr>
        <w:pStyle w:val="Bullet1"/>
        <w:numPr>
          <w:ilvl w:val="0"/>
          <w:numId w:val="0"/>
        </w:numPr>
        <w:ind w:left="284"/>
        <w:rPr>
          <w:lang w:eastAsia="en-AU"/>
        </w:rPr>
      </w:pPr>
    </w:p>
    <w:p w14:paraId="4ED357A4" w14:textId="77777777" w:rsidR="00807D76" w:rsidRDefault="00807D76" w:rsidP="00807D76">
      <w:pPr>
        <w:pStyle w:val="Body"/>
      </w:pPr>
      <w:r w:rsidRPr="00D20990">
        <w:t xml:space="preserve">Registered service providers are </w:t>
      </w:r>
      <w:r w:rsidRPr="000F6A23">
        <w:rPr>
          <w:b/>
          <w:bCs/>
        </w:rPr>
        <w:t>not</w:t>
      </w:r>
      <w:r w:rsidRPr="00D20990">
        <w:t xml:space="preserve"> required to undertake schedule</w:t>
      </w:r>
      <w:r>
        <w:t>d</w:t>
      </w:r>
      <w:r w:rsidRPr="00D20990">
        <w:t xml:space="preserve"> periodic reviews</w:t>
      </w:r>
      <w:r>
        <w:t xml:space="preserve">. Instead, we </w:t>
      </w:r>
      <w:r w:rsidRPr="00D20990">
        <w:t>us</w:t>
      </w:r>
      <w:r>
        <w:t>e</w:t>
      </w:r>
      <w:r w:rsidRPr="00D20990">
        <w:t xml:space="preserve"> a risk-based approach</w:t>
      </w:r>
      <w:r>
        <w:t xml:space="preserve"> and</w:t>
      </w:r>
      <w:r w:rsidRPr="00D20990">
        <w:t xml:space="preserve"> monitor compliance in a graduated, timely and proportionate way.  </w:t>
      </w:r>
    </w:p>
    <w:p w14:paraId="1CD61023" w14:textId="77777777" w:rsidR="00807D76" w:rsidRPr="001B3BC3" w:rsidRDefault="00807D76" w:rsidP="00807D76">
      <w:pPr>
        <w:pStyle w:val="Body"/>
      </w:pPr>
      <w:r>
        <w:t xml:space="preserve">You can find more information about on our </w:t>
      </w:r>
      <w:hyperlink r:id="rId26" w:history="1">
        <w:r w:rsidRPr="00D20990">
          <w:rPr>
            <w:rStyle w:val="Hyperlink"/>
          </w:rPr>
          <w:t>approach to regulation webpage</w:t>
        </w:r>
      </w:hyperlink>
      <w:r>
        <w:t>.</w:t>
      </w:r>
    </w:p>
    <w:p w14:paraId="5B35D539" w14:textId="77777777" w:rsidR="00807D76" w:rsidRDefault="00807D76" w:rsidP="00807D76">
      <w:pPr>
        <w:pStyle w:val="Heading2"/>
      </w:pPr>
      <w:bookmarkStart w:id="26" w:name="_Toc165903281"/>
      <w:bookmarkStart w:id="27" w:name="_Toc183679342"/>
      <w:r>
        <w:t>Useful resources and contacts</w:t>
      </w:r>
      <w:bookmarkEnd w:id="26"/>
      <w:bookmarkEnd w:id="27"/>
    </w:p>
    <w:p w14:paraId="3B41C2A0" w14:textId="77777777" w:rsidR="00807D76" w:rsidRDefault="00807D76" w:rsidP="00807D76">
      <w:pPr>
        <w:pStyle w:val="Heading3"/>
      </w:pPr>
      <w:bookmarkStart w:id="28" w:name="_Toc183679343"/>
      <w:r>
        <w:t>Resources</w:t>
      </w:r>
      <w:bookmarkEnd w:id="28"/>
    </w:p>
    <w:p w14:paraId="64D44293" w14:textId="77777777" w:rsidR="00807D76" w:rsidRDefault="00807D76" w:rsidP="00807D76">
      <w:pPr>
        <w:pStyle w:val="Body"/>
      </w:pPr>
      <w:r>
        <w:t>You can find further information on our website about understanding the:</w:t>
      </w:r>
    </w:p>
    <w:p w14:paraId="3E0AE20F" w14:textId="77777777" w:rsidR="00807D76" w:rsidRDefault="00807D76" w:rsidP="00807D76">
      <w:pPr>
        <w:pStyle w:val="Bullet1"/>
        <w:tabs>
          <w:tab w:val="clear" w:pos="360"/>
        </w:tabs>
        <w:ind w:left="284" w:hanging="284"/>
        <w:rPr>
          <w:rStyle w:val="Hyperlink"/>
        </w:rPr>
      </w:pPr>
      <w:hyperlink r:id="rId27" w:history="1">
        <w:r w:rsidRPr="003C77EF">
          <w:rPr>
            <w:rStyle w:val="Hyperlink"/>
          </w:rPr>
          <w:t>Social Service Regulator registration</w:t>
        </w:r>
      </w:hyperlink>
      <w:r>
        <w:rPr>
          <w:rStyle w:val="Hyperlink"/>
        </w:rPr>
        <w:t xml:space="preserve"> </w:t>
      </w:r>
    </w:p>
    <w:p w14:paraId="428F3F6D" w14:textId="77777777" w:rsidR="00807D76" w:rsidRDefault="00807D76" w:rsidP="00807D76">
      <w:pPr>
        <w:pStyle w:val="Bullet1"/>
        <w:tabs>
          <w:tab w:val="clear" w:pos="360"/>
        </w:tabs>
        <w:ind w:left="284" w:hanging="284"/>
        <w:rPr>
          <w:rStyle w:val="Hyperlink"/>
        </w:rPr>
      </w:pPr>
      <w:hyperlink r:id="rId28" w:history="1">
        <w:r w:rsidRPr="00431B8C">
          <w:rPr>
            <w:rStyle w:val="Hyperlink"/>
          </w:rPr>
          <w:t>Suitability requirements</w:t>
        </w:r>
      </w:hyperlink>
      <w:r>
        <w:rPr>
          <w:rStyle w:val="Hyperlink"/>
        </w:rPr>
        <w:t xml:space="preserve"> </w:t>
      </w:r>
    </w:p>
    <w:p w14:paraId="0C811A9B" w14:textId="77777777" w:rsidR="00807D76" w:rsidRPr="007A7963" w:rsidRDefault="00807D76" w:rsidP="00807D76">
      <w:pPr>
        <w:pStyle w:val="Bullet1"/>
        <w:tabs>
          <w:tab w:val="clear" w:pos="360"/>
        </w:tabs>
        <w:ind w:left="284" w:hanging="284"/>
        <w:rPr>
          <w:rStyle w:val="Hyperlink"/>
        </w:rPr>
      </w:pPr>
      <w:hyperlink r:id="rId29" w:history="1">
        <w:r w:rsidRPr="007A7963">
          <w:rPr>
            <w:rStyle w:val="Hyperlink"/>
          </w:rPr>
          <w:t>Child Safe Standards</w:t>
        </w:r>
      </w:hyperlink>
      <w:r>
        <w:t xml:space="preserve"> </w:t>
      </w:r>
    </w:p>
    <w:p w14:paraId="4FE67643" w14:textId="77777777" w:rsidR="00807D76" w:rsidRPr="00A77B05" w:rsidRDefault="00807D76" w:rsidP="00807D76">
      <w:pPr>
        <w:pStyle w:val="Bullet1"/>
        <w:tabs>
          <w:tab w:val="clear" w:pos="360"/>
        </w:tabs>
        <w:ind w:left="284" w:hanging="284"/>
        <w:rPr>
          <w:rStyle w:val="Hyperlink"/>
          <w:color w:val="auto"/>
          <w:u w:val="none"/>
          <w:lang w:eastAsia="en-AU"/>
        </w:rPr>
      </w:pPr>
      <w:hyperlink r:id="rId30" w:history="1">
        <w:r w:rsidRPr="006A7924">
          <w:rPr>
            <w:rStyle w:val="Hyperlink"/>
          </w:rPr>
          <w:t>Social Services Standards</w:t>
        </w:r>
      </w:hyperlink>
      <w:r>
        <w:rPr>
          <w:rStyle w:val="Hyperlink"/>
        </w:rPr>
        <w:t xml:space="preserve"> </w:t>
      </w:r>
    </w:p>
    <w:p w14:paraId="5753CCE4" w14:textId="77777777" w:rsidR="00807D76" w:rsidRDefault="00807D76" w:rsidP="00807D76">
      <w:pPr>
        <w:pStyle w:val="Bullet1"/>
        <w:tabs>
          <w:tab w:val="clear" w:pos="360"/>
        </w:tabs>
        <w:ind w:left="284" w:hanging="284"/>
        <w:rPr>
          <w:lang w:eastAsia="en-AU"/>
        </w:rPr>
      </w:pPr>
      <w:hyperlink r:id="rId31" w:history="1">
        <w:r w:rsidRPr="00A858D1">
          <w:rPr>
            <w:rStyle w:val="Hyperlink"/>
            <w:lang w:eastAsia="en-AU"/>
          </w:rPr>
          <w:t xml:space="preserve">Social Services Regulator’s Guidance material </w:t>
        </w:r>
      </w:hyperlink>
      <w:r>
        <w:rPr>
          <w:lang w:eastAsia="en-AU"/>
        </w:rPr>
        <w:t xml:space="preserve"> </w:t>
      </w:r>
      <w:bookmarkStart w:id="29" w:name="_Toc183679344"/>
    </w:p>
    <w:p w14:paraId="44E83DE4" w14:textId="77777777" w:rsidR="00807D76" w:rsidRDefault="00807D76" w:rsidP="00807D76">
      <w:pPr>
        <w:pStyle w:val="Heading3"/>
      </w:pPr>
      <w:r>
        <w:t>Contact us</w:t>
      </w:r>
      <w:bookmarkEnd w:id="29"/>
    </w:p>
    <w:p w14:paraId="1C9B1F5C" w14:textId="77777777" w:rsidR="00807D76" w:rsidRDefault="00807D76" w:rsidP="00807D76">
      <w:pPr>
        <w:pStyle w:val="Body"/>
      </w:pPr>
      <w:r>
        <w:t>For more information about the registration process not outlined in this information sheet, e</w:t>
      </w:r>
      <w:r w:rsidRPr="000821EA">
        <w:t xml:space="preserve">mail the </w:t>
      </w:r>
      <w:hyperlink r:id="rId32" w:history="1">
        <w:r w:rsidRPr="000821EA">
          <w:rPr>
            <w:rStyle w:val="Hyperlink"/>
          </w:rPr>
          <w:t>Social Services Regulator</w:t>
        </w:r>
      </w:hyperlink>
      <w:r>
        <w:t xml:space="preserve"> &lt;registration@ssr.vic.gov.au&gt;.</w:t>
      </w:r>
    </w:p>
    <w:p w14:paraId="060EC37F" w14:textId="77777777" w:rsidR="00807D76" w:rsidRDefault="00807D76" w:rsidP="00807D76">
      <w:pPr>
        <w:pStyle w:val="Body"/>
      </w:pPr>
      <w:r>
        <w:t xml:space="preserve">For general enquiries about the Social Services Regulator, </w:t>
      </w:r>
      <w:hyperlink r:id="rId33" w:history="1">
        <w:r w:rsidRPr="009721A5">
          <w:rPr>
            <w:rStyle w:val="Hyperlink"/>
          </w:rPr>
          <w:t>email the Social Services Regulator</w:t>
        </w:r>
      </w:hyperlink>
      <w:r>
        <w:t xml:space="preserve"> </w:t>
      </w:r>
      <w:hyperlink r:id="rId34" w:history="1">
        <w:r w:rsidRPr="003C77EF">
          <w:rPr>
            <w:rStyle w:val="Hyperlink"/>
          </w:rPr>
          <w:t>enquiries@ssr.vic.gov.au</w:t>
        </w:r>
      </w:hyperlink>
      <w:r>
        <w:t xml:space="preserve">. </w:t>
      </w:r>
      <w:bookmarkEnd w:id="21"/>
      <w:r>
        <w:br w:type="page"/>
      </w:r>
    </w:p>
    <w:p w14:paraId="7F6EA604" w14:textId="77777777" w:rsidR="00807D76" w:rsidRDefault="00807D76" w:rsidP="00807D76">
      <w:pPr>
        <w:pStyle w:val="Heading2"/>
      </w:pPr>
      <w:bookmarkStart w:id="30" w:name="_Ref181172451"/>
      <w:bookmarkStart w:id="31" w:name="_Toc183679345"/>
      <w:r>
        <w:lastRenderedPageBreak/>
        <w:t>Appendix: About us</w:t>
      </w:r>
      <w:bookmarkEnd w:id="30"/>
      <w:bookmarkEnd w:id="31"/>
    </w:p>
    <w:p w14:paraId="52E3E136" w14:textId="77777777" w:rsidR="00807D76" w:rsidRDefault="00807D76" w:rsidP="00807D76">
      <w:pPr>
        <w:pStyle w:val="Body"/>
      </w:pPr>
      <w:r w:rsidRPr="00B705FD">
        <w:t xml:space="preserve">The </w:t>
      </w:r>
      <w:hyperlink r:id="rId35" w:history="1">
        <w:r w:rsidRPr="00431B8C">
          <w:rPr>
            <w:rStyle w:val="Hyperlink"/>
            <w:i/>
          </w:rPr>
          <w:t>Social Services Regulation Act 2021</w:t>
        </w:r>
      </w:hyperlink>
      <w:r w:rsidRPr="00B705FD">
        <w:t xml:space="preserve"> (the</w:t>
      </w:r>
      <w:r>
        <w:t xml:space="preserve"> </w:t>
      </w:r>
      <w:r w:rsidRPr="00B705FD">
        <w:t>Act)</w:t>
      </w:r>
      <w:r>
        <w:t xml:space="preserve">, the </w:t>
      </w:r>
      <w:hyperlink r:id="rId36" w:history="1">
        <w:r w:rsidRPr="00431B8C">
          <w:rPr>
            <w:rStyle w:val="Hyperlink"/>
            <w:i/>
          </w:rPr>
          <w:t>Social Services Regulations 2023</w:t>
        </w:r>
      </w:hyperlink>
      <w:r w:rsidRPr="00B705FD">
        <w:t xml:space="preserve"> </w:t>
      </w:r>
      <w:r>
        <w:t xml:space="preserve">(the Regulations) and the </w:t>
      </w:r>
      <w:hyperlink r:id="rId37" w:history="1">
        <w:r w:rsidRPr="00431B8C">
          <w:rPr>
            <w:rStyle w:val="Hyperlink"/>
            <w:i/>
            <w:iCs/>
          </w:rPr>
          <w:t>Social Services (Supported Residential Services) Regulations 2024</w:t>
        </w:r>
      </w:hyperlink>
      <w:r>
        <w:rPr>
          <w:rStyle w:val="Hyperlink"/>
          <w:i/>
          <w:iCs/>
        </w:rPr>
        <w:t xml:space="preserve"> </w:t>
      </w:r>
      <w:r w:rsidRPr="00034E09">
        <w:t xml:space="preserve">(SRS Regulations) </w:t>
      </w:r>
      <w:r w:rsidRPr="00B705FD">
        <w:t>create a new regulatory framework for social services in Victoria. This framework puts the protection and safety of social services users at the centre of social services delivery.</w:t>
      </w:r>
    </w:p>
    <w:p w14:paraId="0B43B4E7" w14:textId="77777777" w:rsidR="00807D76" w:rsidRDefault="00807D76" w:rsidP="00807D76">
      <w:pPr>
        <w:pStyle w:val="Body"/>
      </w:pPr>
      <w:r w:rsidRPr="00B705FD">
        <w:t>The Regulator</w:t>
      </w:r>
      <w:r>
        <w:t xml:space="preserve"> </w:t>
      </w:r>
      <w:r w:rsidRPr="00B705FD">
        <w:t xml:space="preserve">aims to strengthen protections for social service users to safeguard people from harm, abuse and neglect. </w:t>
      </w:r>
    </w:p>
    <w:p w14:paraId="3F7FC50E" w14:textId="77777777" w:rsidR="00807D76" w:rsidRPr="00B705FD" w:rsidRDefault="00807D76" w:rsidP="00807D76">
      <w:pPr>
        <w:pStyle w:val="Body"/>
      </w:pPr>
      <w:r w:rsidRPr="00B705FD">
        <w:t>Core objectives include:</w:t>
      </w:r>
    </w:p>
    <w:p w14:paraId="23B77A56" w14:textId="77777777" w:rsidR="00807D76" w:rsidRPr="00B705FD" w:rsidRDefault="00807D76" w:rsidP="00807D76">
      <w:pPr>
        <w:pStyle w:val="Bullet1"/>
        <w:tabs>
          <w:tab w:val="clear" w:pos="360"/>
        </w:tabs>
        <w:ind w:left="284" w:hanging="284"/>
      </w:pPr>
      <w:r w:rsidRPr="00B705FD">
        <w:t>protecting the rights of service users</w:t>
      </w:r>
    </w:p>
    <w:p w14:paraId="50DCFD53" w14:textId="77777777" w:rsidR="00807D76" w:rsidRPr="00B705FD" w:rsidRDefault="00807D76" w:rsidP="00807D76">
      <w:pPr>
        <w:pStyle w:val="Bullet1"/>
        <w:tabs>
          <w:tab w:val="clear" w:pos="360"/>
        </w:tabs>
        <w:ind w:left="284" w:hanging="284"/>
      </w:pPr>
      <w:r w:rsidRPr="00B705FD">
        <w:t>supporting safe and effective social services delivery</w:t>
      </w:r>
    </w:p>
    <w:p w14:paraId="48EF28F3" w14:textId="77777777" w:rsidR="00807D76" w:rsidRDefault="00807D76" w:rsidP="00807D76">
      <w:pPr>
        <w:pStyle w:val="Bullet1"/>
        <w:tabs>
          <w:tab w:val="clear" w:pos="360"/>
        </w:tabs>
        <w:ind w:left="284" w:hanging="284"/>
      </w:pPr>
      <w:r w:rsidRPr="00B705FD">
        <w:t>minimising the risk of avoidable harm in service delivery.</w:t>
      </w:r>
    </w:p>
    <w:p w14:paraId="1A02DD47" w14:textId="77777777" w:rsidR="00807D76" w:rsidRDefault="00807D76" w:rsidP="00807D76">
      <w:pPr>
        <w:pStyle w:val="Bullet1"/>
        <w:numPr>
          <w:ilvl w:val="0"/>
          <w:numId w:val="0"/>
        </w:numPr>
      </w:pPr>
      <w:r w:rsidRPr="00B705FD">
        <w:t>The Regulator replaces the Human Services Regulator</w:t>
      </w:r>
      <w:r>
        <w:t xml:space="preserve"> (HSR).</w:t>
      </w:r>
    </w:p>
    <w:p w14:paraId="7AEFAEF4" w14:textId="77777777" w:rsidR="00807D76" w:rsidRDefault="00807D76" w:rsidP="00807D76">
      <w:pPr>
        <w:pStyle w:val="Heading3"/>
      </w:pPr>
      <w:bookmarkStart w:id="32" w:name="_Toc183679346"/>
    </w:p>
    <w:p w14:paraId="5817AF64" w14:textId="77777777" w:rsidR="00807D76" w:rsidRDefault="00807D76" w:rsidP="00807D76">
      <w:pPr>
        <w:pStyle w:val="Heading3"/>
      </w:pPr>
      <w:r>
        <w:t>What is the Regulator’s role?</w:t>
      </w:r>
      <w:bookmarkEnd w:id="32"/>
    </w:p>
    <w:p w14:paraId="1FB066C6" w14:textId="77777777" w:rsidR="00807D76" w:rsidRPr="002B5791" w:rsidRDefault="00807D76" w:rsidP="00807D76">
      <w:pPr>
        <w:pStyle w:val="Body"/>
      </w:pPr>
      <w:r>
        <w:t>Currently</w:t>
      </w:r>
      <w:r w:rsidRPr="002B5791">
        <w:t xml:space="preserve"> the Regulator’s focus is on giving service providers guidance and support to help them understand and meet their requirements. Over time, the Regulator will expect organisations to have comprehensively implemented the requirements of the new </w:t>
      </w:r>
      <w:r>
        <w:t>law</w:t>
      </w:r>
      <w:r w:rsidRPr="002B5791">
        <w:t>.</w:t>
      </w:r>
    </w:p>
    <w:p w14:paraId="4D636C6E" w14:textId="77777777" w:rsidR="00807D76" w:rsidRPr="002B5791" w:rsidRDefault="00807D76" w:rsidP="00807D76">
      <w:pPr>
        <w:pStyle w:val="Default"/>
        <w:spacing w:after="120" w:line="280" w:lineRule="atLeast"/>
        <w:rPr>
          <w:sz w:val="21"/>
          <w:szCs w:val="21"/>
        </w:rPr>
      </w:pPr>
      <w:r w:rsidRPr="002B5791">
        <w:rPr>
          <w:sz w:val="21"/>
          <w:szCs w:val="21"/>
        </w:rPr>
        <w:t>The Regulator is committed to protect</w:t>
      </w:r>
      <w:r>
        <w:rPr>
          <w:sz w:val="21"/>
          <w:szCs w:val="21"/>
        </w:rPr>
        <w:t>ing</w:t>
      </w:r>
      <w:r w:rsidRPr="002B5791">
        <w:rPr>
          <w:sz w:val="21"/>
          <w:szCs w:val="21"/>
        </w:rPr>
        <w:t xml:space="preserve"> service users and will not hesitate to act to protect service users from harm, abuse and neglect. This includes taking enforcement action.</w:t>
      </w:r>
    </w:p>
    <w:p w14:paraId="7A43A222" w14:textId="77777777" w:rsidR="00807D76" w:rsidRDefault="00807D76" w:rsidP="00807D76">
      <w:pPr>
        <w:pStyle w:val="Body"/>
      </w:pPr>
      <w:r w:rsidRPr="002B5791">
        <w:t>Fail</w:t>
      </w:r>
      <w:r>
        <w:t>ing</w:t>
      </w:r>
      <w:r w:rsidRPr="002B5791">
        <w:t xml:space="preserve"> to meet </w:t>
      </w:r>
      <w:r>
        <w:t>the</w:t>
      </w:r>
      <w:r w:rsidRPr="002B5791">
        <w:t xml:space="preserve"> requirement to register with the Regulator breaches the Act</w:t>
      </w:r>
      <w:r w:rsidRPr="002B5791">
        <w:rPr>
          <w:i/>
          <w:iCs/>
        </w:rPr>
        <w:t xml:space="preserve">. </w:t>
      </w:r>
      <w:r w:rsidRPr="002B5791">
        <w:t>Fail</w:t>
      </w:r>
      <w:r>
        <w:t>ing</w:t>
      </w:r>
      <w:r w:rsidRPr="002B5791">
        <w:t xml:space="preserve"> to meet obligations may result in penalties, which can include fines and prosecution. </w:t>
      </w:r>
    </w:p>
    <w:p w14:paraId="0FAFDAF4" w14:textId="77777777" w:rsidR="00807D76" w:rsidRPr="005C60E6" w:rsidRDefault="00807D76" w:rsidP="00807D76">
      <w:pPr>
        <w:pStyle w:val="Body"/>
      </w:pPr>
      <w:r>
        <w:t>We</w:t>
      </w:r>
      <w:r w:rsidRPr="005C60E6">
        <w:t xml:space="preserve"> treat all service providers equally and focuses on procedural fairness. </w:t>
      </w:r>
    </w:p>
    <w:p w14:paraId="686F8BFE" w14:textId="77777777" w:rsidR="00807D76" w:rsidRDefault="00807D76" w:rsidP="00807D76">
      <w:pPr>
        <w:pStyle w:val="Body"/>
      </w:pPr>
      <w:r>
        <w:t>We are</w:t>
      </w:r>
      <w:r w:rsidRPr="005C60E6">
        <w:t xml:space="preserve"> committed to making decisions using an intelligence-led approach that minimises regulatory burden. We collect</w:t>
      </w:r>
      <w:r>
        <w:t xml:space="preserve"> and</w:t>
      </w:r>
      <w:r w:rsidRPr="005C60E6">
        <w:t xml:space="preserve"> use information to identify sector trends and make sure our decisions are fair, data-driven and focused on reducing regulatory burden</w:t>
      </w:r>
      <w:r w:rsidRPr="00F36C75">
        <w:t>.</w:t>
      </w:r>
    </w:p>
    <w:p w14:paraId="1A5A88CF" w14:textId="77777777" w:rsidR="00807D76" w:rsidRDefault="00807D76" w:rsidP="00807D76">
      <w:pPr>
        <w:pStyle w:val="Body"/>
      </w:pPr>
      <w:r>
        <w:t xml:space="preserve">You can find more information about the Regulator on </w:t>
      </w:r>
      <w:hyperlink r:id="rId38" w:history="1">
        <w:r w:rsidRPr="00F352EC">
          <w:rPr>
            <w:rStyle w:val="Hyperlink"/>
          </w:rPr>
          <w:t>our website</w:t>
        </w:r>
      </w:hyperlink>
      <w:r>
        <w:t>.</w:t>
      </w:r>
    </w:p>
    <w:p w14:paraId="1E3F3881" w14:textId="5F5EBEFE" w:rsidR="00807D76" w:rsidRPr="003B1BDC" w:rsidRDefault="00807D76" w:rsidP="00807D76">
      <w:pPr>
        <w:pStyle w:val="Body"/>
      </w:pPr>
    </w:p>
    <w:tbl>
      <w:tblPr>
        <w:tblW w:w="0" w:type="auto"/>
        <w:tblLook w:val="04A0" w:firstRow="1" w:lastRow="0" w:firstColumn="1" w:lastColumn="0" w:noHBand="0" w:noVBand="1"/>
      </w:tblPr>
      <w:tblGrid>
        <w:gridCol w:w="10194"/>
      </w:tblGrid>
      <w:tr w:rsidR="00807D76" w14:paraId="2B0A0364" w14:textId="77777777" w:rsidTr="00176084">
        <w:tc>
          <w:tcPr>
            <w:tcW w:w="10194" w:type="dxa"/>
          </w:tcPr>
          <w:p w14:paraId="7A677564" w14:textId="77777777" w:rsidR="00807D76" w:rsidRPr="0055119B" w:rsidRDefault="00807D76" w:rsidP="00176084">
            <w:pPr>
              <w:pStyle w:val="Accessibilitypara"/>
            </w:pPr>
            <w:bookmarkStart w:id="33" w:name="_Hlk37240926"/>
            <w:r w:rsidRPr="0055119B">
              <w:t>To receive this document in another format</w:t>
            </w:r>
            <w:r>
              <w:t>,</w:t>
            </w:r>
            <w:r w:rsidRPr="0055119B">
              <w:t xml:space="preserve"> email </w:t>
            </w:r>
            <w:r>
              <w:t xml:space="preserve">the Social Services Regulator </w:t>
            </w:r>
            <w:r w:rsidRPr="0055119B">
              <w:t>&lt;</w:t>
            </w:r>
            <w:r>
              <w:t>enquiries@ssr.vic.gov.au</w:t>
            </w:r>
            <w:r w:rsidRPr="0055119B">
              <w:t>&gt;.</w:t>
            </w:r>
          </w:p>
          <w:p w14:paraId="6E0F76EF" w14:textId="77777777" w:rsidR="00807D76" w:rsidRPr="0055119B" w:rsidRDefault="00807D76" w:rsidP="00176084">
            <w:pPr>
              <w:pStyle w:val="Imprint"/>
            </w:pPr>
            <w:r w:rsidRPr="0055119B">
              <w:t>Authorised and published by the Victorian Government, 1 Treasury Place, Melbourne.</w:t>
            </w:r>
          </w:p>
          <w:p w14:paraId="6252A788" w14:textId="499F9CD7" w:rsidR="00807D76" w:rsidRPr="0055119B" w:rsidRDefault="00807D76" w:rsidP="00176084">
            <w:pPr>
              <w:pStyle w:val="Imprint"/>
            </w:pPr>
            <w:r w:rsidRPr="0055119B">
              <w:t xml:space="preserve">© State of Victoria, Australia, </w:t>
            </w:r>
            <w:r>
              <w:t>Social Services Regulator</w:t>
            </w:r>
            <w:r w:rsidRPr="0055119B">
              <w:t xml:space="preserve"> </w:t>
            </w:r>
            <w:r w:rsidR="009155EE" w:rsidRPr="009155EE">
              <w:t>December</w:t>
            </w:r>
            <w:r w:rsidRPr="009155EE">
              <w:t xml:space="preserve"> </w:t>
            </w:r>
            <w:r w:rsidRPr="00AF4CE9">
              <w:t>2024</w:t>
            </w:r>
            <w:r w:rsidRPr="0055119B">
              <w:t>.</w:t>
            </w:r>
          </w:p>
          <w:p w14:paraId="17F1FE3A" w14:textId="77777777" w:rsidR="00807D76" w:rsidRDefault="00807D76" w:rsidP="00176084">
            <w:pPr>
              <w:pStyle w:val="Imprint"/>
            </w:pPr>
            <w:bookmarkStart w:id="34" w:name="_Hlk62746129"/>
            <w:r w:rsidRPr="00855A25">
              <w:t>This information sheet provides</w:t>
            </w:r>
            <w:r>
              <w:t xml:space="preserve"> an overview of</w:t>
            </w:r>
            <w:r w:rsidRPr="00855A25">
              <w:t xml:space="preserve"> </w:t>
            </w:r>
            <w:r>
              <w:t xml:space="preserve">the process for Group Three social service providers to register with </w:t>
            </w:r>
            <w:r w:rsidRPr="00855A25">
              <w:t xml:space="preserve">the </w:t>
            </w:r>
            <w:r>
              <w:t>Social Services Regulator.</w:t>
            </w:r>
          </w:p>
          <w:p w14:paraId="39B2A72D" w14:textId="77777777" w:rsidR="00807D76" w:rsidRDefault="00807D76" w:rsidP="00176084">
            <w:pPr>
              <w:pStyle w:val="Imprint"/>
            </w:pPr>
            <w:r w:rsidRPr="00855A25">
              <w:t xml:space="preserve">This guidance is general in nature and the list of compliance indicators is not exhaustive. </w:t>
            </w:r>
          </w:p>
          <w:p w14:paraId="15C4345B" w14:textId="77777777" w:rsidR="00807D76" w:rsidRPr="00AF4CE9" w:rsidRDefault="00807D76" w:rsidP="00176084">
            <w:pPr>
              <w:pStyle w:val="Imprint"/>
            </w:pPr>
            <w:r w:rsidRPr="00AF4CE9">
              <w:t xml:space="preserve">In this document, ‘Aboriginal’ refers to both Aboriginal and Torres Strait Islander people. </w:t>
            </w:r>
          </w:p>
          <w:p w14:paraId="231933B8" w14:textId="06DD51C5" w:rsidR="00807D76" w:rsidRPr="0055119B" w:rsidRDefault="009155EE" w:rsidP="00176084">
            <w:pPr>
              <w:pStyle w:val="Imprint"/>
            </w:pPr>
            <w:r w:rsidRPr="009155EE">
              <w:t xml:space="preserve">ISBN 978-1-76130-749-2 </w:t>
            </w:r>
            <w:r w:rsidR="00807D76" w:rsidRPr="0055119B">
              <w:t xml:space="preserve">(online/PDF/Word) </w:t>
            </w:r>
          </w:p>
          <w:p w14:paraId="18E1D736" w14:textId="7396A870" w:rsidR="00807D76" w:rsidRDefault="00807D76" w:rsidP="00176084">
            <w:pPr>
              <w:pStyle w:val="Imprint"/>
            </w:pPr>
            <w:r w:rsidRPr="0055119B">
              <w:t xml:space="preserve">Available at </w:t>
            </w:r>
            <w:hyperlink r:id="rId39" w:history="1">
              <w:r>
                <w:rPr>
                  <w:rStyle w:val="Hyperlink"/>
                </w:rPr>
                <w:t>Social Services Regulator registration</w:t>
              </w:r>
            </w:hyperlink>
            <w:r>
              <w:rPr>
                <w:color w:val="004C97"/>
              </w:rPr>
              <w:t xml:space="preserve"> </w:t>
            </w:r>
            <w:r w:rsidRPr="0055119B">
              <w:t>&lt;</w:t>
            </w:r>
            <w:r w:rsidRPr="00AF4CE9">
              <w:t>https://www.vic.gov.au/social-services-regulator-registration&gt;</w:t>
            </w:r>
            <w:bookmarkEnd w:id="34"/>
          </w:p>
        </w:tc>
      </w:tr>
      <w:bookmarkEnd w:id="33"/>
    </w:tbl>
    <w:p w14:paraId="3A30E5D3" w14:textId="77777777" w:rsidR="00807D76" w:rsidRDefault="00807D76" w:rsidP="00807D76">
      <w:pPr>
        <w:pStyle w:val="Body"/>
      </w:pPr>
    </w:p>
    <w:p w14:paraId="00EDA8F9" w14:textId="77777777" w:rsidR="00807D76" w:rsidRDefault="00807D76" w:rsidP="00807D76"/>
    <w:p w14:paraId="013C636E" w14:textId="77777777" w:rsidR="00807D76" w:rsidRDefault="00807D76"/>
    <w:sectPr w:rsidR="00807D76" w:rsidSect="00807D76">
      <w:headerReference w:type="default" r:id="rId40"/>
      <w:footerReference w:type="even" r:id="rId41"/>
      <w:footerReference w:type="default" r:id="rId42"/>
      <w:footerReference w:type="first" r:id="rId4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36B71" w14:textId="77777777" w:rsidR="000B1E9A" w:rsidRDefault="000B1E9A" w:rsidP="00807D76">
      <w:pPr>
        <w:spacing w:after="0" w:line="240" w:lineRule="auto"/>
      </w:pPr>
      <w:r>
        <w:separator/>
      </w:r>
    </w:p>
  </w:endnote>
  <w:endnote w:type="continuationSeparator" w:id="0">
    <w:p w14:paraId="438FE279" w14:textId="77777777" w:rsidR="000B1E9A" w:rsidRDefault="000B1E9A" w:rsidP="00807D76">
      <w:pPr>
        <w:spacing w:after="0" w:line="240" w:lineRule="auto"/>
      </w:pPr>
      <w:r>
        <w:continuationSeparator/>
      </w:r>
    </w:p>
  </w:endnote>
  <w:endnote w:type="continuationNotice" w:id="1">
    <w:p w14:paraId="7258C697" w14:textId="77777777" w:rsidR="000B1E9A" w:rsidRDefault="000B1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86AC5" w14:textId="1BB189B5" w:rsidR="00807D76" w:rsidRDefault="00807D76">
    <w:pPr>
      <w:pStyle w:val="Footer"/>
    </w:pPr>
    <w:r>
      <w:rPr>
        <w:noProof/>
        <w14:ligatures w14:val="standardContextual"/>
      </w:rPr>
      <mc:AlternateContent>
        <mc:Choice Requires="wps">
          <w:drawing>
            <wp:anchor distT="0" distB="0" distL="0" distR="0" simplePos="0" relativeHeight="251658242" behindDoc="0" locked="0" layoutInCell="1" allowOverlap="1" wp14:anchorId="04FCB502" wp14:editId="27FAE24B">
              <wp:simplePos x="635" y="635"/>
              <wp:positionH relativeFrom="page">
                <wp:align>center</wp:align>
              </wp:positionH>
              <wp:positionV relativeFrom="page">
                <wp:align>bottom</wp:align>
              </wp:positionV>
              <wp:extent cx="656590" cy="369570"/>
              <wp:effectExtent l="0" t="0" r="10160" b="0"/>
              <wp:wrapNone/>
              <wp:docPr id="201186232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2F7836" w14:textId="75239AB0"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CB502" id="_x0000_t202" coordsize="21600,21600" o:spt="202" path="m,l,21600r21600,l21600,xe">
              <v:stroke joinstyle="miter"/>
              <v:path gradientshapeok="t" o:connecttype="rect"/>
            </v:shapetype>
            <v:shape id="Text Box 2" o:spid="_x0000_s1027"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12F7836" w14:textId="75239AB0"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794B" w14:textId="3C897EC8" w:rsidR="00807D76" w:rsidRPr="00F65AA9" w:rsidRDefault="00807D76" w:rsidP="00EF2C72">
    <w:pPr>
      <w:pStyle w:val="Footer"/>
    </w:pPr>
    <w:r>
      <w:rPr>
        <w:noProof/>
        <w:lang w:eastAsia="en-AU"/>
        <w14:ligatures w14:val="standardContextual"/>
      </w:rPr>
      <mc:AlternateContent>
        <mc:Choice Requires="wps">
          <w:drawing>
            <wp:anchor distT="0" distB="0" distL="0" distR="0" simplePos="0" relativeHeight="251658243" behindDoc="0" locked="0" layoutInCell="1" allowOverlap="1" wp14:anchorId="01D1A337" wp14:editId="595FDA17">
              <wp:simplePos x="541020" y="10201275"/>
              <wp:positionH relativeFrom="page">
                <wp:align>center</wp:align>
              </wp:positionH>
              <wp:positionV relativeFrom="page">
                <wp:align>bottom</wp:align>
              </wp:positionV>
              <wp:extent cx="656590" cy="369570"/>
              <wp:effectExtent l="0" t="0" r="10160" b="0"/>
              <wp:wrapNone/>
              <wp:docPr id="12661680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1131F4" w14:textId="1AB65215"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1A337" id="_x0000_t202" coordsize="21600,21600" o:spt="202" path="m,l,21600r21600,l21600,xe">
              <v:stroke joinstyle="miter"/>
              <v:path gradientshapeok="t" o:connecttype="rect"/>
            </v:shapetype>
            <v:shape id="Text Box 3" o:spid="_x0000_s1028"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C1131F4" w14:textId="1AB65215"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0" behindDoc="1" locked="1" layoutInCell="1" allowOverlap="1" wp14:anchorId="063AD876" wp14:editId="1A8EDD6B">
          <wp:simplePos x="0" y="0"/>
          <wp:positionH relativeFrom="page">
            <wp:posOffset>0</wp:posOffset>
          </wp:positionH>
          <wp:positionV relativeFrom="page">
            <wp:posOffset>9899015</wp:posOffset>
          </wp:positionV>
          <wp:extent cx="7559675" cy="787400"/>
          <wp:effectExtent l="0" t="0" r="0" b="0"/>
          <wp:wrapNone/>
          <wp:docPr id="1147371552" name="Picture 1147371552"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89743" name="Picture 1341789743"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5D9E" w14:textId="27FF5726" w:rsidR="00807D76" w:rsidRDefault="00807D76">
    <w:pPr>
      <w:pStyle w:val="Footer"/>
    </w:pPr>
    <w:r>
      <w:rPr>
        <w:noProof/>
        <w14:ligatures w14:val="standardContextual"/>
      </w:rPr>
      <mc:AlternateContent>
        <mc:Choice Requires="wps">
          <w:drawing>
            <wp:anchor distT="0" distB="0" distL="0" distR="0" simplePos="0" relativeHeight="251658241" behindDoc="0" locked="0" layoutInCell="1" allowOverlap="1" wp14:anchorId="09BF21DA" wp14:editId="60E2AD38">
              <wp:simplePos x="635" y="635"/>
              <wp:positionH relativeFrom="page">
                <wp:align>center</wp:align>
              </wp:positionH>
              <wp:positionV relativeFrom="page">
                <wp:align>bottom</wp:align>
              </wp:positionV>
              <wp:extent cx="656590" cy="369570"/>
              <wp:effectExtent l="0" t="0" r="10160" b="0"/>
              <wp:wrapNone/>
              <wp:docPr id="7920040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8F23C6D" w14:textId="2004D7D9"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F21DA" id="_x0000_t202" coordsize="21600,21600" o:spt="202" path="m,l,21600r21600,l21600,xe">
              <v:stroke joinstyle="miter"/>
              <v:path gradientshapeok="t" o:connecttype="rect"/>
            </v:shapetype>
            <v:shape id="_x0000_s1029"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18F23C6D" w14:textId="2004D7D9"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927D" w14:textId="061E9D1B" w:rsidR="00807D76" w:rsidRDefault="00807D76">
    <w:pPr>
      <w:pStyle w:val="Footer"/>
    </w:pPr>
    <w:r>
      <w:rPr>
        <w:noProof/>
        <w14:ligatures w14:val="standardContextual"/>
      </w:rPr>
      <mc:AlternateContent>
        <mc:Choice Requires="wps">
          <w:drawing>
            <wp:anchor distT="0" distB="0" distL="0" distR="0" simplePos="0" relativeHeight="251658245" behindDoc="0" locked="0" layoutInCell="1" allowOverlap="1" wp14:anchorId="5F7DD34C" wp14:editId="278DE25B">
              <wp:simplePos x="635" y="635"/>
              <wp:positionH relativeFrom="page">
                <wp:align>center</wp:align>
              </wp:positionH>
              <wp:positionV relativeFrom="page">
                <wp:align>bottom</wp:align>
              </wp:positionV>
              <wp:extent cx="656590" cy="369570"/>
              <wp:effectExtent l="0" t="0" r="10160" b="0"/>
              <wp:wrapNone/>
              <wp:docPr id="18857131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A5A811E" w14:textId="5D183AD5"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DD34C" id="_x0000_t202" coordsize="21600,21600" o:spt="202" path="m,l,21600r21600,l21600,xe">
              <v:stroke joinstyle="miter"/>
              <v:path gradientshapeok="t" o:connecttype="rect"/>
            </v:shapetype>
            <v:shape id="Text Box 5" o:spid="_x0000_s1030" type="#_x0000_t202" alt="OFFICIAL" style="position:absolute;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5A5A811E" w14:textId="5D183AD5"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3A41C" w14:textId="4E8AE652" w:rsidR="00807D76" w:rsidRPr="00F65AA9" w:rsidRDefault="00807D76" w:rsidP="00EF2C72">
    <w:pPr>
      <w:pStyle w:val="Footer"/>
    </w:pPr>
    <w:r>
      <w:rPr>
        <w:noProof/>
        <w14:ligatures w14:val="standardContextual"/>
      </w:rPr>
      <mc:AlternateContent>
        <mc:Choice Requires="wps">
          <w:drawing>
            <wp:anchor distT="0" distB="0" distL="0" distR="0" simplePos="0" relativeHeight="251658246" behindDoc="0" locked="0" layoutInCell="1" allowOverlap="1" wp14:anchorId="41B2BAB2" wp14:editId="68660057">
              <wp:simplePos x="542925" y="10201275"/>
              <wp:positionH relativeFrom="page">
                <wp:align>center</wp:align>
              </wp:positionH>
              <wp:positionV relativeFrom="page">
                <wp:align>bottom</wp:align>
              </wp:positionV>
              <wp:extent cx="656590" cy="369570"/>
              <wp:effectExtent l="0" t="0" r="10160" b="0"/>
              <wp:wrapNone/>
              <wp:docPr id="2718602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ACEE0E" w14:textId="3C356448"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2BAB2" id="_x0000_t202" coordsize="21600,21600" o:spt="202" path="m,l,21600r21600,l21600,xe">
              <v:stroke joinstyle="miter"/>
              <v:path gradientshapeok="t" o:connecttype="rect"/>
            </v:shapetype>
            <v:shape id="Text Box 6" o:spid="_x0000_s1031" type="#_x0000_t202" alt="OFFICIAL" style="position:absolute;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3ACEE0E" w14:textId="3C356448"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C1EF" w14:textId="71091B02" w:rsidR="00807D76" w:rsidRDefault="00807D76">
    <w:pPr>
      <w:pStyle w:val="Footer"/>
    </w:pPr>
    <w:r>
      <w:rPr>
        <w:noProof/>
        <w14:ligatures w14:val="standardContextual"/>
      </w:rPr>
      <mc:AlternateContent>
        <mc:Choice Requires="wps">
          <w:drawing>
            <wp:anchor distT="0" distB="0" distL="0" distR="0" simplePos="0" relativeHeight="251658244" behindDoc="0" locked="0" layoutInCell="1" allowOverlap="1" wp14:anchorId="055E0082" wp14:editId="782213F5">
              <wp:simplePos x="635" y="635"/>
              <wp:positionH relativeFrom="page">
                <wp:align>center</wp:align>
              </wp:positionH>
              <wp:positionV relativeFrom="page">
                <wp:align>bottom</wp:align>
              </wp:positionV>
              <wp:extent cx="656590" cy="369570"/>
              <wp:effectExtent l="0" t="0" r="10160" b="0"/>
              <wp:wrapNone/>
              <wp:docPr id="18332202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B40ACA1" w14:textId="5B2B76EE"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0082" id="_x0000_t202" coordsize="21600,21600" o:spt="202" path="m,l,21600r21600,l21600,xe">
              <v:stroke joinstyle="miter"/>
              <v:path gradientshapeok="t" o:connecttype="rect"/>
            </v:shapetype>
            <v:shape id="Text Box 4" o:spid="_x0000_s1032"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B40ACA1" w14:textId="5B2B76EE" w:rsidR="00807D76" w:rsidRPr="00807D76" w:rsidRDefault="00807D76" w:rsidP="00807D76">
                    <w:pPr>
                      <w:spacing w:after="0"/>
                      <w:rPr>
                        <w:rFonts w:ascii="Arial Black" w:eastAsia="Arial Black" w:hAnsi="Arial Black" w:cs="Arial Black"/>
                        <w:noProof/>
                        <w:color w:val="000000"/>
                        <w:sz w:val="20"/>
                      </w:rPr>
                    </w:pPr>
                    <w:r w:rsidRPr="00807D7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C3F47" w14:textId="77777777" w:rsidR="000B1E9A" w:rsidRDefault="000B1E9A" w:rsidP="00807D76">
      <w:pPr>
        <w:spacing w:after="0" w:line="240" w:lineRule="auto"/>
      </w:pPr>
      <w:r>
        <w:separator/>
      </w:r>
    </w:p>
  </w:footnote>
  <w:footnote w:type="continuationSeparator" w:id="0">
    <w:p w14:paraId="6504B317" w14:textId="77777777" w:rsidR="000B1E9A" w:rsidRDefault="000B1E9A" w:rsidP="00807D76">
      <w:pPr>
        <w:spacing w:after="0" w:line="240" w:lineRule="auto"/>
      </w:pPr>
      <w:r>
        <w:continuationSeparator/>
      </w:r>
    </w:p>
  </w:footnote>
  <w:footnote w:type="continuationNotice" w:id="1">
    <w:p w14:paraId="33DCD748" w14:textId="77777777" w:rsidR="000B1E9A" w:rsidRDefault="000B1E9A">
      <w:pPr>
        <w:spacing w:after="0" w:line="240" w:lineRule="auto"/>
      </w:pPr>
    </w:p>
  </w:footnote>
  <w:footnote w:id="2">
    <w:p w14:paraId="60CD9B52" w14:textId="77777777" w:rsidR="00807D76" w:rsidRDefault="00807D76" w:rsidP="00807D76">
      <w:pPr>
        <w:pStyle w:val="FootnoteText"/>
      </w:pPr>
      <w:r>
        <w:rPr>
          <w:rStyle w:val="FootnoteReference"/>
        </w:rPr>
        <w:footnoteRef/>
      </w:r>
      <w:r>
        <w:t xml:space="preserve"> See section 135(1) of the Act</w:t>
      </w:r>
    </w:p>
  </w:footnote>
  <w:footnote w:id="3">
    <w:p w14:paraId="4ACC7746" w14:textId="77777777" w:rsidR="00807D76" w:rsidRDefault="00807D76" w:rsidP="00807D76">
      <w:pPr>
        <w:pStyle w:val="FootnoteText"/>
      </w:pPr>
      <w:r>
        <w:rPr>
          <w:rStyle w:val="FootnoteReference"/>
        </w:rPr>
        <w:footnoteRef/>
      </w:r>
      <w:r>
        <w:t xml:space="preserve"> See Section 21(2) of the Act</w:t>
      </w:r>
    </w:p>
  </w:footnote>
  <w:footnote w:id="4">
    <w:p w14:paraId="21089425" w14:textId="77777777" w:rsidR="00807D76" w:rsidRDefault="00807D76" w:rsidP="00807D76">
      <w:pPr>
        <w:pStyle w:val="FootnoteText"/>
      </w:pPr>
      <w:r>
        <w:rPr>
          <w:rStyle w:val="FootnoteReference"/>
        </w:rPr>
        <w:footnoteRef/>
      </w:r>
      <w:r>
        <w:t xml:space="preserve"> See Section 21(5) of the Act</w:t>
      </w:r>
    </w:p>
  </w:footnote>
  <w:footnote w:id="5">
    <w:p w14:paraId="61280F81" w14:textId="77777777" w:rsidR="00807D76" w:rsidRDefault="00807D76" w:rsidP="00807D76">
      <w:pPr>
        <w:pStyle w:val="FootnoteText"/>
      </w:pPr>
      <w:r>
        <w:rPr>
          <w:rStyle w:val="FootnoteReference"/>
        </w:rPr>
        <w:footnoteRef/>
      </w:r>
      <w:r>
        <w:t xml:space="preserve"> See Section 31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EB46E" w14:textId="77777777" w:rsidR="00807D76" w:rsidRPr="0051568D" w:rsidRDefault="00807D76" w:rsidP="0017674D">
    <w:pPr>
      <w:pStyle w:val="Header"/>
    </w:pPr>
    <w:r>
      <w:t>Registering with the Social Services Regulator – Group 3</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33754"/>
    <w:multiLevelType w:val="hybridMultilevel"/>
    <w:tmpl w:val="8E5E3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20889137">
    <w:abstractNumId w:val="1"/>
  </w:num>
  <w:num w:numId="2" w16cid:durableId="173573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6"/>
    <w:rsid w:val="00020962"/>
    <w:rsid w:val="000366E8"/>
    <w:rsid w:val="0006040B"/>
    <w:rsid w:val="000B1E9A"/>
    <w:rsid w:val="001B52A8"/>
    <w:rsid w:val="004A6055"/>
    <w:rsid w:val="004F6CB6"/>
    <w:rsid w:val="0064208F"/>
    <w:rsid w:val="007453E9"/>
    <w:rsid w:val="007A4EF9"/>
    <w:rsid w:val="00807D76"/>
    <w:rsid w:val="009155EE"/>
    <w:rsid w:val="00BE7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5934"/>
  <w15:chartTrackingRefBased/>
  <w15:docId w15:val="{AE342023-6826-4F49-B7CE-B5201E49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07D76"/>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80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80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0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80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0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D76"/>
    <w:rPr>
      <w:rFonts w:eastAsiaTheme="majorEastAsia" w:cstheme="majorBidi"/>
      <w:color w:val="272727" w:themeColor="text1" w:themeTint="D8"/>
    </w:rPr>
  </w:style>
  <w:style w:type="paragraph" w:styleId="Title">
    <w:name w:val="Title"/>
    <w:basedOn w:val="Normal"/>
    <w:next w:val="Normal"/>
    <w:link w:val="TitleChar"/>
    <w:uiPriority w:val="10"/>
    <w:qFormat/>
    <w:rsid w:val="0080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76"/>
    <w:pPr>
      <w:spacing w:before="160"/>
      <w:jc w:val="center"/>
    </w:pPr>
    <w:rPr>
      <w:i/>
      <w:iCs/>
      <w:color w:val="404040" w:themeColor="text1" w:themeTint="BF"/>
    </w:rPr>
  </w:style>
  <w:style w:type="character" w:customStyle="1" w:styleId="QuoteChar">
    <w:name w:val="Quote Char"/>
    <w:basedOn w:val="DefaultParagraphFont"/>
    <w:link w:val="Quote"/>
    <w:uiPriority w:val="29"/>
    <w:rsid w:val="00807D76"/>
    <w:rPr>
      <w:i/>
      <w:iCs/>
      <w:color w:val="404040" w:themeColor="text1" w:themeTint="BF"/>
    </w:rPr>
  </w:style>
  <w:style w:type="paragraph" w:styleId="ListParagraph">
    <w:name w:val="List Paragraph"/>
    <w:basedOn w:val="Normal"/>
    <w:uiPriority w:val="34"/>
    <w:qFormat/>
    <w:rsid w:val="00807D76"/>
    <w:pPr>
      <w:ind w:left="720"/>
      <w:contextualSpacing/>
    </w:pPr>
  </w:style>
  <w:style w:type="character" w:styleId="IntenseEmphasis">
    <w:name w:val="Intense Emphasis"/>
    <w:basedOn w:val="DefaultParagraphFont"/>
    <w:uiPriority w:val="21"/>
    <w:qFormat/>
    <w:rsid w:val="00807D76"/>
    <w:rPr>
      <w:i/>
      <w:iCs/>
      <w:color w:val="0F4761" w:themeColor="accent1" w:themeShade="BF"/>
    </w:rPr>
  </w:style>
  <w:style w:type="paragraph" w:styleId="IntenseQuote">
    <w:name w:val="Intense Quote"/>
    <w:basedOn w:val="Normal"/>
    <w:next w:val="Normal"/>
    <w:link w:val="IntenseQuoteChar"/>
    <w:uiPriority w:val="30"/>
    <w:qFormat/>
    <w:rsid w:val="0080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D76"/>
    <w:rPr>
      <w:i/>
      <w:iCs/>
      <w:color w:val="0F4761" w:themeColor="accent1" w:themeShade="BF"/>
    </w:rPr>
  </w:style>
  <w:style w:type="character" w:styleId="IntenseReference">
    <w:name w:val="Intense Reference"/>
    <w:basedOn w:val="DefaultParagraphFont"/>
    <w:uiPriority w:val="32"/>
    <w:qFormat/>
    <w:rsid w:val="00807D76"/>
    <w:rPr>
      <w:b/>
      <w:bCs/>
      <w:smallCaps/>
      <w:color w:val="0F4761" w:themeColor="accent1" w:themeShade="BF"/>
      <w:spacing w:val="5"/>
    </w:rPr>
  </w:style>
  <w:style w:type="paragraph" w:customStyle="1" w:styleId="Body">
    <w:name w:val="Body"/>
    <w:link w:val="BodyChar"/>
    <w:qFormat/>
    <w:rsid w:val="00807D76"/>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807D76"/>
    <w:pPr>
      <w:spacing w:after="0" w:line="240" w:lineRule="auto"/>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807D76"/>
    <w:rPr>
      <w:rFonts w:ascii="Arial" w:eastAsia="Times New Roman" w:hAnsi="Arial" w:cs="Arial"/>
      <w:b/>
      <w:color w:val="201547"/>
      <w:kern w:val="0"/>
      <w:sz w:val="18"/>
      <w:szCs w:val="18"/>
      <w14:ligatures w14:val="none"/>
    </w:rPr>
  </w:style>
  <w:style w:type="paragraph" w:styleId="Footer">
    <w:name w:val="footer"/>
    <w:link w:val="FooterChar"/>
    <w:uiPriority w:val="8"/>
    <w:rsid w:val="00807D76"/>
    <w:pPr>
      <w:spacing w:after="0" w:line="240" w:lineRule="auto"/>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807D76"/>
    <w:rPr>
      <w:rFonts w:ascii="Arial" w:eastAsia="Times New Roman" w:hAnsi="Arial" w:cs="Arial"/>
      <w:kern w:val="0"/>
      <w:sz w:val="18"/>
      <w:szCs w:val="18"/>
      <w14:ligatures w14:val="none"/>
    </w:rPr>
  </w:style>
  <w:style w:type="table" w:styleId="TableGrid">
    <w:name w:val="Table Grid"/>
    <w:basedOn w:val="TableNormal"/>
    <w:rsid w:val="00807D76"/>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807D76"/>
    <w:pPr>
      <w:numPr>
        <w:numId w:val="1"/>
      </w:numPr>
      <w:tabs>
        <w:tab w:val="num" w:pos="360"/>
      </w:tabs>
      <w:spacing w:after="40"/>
      <w:ind w:left="0" w:firstLine="0"/>
    </w:pPr>
  </w:style>
  <w:style w:type="paragraph" w:styleId="TOC1">
    <w:name w:val="toc 1"/>
    <w:basedOn w:val="Normal"/>
    <w:next w:val="Normal"/>
    <w:uiPriority w:val="39"/>
    <w:rsid w:val="00807D76"/>
    <w:pPr>
      <w:keepLines/>
      <w:tabs>
        <w:tab w:val="right" w:leader="dot" w:pos="10206"/>
      </w:tabs>
      <w:spacing w:before="160" w:after="60"/>
    </w:pPr>
    <w:rPr>
      <w:b/>
      <w:noProof/>
    </w:rPr>
  </w:style>
  <w:style w:type="character" w:styleId="Strong">
    <w:name w:val="Strong"/>
    <w:uiPriority w:val="22"/>
    <w:qFormat/>
    <w:rsid w:val="00807D76"/>
    <w:rPr>
      <w:b/>
      <w:bCs/>
    </w:rPr>
  </w:style>
  <w:style w:type="paragraph" w:styleId="TOC2">
    <w:name w:val="toc 2"/>
    <w:basedOn w:val="Normal"/>
    <w:next w:val="Normal"/>
    <w:uiPriority w:val="39"/>
    <w:rsid w:val="00807D76"/>
    <w:pPr>
      <w:keepLines/>
      <w:tabs>
        <w:tab w:val="right" w:leader="dot" w:pos="10206"/>
      </w:tabs>
      <w:spacing w:after="60"/>
    </w:pPr>
    <w:rPr>
      <w:noProof/>
    </w:rPr>
  </w:style>
  <w:style w:type="paragraph" w:customStyle="1" w:styleId="Sectionbreakfirstpage">
    <w:name w:val="Section break first page"/>
    <w:uiPriority w:val="5"/>
    <w:rsid w:val="00807D76"/>
    <w:pPr>
      <w:spacing w:after="0" w:line="240" w:lineRule="auto"/>
    </w:pPr>
    <w:rPr>
      <w:rFonts w:ascii="Arial" w:eastAsia="Times New Roman" w:hAnsi="Arial" w:cs="Times New Roman"/>
      <w:noProof/>
      <w:kern w:val="0"/>
      <w:sz w:val="16"/>
      <w:szCs w:val="16"/>
      <w14:ligatures w14:val="none"/>
    </w:rPr>
  </w:style>
  <w:style w:type="character" w:styleId="FootnoteReference">
    <w:name w:val="footnote reference"/>
    <w:uiPriority w:val="8"/>
    <w:rsid w:val="00807D76"/>
    <w:rPr>
      <w:vertAlign w:val="superscript"/>
    </w:rPr>
  </w:style>
  <w:style w:type="paragraph" w:customStyle="1" w:styleId="Accessibilitypara">
    <w:name w:val="Accessibility para"/>
    <w:uiPriority w:val="8"/>
    <w:rsid w:val="00807D76"/>
    <w:pPr>
      <w:spacing w:before="120" w:after="200" w:line="300" w:lineRule="atLeast"/>
    </w:pPr>
    <w:rPr>
      <w:rFonts w:ascii="Arial" w:eastAsia="Times" w:hAnsi="Arial" w:cs="Times New Roman"/>
      <w:kern w:val="0"/>
      <w:szCs w:val="19"/>
      <w14:ligatures w14:val="none"/>
    </w:rPr>
  </w:style>
  <w:style w:type="paragraph" w:customStyle="1" w:styleId="Bullet2">
    <w:name w:val="Bullet 2"/>
    <w:basedOn w:val="Body"/>
    <w:uiPriority w:val="2"/>
    <w:qFormat/>
    <w:rsid w:val="00807D76"/>
    <w:pPr>
      <w:numPr>
        <w:ilvl w:val="1"/>
        <w:numId w:val="1"/>
      </w:numPr>
      <w:tabs>
        <w:tab w:val="num" w:pos="360"/>
      </w:tabs>
      <w:spacing w:after="40"/>
      <w:ind w:left="0" w:firstLine="0"/>
    </w:pPr>
  </w:style>
  <w:style w:type="paragraph" w:customStyle="1" w:styleId="Bodyafterbullets">
    <w:name w:val="Body after bullets"/>
    <w:basedOn w:val="Body"/>
    <w:uiPriority w:val="11"/>
    <w:rsid w:val="00807D76"/>
    <w:pPr>
      <w:spacing w:before="120"/>
    </w:pPr>
  </w:style>
  <w:style w:type="character" w:styleId="Hyperlink">
    <w:name w:val="Hyperlink"/>
    <w:uiPriority w:val="99"/>
    <w:rsid w:val="00807D76"/>
    <w:rPr>
      <w:color w:val="004C97"/>
      <w:u w:val="dotted"/>
    </w:rPr>
  </w:style>
  <w:style w:type="paragraph" w:styleId="FootnoteText">
    <w:name w:val="footnote text"/>
    <w:basedOn w:val="Normal"/>
    <w:link w:val="FootnoteTextChar"/>
    <w:uiPriority w:val="8"/>
    <w:rsid w:val="00807D76"/>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807D76"/>
    <w:rPr>
      <w:rFonts w:ascii="Arial" w:eastAsia="MS Gothic" w:hAnsi="Arial" w:cs="Arial"/>
      <w:kern w:val="0"/>
      <w:sz w:val="18"/>
      <w:szCs w:val="16"/>
      <w14:ligatures w14:val="none"/>
    </w:rPr>
  </w:style>
  <w:style w:type="numbering" w:customStyle="1" w:styleId="ZZBullets">
    <w:name w:val="ZZ Bullets"/>
    <w:rsid w:val="00807D76"/>
    <w:pPr>
      <w:numPr>
        <w:numId w:val="1"/>
      </w:numPr>
    </w:pPr>
  </w:style>
  <w:style w:type="character" w:customStyle="1" w:styleId="BodyChar">
    <w:name w:val="Body Char"/>
    <w:basedOn w:val="DefaultParagraphFont"/>
    <w:link w:val="Body"/>
    <w:rsid w:val="00807D76"/>
    <w:rPr>
      <w:rFonts w:ascii="Arial" w:eastAsia="Times" w:hAnsi="Arial" w:cs="Times New Roman"/>
      <w:kern w:val="0"/>
      <w:sz w:val="21"/>
      <w:szCs w:val="20"/>
      <w14:ligatures w14:val="none"/>
    </w:rPr>
  </w:style>
  <w:style w:type="paragraph" w:customStyle="1" w:styleId="Bannermarking">
    <w:name w:val="Banner marking"/>
    <w:basedOn w:val="Body"/>
    <w:uiPriority w:val="11"/>
    <w:rsid w:val="00807D76"/>
    <w:pPr>
      <w:spacing w:after="0"/>
    </w:pPr>
    <w:rPr>
      <w:b/>
      <w:bCs/>
    </w:rPr>
  </w:style>
  <w:style w:type="paragraph" w:customStyle="1" w:styleId="Imprint">
    <w:name w:val="Imprint"/>
    <w:basedOn w:val="Body"/>
    <w:uiPriority w:val="11"/>
    <w:rsid w:val="00807D76"/>
    <w:pPr>
      <w:spacing w:after="60" w:line="270" w:lineRule="atLeast"/>
    </w:pPr>
    <w:rPr>
      <w:sz w:val="20"/>
    </w:rPr>
  </w:style>
  <w:style w:type="character" w:customStyle="1" w:styleId="cf01">
    <w:name w:val="cf01"/>
    <w:basedOn w:val="DefaultParagraphFont"/>
    <w:rsid w:val="00807D76"/>
    <w:rPr>
      <w:rFonts w:ascii="Segoe UI" w:hAnsi="Segoe UI" w:cs="Segoe UI" w:hint="default"/>
      <w:color w:val="1A1A1A"/>
      <w:sz w:val="18"/>
      <w:szCs w:val="18"/>
      <w:shd w:val="clear" w:color="auto" w:fill="FFFFFF"/>
    </w:rPr>
  </w:style>
  <w:style w:type="paragraph" w:customStyle="1" w:styleId="Default">
    <w:name w:val="Default"/>
    <w:rsid w:val="00807D76"/>
    <w:pPr>
      <w:autoSpaceDE w:val="0"/>
      <w:autoSpaceDN w:val="0"/>
      <w:adjustRightInd w:val="0"/>
      <w:spacing w:after="0" w:line="240" w:lineRule="auto"/>
    </w:pPr>
    <w:rPr>
      <w:rFonts w:ascii="Arial" w:eastAsia="Times New Roman" w:hAnsi="Arial" w:cs="Arial"/>
      <w:color w:val="000000"/>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dhhsvicgovau.sharepoint.com/sites/HumanServicesRegulator-DHHS-GRP/Shared%20Documents/Guidance%20and%20engagement/Registration/Group%203/ssr.vic.gov.au" TargetMode="External"/><Relationship Id="rId26" Type="http://schemas.openxmlformats.org/officeDocument/2006/relationships/hyperlink" Target="https://www.vic.gov.au/social-services-regulators-approach-regulation" TargetMode="External"/><Relationship Id="rId39" Type="http://schemas.openxmlformats.org/officeDocument/2006/relationships/hyperlink" Target="https://www.vic.gov.au/social-services-regulator-registration" TargetMode="External"/><Relationship Id="rId3" Type="http://schemas.openxmlformats.org/officeDocument/2006/relationships/customXml" Target="../customXml/item3.xml"/><Relationship Id="rId21" Type="http://schemas.openxmlformats.org/officeDocument/2006/relationships/hyperlink" Target="https://www.vic.gov.au/social-services-regulator-privacy" TargetMode="External"/><Relationship Id="rId34" Type="http://schemas.openxmlformats.org/officeDocument/2006/relationships/hyperlink" Target="mailto:enquiries@ssr.vic.gov.au" TargetMode="External"/><Relationship Id="rId42"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dhhsvicgovau.sharepoint.com/sites/HumanServicesRegulator-DHHS-GRP/Shared%20Documents/Guidance%20and%20engagement/Registration/Group%203/Regulator&#8217;s%20Guidance%20webpage" TargetMode="External"/><Relationship Id="rId25" Type="http://schemas.openxmlformats.org/officeDocument/2006/relationships/hyperlink" Target="https://www.vic.gov.au/reporting-changes-your-organisation" TargetMode="External"/><Relationship Id="rId33" Type="http://schemas.openxmlformats.org/officeDocument/2006/relationships/hyperlink" Target="mailto:enquiries@ssr.vic.gov.au" TargetMode="External"/><Relationship Id="rId38" Type="http://schemas.openxmlformats.org/officeDocument/2006/relationships/hyperlink" Target="https://www.vic.gov.au/about-social-services-regulator" TargetMode="External"/><Relationship Id="rId2" Type="http://schemas.openxmlformats.org/officeDocument/2006/relationships/customXml" Target="../customXml/item2.xml"/><Relationship Id="rId16" Type="http://schemas.openxmlformats.org/officeDocument/2006/relationships/hyperlink" Target="https://www.vic.gov.au/social-services-regulator-registration" TargetMode="External"/><Relationship Id="rId20" Type="http://schemas.openxmlformats.org/officeDocument/2006/relationships/hyperlink" Target="mailto:registration@ssr.vic.gov.au" TargetMode="External"/><Relationship Id="rId29" Type="http://schemas.openxmlformats.org/officeDocument/2006/relationships/hyperlink" Target="https://www.vic.gov.au/changes-regulation-child-safe-standard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vic.gov.au/ssr-reporting-notifiable-incident" TargetMode="External"/><Relationship Id="rId32" Type="http://schemas.openxmlformats.org/officeDocument/2006/relationships/hyperlink" Target="mailto:registration@ssr.vic.gov.au" TargetMode="External"/><Relationship Id="rId37" Type="http://schemas.openxmlformats.org/officeDocument/2006/relationships/hyperlink" Target="https://www.legislation.vic.gov.au/in-force/statutory-rules/social-services-supported-residential-services-regulations-2024/00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ic.gov.au/social-services-regulator-registration" TargetMode="External"/><Relationship Id="rId23" Type="http://schemas.openxmlformats.org/officeDocument/2006/relationships/hyperlink" Target="https://www.vic.gov.au/changes-regulation-child-safe-standards" TargetMode="External"/><Relationship Id="rId28" Type="http://schemas.openxmlformats.org/officeDocument/2006/relationships/hyperlink" Target="https://www.vic.gov.au/sites/default/files/2024-08/Suitability-requirements-fact-sheet.docx" TargetMode="External"/><Relationship Id="rId36" Type="http://schemas.openxmlformats.org/officeDocument/2006/relationships/hyperlink" Target="https://www.legislation.vic.gov.au/in-force/statutory-rules/social-services-regulations-2023/002" TargetMode="External"/><Relationship Id="rId10" Type="http://schemas.openxmlformats.org/officeDocument/2006/relationships/image" Target="media/image1.png"/><Relationship Id="rId19" Type="http://schemas.openxmlformats.org/officeDocument/2006/relationships/hyperlink" Target="https://confirmsubscription.com/h/y/1614A62FF102A239" TargetMode="External"/><Relationship Id="rId31" Type="http://schemas.openxmlformats.org/officeDocument/2006/relationships/hyperlink" Target="https://www.vic.gov.au/social-services-regulator-guidance-material"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services-scope-new-scheme" TargetMode="External"/><Relationship Id="rId22" Type="http://schemas.openxmlformats.org/officeDocument/2006/relationships/hyperlink" Target="https://dhhsvicgovau.sharepoint.com/sites/HumanServicesRegulator-DHHS-GRP/Shared%20Documents/Guidance%20and%20engagement/Sec%2047%20(registration)%20notifications/Social%20Services%20Standards" TargetMode="External"/><Relationship Id="rId27" Type="http://schemas.openxmlformats.org/officeDocument/2006/relationships/hyperlink" Target="https://dhhsvicgovau.sharepoint.com/sites/HumanServicesRegulator-DHHS-GRP/Shared%20Documents/Guidance%20and%20engagement/Registration/Group%203/Social%20Service%20Regulator%20registration" TargetMode="External"/><Relationship Id="rId30" Type="http://schemas.openxmlformats.org/officeDocument/2006/relationships/hyperlink" Target="https://dhhsvicgovau.sharepoint.com/sites/HumanServicesRegulator-DHHS-GRP/Shared%20Documents/Guidance%20and%20engagement/Sec%2047%20(registration)%20notifications/Social%20Services%20Standards" TargetMode="External"/><Relationship Id="rId35" Type="http://schemas.openxmlformats.org/officeDocument/2006/relationships/hyperlink" Target="https://www.legislation.vic.gov.au/in-force/acts/social-services-regulation-act-2021/001" TargetMode="External"/><Relationship Id="rId43"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AF26F-3F1D-4495-8FCE-57FCED041874}">
  <ds:schemaRefs>
    <ds:schemaRef ds:uri="http://schemas.microsoft.com/office/2006/metadata/properties"/>
    <ds:schemaRef ds:uri="http://schemas.microsoft.com/office/infopath/2007/PartnerControls"/>
    <ds:schemaRef ds:uri="5dc74ea8-e552-4672-9e93-7e886a7af213"/>
    <ds:schemaRef ds:uri="5ce0f2b5-5be5-4508-bce9-d7011ece0659"/>
  </ds:schemaRefs>
</ds:datastoreItem>
</file>

<file path=customXml/itemProps2.xml><?xml version="1.0" encoding="utf-8"?>
<ds:datastoreItem xmlns:ds="http://schemas.openxmlformats.org/officeDocument/2006/customXml" ds:itemID="{BE744886-A9D5-4415-975D-8E80F6B30B54}">
  <ds:schemaRefs>
    <ds:schemaRef ds:uri="http://schemas.microsoft.com/sharepoint/v3/contenttype/forms"/>
  </ds:schemaRefs>
</ds:datastoreItem>
</file>

<file path=customXml/itemProps3.xml><?xml version="1.0" encoding="utf-8"?>
<ds:datastoreItem xmlns:ds="http://schemas.openxmlformats.org/officeDocument/2006/customXml" ds:itemID="{02DC8D86-D9C9-4D34-8B08-36B8EABEC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7</cp:revision>
  <cp:lastPrinted>2024-12-18T22:27:00Z</cp:lastPrinted>
  <dcterms:created xsi:type="dcterms:W3CDTF">2024-12-18T03:15:00Z</dcterms:created>
  <dcterms:modified xsi:type="dcterms:W3CDTF">2024-12-18T22:40:00Z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2f3505cd,77ea9535,4b7830f1,6d44b873,7065b30e,103441ec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2024-12-18T03:17:12Z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42c87cb9-65cf-4fa5-81c0-be5197d21cb8</vt:lpwstr>
  </property>
  <property fmtid="{D5CDD505-2E9C-101B-9397-08002B2CF9AE}" pid="11" name="MSIP_Label_43e64453-338c-4f93-8a4d-0039a0a41f2a_ContentBits">
    <vt:lpwstr>2</vt:lpwstr>
  </property>
  <property fmtid="{D5CDD505-2E9C-101B-9397-08002B2CF9AE}" pid="12" name="ContentTypeId">
    <vt:lpwstr>0x010100027394C74C2D4C4BBF09EB3DFA32E73A</vt:lpwstr>
  </property>
  <property fmtid="{D5CDD505-2E9C-101B-9397-08002B2CF9AE}" pid="13" name="MediaServiceImageTags">
    <vt:lpwstr/>
  </property>
</Properties>
</file>