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18831" w14:textId="1E3D8541" w:rsidR="00254F12" w:rsidRPr="00862057" w:rsidRDefault="005C24D2" w:rsidP="00862057">
      <w:pPr>
        <w:pStyle w:val="Title"/>
      </w:pPr>
      <w:bookmarkStart w:id="0" w:name="_Toc106305998"/>
      <w:r>
        <w:rPr>
          <w:noProof/>
        </w:rPr>
        <w:drawing>
          <wp:anchor distT="0" distB="0" distL="114300" distR="114300" simplePos="0" relativeHeight="251658255" behindDoc="0" locked="1" layoutInCell="1" allowOverlap="1" wp14:anchorId="43615816" wp14:editId="09C21BA4">
            <wp:simplePos x="0" y="0"/>
            <wp:positionH relativeFrom="page">
              <wp:posOffset>6515735</wp:posOffset>
            </wp:positionH>
            <wp:positionV relativeFrom="page">
              <wp:posOffset>7127875</wp:posOffset>
            </wp:positionV>
            <wp:extent cx="1051200" cy="2228400"/>
            <wp:effectExtent l="0" t="0" r="0" b="635"/>
            <wp:wrapNone/>
            <wp:docPr id="49" name="Cover_Triangle_FF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ver_Triangle_FFR">
                      <a:extLst>
                        <a:ext uri="{C183D7F6-B498-43B3-948B-1728B52AA6E4}">
                          <adec:decorative xmlns:adec="http://schemas.microsoft.com/office/drawing/2017/decorative" val="1"/>
                        </a:ext>
                      </a:extLst>
                    </pic:cNvPr>
                    <pic:cNvPicPr/>
                  </pic:nvPicPr>
                  <pic:blipFill>
                    <a:blip r:embed="rId26"/>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176F1F">
        <w:t>Forests (Fire Protection) Regulations 2025</w:t>
      </w:r>
    </w:p>
    <w:p w14:paraId="27E29898" w14:textId="5BFF30C1" w:rsidR="004C1F02" w:rsidRDefault="00176F1F" w:rsidP="00862057">
      <w:pPr>
        <w:pStyle w:val="Subtitle"/>
      </w:pPr>
      <w:r>
        <w:t>Regulatory Impact Statement</w:t>
      </w:r>
    </w:p>
    <w:p w14:paraId="3B04BC10" w14:textId="77777777" w:rsidR="00254F12" w:rsidRPr="004C1F02" w:rsidRDefault="00254F12" w:rsidP="004E51DB">
      <w:pPr>
        <w:pStyle w:val="xVicLogo"/>
        <w:framePr w:wrap="around"/>
      </w:pPr>
      <w:r w:rsidRPr="004C1F02">
        <w:rPr>
          <w:noProof/>
        </w:rPr>
        <w:drawing>
          <wp:inline distT="0" distB="0" distL="0" distR="0" wp14:anchorId="0AE3323D" wp14:editId="490AFF63">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738080" cy="444948"/>
                    </a:xfrm>
                    <a:prstGeom prst="rect">
                      <a:avLst/>
                    </a:prstGeom>
                  </pic:spPr>
                </pic:pic>
              </a:graphicData>
            </a:graphic>
          </wp:inline>
        </w:drawing>
      </w:r>
    </w:p>
    <w:p w14:paraId="3FAF782C" w14:textId="77777777" w:rsidR="00254F12" w:rsidRPr="004C1F02" w:rsidRDefault="00985DB8" w:rsidP="004C1F02">
      <w:r w:rsidRPr="004C1F02">
        <w:rPr>
          <w:noProof/>
        </w:rPr>
        <w:drawing>
          <wp:anchor distT="0" distB="0" distL="114300" distR="114300" simplePos="0" relativeHeight="251658248" behindDoc="1" locked="1" layoutInCell="1" allowOverlap="1" wp14:anchorId="45F45FC4" wp14:editId="4B0AC422">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771335B3" wp14:editId="36FFFCB4">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C062"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158E55CB" wp14:editId="107DFC67">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5FA6"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4C48C2F9" wp14:editId="1E6CB635">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31"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3651" id="Cover_Portrait Photo 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32"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B96CA5F" wp14:editId="72DE8469">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33"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DB9E"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34"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D8AB18B" wp14:editId="2CCA1603">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5"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17C1"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36"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5FBB35DF" wp14:editId="2C0EA27A">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D053" id="Cover_Block"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487BDC77" wp14:editId="52C59945">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140FD71" w14:textId="7BAA0E12" w:rsidR="00254F12" w:rsidRPr="00FA0BCA" w:rsidRDefault="00254F12" w:rsidP="00254F12">
                              <w:pPr>
                                <w:pStyle w:val="xWebCoverPage"/>
                              </w:pPr>
                              <w:hyperlink r:id="rId37"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87BDC77"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140FD71" w14:textId="7BAA0E12" w:rsidR="00254F12" w:rsidRPr="00FA0BCA" w:rsidRDefault="00254F12" w:rsidP="00254F12">
                        <w:pPr>
                          <w:pStyle w:val="xWebCoverPage"/>
                        </w:pPr>
                        <w:hyperlink r:id="rId38"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0195D652" wp14:editId="1B93F31B">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2DDDCE17" wp14:editId="31380114">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4C8E22FF" wp14:editId="03E17C76">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7C707CF3" wp14:editId="02767E6D">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16DCD0BA" wp14:editId="30401ABC">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64E5A64" wp14:editId="1ED1227A">
                <wp:simplePos x="0" y="0"/>
                <wp:positionH relativeFrom="page">
                  <wp:posOffset>0</wp:posOffset>
                </wp:positionH>
                <wp:positionV relativeFrom="page">
                  <wp:posOffset>2225040</wp:posOffset>
                </wp:positionV>
                <wp:extent cx="7563600" cy="7120800"/>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5F46" id="Cover_Portrait Photo 1"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p>
    <w:p w14:paraId="49A1F8F7" w14:textId="77777777" w:rsidR="00254F12" w:rsidRPr="004C1F02" w:rsidRDefault="00254F12" w:rsidP="004C1F02">
      <w:pPr>
        <w:sectPr w:rsidR="00254F12" w:rsidRPr="004C1F02" w:rsidSect="00CD157B">
          <w:footerReference w:type="even" r:id="rId47"/>
          <w:footerReference w:type="default" r:id="rId48"/>
          <w:footerReference w:type="first" r:id="rId49"/>
          <w:type w:val="continuous"/>
          <w:pgSz w:w="11907" w:h="16839" w:code="9"/>
          <w:pgMar w:top="737" w:right="850" w:bottom="850" w:left="850" w:header="283" w:footer="283" w:gutter="0"/>
          <w:cols w:space="454"/>
          <w:noEndnote/>
          <w:titlePg/>
          <w:docGrid w:linePitch="360"/>
        </w:sectPr>
      </w:pPr>
    </w:p>
    <w:bookmarkStart w:id="1" w:name="_Hlk131848832"/>
    <w:bookmarkEnd w:id="0"/>
    <w:p w14:paraId="48267FC5" w14:textId="77777777" w:rsidR="00073EF4" w:rsidRDefault="00073EF4" w:rsidP="003214C0">
      <w:pPr>
        <w:pStyle w:val="DisclaimerText"/>
        <w:framePr w:wrap="around"/>
      </w:pPr>
      <w:r>
        <w:rPr>
          <w:noProof/>
        </w:rPr>
        <w:lastRenderedPageBreak/>
        <mc:AlternateContent>
          <mc:Choice Requires="wps">
            <w:drawing>
              <wp:inline distT="0" distB="0" distL="0" distR="0" wp14:anchorId="04BD97D6" wp14:editId="7876A9C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A524B9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229EEA4"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DB4D1E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4BD97D6"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A524B9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229EEA4"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DB4D1E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7B5D4575" wp14:editId="443EA2FF">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80089FA" w14:textId="5864E0EF"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F648FF">
        <w:t>January 2025</w:t>
      </w:r>
      <w:r w:rsidR="00F61065">
        <w:t>.</w:t>
      </w:r>
    </w:p>
    <w:p w14:paraId="17B9F465"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53E17F7C" w14:textId="3C6C48AB"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51" w:tooltip="Creative Commons website" w:history="1">
        <w:r w:rsidRPr="00973D7E">
          <w:rPr>
            <w:rStyle w:val="Hyperlink"/>
            <w:color w:val="232222" w:themeColor="text1"/>
          </w:rPr>
          <w:t>Creative Commons website</w:t>
        </w:r>
      </w:hyperlink>
      <w:r w:rsidRPr="00973D7E">
        <w:t xml:space="preserve"> (</w:t>
      </w:r>
      <w:hyperlink r:id="rId52" w:history="1">
        <w:r w:rsidRPr="00973D7E">
          <w:rPr>
            <w:rStyle w:val="Hyperlink"/>
            <w:color w:val="232222" w:themeColor="text1"/>
            <w:u w:val="none"/>
          </w:rPr>
          <w:t>http://creativecommons.org/licenses/by/4.0/</w:t>
        </w:r>
      </w:hyperlink>
      <w:r w:rsidRPr="00973D7E">
        <w:t>).</w:t>
      </w:r>
    </w:p>
    <w:p w14:paraId="0CE4AC1D"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BAB95E0" w14:textId="065AAE48" w:rsidR="00740ECE" w:rsidRPr="006614E4" w:rsidRDefault="00740ECE" w:rsidP="00740ECE">
      <w:pPr>
        <w:pStyle w:val="DisclaimerTextLeft"/>
        <w:framePr w:wrap="around"/>
      </w:pPr>
      <w:r w:rsidRPr="006614E4">
        <w:t>ISB</w:t>
      </w:r>
      <w:r w:rsidR="00193CB5">
        <w:t>N</w:t>
      </w:r>
      <w:r w:rsidRPr="006614E4">
        <w:t xml:space="preserve"> </w:t>
      </w:r>
      <w:r w:rsidR="00FA35DD" w:rsidRPr="00FA35DD">
        <w:t xml:space="preserve">978-1-76176-203-1 </w:t>
      </w:r>
      <w:r w:rsidR="00FA35DD" w:rsidRPr="00FA35DD">
        <w:rPr>
          <w:b/>
          <w:bCs/>
        </w:rPr>
        <w:t>(pdf/online/MS word)</w:t>
      </w:r>
      <w:r w:rsidRPr="006614E4">
        <w:t xml:space="preserve"> </w:t>
      </w:r>
    </w:p>
    <w:p w14:paraId="40A174D6" w14:textId="77777777" w:rsidR="00740ECE" w:rsidRPr="00C87F39" w:rsidRDefault="00740ECE" w:rsidP="00740ECE">
      <w:pPr>
        <w:pStyle w:val="DisclaimerTextRightBold"/>
        <w:framePr w:wrap="around"/>
      </w:pPr>
      <w:r w:rsidRPr="00C87F39">
        <w:t>Disclaimer</w:t>
      </w:r>
    </w:p>
    <w:p w14:paraId="0D0C1401"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368312C" w14:textId="77777777" w:rsidR="00740ECE" w:rsidRPr="00F15EE0" w:rsidRDefault="00740ECE" w:rsidP="00E4201F">
      <w:pPr>
        <w:pStyle w:val="DisclaimerTextRightBold12pt"/>
        <w:framePr w:wrap="around"/>
      </w:pPr>
      <w:r w:rsidRPr="00F15EE0">
        <w:t>Accessibility</w:t>
      </w:r>
    </w:p>
    <w:p w14:paraId="6F333169" w14:textId="0738DC3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53" w:history="1">
        <w:r w:rsidR="00D17F5F" w:rsidRPr="00CB1C0B">
          <w:rPr>
            <w:rStyle w:val="Hyperlink"/>
            <w:color w:val="232222" w:themeColor="text1"/>
            <w:szCs w:val="24"/>
          </w:rPr>
          <w:t>customer.service@</w:t>
        </w:r>
        <w:r w:rsidR="00D17F5F">
          <w:rPr>
            <w:rStyle w:val="Hyperlink"/>
            <w:color w:val="232222" w:themeColor="text1"/>
            <w:szCs w:val="24"/>
          </w:rPr>
          <w:t>deeca.vic.gov.au</w:t>
        </w:r>
      </w:hyperlink>
      <w:r w:rsidRPr="00CB1C0B">
        <w:t xml:space="preserve">, or contact National Relay Service on 133 677. </w:t>
      </w:r>
      <w:r>
        <w:t xml:space="preserve">Available at </w:t>
      </w:r>
      <w:hyperlink r:id="rId54">
        <w:r w:rsidRPr="4F144E73">
          <w:rPr>
            <w:rStyle w:val="Hyperlink"/>
            <w:color w:val="232222" w:themeColor="text1"/>
          </w:rPr>
          <w:t>DEECA website</w:t>
        </w:r>
      </w:hyperlink>
      <w:r>
        <w:t xml:space="preserve"> (</w:t>
      </w:r>
      <w:hyperlink r:id="rId55" w:history="1">
        <w:r w:rsidR="00063861" w:rsidRPr="00A246C6">
          <w:rPr>
            <w:rStyle w:val="Hyperlink"/>
          </w:rPr>
          <w:t>www.deeca.vic.gov.au</w:t>
        </w:r>
      </w:hyperlink>
      <w:r>
        <w:t xml:space="preserve">). </w:t>
      </w:r>
      <w:bookmarkEnd w:id="4"/>
    </w:p>
    <w:p w14:paraId="19FB6D7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5DA39D30" w14:textId="77777777" w:rsidR="00233D6B" w:rsidRPr="00F7242A" w:rsidRDefault="00233D6B" w:rsidP="00474212">
      <w:pPr>
        <w:pStyle w:val="TOCHeading"/>
      </w:pPr>
      <w:r w:rsidRPr="00474212">
        <w:lastRenderedPageBreak/>
        <w:t>Contents</w:t>
      </w:r>
      <w:bookmarkStart w:id="5" w:name="_TOCMarker"/>
      <w:bookmarkEnd w:id="5"/>
    </w:p>
    <w:p w14:paraId="6B233EDF" w14:textId="7817F700" w:rsidR="00545D81"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87330503" w:history="1">
        <w:r w:rsidR="00545D81" w:rsidRPr="00AC24B4">
          <w:rPr>
            <w:rStyle w:val="Hyperlink"/>
          </w:rPr>
          <w:t>Glossary</w:t>
        </w:r>
        <w:r w:rsidR="00545D81">
          <w:rPr>
            <w:webHidden/>
          </w:rPr>
          <w:tab/>
        </w:r>
        <w:r w:rsidR="00545D81">
          <w:rPr>
            <w:webHidden/>
          </w:rPr>
          <w:fldChar w:fldCharType="begin"/>
        </w:r>
        <w:r w:rsidR="00545D81">
          <w:rPr>
            <w:webHidden/>
          </w:rPr>
          <w:instrText xml:space="preserve"> PAGEREF _Toc187330503 \h </w:instrText>
        </w:r>
        <w:r w:rsidR="00545D81">
          <w:rPr>
            <w:webHidden/>
          </w:rPr>
        </w:r>
        <w:r w:rsidR="00545D81">
          <w:rPr>
            <w:webHidden/>
          </w:rPr>
          <w:fldChar w:fldCharType="separate"/>
        </w:r>
        <w:r w:rsidR="0013459E">
          <w:rPr>
            <w:webHidden/>
          </w:rPr>
          <w:t>6</w:t>
        </w:r>
        <w:r w:rsidR="00545D81">
          <w:rPr>
            <w:webHidden/>
          </w:rPr>
          <w:fldChar w:fldCharType="end"/>
        </w:r>
      </w:hyperlink>
    </w:p>
    <w:p w14:paraId="422FEFA4" w14:textId="611F9572" w:rsidR="00545D81" w:rsidRDefault="00545D81">
      <w:pPr>
        <w:pStyle w:val="TOC1"/>
        <w:rPr>
          <w:rFonts w:eastAsiaTheme="minorEastAsia" w:cstheme="minorBidi"/>
          <w:b w:val="0"/>
          <w:color w:val="auto"/>
          <w:kern w:val="2"/>
          <w14:ligatures w14:val="standardContextual"/>
        </w:rPr>
      </w:pPr>
      <w:hyperlink w:anchor="_Toc187330504" w:history="1">
        <w:r w:rsidRPr="00AC24B4">
          <w:rPr>
            <w:rStyle w:val="Hyperlink"/>
          </w:rPr>
          <w:t>Executive Summary</w:t>
        </w:r>
        <w:r>
          <w:rPr>
            <w:webHidden/>
          </w:rPr>
          <w:tab/>
        </w:r>
        <w:r>
          <w:rPr>
            <w:webHidden/>
          </w:rPr>
          <w:fldChar w:fldCharType="begin"/>
        </w:r>
        <w:r>
          <w:rPr>
            <w:webHidden/>
          </w:rPr>
          <w:instrText xml:space="preserve"> PAGEREF _Toc187330504 \h </w:instrText>
        </w:r>
        <w:r>
          <w:rPr>
            <w:webHidden/>
          </w:rPr>
        </w:r>
        <w:r>
          <w:rPr>
            <w:webHidden/>
          </w:rPr>
          <w:fldChar w:fldCharType="separate"/>
        </w:r>
        <w:r w:rsidR="0013459E">
          <w:rPr>
            <w:webHidden/>
          </w:rPr>
          <w:t>7</w:t>
        </w:r>
        <w:r>
          <w:rPr>
            <w:webHidden/>
          </w:rPr>
          <w:fldChar w:fldCharType="end"/>
        </w:r>
      </w:hyperlink>
    </w:p>
    <w:p w14:paraId="44093F85" w14:textId="245FDDBC" w:rsidR="00545D81" w:rsidRDefault="00545D81">
      <w:pPr>
        <w:pStyle w:val="TOC3"/>
        <w:rPr>
          <w:b w:val="0"/>
          <w:color w:val="auto"/>
          <w:kern w:val="2"/>
          <w:sz w:val="24"/>
          <w:szCs w:val="24"/>
          <w14:ligatures w14:val="standardContextual"/>
        </w:rPr>
      </w:pPr>
      <w:hyperlink w:anchor="_Toc187330505" w:history="1">
        <w:r w:rsidRPr="00AC24B4">
          <w:rPr>
            <w:rStyle w:val="Hyperlink"/>
          </w:rPr>
          <w:t>Context (Chapter 2)</w:t>
        </w:r>
        <w:r>
          <w:rPr>
            <w:webHidden/>
          </w:rPr>
          <w:tab/>
        </w:r>
        <w:r>
          <w:rPr>
            <w:webHidden/>
          </w:rPr>
          <w:fldChar w:fldCharType="begin"/>
        </w:r>
        <w:r>
          <w:rPr>
            <w:webHidden/>
          </w:rPr>
          <w:instrText xml:space="preserve"> PAGEREF _Toc187330505 \h </w:instrText>
        </w:r>
        <w:r>
          <w:rPr>
            <w:webHidden/>
          </w:rPr>
        </w:r>
        <w:r>
          <w:rPr>
            <w:webHidden/>
          </w:rPr>
          <w:fldChar w:fldCharType="separate"/>
        </w:r>
        <w:r w:rsidR="0013459E">
          <w:rPr>
            <w:webHidden/>
          </w:rPr>
          <w:t>7</w:t>
        </w:r>
        <w:r>
          <w:rPr>
            <w:webHidden/>
          </w:rPr>
          <w:fldChar w:fldCharType="end"/>
        </w:r>
      </w:hyperlink>
    </w:p>
    <w:p w14:paraId="31D69C19" w14:textId="4690174E" w:rsidR="00545D81" w:rsidRDefault="00545D81">
      <w:pPr>
        <w:pStyle w:val="TOC3"/>
        <w:rPr>
          <w:b w:val="0"/>
          <w:color w:val="auto"/>
          <w:kern w:val="2"/>
          <w:sz w:val="24"/>
          <w:szCs w:val="24"/>
          <w14:ligatures w14:val="standardContextual"/>
        </w:rPr>
      </w:pPr>
      <w:hyperlink w:anchor="_Toc187330506" w:history="1">
        <w:r w:rsidRPr="00AC24B4">
          <w:rPr>
            <w:rStyle w:val="Hyperlink"/>
          </w:rPr>
          <w:t>Problem and Objectives (Chapters 2 &amp; 3)</w:t>
        </w:r>
        <w:r>
          <w:rPr>
            <w:webHidden/>
          </w:rPr>
          <w:tab/>
        </w:r>
        <w:r>
          <w:rPr>
            <w:webHidden/>
          </w:rPr>
          <w:fldChar w:fldCharType="begin"/>
        </w:r>
        <w:r>
          <w:rPr>
            <w:webHidden/>
          </w:rPr>
          <w:instrText xml:space="preserve"> PAGEREF _Toc187330506 \h </w:instrText>
        </w:r>
        <w:r>
          <w:rPr>
            <w:webHidden/>
          </w:rPr>
        </w:r>
        <w:r>
          <w:rPr>
            <w:webHidden/>
          </w:rPr>
          <w:fldChar w:fldCharType="separate"/>
        </w:r>
        <w:r w:rsidR="0013459E">
          <w:rPr>
            <w:webHidden/>
          </w:rPr>
          <w:t>7</w:t>
        </w:r>
        <w:r>
          <w:rPr>
            <w:webHidden/>
          </w:rPr>
          <w:fldChar w:fldCharType="end"/>
        </w:r>
      </w:hyperlink>
    </w:p>
    <w:p w14:paraId="112F2933" w14:textId="05E4E010" w:rsidR="00545D81" w:rsidRDefault="00545D81">
      <w:pPr>
        <w:pStyle w:val="TOC3"/>
        <w:rPr>
          <w:b w:val="0"/>
          <w:color w:val="auto"/>
          <w:kern w:val="2"/>
          <w:sz w:val="24"/>
          <w:szCs w:val="24"/>
          <w14:ligatures w14:val="standardContextual"/>
        </w:rPr>
      </w:pPr>
      <w:hyperlink w:anchor="_Toc187330507" w:history="1">
        <w:r w:rsidRPr="00AC24B4">
          <w:rPr>
            <w:rStyle w:val="Hyperlink"/>
          </w:rPr>
          <w:t>Options considered (Chapter 4)</w:t>
        </w:r>
        <w:r>
          <w:rPr>
            <w:webHidden/>
          </w:rPr>
          <w:tab/>
        </w:r>
        <w:r>
          <w:rPr>
            <w:webHidden/>
          </w:rPr>
          <w:fldChar w:fldCharType="begin"/>
        </w:r>
        <w:r>
          <w:rPr>
            <w:webHidden/>
          </w:rPr>
          <w:instrText xml:space="preserve"> PAGEREF _Toc187330507 \h </w:instrText>
        </w:r>
        <w:r>
          <w:rPr>
            <w:webHidden/>
          </w:rPr>
        </w:r>
        <w:r>
          <w:rPr>
            <w:webHidden/>
          </w:rPr>
          <w:fldChar w:fldCharType="separate"/>
        </w:r>
        <w:r w:rsidR="0013459E">
          <w:rPr>
            <w:webHidden/>
          </w:rPr>
          <w:t>7</w:t>
        </w:r>
        <w:r>
          <w:rPr>
            <w:webHidden/>
          </w:rPr>
          <w:fldChar w:fldCharType="end"/>
        </w:r>
      </w:hyperlink>
    </w:p>
    <w:p w14:paraId="594C5341" w14:textId="660AACD0" w:rsidR="00545D81" w:rsidRDefault="00545D81">
      <w:pPr>
        <w:pStyle w:val="TOC3"/>
        <w:rPr>
          <w:b w:val="0"/>
          <w:color w:val="auto"/>
          <w:kern w:val="2"/>
          <w:sz w:val="24"/>
          <w:szCs w:val="24"/>
          <w14:ligatures w14:val="standardContextual"/>
        </w:rPr>
      </w:pPr>
      <w:hyperlink w:anchor="_Toc187330508" w:history="1">
        <w:r w:rsidRPr="00AC24B4">
          <w:rPr>
            <w:rStyle w:val="Hyperlink"/>
          </w:rPr>
          <w:t>Costs and benefits of the options (Chapter 5)</w:t>
        </w:r>
        <w:r>
          <w:rPr>
            <w:webHidden/>
          </w:rPr>
          <w:tab/>
        </w:r>
        <w:r>
          <w:rPr>
            <w:webHidden/>
          </w:rPr>
          <w:fldChar w:fldCharType="begin"/>
        </w:r>
        <w:r>
          <w:rPr>
            <w:webHidden/>
          </w:rPr>
          <w:instrText xml:space="preserve"> PAGEREF _Toc187330508 \h </w:instrText>
        </w:r>
        <w:r>
          <w:rPr>
            <w:webHidden/>
          </w:rPr>
        </w:r>
        <w:r>
          <w:rPr>
            <w:webHidden/>
          </w:rPr>
          <w:fldChar w:fldCharType="separate"/>
        </w:r>
        <w:r w:rsidR="0013459E">
          <w:rPr>
            <w:webHidden/>
          </w:rPr>
          <w:t>7</w:t>
        </w:r>
        <w:r>
          <w:rPr>
            <w:webHidden/>
          </w:rPr>
          <w:fldChar w:fldCharType="end"/>
        </w:r>
      </w:hyperlink>
    </w:p>
    <w:p w14:paraId="6022DAA0" w14:textId="5A06721E" w:rsidR="00545D81" w:rsidRDefault="00545D81">
      <w:pPr>
        <w:pStyle w:val="TOC3"/>
        <w:rPr>
          <w:b w:val="0"/>
          <w:color w:val="auto"/>
          <w:kern w:val="2"/>
          <w:sz w:val="24"/>
          <w:szCs w:val="24"/>
          <w14:ligatures w14:val="standardContextual"/>
        </w:rPr>
      </w:pPr>
      <w:hyperlink w:anchor="_Toc187330509" w:history="1">
        <w:r w:rsidRPr="00AC24B4">
          <w:rPr>
            <w:rStyle w:val="Hyperlink"/>
          </w:rPr>
          <w:t>Preferred Option − proposed Regulations (Chapter 6)</w:t>
        </w:r>
        <w:r>
          <w:rPr>
            <w:webHidden/>
          </w:rPr>
          <w:tab/>
        </w:r>
        <w:r>
          <w:rPr>
            <w:webHidden/>
          </w:rPr>
          <w:fldChar w:fldCharType="begin"/>
        </w:r>
        <w:r>
          <w:rPr>
            <w:webHidden/>
          </w:rPr>
          <w:instrText xml:space="preserve"> PAGEREF _Toc187330509 \h </w:instrText>
        </w:r>
        <w:r>
          <w:rPr>
            <w:webHidden/>
          </w:rPr>
        </w:r>
        <w:r>
          <w:rPr>
            <w:webHidden/>
          </w:rPr>
          <w:fldChar w:fldCharType="separate"/>
        </w:r>
        <w:r w:rsidR="0013459E">
          <w:rPr>
            <w:webHidden/>
          </w:rPr>
          <w:t>8</w:t>
        </w:r>
        <w:r>
          <w:rPr>
            <w:webHidden/>
          </w:rPr>
          <w:fldChar w:fldCharType="end"/>
        </w:r>
      </w:hyperlink>
    </w:p>
    <w:p w14:paraId="342A0930" w14:textId="056BBF8E" w:rsidR="00545D81" w:rsidRDefault="00545D81">
      <w:pPr>
        <w:pStyle w:val="TOC3"/>
        <w:rPr>
          <w:b w:val="0"/>
          <w:color w:val="auto"/>
          <w:kern w:val="2"/>
          <w:sz w:val="24"/>
          <w:szCs w:val="24"/>
          <w14:ligatures w14:val="standardContextual"/>
        </w:rPr>
      </w:pPr>
      <w:hyperlink w:anchor="_Toc187330510" w:history="1">
        <w:r w:rsidRPr="00AC24B4">
          <w:rPr>
            <w:rStyle w:val="Hyperlink"/>
          </w:rPr>
          <w:t>Small business and competition impacts (Chapter 6.2 and 6.3)</w:t>
        </w:r>
        <w:r>
          <w:rPr>
            <w:webHidden/>
          </w:rPr>
          <w:tab/>
        </w:r>
        <w:r>
          <w:rPr>
            <w:webHidden/>
          </w:rPr>
          <w:fldChar w:fldCharType="begin"/>
        </w:r>
        <w:r>
          <w:rPr>
            <w:webHidden/>
          </w:rPr>
          <w:instrText xml:space="preserve"> PAGEREF _Toc187330510 \h </w:instrText>
        </w:r>
        <w:r>
          <w:rPr>
            <w:webHidden/>
          </w:rPr>
        </w:r>
        <w:r>
          <w:rPr>
            <w:webHidden/>
          </w:rPr>
          <w:fldChar w:fldCharType="separate"/>
        </w:r>
        <w:r w:rsidR="0013459E">
          <w:rPr>
            <w:webHidden/>
          </w:rPr>
          <w:t>9</w:t>
        </w:r>
        <w:r>
          <w:rPr>
            <w:webHidden/>
          </w:rPr>
          <w:fldChar w:fldCharType="end"/>
        </w:r>
      </w:hyperlink>
    </w:p>
    <w:p w14:paraId="4BAF40D7" w14:textId="52B2418D" w:rsidR="00545D81" w:rsidRDefault="00545D81">
      <w:pPr>
        <w:pStyle w:val="TOC3"/>
        <w:rPr>
          <w:b w:val="0"/>
          <w:color w:val="auto"/>
          <w:kern w:val="2"/>
          <w:sz w:val="24"/>
          <w:szCs w:val="24"/>
          <w14:ligatures w14:val="standardContextual"/>
        </w:rPr>
      </w:pPr>
      <w:hyperlink w:anchor="_Toc187330511" w:history="1">
        <w:r w:rsidRPr="00AC24B4">
          <w:rPr>
            <w:rStyle w:val="Hyperlink"/>
          </w:rPr>
          <w:t>Consultation (Chapter 7)</w:t>
        </w:r>
        <w:r>
          <w:rPr>
            <w:webHidden/>
          </w:rPr>
          <w:tab/>
        </w:r>
        <w:r>
          <w:rPr>
            <w:webHidden/>
          </w:rPr>
          <w:fldChar w:fldCharType="begin"/>
        </w:r>
        <w:r>
          <w:rPr>
            <w:webHidden/>
          </w:rPr>
          <w:instrText xml:space="preserve"> PAGEREF _Toc187330511 \h </w:instrText>
        </w:r>
        <w:r>
          <w:rPr>
            <w:webHidden/>
          </w:rPr>
        </w:r>
        <w:r>
          <w:rPr>
            <w:webHidden/>
          </w:rPr>
          <w:fldChar w:fldCharType="separate"/>
        </w:r>
        <w:r w:rsidR="0013459E">
          <w:rPr>
            <w:webHidden/>
          </w:rPr>
          <w:t>9</w:t>
        </w:r>
        <w:r>
          <w:rPr>
            <w:webHidden/>
          </w:rPr>
          <w:fldChar w:fldCharType="end"/>
        </w:r>
      </w:hyperlink>
    </w:p>
    <w:p w14:paraId="1D57601C" w14:textId="075F3DB7" w:rsidR="00545D81" w:rsidRDefault="00545D81">
      <w:pPr>
        <w:pStyle w:val="TOC3"/>
        <w:rPr>
          <w:b w:val="0"/>
          <w:color w:val="auto"/>
          <w:kern w:val="2"/>
          <w:sz w:val="24"/>
          <w:szCs w:val="24"/>
          <w14:ligatures w14:val="standardContextual"/>
        </w:rPr>
      </w:pPr>
      <w:hyperlink w:anchor="_Toc187330512" w:history="1">
        <w:r w:rsidRPr="00AC24B4">
          <w:rPr>
            <w:rStyle w:val="Hyperlink"/>
          </w:rPr>
          <w:t>Implementation and Evaluation (Chapter 9)</w:t>
        </w:r>
        <w:r>
          <w:rPr>
            <w:webHidden/>
          </w:rPr>
          <w:tab/>
        </w:r>
        <w:r>
          <w:rPr>
            <w:webHidden/>
          </w:rPr>
          <w:fldChar w:fldCharType="begin"/>
        </w:r>
        <w:r>
          <w:rPr>
            <w:webHidden/>
          </w:rPr>
          <w:instrText xml:space="preserve"> PAGEREF _Toc187330512 \h </w:instrText>
        </w:r>
        <w:r>
          <w:rPr>
            <w:webHidden/>
          </w:rPr>
        </w:r>
        <w:r>
          <w:rPr>
            <w:webHidden/>
          </w:rPr>
          <w:fldChar w:fldCharType="separate"/>
        </w:r>
        <w:r w:rsidR="0013459E">
          <w:rPr>
            <w:webHidden/>
          </w:rPr>
          <w:t>9</w:t>
        </w:r>
        <w:r>
          <w:rPr>
            <w:webHidden/>
          </w:rPr>
          <w:fldChar w:fldCharType="end"/>
        </w:r>
      </w:hyperlink>
    </w:p>
    <w:p w14:paraId="3C0ECA25" w14:textId="090F3D9D" w:rsidR="00545D81" w:rsidRDefault="00545D81">
      <w:pPr>
        <w:pStyle w:val="TOC1"/>
        <w:rPr>
          <w:rFonts w:eastAsiaTheme="minorEastAsia" w:cstheme="minorBidi"/>
          <w:b w:val="0"/>
          <w:color w:val="auto"/>
          <w:kern w:val="2"/>
          <w14:ligatures w14:val="standardContextual"/>
        </w:rPr>
      </w:pPr>
      <w:hyperlink w:anchor="_Toc187330513" w:history="1">
        <w:r w:rsidRPr="00AC24B4">
          <w:rPr>
            <w:rStyle w:val="Hyperlink"/>
          </w:rPr>
          <w:t>1. Purpose of this RIS</w:t>
        </w:r>
        <w:r>
          <w:rPr>
            <w:webHidden/>
          </w:rPr>
          <w:tab/>
        </w:r>
        <w:r>
          <w:rPr>
            <w:webHidden/>
          </w:rPr>
          <w:fldChar w:fldCharType="begin"/>
        </w:r>
        <w:r>
          <w:rPr>
            <w:webHidden/>
          </w:rPr>
          <w:instrText xml:space="preserve"> PAGEREF _Toc187330513 \h </w:instrText>
        </w:r>
        <w:r>
          <w:rPr>
            <w:webHidden/>
          </w:rPr>
        </w:r>
        <w:r>
          <w:rPr>
            <w:webHidden/>
          </w:rPr>
          <w:fldChar w:fldCharType="separate"/>
        </w:r>
        <w:r w:rsidR="0013459E">
          <w:rPr>
            <w:webHidden/>
          </w:rPr>
          <w:t>11</w:t>
        </w:r>
        <w:r>
          <w:rPr>
            <w:webHidden/>
          </w:rPr>
          <w:fldChar w:fldCharType="end"/>
        </w:r>
      </w:hyperlink>
    </w:p>
    <w:p w14:paraId="1E6DBB38" w14:textId="365E7BDA" w:rsidR="00545D81" w:rsidRDefault="00545D81">
      <w:pPr>
        <w:pStyle w:val="TOC2"/>
        <w:rPr>
          <w:rFonts w:eastAsiaTheme="minorEastAsia" w:cstheme="minorBidi"/>
          <w:color w:val="auto"/>
          <w:kern w:val="2"/>
          <w:sz w:val="24"/>
          <w:szCs w:val="24"/>
          <w14:ligatures w14:val="standardContextual"/>
        </w:rPr>
      </w:pPr>
      <w:hyperlink w:anchor="_Toc187330514" w:history="1">
        <w:r w:rsidRPr="00AC24B4">
          <w:rPr>
            <w:rStyle w:val="Hyperlink"/>
          </w:rPr>
          <w:t>1.1 Requirements for making Regulations</w:t>
        </w:r>
        <w:r>
          <w:rPr>
            <w:webHidden/>
          </w:rPr>
          <w:tab/>
        </w:r>
        <w:r>
          <w:rPr>
            <w:webHidden/>
          </w:rPr>
          <w:fldChar w:fldCharType="begin"/>
        </w:r>
        <w:r>
          <w:rPr>
            <w:webHidden/>
          </w:rPr>
          <w:instrText xml:space="preserve"> PAGEREF _Toc187330514 \h </w:instrText>
        </w:r>
        <w:r>
          <w:rPr>
            <w:webHidden/>
          </w:rPr>
        </w:r>
        <w:r>
          <w:rPr>
            <w:webHidden/>
          </w:rPr>
          <w:fldChar w:fldCharType="separate"/>
        </w:r>
        <w:r w:rsidR="0013459E">
          <w:rPr>
            <w:webHidden/>
          </w:rPr>
          <w:t>11</w:t>
        </w:r>
        <w:r>
          <w:rPr>
            <w:webHidden/>
          </w:rPr>
          <w:fldChar w:fldCharType="end"/>
        </w:r>
      </w:hyperlink>
    </w:p>
    <w:p w14:paraId="72B41BA6" w14:textId="7002E994" w:rsidR="00545D81" w:rsidRDefault="00545D81">
      <w:pPr>
        <w:pStyle w:val="TOC2"/>
        <w:rPr>
          <w:rFonts w:eastAsiaTheme="minorEastAsia" w:cstheme="minorBidi"/>
          <w:color w:val="auto"/>
          <w:kern w:val="2"/>
          <w:sz w:val="24"/>
          <w:szCs w:val="24"/>
          <w14:ligatures w14:val="standardContextual"/>
        </w:rPr>
      </w:pPr>
      <w:hyperlink w:anchor="_Toc187330515" w:history="1">
        <w:r w:rsidRPr="00AC24B4">
          <w:rPr>
            <w:rStyle w:val="Hyperlink"/>
          </w:rPr>
          <w:t>1.2 The Government’s approach to regulation</w:t>
        </w:r>
        <w:r>
          <w:rPr>
            <w:webHidden/>
          </w:rPr>
          <w:tab/>
        </w:r>
        <w:r>
          <w:rPr>
            <w:webHidden/>
          </w:rPr>
          <w:fldChar w:fldCharType="begin"/>
        </w:r>
        <w:r>
          <w:rPr>
            <w:webHidden/>
          </w:rPr>
          <w:instrText xml:space="preserve"> PAGEREF _Toc187330515 \h </w:instrText>
        </w:r>
        <w:r>
          <w:rPr>
            <w:webHidden/>
          </w:rPr>
        </w:r>
        <w:r>
          <w:rPr>
            <w:webHidden/>
          </w:rPr>
          <w:fldChar w:fldCharType="separate"/>
        </w:r>
        <w:r w:rsidR="0013459E">
          <w:rPr>
            <w:webHidden/>
          </w:rPr>
          <w:t>11</w:t>
        </w:r>
        <w:r>
          <w:rPr>
            <w:webHidden/>
          </w:rPr>
          <w:fldChar w:fldCharType="end"/>
        </w:r>
      </w:hyperlink>
    </w:p>
    <w:p w14:paraId="02959403" w14:textId="1FA1BE15" w:rsidR="00545D81" w:rsidRDefault="00545D81">
      <w:pPr>
        <w:pStyle w:val="TOC1"/>
        <w:rPr>
          <w:rFonts w:eastAsiaTheme="minorEastAsia" w:cstheme="minorBidi"/>
          <w:b w:val="0"/>
          <w:color w:val="auto"/>
          <w:kern w:val="2"/>
          <w14:ligatures w14:val="standardContextual"/>
        </w:rPr>
      </w:pPr>
      <w:hyperlink w:anchor="_Toc187330516" w:history="1">
        <w:r w:rsidRPr="00AC24B4">
          <w:rPr>
            <w:rStyle w:val="Hyperlink"/>
          </w:rPr>
          <w:t>2. Problem analysis: Why is the Government considering action?</w:t>
        </w:r>
        <w:r>
          <w:rPr>
            <w:webHidden/>
          </w:rPr>
          <w:tab/>
        </w:r>
        <w:r>
          <w:rPr>
            <w:webHidden/>
          </w:rPr>
          <w:fldChar w:fldCharType="begin"/>
        </w:r>
        <w:r>
          <w:rPr>
            <w:webHidden/>
          </w:rPr>
          <w:instrText xml:space="preserve"> PAGEREF _Toc187330516 \h </w:instrText>
        </w:r>
        <w:r>
          <w:rPr>
            <w:webHidden/>
          </w:rPr>
        </w:r>
        <w:r>
          <w:rPr>
            <w:webHidden/>
          </w:rPr>
          <w:fldChar w:fldCharType="separate"/>
        </w:r>
        <w:r w:rsidR="0013459E">
          <w:rPr>
            <w:webHidden/>
          </w:rPr>
          <w:t>13</w:t>
        </w:r>
        <w:r>
          <w:rPr>
            <w:webHidden/>
          </w:rPr>
          <w:fldChar w:fldCharType="end"/>
        </w:r>
      </w:hyperlink>
    </w:p>
    <w:p w14:paraId="3F5BEF5D" w14:textId="4F775080" w:rsidR="00545D81" w:rsidRDefault="00545D81">
      <w:pPr>
        <w:pStyle w:val="TOC2"/>
        <w:rPr>
          <w:rFonts w:eastAsiaTheme="minorEastAsia" w:cstheme="minorBidi"/>
          <w:color w:val="auto"/>
          <w:kern w:val="2"/>
          <w:sz w:val="24"/>
          <w:szCs w:val="24"/>
          <w14:ligatures w14:val="standardContextual"/>
        </w:rPr>
      </w:pPr>
      <w:hyperlink w:anchor="_Toc187330517" w:history="1">
        <w:r w:rsidRPr="00AC24B4">
          <w:rPr>
            <w:rStyle w:val="Hyperlink"/>
          </w:rPr>
          <w:t>2.1 Context</w:t>
        </w:r>
        <w:r>
          <w:rPr>
            <w:webHidden/>
          </w:rPr>
          <w:tab/>
        </w:r>
        <w:r>
          <w:rPr>
            <w:webHidden/>
          </w:rPr>
          <w:fldChar w:fldCharType="begin"/>
        </w:r>
        <w:r>
          <w:rPr>
            <w:webHidden/>
          </w:rPr>
          <w:instrText xml:space="preserve"> PAGEREF _Toc187330517 \h </w:instrText>
        </w:r>
        <w:r>
          <w:rPr>
            <w:webHidden/>
          </w:rPr>
        </w:r>
        <w:r>
          <w:rPr>
            <w:webHidden/>
          </w:rPr>
          <w:fldChar w:fldCharType="separate"/>
        </w:r>
        <w:r w:rsidR="0013459E">
          <w:rPr>
            <w:webHidden/>
          </w:rPr>
          <w:t>13</w:t>
        </w:r>
        <w:r>
          <w:rPr>
            <w:webHidden/>
          </w:rPr>
          <w:fldChar w:fldCharType="end"/>
        </w:r>
      </w:hyperlink>
    </w:p>
    <w:p w14:paraId="44FA8613" w14:textId="6270EA5A" w:rsidR="00545D81" w:rsidRDefault="00545D81">
      <w:pPr>
        <w:pStyle w:val="TOC3"/>
        <w:rPr>
          <w:b w:val="0"/>
          <w:color w:val="auto"/>
          <w:kern w:val="2"/>
          <w:sz w:val="24"/>
          <w:szCs w:val="24"/>
          <w14:ligatures w14:val="standardContextual"/>
        </w:rPr>
      </w:pPr>
      <w:hyperlink w:anchor="_Toc187330518" w:history="1">
        <w:r w:rsidRPr="00AC24B4">
          <w:rPr>
            <w:rStyle w:val="Hyperlink"/>
          </w:rPr>
          <w:t>2.1.1 Victoria’s forests</w:t>
        </w:r>
        <w:r>
          <w:rPr>
            <w:webHidden/>
          </w:rPr>
          <w:tab/>
        </w:r>
        <w:r>
          <w:rPr>
            <w:webHidden/>
          </w:rPr>
          <w:fldChar w:fldCharType="begin"/>
        </w:r>
        <w:r>
          <w:rPr>
            <w:webHidden/>
          </w:rPr>
          <w:instrText xml:space="preserve"> PAGEREF _Toc187330518 \h </w:instrText>
        </w:r>
        <w:r>
          <w:rPr>
            <w:webHidden/>
          </w:rPr>
        </w:r>
        <w:r>
          <w:rPr>
            <w:webHidden/>
          </w:rPr>
          <w:fldChar w:fldCharType="separate"/>
        </w:r>
        <w:r w:rsidR="0013459E">
          <w:rPr>
            <w:webHidden/>
          </w:rPr>
          <w:t>13</w:t>
        </w:r>
        <w:r>
          <w:rPr>
            <w:webHidden/>
          </w:rPr>
          <w:fldChar w:fldCharType="end"/>
        </w:r>
      </w:hyperlink>
    </w:p>
    <w:p w14:paraId="59F655BA" w14:textId="1D304B4B" w:rsidR="00545D81" w:rsidRDefault="00545D81">
      <w:pPr>
        <w:pStyle w:val="TOC3"/>
        <w:rPr>
          <w:b w:val="0"/>
          <w:color w:val="auto"/>
          <w:kern w:val="2"/>
          <w:sz w:val="24"/>
          <w:szCs w:val="24"/>
          <w14:ligatures w14:val="standardContextual"/>
        </w:rPr>
      </w:pPr>
      <w:hyperlink w:anchor="_Toc187330519" w:history="1">
        <w:r w:rsidRPr="00AC24B4">
          <w:rPr>
            <w:rStyle w:val="Hyperlink"/>
          </w:rPr>
          <w:t>2.1.2 Forests Act</w:t>
        </w:r>
        <w:r>
          <w:rPr>
            <w:webHidden/>
          </w:rPr>
          <w:tab/>
        </w:r>
        <w:r>
          <w:rPr>
            <w:webHidden/>
          </w:rPr>
          <w:fldChar w:fldCharType="begin"/>
        </w:r>
        <w:r>
          <w:rPr>
            <w:webHidden/>
          </w:rPr>
          <w:instrText xml:space="preserve"> PAGEREF _Toc187330519 \h </w:instrText>
        </w:r>
        <w:r>
          <w:rPr>
            <w:webHidden/>
          </w:rPr>
        </w:r>
        <w:r>
          <w:rPr>
            <w:webHidden/>
          </w:rPr>
          <w:fldChar w:fldCharType="separate"/>
        </w:r>
        <w:r w:rsidR="0013459E">
          <w:rPr>
            <w:webHidden/>
          </w:rPr>
          <w:t>15</w:t>
        </w:r>
        <w:r>
          <w:rPr>
            <w:webHidden/>
          </w:rPr>
          <w:fldChar w:fldCharType="end"/>
        </w:r>
      </w:hyperlink>
    </w:p>
    <w:p w14:paraId="5A439DB4" w14:textId="097C6A18" w:rsidR="00545D81" w:rsidRDefault="00545D81">
      <w:pPr>
        <w:pStyle w:val="TOC2"/>
        <w:rPr>
          <w:rFonts w:eastAsiaTheme="minorEastAsia" w:cstheme="minorBidi"/>
          <w:color w:val="auto"/>
          <w:kern w:val="2"/>
          <w:sz w:val="24"/>
          <w:szCs w:val="24"/>
          <w14:ligatures w14:val="standardContextual"/>
        </w:rPr>
      </w:pPr>
      <w:hyperlink w:anchor="_Toc187330520" w:history="1">
        <w:r w:rsidRPr="00AC24B4">
          <w:rPr>
            <w:rStyle w:val="Hyperlink"/>
          </w:rPr>
          <w:t>2.2 Problem</w:t>
        </w:r>
        <w:r>
          <w:rPr>
            <w:webHidden/>
          </w:rPr>
          <w:tab/>
        </w:r>
        <w:r>
          <w:rPr>
            <w:webHidden/>
          </w:rPr>
          <w:fldChar w:fldCharType="begin"/>
        </w:r>
        <w:r>
          <w:rPr>
            <w:webHidden/>
          </w:rPr>
          <w:instrText xml:space="preserve"> PAGEREF _Toc187330520 \h </w:instrText>
        </w:r>
        <w:r>
          <w:rPr>
            <w:webHidden/>
          </w:rPr>
        </w:r>
        <w:r>
          <w:rPr>
            <w:webHidden/>
          </w:rPr>
          <w:fldChar w:fldCharType="separate"/>
        </w:r>
        <w:r w:rsidR="0013459E">
          <w:rPr>
            <w:webHidden/>
          </w:rPr>
          <w:t>16</w:t>
        </w:r>
        <w:r>
          <w:rPr>
            <w:webHidden/>
          </w:rPr>
          <w:fldChar w:fldCharType="end"/>
        </w:r>
      </w:hyperlink>
    </w:p>
    <w:p w14:paraId="6F05FA20" w14:textId="4166A13D" w:rsidR="00545D81" w:rsidRDefault="00545D81">
      <w:pPr>
        <w:pStyle w:val="TOC3"/>
        <w:rPr>
          <w:b w:val="0"/>
          <w:color w:val="auto"/>
          <w:kern w:val="2"/>
          <w:sz w:val="24"/>
          <w:szCs w:val="24"/>
          <w14:ligatures w14:val="standardContextual"/>
        </w:rPr>
      </w:pPr>
      <w:hyperlink w:anchor="_Toc187330521" w:history="1">
        <w:r w:rsidRPr="00AC24B4">
          <w:rPr>
            <w:rStyle w:val="Hyperlink"/>
          </w:rPr>
          <w:t>2.2.1 Potential harms and risks from unregulated fires and fire hazards in forests</w:t>
        </w:r>
        <w:r>
          <w:rPr>
            <w:webHidden/>
          </w:rPr>
          <w:tab/>
        </w:r>
        <w:r>
          <w:rPr>
            <w:webHidden/>
          </w:rPr>
          <w:fldChar w:fldCharType="begin"/>
        </w:r>
        <w:r>
          <w:rPr>
            <w:webHidden/>
          </w:rPr>
          <w:instrText xml:space="preserve"> PAGEREF _Toc187330521 \h </w:instrText>
        </w:r>
        <w:r>
          <w:rPr>
            <w:webHidden/>
          </w:rPr>
        </w:r>
        <w:r>
          <w:rPr>
            <w:webHidden/>
          </w:rPr>
          <w:fldChar w:fldCharType="separate"/>
        </w:r>
        <w:r w:rsidR="0013459E">
          <w:rPr>
            <w:webHidden/>
          </w:rPr>
          <w:t>16</w:t>
        </w:r>
        <w:r>
          <w:rPr>
            <w:webHidden/>
          </w:rPr>
          <w:fldChar w:fldCharType="end"/>
        </w:r>
      </w:hyperlink>
    </w:p>
    <w:p w14:paraId="53598181" w14:textId="70D0FBF5" w:rsidR="00545D81" w:rsidRDefault="00545D81">
      <w:pPr>
        <w:pStyle w:val="TOC3"/>
        <w:rPr>
          <w:b w:val="0"/>
          <w:color w:val="auto"/>
          <w:kern w:val="2"/>
          <w:sz w:val="24"/>
          <w:szCs w:val="24"/>
          <w14:ligatures w14:val="standardContextual"/>
        </w:rPr>
      </w:pPr>
      <w:hyperlink w:anchor="_Toc187330522" w:history="1">
        <w:r w:rsidRPr="00AC24B4">
          <w:rPr>
            <w:rStyle w:val="Hyperlink"/>
          </w:rPr>
          <w:t>2.2.2 Causes of fires in Victoria’s forests</w:t>
        </w:r>
        <w:r>
          <w:rPr>
            <w:webHidden/>
          </w:rPr>
          <w:tab/>
        </w:r>
        <w:r>
          <w:rPr>
            <w:webHidden/>
          </w:rPr>
          <w:fldChar w:fldCharType="begin"/>
        </w:r>
        <w:r>
          <w:rPr>
            <w:webHidden/>
          </w:rPr>
          <w:instrText xml:space="preserve"> PAGEREF _Toc187330522 \h </w:instrText>
        </w:r>
        <w:r>
          <w:rPr>
            <w:webHidden/>
          </w:rPr>
        </w:r>
        <w:r>
          <w:rPr>
            <w:webHidden/>
          </w:rPr>
          <w:fldChar w:fldCharType="separate"/>
        </w:r>
        <w:r w:rsidR="0013459E">
          <w:rPr>
            <w:webHidden/>
          </w:rPr>
          <w:t>17</w:t>
        </w:r>
        <w:r>
          <w:rPr>
            <w:webHidden/>
          </w:rPr>
          <w:fldChar w:fldCharType="end"/>
        </w:r>
      </w:hyperlink>
    </w:p>
    <w:p w14:paraId="2BCA10A6" w14:textId="7DB587F6" w:rsidR="00545D81" w:rsidRDefault="00545D81">
      <w:pPr>
        <w:pStyle w:val="TOC3"/>
        <w:rPr>
          <w:b w:val="0"/>
          <w:color w:val="auto"/>
          <w:kern w:val="2"/>
          <w:sz w:val="24"/>
          <w:szCs w:val="24"/>
          <w14:ligatures w14:val="standardContextual"/>
        </w:rPr>
      </w:pPr>
      <w:hyperlink w:anchor="_Toc187330523" w:history="1">
        <w:r w:rsidRPr="00AC24B4">
          <w:rPr>
            <w:rStyle w:val="Hyperlink"/>
          </w:rPr>
          <w:t>2.2.3 Existing risk mitigation controls</w:t>
        </w:r>
        <w:r>
          <w:rPr>
            <w:webHidden/>
          </w:rPr>
          <w:tab/>
        </w:r>
        <w:r>
          <w:rPr>
            <w:webHidden/>
          </w:rPr>
          <w:fldChar w:fldCharType="begin"/>
        </w:r>
        <w:r>
          <w:rPr>
            <w:webHidden/>
          </w:rPr>
          <w:instrText xml:space="preserve"> PAGEREF _Toc187330523 \h </w:instrText>
        </w:r>
        <w:r>
          <w:rPr>
            <w:webHidden/>
          </w:rPr>
        </w:r>
        <w:r>
          <w:rPr>
            <w:webHidden/>
          </w:rPr>
          <w:fldChar w:fldCharType="separate"/>
        </w:r>
        <w:r w:rsidR="0013459E">
          <w:rPr>
            <w:webHidden/>
          </w:rPr>
          <w:t>20</w:t>
        </w:r>
        <w:r>
          <w:rPr>
            <w:webHidden/>
          </w:rPr>
          <w:fldChar w:fldCharType="end"/>
        </w:r>
      </w:hyperlink>
    </w:p>
    <w:p w14:paraId="01ED8188" w14:textId="565982AD" w:rsidR="00545D81" w:rsidRDefault="00545D81">
      <w:pPr>
        <w:pStyle w:val="TOC3"/>
        <w:rPr>
          <w:b w:val="0"/>
          <w:color w:val="auto"/>
          <w:kern w:val="2"/>
          <w:sz w:val="24"/>
          <w:szCs w:val="24"/>
          <w14:ligatures w14:val="standardContextual"/>
        </w:rPr>
      </w:pPr>
      <w:hyperlink w:anchor="_Toc187330524" w:history="1">
        <w:r w:rsidRPr="00AC24B4">
          <w:rPr>
            <w:rStyle w:val="Hyperlink"/>
          </w:rPr>
          <w:t>2.2.4 Residual risk</w:t>
        </w:r>
        <w:r>
          <w:rPr>
            <w:webHidden/>
          </w:rPr>
          <w:tab/>
        </w:r>
        <w:r>
          <w:rPr>
            <w:webHidden/>
          </w:rPr>
          <w:fldChar w:fldCharType="begin"/>
        </w:r>
        <w:r>
          <w:rPr>
            <w:webHidden/>
          </w:rPr>
          <w:instrText xml:space="preserve"> PAGEREF _Toc187330524 \h </w:instrText>
        </w:r>
        <w:r>
          <w:rPr>
            <w:webHidden/>
          </w:rPr>
        </w:r>
        <w:r>
          <w:rPr>
            <w:webHidden/>
          </w:rPr>
          <w:fldChar w:fldCharType="separate"/>
        </w:r>
        <w:r w:rsidR="0013459E">
          <w:rPr>
            <w:webHidden/>
          </w:rPr>
          <w:t>22</w:t>
        </w:r>
        <w:r>
          <w:rPr>
            <w:webHidden/>
          </w:rPr>
          <w:fldChar w:fldCharType="end"/>
        </w:r>
      </w:hyperlink>
    </w:p>
    <w:p w14:paraId="0F8EEDFD" w14:textId="1A664027" w:rsidR="00545D81" w:rsidRDefault="00545D81">
      <w:pPr>
        <w:pStyle w:val="TOC3"/>
        <w:rPr>
          <w:b w:val="0"/>
          <w:color w:val="auto"/>
          <w:kern w:val="2"/>
          <w:sz w:val="24"/>
          <w:szCs w:val="24"/>
          <w14:ligatures w14:val="standardContextual"/>
        </w:rPr>
      </w:pPr>
      <w:hyperlink w:anchor="_Toc187330525" w:history="1">
        <w:r w:rsidRPr="00AC24B4">
          <w:rPr>
            <w:rStyle w:val="Hyperlink"/>
          </w:rPr>
          <w:t>2.2.5 Have the current Regulations been effective in addressing the problem?</w:t>
        </w:r>
        <w:r>
          <w:rPr>
            <w:webHidden/>
          </w:rPr>
          <w:tab/>
        </w:r>
        <w:r>
          <w:rPr>
            <w:webHidden/>
          </w:rPr>
          <w:fldChar w:fldCharType="begin"/>
        </w:r>
        <w:r>
          <w:rPr>
            <w:webHidden/>
          </w:rPr>
          <w:instrText xml:space="preserve"> PAGEREF _Toc187330525 \h </w:instrText>
        </w:r>
        <w:r>
          <w:rPr>
            <w:webHidden/>
          </w:rPr>
        </w:r>
        <w:r>
          <w:rPr>
            <w:webHidden/>
          </w:rPr>
          <w:fldChar w:fldCharType="separate"/>
        </w:r>
        <w:r w:rsidR="0013459E">
          <w:rPr>
            <w:webHidden/>
          </w:rPr>
          <w:t>23</w:t>
        </w:r>
        <w:r>
          <w:rPr>
            <w:webHidden/>
          </w:rPr>
          <w:fldChar w:fldCharType="end"/>
        </w:r>
      </w:hyperlink>
    </w:p>
    <w:p w14:paraId="794CC37F" w14:textId="2BD80A6A" w:rsidR="00545D81" w:rsidRDefault="00545D81">
      <w:pPr>
        <w:pStyle w:val="TOC3"/>
        <w:rPr>
          <w:b w:val="0"/>
          <w:color w:val="auto"/>
          <w:kern w:val="2"/>
          <w:sz w:val="24"/>
          <w:szCs w:val="24"/>
          <w14:ligatures w14:val="standardContextual"/>
        </w:rPr>
      </w:pPr>
      <w:hyperlink w:anchor="_Toc187330526" w:history="1">
        <w:r w:rsidRPr="00AC24B4">
          <w:rPr>
            <w:rStyle w:val="Hyperlink"/>
          </w:rPr>
          <w:t>2.2.6 Stakeholder views</w:t>
        </w:r>
        <w:r>
          <w:rPr>
            <w:webHidden/>
          </w:rPr>
          <w:tab/>
        </w:r>
        <w:r>
          <w:rPr>
            <w:webHidden/>
          </w:rPr>
          <w:fldChar w:fldCharType="begin"/>
        </w:r>
        <w:r>
          <w:rPr>
            <w:webHidden/>
          </w:rPr>
          <w:instrText xml:space="preserve"> PAGEREF _Toc187330526 \h </w:instrText>
        </w:r>
        <w:r>
          <w:rPr>
            <w:webHidden/>
          </w:rPr>
        </w:r>
        <w:r>
          <w:rPr>
            <w:webHidden/>
          </w:rPr>
          <w:fldChar w:fldCharType="separate"/>
        </w:r>
        <w:r w:rsidR="0013459E">
          <w:rPr>
            <w:webHidden/>
          </w:rPr>
          <w:t>23</w:t>
        </w:r>
        <w:r>
          <w:rPr>
            <w:webHidden/>
          </w:rPr>
          <w:fldChar w:fldCharType="end"/>
        </w:r>
      </w:hyperlink>
    </w:p>
    <w:p w14:paraId="10F4E603" w14:textId="16162051" w:rsidR="00545D81" w:rsidRDefault="00545D81">
      <w:pPr>
        <w:pStyle w:val="TOC1"/>
        <w:rPr>
          <w:rFonts w:eastAsiaTheme="minorEastAsia" w:cstheme="minorBidi"/>
          <w:b w:val="0"/>
          <w:color w:val="auto"/>
          <w:kern w:val="2"/>
          <w14:ligatures w14:val="standardContextual"/>
        </w:rPr>
      </w:pPr>
      <w:hyperlink w:anchor="_Toc187330527" w:history="1">
        <w:r w:rsidRPr="00AC24B4">
          <w:rPr>
            <w:rStyle w:val="Hyperlink"/>
          </w:rPr>
          <w:t>3. Objectives: What outcome is the Government aiming to achieve?</w:t>
        </w:r>
        <w:r>
          <w:rPr>
            <w:webHidden/>
          </w:rPr>
          <w:tab/>
        </w:r>
        <w:r>
          <w:rPr>
            <w:webHidden/>
          </w:rPr>
          <w:fldChar w:fldCharType="begin"/>
        </w:r>
        <w:r>
          <w:rPr>
            <w:webHidden/>
          </w:rPr>
          <w:instrText xml:space="preserve"> PAGEREF _Toc187330527 \h </w:instrText>
        </w:r>
        <w:r>
          <w:rPr>
            <w:webHidden/>
          </w:rPr>
        </w:r>
        <w:r>
          <w:rPr>
            <w:webHidden/>
          </w:rPr>
          <w:fldChar w:fldCharType="separate"/>
        </w:r>
        <w:r w:rsidR="0013459E">
          <w:rPr>
            <w:webHidden/>
          </w:rPr>
          <w:t>24</w:t>
        </w:r>
        <w:r>
          <w:rPr>
            <w:webHidden/>
          </w:rPr>
          <w:fldChar w:fldCharType="end"/>
        </w:r>
      </w:hyperlink>
    </w:p>
    <w:p w14:paraId="1E28B2C5" w14:textId="2EADBC77" w:rsidR="00545D81" w:rsidRDefault="00545D81">
      <w:pPr>
        <w:pStyle w:val="TOC2"/>
        <w:rPr>
          <w:rFonts w:eastAsiaTheme="minorEastAsia" w:cstheme="minorBidi"/>
          <w:color w:val="auto"/>
          <w:kern w:val="2"/>
          <w:sz w:val="24"/>
          <w:szCs w:val="24"/>
          <w14:ligatures w14:val="standardContextual"/>
        </w:rPr>
      </w:pPr>
      <w:hyperlink w:anchor="_Toc187330528" w:history="1">
        <w:r w:rsidRPr="00AC24B4">
          <w:rPr>
            <w:rStyle w:val="Hyperlink"/>
          </w:rPr>
          <w:t>3.1 Setting objectives</w:t>
        </w:r>
        <w:r>
          <w:rPr>
            <w:webHidden/>
          </w:rPr>
          <w:tab/>
        </w:r>
        <w:r>
          <w:rPr>
            <w:webHidden/>
          </w:rPr>
          <w:fldChar w:fldCharType="begin"/>
        </w:r>
        <w:r>
          <w:rPr>
            <w:webHidden/>
          </w:rPr>
          <w:instrText xml:space="preserve"> PAGEREF _Toc187330528 \h </w:instrText>
        </w:r>
        <w:r>
          <w:rPr>
            <w:webHidden/>
          </w:rPr>
        </w:r>
        <w:r>
          <w:rPr>
            <w:webHidden/>
          </w:rPr>
          <w:fldChar w:fldCharType="separate"/>
        </w:r>
        <w:r w:rsidR="0013459E">
          <w:rPr>
            <w:webHidden/>
          </w:rPr>
          <w:t>24</w:t>
        </w:r>
        <w:r>
          <w:rPr>
            <w:webHidden/>
          </w:rPr>
          <w:fldChar w:fldCharType="end"/>
        </w:r>
      </w:hyperlink>
    </w:p>
    <w:p w14:paraId="1A5EF374" w14:textId="2D9AFECC" w:rsidR="00545D81" w:rsidRDefault="00545D81">
      <w:pPr>
        <w:pStyle w:val="TOC2"/>
        <w:rPr>
          <w:rFonts w:eastAsiaTheme="minorEastAsia" w:cstheme="minorBidi"/>
          <w:color w:val="auto"/>
          <w:kern w:val="2"/>
          <w:sz w:val="24"/>
          <w:szCs w:val="24"/>
          <w14:ligatures w14:val="standardContextual"/>
        </w:rPr>
      </w:pPr>
      <w:hyperlink w:anchor="_Toc187330529" w:history="1">
        <w:r w:rsidRPr="00AC24B4">
          <w:rPr>
            <w:rStyle w:val="Hyperlink"/>
          </w:rPr>
          <w:t>3.2 Principles and objectives of the primary legislation</w:t>
        </w:r>
        <w:r>
          <w:rPr>
            <w:webHidden/>
          </w:rPr>
          <w:tab/>
        </w:r>
        <w:r>
          <w:rPr>
            <w:webHidden/>
          </w:rPr>
          <w:fldChar w:fldCharType="begin"/>
        </w:r>
        <w:r>
          <w:rPr>
            <w:webHidden/>
          </w:rPr>
          <w:instrText xml:space="preserve"> PAGEREF _Toc187330529 \h </w:instrText>
        </w:r>
        <w:r>
          <w:rPr>
            <w:webHidden/>
          </w:rPr>
        </w:r>
        <w:r>
          <w:rPr>
            <w:webHidden/>
          </w:rPr>
          <w:fldChar w:fldCharType="separate"/>
        </w:r>
        <w:r w:rsidR="0013459E">
          <w:rPr>
            <w:webHidden/>
          </w:rPr>
          <w:t>24</w:t>
        </w:r>
        <w:r>
          <w:rPr>
            <w:webHidden/>
          </w:rPr>
          <w:fldChar w:fldCharType="end"/>
        </w:r>
      </w:hyperlink>
    </w:p>
    <w:p w14:paraId="47AE7258" w14:textId="25679E9F" w:rsidR="00545D81" w:rsidRDefault="00545D81">
      <w:pPr>
        <w:pStyle w:val="TOC2"/>
        <w:rPr>
          <w:rFonts w:eastAsiaTheme="minorEastAsia" w:cstheme="minorBidi"/>
          <w:color w:val="auto"/>
          <w:kern w:val="2"/>
          <w:sz w:val="24"/>
          <w:szCs w:val="24"/>
          <w14:ligatures w14:val="standardContextual"/>
        </w:rPr>
      </w:pPr>
      <w:hyperlink w:anchor="_Toc187330530" w:history="1">
        <w:r w:rsidRPr="00AC24B4">
          <w:rPr>
            <w:rStyle w:val="Hyperlink"/>
          </w:rPr>
          <w:t>3.3 Authorising provisions</w:t>
        </w:r>
        <w:r>
          <w:rPr>
            <w:webHidden/>
          </w:rPr>
          <w:tab/>
        </w:r>
        <w:r>
          <w:rPr>
            <w:webHidden/>
          </w:rPr>
          <w:fldChar w:fldCharType="begin"/>
        </w:r>
        <w:r>
          <w:rPr>
            <w:webHidden/>
          </w:rPr>
          <w:instrText xml:space="preserve"> PAGEREF _Toc187330530 \h </w:instrText>
        </w:r>
        <w:r>
          <w:rPr>
            <w:webHidden/>
          </w:rPr>
        </w:r>
        <w:r>
          <w:rPr>
            <w:webHidden/>
          </w:rPr>
          <w:fldChar w:fldCharType="separate"/>
        </w:r>
        <w:r w:rsidR="0013459E">
          <w:rPr>
            <w:webHidden/>
          </w:rPr>
          <w:t>24</w:t>
        </w:r>
        <w:r>
          <w:rPr>
            <w:webHidden/>
          </w:rPr>
          <w:fldChar w:fldCharType="end"/>
        </w:r>
      </w:hyperlink>
    </w:p>
    <w:p w14:paraId="0A658592" w14:textId="26AA8933" w:rsidR="00545D81" w:rsidRDefault="00545D81">
      <w:pPr>
        <w:pStyle w:val="TOC2"/>
        <w:rPr>
          <w:rFonts w:eastAsiaTheme="minorEastAsia" w:cstheme="minorBidi"/>
          <w:color w:val="auto"/>
          <w:kern w:val="2"/>
          <w:sz w:val="24"/>
          <w:szCs w:val="24"/>
          <w14:ligatures w14:val="standardContextual"/>
        </w:rPr>
      </w:pPr>
      <w:hyperlink w:anchor="_Toc187330531" w:history="1">
        <w:r w:rsidRPr="00AC24B4">
          <w:rPr>
            <w:rStyle w:val="Hyperlink"/>
          </w:rPr>
          <w:t>3.4 Other policy objectives</w:t>
        </w:r>
        <w:r>
          <w:rPr>
            <w:webHidden/>
          </w:rPr>
          <w:tab/>
        </w:r>
        <w:r>
          <w:rPr>
            <w:webHidden/>
          </w:rPr>
          <w:fldChar w:fldCharType="begin"/>
        </w:r>
        <w:r>
          <w:rPr>
            <w:webHidden/>
          </w:rPr>
          <w:instrText xml:space="preserve"> PAGEREF _Toc187330531 \h </w:instrText>
        </w:r>
        <w:r>
          <w:rPr>
            <w:webHidden/>
          </w:rPr>
        </w:r>
        <w:r>
          <w:rPr>
            <w:webHidden/>
          </w:rPr>
          <w:fldChar w:fldCharType="separate"/>
        </w:r>
        <w:r w:rsidR="0013459E">
          <w:rPr>
            <w:webHidden/>
          </w:rPr>
          <w:t>25</w:t>
        </w:r>
        <w:r>
          <w:rPr>
            <w:webHidden/>
          </w:rPr>
          <w:fldChar w:fldCharType="end"/>
        </w:r>
      </w:hyperlink>
    </w:p>
    <w:p w14:paraId="73C1DF38" w14:textId="74BBB0CB" w:rsidR="00545D81" w:rsidRDefault="00545D81">
      <w:pPr>
        <w:pStyle w:val="TOC2"/>
        <w:rPr>
          <w:rFonts w:eastAsiaTheme="minorEastAsia" w:cstheme="minorBidi"/>
          <w:color w:val="auto"/>
          <w:kern w:val="2"/>
          <w:sz w:val="24"/>
          <w:szCs w:val="24"/>
          <w14:ligatures w14:val="standardContextual"/>
        </w:rPr>
      </w:pPr>
      <w:hyperlink w:anchor="_Toc187330532" w:history="1">
        <w:r w:rsidRPr="00AC24B4">
          <w:rPr>
            <w:rStyle w:val="Hyperlink"/>
          </w:rPr>
          <w:t>3.5 The objectives of the proposed Regulations</w:t>
        </w:r>
        <w:r>
          <w:rPr>
            <w:webHidden/>
          </w:rPr>
          <w:tab/>
        </w:r>
        <w:r>
          <w:rPr>
            <w:webHidden/>
          </w:rPr>
          <w:fldChar w:fldCharType="begin"/>
        </w:r>
        <w:r>
          <w:rPr>
            <w:webHidden/>
          </w:rPr>
          <w:instrText xml:space="preserve"> PAGEREF _Toc187330532 \h </w:instrText>
        </w:r>
        <w:r>
          <w:rPr>
            <w:webHidden/>
          </w:rPr>
        </w:r>
        <w:r>
          <w:rPr>
            <w:webHidden/>
          </w:rPr>
          <w:fldChar w:fldCharType="separate"/>
        </w:r>
        <w:r w:rsidR="0013459E">
          <w:rPr>
            <w:webHidden/>
          </w:rPr>
          <w:t>25</w:t>
        </w:r>
        <w:r>
          <w:rPr>
            <w:webHidden/>
          </w:rPr>
          <w:fldChar w:fldCharType="end"/>
        </w:r>
      </w:hyperlink>
    </w:p>
    <w:p w14:paraId="6F9D557C" w14:textId="73B35032" w:rsidR="00545D81" w:rsidRDefault="00545D81">
      <w:pPr>
        <w:pStyle w:val="TOC1"/>
        <w:rPr>
          <w:rFonts w:eastAsiaTheme="minorEastAsia" w:cstheme="minorBidi"/>
          <w:b w:val="0"/>
          <w:color w:val="auto"/>
          <w:kern w:val="2"/>
          <w14:ligatures w14:val="standardContextual"/>
        </w:rPr>
      </w:pPr>
      <w:hyperlink w:anchor="_Toc187330533" w:history="1">
        <w:r w:rsidRPr="00AC24B4">
          <w:rPr>
            <w:rStyle w:val="Hyperlink"/>
          </w:rPr>
          <w:t>4. Options: What possible different courses of action could be taken?</w:t>
        </w:r>
        <w:r>
          <w:rPr>
            <w:webHidden/>
          </w:rPr>
          <w:tab/>
        </w:r>
        <w:r>
          <w:rPr>
            <w:webHidden/>
          </w:rPr>
          <w:fldChar w:fldCharType="begin"/>
        </w:r>
        <w:r>
          <w:rPr>
            <w:webHidden/>
          </w:rPr>
          <w:instrText xml:space="preserve"> PAGEREF _Toc187330533 \h </w:instrText>
        </w:r>
        <w:r>
          <w:rPr>
            <w:webHidden/>
          </w:rPr>
        </w:r>
        <w:r>
          <w:rPr>
            <w:webHidden/>
          </w:rPr>
          <w:fldChar w:fldCharType="separate"/>
        </w:r>
        <w:r w:rsidR="0013459E">
          <w:rPr>
            <w:webHidden/>
          </w:rPr>
          <w:t>26</w:t>
        </w:r>
        <w:r>
          <w:rPr>
            <w:webHidden/>
          </w:rPr>
          <w:fldChar w:fldCharType="end"/>
        </w:r>
      </w:hyperlink>
    </w:p>
    <w:p w14:paraId="01E576DA" w14:textId="6309C146" w:rsidR="00545D81" w:rsidRDefault="00545D81">
      <w:pPr>
        <w:pStyle w:val="TOC2"/>
        <w:rPr>
          <w:rFonts w:eastAsiaTheme="minorEastAsia" w:cstheme="minorBidi"/>
          <w:color w:val="auto"/>
          <w:kern w:val="2"/>
          <w:sz w:val="24"/>
          <w:szCs w:val="24"/>
          <w14:ligatures w14:val="standardContextual"/>
        </w:rPr>
      </w:pPr>
      <w:hyperlink w:anchor="_Toc187330534" w:history="1">
        <w:r w:rsidRPr="00AC24B4">
          <w:rPr>
            <w:rStyle w:val="Hyperlink"/>
          </w:rPr>
          <w:t>4.1 Options considered in this RIS</w:t>
        </w:r>
        <w:r>
          <w:rPr>
            <w:webHidden/>
          </w:rPr>
          <w:tab/>
        </w:r>
        <w:r>
          <w:rPr>
            <w:webHidden/>
          </w:rPr>
          <w:fldChar w:fldCharType="begin"/>
        </w:r>
        <w:r>
          <w:rPr>
            <w:webHidden/>
          </w:rPr>
          <w:instrText xml:space="preserve"> PAGEREF _Toc187330534 \h </w:instrText>
        </w:r>
        <w:r>
          <w:rPr>
            <w:webHidden/>
          </w:rPr>
        </w:r>
        <w:r>
          <w:rPr>
            <w:webHidden/>
          </w:rPr>
          <w:fldChar w:fldCharType="separate"/>
        </w:r>
        <w:r w:rsidR="0013459E">
          <w:rPr>
            <w:webHidden/>
          </w:rPr>
          <w:t>26</w:t>
        </w:r>
        <w:r>
          <w:rPr>
            <w:webHidden/>
          </w:rPr>
          <w:fldChar w:fldCharType="end"/>
        </w:r>
      </w:hyperlink>
    </w:p>
    <w:p w14:paraId="5B0D45F6" w14:textId="6286BFDC" w:rsidR="00545D81" w:rsidRDefault="00545D81">
      <w:pPr>
        <w:pStyle w:val="TOC3"/>
        <w:rPr>
          <w:b w:val="0"/>
          <w:color w:val="auto"/>
          <w:kern w:val="2"/>
          <w:sz w:val="24"/>
          <w:szCs w:val="24"/>
          <w14:ligatures w14:val="standardContextual"/>
        </w:rPr>
      </w:pPr>
      <w:hyperlink w:anchor="_Toc187330535" w:history="1">
        <w:r w:rsidRPr="00AC24B4">
          <w:rPr>
            <w:rStyle w:val="Hyperlink"/>
          </w:rPr>
          <w:t>4.1.1 Option 1: Remake the current Regulations with minor amendments</w:t>
        </w:r>
        <w:r>
          <w:rPr>
            <w:webHidden/>
          </w:rPr>
          <w:tab/>
        </w:r>
        <w:r>
          <w:rPr>
            <w:webHidden/>
          </w:rPr>
          <w:fldChar w:fldCharType="begin"/>
        </w:r>
        <w:r>
          <w:rPr>
            <w:webHidden/>
          </w:rPr>
          <w:instrText xml:space="preserve"> PAGEREF _Toc187330535 \h </w:instrText>
        </w:r>
        <w:r>
          <w:rPr>
            <w:webHidden/>
          </w:rPr>
        </w:r>
        <w:r>
          <w:rPr>
            <w:webHidden/>
          </w:rPr>
          <w:fldChar w:fldCharType="separate"/>
        </w:r>
        <w:r w:rsidR="0013459E">
          <w:rPr>
            <w:webHidden/>
          </w:rPr>
          <w:t>26</w:t>
        </w:r>
        <w:r>
          <w:rPr>
            <w:webHidden/>
          </w:rPr>
          <w:fldChar w:fldCharType="end"/>
        </w:r>
      </w:hyperlink>
    </w:p>
    <w:p w14:paraId="2741D420" w14:textId="23BD1F4F" w:rsidR="00545D81" w:rsidRDefault="00545D81">
      <w:pPr>
        <w:pStyle w:val="TOC3"/>
        <w:rPr>
          <w:b w:val="0"/>
          <w:color w:val="auto"/>
          <w:kern w:val="2"/>
          <w:sz w:val="24"/>
          <w:szCs w:val="24"/>
          <w14:ligatures w14:val="standardContextual"/>
        </w:rPr>
      </w:pPr>
      <w:hyperlink w:anchor="_Toc187330536" w:history="1">
        <w:r w:rsidRPr="00AC24B4">
          <w:rPr>
            <w:rStyle w:val="Hyperlink"/>
          </w:rPr>
          <w:t>4.1.2 Option 2: Less prescriptive regulatory approach</w:t>
        </w:r>
        <w:r>
          <w:rPr>
            <w:webHidden/>
          </w:rPr>
          <w:tab/>
        </w:r>
        <w:r>
          <w:rPr>
            <w:webHidden/>
          </w:rPr>
          <w:fldChar w:fldCharType="begin"/>
        </w:r>
        <w:r>
          <w:rPr>
            <w:webHidden/>
          </w:rPr>
          <w:instrText xml:space="preserve"> PAGEREF _Toc187330536 \h </w:instrText>
        </w:r>
        <w:r>
          <w:rPr>
            <w:webHidden/>
          </w:rPr>
        </w:r>
        <w:r>
          <w:rPr>
            <w:webHidden/>
          </w:rPr>
          <w:fldChar w:fldCharType="separate"/>
        </w:r>
        <w:r w:rsidR="0013459E">
          <w:rPr>
            <w:webHidden/>
          </w:rPr>
          <w:t>29</w:t>
        </w:r>
        <w:r>
          <w:rPr>
            <w:webHidden/>
          </w:rPr>
          <w:fldChar w:fldCharType="end"/>
        </w:r>
      </w:hyperlink>
    </w:p>
    <w:p w14:paraId="23738D5E" w14:textId="6C54F56B" w:rsidR="00545D81" w:rsidRDefault="00545D81">
      <w:pPr>
        <w:pStyle w:val="TOC3"/>
        <w:rPr>
          <w:b w:val="0"/>
          <w:color w:val="auto"/>
          <w:kern w:val="2"/>
          <w:sz w:val="24"/>
          <w:szCs w:val="24"/>
          <w14:ligatures w14:val="standardContextual"/>
        </w:rPr>
      </w:pPr>
      <w:hyperlink w:anchor="_Toc187330537" w:history="1">
        <w:r w:rsidRPr="00AC24B4">
          <w:rPr>
            <w:rStyle w:val="Hyperlink"/>
          </w:rPr>
          <w:t>4.1.3 Option 3: Non-regulatory approach</w:t>
        </w:r>
        <w:r>
          <w:rPr>
            <w:webHidden/>
          </w:rPr>
          <w:tab/>
        </w:r>
        <w:r>
          <w:rPr>
            <w:webHidden/>
          </w:rPr>
          <w:fldChar w:fldCharType="begin"/>
        </w:r>
        <w:r>
          <w:rPr>
            <w:webHidden/>
          </w:rPr>
          <w:instrText xml:space="preserve"> PAGEREF _Toc187330537 \h </w:instrText>
        </w:r>
        <w:r>
          <w:rPr>
            <w:webHidden/>
          </w:rPr>
        </w:r>
        <w:r>
          <w:rPr>
            <w:webHidden/>
          </w:rPr>
          <w:fldChar w:fldCharType="separate"/>
        </w:r>
        <w:r w:rsidR="0013459E">
          <w:rPr>
            <w:webHidden/>
          </w:rPr>
          <w:t>30</w:t>
        </w:r>
        <w:r>
          <w:rPr>
            <w:webHidden/>
          </w:rPr>
          <w:fldChar w:fldCharType="end"/>
        </w:r>
      </w:hyperlink>
    </w:p>
    <w:p w14:paraId="23031C67" w14:textId="51826662" w:rsidR="00545D81" w:rsidRDefault="00545D81">
      <w:pPr>
        <w:pStyle w:val="TOC2"/>
        <w:rPr>
          <w:rFonts w:eastAsiaTheme="minorEastAsia" w:cstheme="minorBidi"/>
          <w:color w:val="auto"/>
          <w:kern w:val="2"/>
          <w:sz w:val="24"/>
          <w:szCs w:val="24"/>
          <w14:ligatures w14:val="standardContextual"/>
        </w:rPr>
      </w:pPr>
      <w:hyperlink w:anchor="_Toc187330538" w:history="1">
        <w:r w:rsidRPr="00AC24B4">
          <w:rPr>
            <w:rStyle w:val="Hyperlink"/>
          </w:rPr>
          <w:t>4.2 Options considered not feasible or not practical</w:t>
        </w:r>
        <w:r>
          <w:rPr>
            <w:webHidden/>
          </w:rPr>
          <w:tab/>
        </w:r>
        <w:r>
          <w:rPr>
            <w:webHidden/>
          </w:rPr>
          <w:fldChar w:fldCharType="begin"/>
        </w:r>
        <w:r>
          <w:rPr>
            <w:webHidden/>
          </w:rPr>
          <w:instrText xml:space="preserve"> PAGEREF _Toc187330538 \h </w:instrText>
        </w:r>
        <w:r>
          <w:rPr>
            <w:webHidden/>
          </w:rPr>
        </w:r>
        <w:r>
          <w:rPr>
            <w:webHidden/>
          </w:rPr>
          <w:fldChar w:fldCharType="separate"/>
        </w:r>
        <w:r w:rsidR="0013459E">
          <w:rPr>
            <w:webHidden/>
          </w:rPr>
          <w:t>31</w:t>
        </w:r>
        <w:r>
          <w:rPr>
            <w:webHidden/>
          </w:rPr>
          <w:fldChar w:fldCharType="end"/>
        </w:r>
      </w:hyperlink>
    </w:p>
    <w:p w14:paraId="4965594F" w14:textId="692D3B55" w:rsidR="00545D81" w:rsidRDefault="00545D81">
      <w:pPr>
        <w:pStyle w:val="TOC2"/>
        <w:rPr>
          <w:rFonts w:eastAsiaTheme="minorEastAsia" w:cstheme="minorBidi"/>
          <w:color w:val="auto"/>
          <w:kern w:val="2"/>
          <w:sz w:val="24"/>
          <w:szCs w:val="24"/>
          <w14:ligatures w14:val="standardContextual"/>
        </w:rPr>
      </w:pPr>
      <w:hyperlink w:anchor="_Toc187330539" w:history="1">
        <w:r w:rsidRPr="00AC24B4">
          <w:rPr>
            <w:rStyle w:val="Hyperlink"/>
          </w:rPr>
          <w:t>4.3 Arrangements in other states</w:t>
        </w:r>
        <w:r>
          <w:rPr>
            <w:webHidden/>
          </w:rPr>
          <w:tab/>
        </w:r>
        <w:r>
          <w:rPr>
            <w:webHidden/>
          </w:rPr>
          <w:fldChar w:fldCharType="begin"/>
        </w:r>
        <w:r>
          <w:rPr>
            <w:webHidden/>
          </w:rPr>
          <w:instrText xml:space="preserve"> PAGEREF _Toc187330539 \h </w:instrText>
        </w:r>
        <w:r>
          <w:rPr>
            <w:webHidden/>
          </w:rPr>
        </w:r>
        <w:r>
          <w:rPr>
            <w:webHidden/>
          </w:rPr>
          <w:fldChar w:fldCharType="separate"/>
        </w:r>
        <w:r w:rsidR="0013459E">
          <w:rPr>
            <w:webHidden/>
          </w:rPr>
          <w:t>32</w:t>
        </w:r>
        <w:r>
          <w:rPr>
            <w:webHidden/>
          </w:rPr>
          <w:fldChar w:fldCharType="end"/>
        </w:r>
      </w:hyperlink>
    </w:p>
    <w:p w14:paraId="502006E3" w14:textId="419E696A" w:rsidR="00545D81" w:rsidRDefault="00545D81">
      <w:pPr>
        <w:pStyle w:val="TOC1"/>
        <w:rPr>
          <w:rFonts w:eastAsiaTheme="minorEastAsia" w:cstheme="minorBidi"/>
          <w:b w:val="0"/>
          <w:color w:val="auto"/>
          <w:kern w:val="2"/>
          <w14:ligatures w14:val="standardContextual"/>
        </w:rPr>
      </w:pPr>
      <w:hyperlink w:anchor="_Toc187330540" w:history="1">
        <w:r w:rsidRPr="00AC24B4">
          <w:rPr>
            <w:rStyle w:val="Hyperlink"/>
          </w:rPr>
          <w:t>5. Assessment of costs and benefits</w:t>
        </w:r>
        <w:r>
          <w:rPr>
            <w:webHidden/>
          </w:rPr>
          <w:tab/>
        </w:r>
        <w:r>
          <w:rPr>
            <w:webHidden/>
          </w:rPr>
          <w:fldChar w:fldCharType="begin"/>
        </w:r>
        <w:r>
          <w:rPr>
            <w:webHidden/>
          </w:rPr>
          <w:instrText xml:space="preserve"> PAGEREF _Toc187330540 \h </w:instrText>
        </w:r>
        <w:r>
          <w:rPr>
            <w:webHidden/>
          </w:rPr>
        </w:r>
        <w:r>
          <w:rPr>
            <w:webHidden/>
          </w:rPr>
          <w:fldChar w:fldCharType="separate"/>
        </w:r>
        <w:r w:rsidR="0013459E">
          <w:rPr>
            <w:webHidden/>
          </w:rPr>
          <w:t>33</w:t>
        </w:r>
        <w:r>
          <w:rPr>
            <w:webHidden/>
          </w:rPr>
          <w:fldChar w:fldCharType="end"/>
        </w:r>
      </w:hyperlink>
    </w:p>
    <w:p w14:paraId="77B50E79" w14:textId="0A65ED57" w:rsidR="00545D81" w:rsidRDefault="00545D81">
      <w:pPr>
        <w:pStyle w:val="TOC2"/>
        <w:rPr>
          <w:rFonts w:eastAsiaTheme="minorEastAsia" w:cstheme="minorBidi"/>
          <w:color w:val="auto"/>
          <w:kern w:val="2"/>
          <w:sz w:val="24"/>
          <w:szCs w:val="24"/>
          <w14:ligatures w14:val="standardContextual"/>
        </w:rPr>
      </w:pPr>
      <w:hyperlink w:anchor="_Toc187330541" w:history="1">
        <w:r w:rsidRPr="00AC24B4">
          <w:rPr>
            <w:rStyle w:val="Hyperlink"/>
          </w:rPr>
          <w:t>5.1 Approach to assessing the impacts</w:t>
        </w:r>
        <w:r>
          <w:rPr>
            <w:webHidden/>
          </w:rPr>
          <w:tab/>
        </w:r>
        <w:r>
          <w:rPr>
            <w:webHidden/>
          </w:rPr>
          <w:fldChar w:fldCharType="begin"/>
        </w:r>
        <w:r>
          <w:rPr>
            <w:webHidden/>
          </w:rPr>
          <w:instrText xml:space="preserve"> PAGEREF _Toc187330541 \h </w:instrText>
        </w:r>
        <w:r>
          <w:rPr>
            <w:webHidden/>
          </w:rPr>
        </w:r>
        <w:r>
          <w:rPr>
            <w:webHidden/>
          </w:rPr>
          <w:fldChar w:fldCharType="separate"/>
        </w:r>
        <w:r w:rsidR="0013459E">
          <w:rPr>
            <w:webHidden/>
          </w:rPr>
          <w:t>33</w:t>
        </w:r>
        <w:r>
          <w:rPr>
            <w:webHidden/>
          </w:rPr>
          <w:fldChar w:fldCharType="end"/>
        </w:r>
      </w:hyperlink>
    </w:p>
    <w:p w14:paraId="77F93A41" w14:textId="04605F52" w:rsidR="00545D81" w:rsidRDefault="00545D81">
      <w:pPr>
        <w:pStyle w:val="TOC3"/>
        <w:rPr>
          <w:b w:val="0"/>
          <w:color w:val="auto"/>
          <w:kern w:val="2"/>
          <w:sz w:val="24"/>
          <w:szCs w:val="24"/>
          <w14:ligatures w14:val="standardContextual"/>
        </w:rPr>
      </w:pPr>
      <w:hyperlink w:anchor="_Toc187330542" w:history="1">
        <w:r w:rsidRPr="00AC24B4">
          <w:rPr>
            <w:rStyle w:val="Hyperlink"/>
          </w:rPr>
          <w:t>5.1.1 Base case</w:t>
        </w:r>
        <w:r>
          <w:rPr>
            <w:webHidden/>
          </w:rPr>
          <w:tab/>
        </w:r>
        <w:r>
          <w:rPr>
            <w:webHidden/>
          </w:rPr>
          <w:fldChar w:fldCharType="begin"/>
        </w:r>
        <w:r>
          <w:rPr>
            <w:webHidden/>
          </w:rPr>
          <w:instrText xml:space="preserve"> PAGEREF _Toc187330542 \h </w:instrText>
        </w:r>
        <w:r>
          <w:rPr>
            <w:webHidden/>
          </w:rPr>
        </w:r>
        <w:r>
          <w:rPr>
            <w:webHidden/>
          </w:rPr>
          <w:fldChar w:fldCharType="separate"/>
        </w:r>
        <w:r w:rsidR="0013459E">
          <w:rPr>
            <w:webHidden/>
          </w:rPr>
          <w:t>33</w:t>
        </w:r>
        <w:r>
          <w:rPr>
            <w:webHidden/>
          </w:rPr>
          <w:fldChar w:fldCharType="end"/>
        </w:r>
      </w:hyperlink>
    </w:p>
    <w:p w14:paraId="2F3CCB06" w14:textId="1DF42B7A" w:rsidR="00545D81" w:rsidRDefault="00545D81">
      <w:pPr>
        <w:pStyle w:val="TOC3"/>
        <w:rPr>
          <w:b w:val="0"/>
          <w:color w:val="auto"/>
          <w:kern w:val="2"/>
          <w:sz w:val="24"/>
          <w:szCs w:val="24"/>
          <w14:ligatures w14:val="standardContextual"/>
        </w:rPr>
      </w:pPr>
      <w:hyperlink w:anchor="_Toc187330543" w:history="1">
        <w:r w:rsidRPr="00AC24B4">
          <w:rPr>
            <w:rStyle w:val="Hyperlink"/>
          </w:rPr>
          <w:t>5.1.2 Types of costs considered and assessment methods</w:t>
        </w:r>
        <w:r>
          <w:rPr>
            <w:webHidden/>
          </w:rPr>
          <w:tab/>
        </w:r>
        <w:r>
          <w:rPr>
            <w:webHidden/>
          </w:rPr>
          <w:fldChar w:fldCharType="begin"/>
        </w:r>
        <w:r>
          <w:rPr>
            <w:webHidden/>
          </w:rPr>
          <w:instrText xml:space="preserve"> PAGEREF _Toc187330543 \h </w:instrText>
        </w:r>
        <w:r>
          <w:rPr>
            <w:webHidden/>
          </w:rPr>
        </w:r>
        <w:r>
          <w:rPr>
            <w:webHidden/>
          </w:rPr>
          <w:fldChar w:fldCharType="separate"/>
        </w:r>
        <w:r w:rsidR="0013459E">
          <w:rPr>
            <w:webHidden/>
          </w:rPr>
          <w:t>33</w:t>
        </w:r>
        <w:r>
          <w:rPr>
            <w:webHidden/>
          </w:rPr>
          <w:fldChar w:fldCharType="end"/>
        </w:r>
      </w:hyperlink>
    </w:p>
    <w:p w14:paraId="4A455EF3" w14:textId="6E663E18" w:rsidR="00545D81" w:rsidRDefault="00545D81">
      <w:pPr>
        <w:pStyle w:val="TOC3"/>
        <w:rPr>
          <w:b w:val="0"/>
          <w:color w:val="auto"/>
          <w:kern w:val="2"/>
          <w:sz w:val="24"/>
          <w:szCs w:val="24"/>
          <w14:ligatures w14:val="standardContextual"/>
        </w:rPr>
      </w:pPr>
      <w:hyperlink w:anchor="_Toc187330544" w:history="1">
        <w:r w:rsidRPr="00AC24B4">
          <w:rPr>
            <w:rStyle w:val="Hyperlink"/>
          </w:rPr>
          <w:t>5.1.3 Types of benefits considered and assessment methods</w:t>
        </w:r>
        <w:r>
          <w:rPr>
            <w:webHidden/>
          </w:rPr>
          <w:tab/>
        </w:r>
        <w:r>
          <w:rPr>
            <w:webHidden/>
          </w:rPr>
          <w:fldChar w:fldCharType="begin"/>
        </w:r>
        <w:r>
          <w:rPr>
            <w:webHidden/>
          </w:rPr>
          <w:instrText xml:space="preserve"> PAGEREF _Toc187330544 \h </w:instrText>
        </w:r>
        <w:r>
          <w:rPr>
            <w:webHidden/>
          </w:rPr>
        </w:r>
        <w:r>
          <w:rPr>
            <w:webHidden/>
          </w:rPr>
          <w:fldChar w:fldCharType="separate"/>
        </w:r>
        <w:r w:rsidR="0013459E">
          <w:rPr>
            <w:webHidden/>
          </w:rPr>
          <w:t>34</w:t>
        </w:r>
        <w:r>
          <w:rPr>
            <w:webHidden/>
          </w:rPr>
          <w:fldChar w:fldCharType="end"/>
        </w:r>
      </w:hyperlink>
    </w:p>
    <w:p w14:paraId="62586BD7" w14:textId="50E2CBEE" w:rsidR="00545D81" w:rsidRDefault="00545D81">
      <w:pPr>
        <w:pStyle w:val="TOC2"/>
        <w:rPr>
          <w:rFonts w:eastAsiaTheme="minorEastAsia" w:cstheme="minorBidi"/>
          <w:color w:val="auto"/>
          <w:kern w:val="2"/>
          <w:sz w:val="24"/>
          <w:szCs w:val="24"/>
          <w14:ligatures w14:val="standardContextual"/>
        </w:rPr>
      </w:pPr>
      <w:hyperlink w:anchor="_Toc187330545" w:history="1">
        <w:r w:rsidRPr="00AC24B4">
          <w:rPr>
            <w:rStyle w:val="Hyperlink"/>
          </w:rPr>
          <w:t>5.2 Option 1</w:t>
        </w:r>
        <w:r>
          <w:rPr>
            <w:webHidden/>
          </w:rPr>
          <w:tab/>
        </w:r>
        <w:r>
          <w:rPr>
            <w:webHidden/>
          </w:rPr>
          <w:fldChar w:fldCharType="begin"/>
        </w:r>
        <w:r>
          <w:rPr>
            <w:webHidden/>
          </w:rPr>
          <w:instrText xml:space="preserve"> PAGEREF _Toc187330545 \h </w:instrText>
        </w:r>
        <w:r>
          <w:rPr>
            <w:webHidden/>
          </w:rPr>
        </w:r>
        <w:r>
          <w:rPr>
            <w:webHidden/>
          </w:rPr>
          <w:fldChar w:fldCharType="separate"/>
        </w:r>
        <w:r w:rsidR="0013459E">
          <w:rPr>
            <w:webHidden/>
          </w:rPr>
          <w:t>36</w:t>
        </w:r>
        <w:r>
          <w:rPr>
            <w:webHidden/>
          </w:rPr>
          <w:fldChar w:fldCharType="end"/>
        </w:r>
      </w:hyperlink>
    </w:p>
    <w:p w14:paraId="752DEF98" w14:textId="15E1D6EA" w:rsidR="00545D81" w:rsidRDefault="00545D81">
      <w:pPr>
        <w:pStyle w:val="TOC3"/>
        <w:rPr>
          <w:b w:val="0"/>
          <w:color w:val="auto"/>
          <w:kern w:val="2"/>
          <w:sz w:val="24"/>
          <w:szCs w:val="24"/>
          <w14:ligatures w14:val="standardContextual"/>
        </w:rPr>
      </w:pPr>
      <w:hyperlink w:anchor="_Toc187330546" w:history="1">
        <w:r w:rsidRPr="00AC24B4">
          <w:rPr>
            <w:rStyle w:val="Hyperlink"/>
          </w:rPr>
          <w:t>5.2.1 Costs</w:t>
        </w:r>
        <w:r>
          <w:rPr>
            <w:webHidden/>
          </w:rPr>
          <w:tab/>
        </w:r>
        <w:r>
          <w:rPr>
            <w:webHidden/>
          </w:rPr>
          <w:fldChar w:fldCharType="begin"/>
        </w:r>
        <w:r>
          <w:rPr>
            <w:webHidden/>
          </w:rPr>
          <w:instrText xml:space="preserve"> PAGEREF _Toc187330546 \h </w:instrText>
        </w:r>
        <w:r>
          <w:rPr>
            <w:webHidden/>
          </w:rPr>
        </w:r>
        <w:r>
          <w:rPr>
            <w:webHidden/>
          </w:rPr>
          <w:fldChar w:fldCharType="separate"/>
        </w:r>
        <w:r w:rsidR="0013459E">
          <w:rPr>
            <w:webHidden/>
          </w:rPr>
          <w:t>36</w:t>
        </w:r>
        <w:r>
          <w:rPr>
            <w:webHidden/>
          </w:rPr>
          <w:fldChar w:fldCharType="end"/>
        </w:r>
      </w:hyperlink>
    </w:p>
    <w:p w14:paraId="7E4D87E9" w14:textId="28F15D6A" w:rsidR="00545D81" w:rsidRDefault="00545D81">
      <w:pPr>
        <w:pStyle w:val="TOC4"/>
        <w:rPr>
          <w:rFonts w:eastAsiaTheme="minorEastAsia" w:cstheme="minorBidi"/>
          <w:color w:val="auto"/>
          <w:kern w:val="2"/>
          <w:sz w:val="24"/>
          <w:szCs w:val="24"/>
          <w14:ligatures w14:val="standardContextual"/>
        </w:rPr>
      </w:pPr>
      <w:hyperlink w:anchor="_Toc187330547" w:history="1">
        <w:r w:rsidRPr="00AC24B4">
          <w:rPr>
            <w:rStyle w:val="Hyperlink"/>
          </w:rPr>
          <w:t>5.2.1.1 Businesses and individuals</w:t>
        </w:r>
        <w:r>
          <w:rPr>
            <w:webHidden/>
          </w:rPr>
          <w:tab/>
        </w:r>
        <w:r>
          <w:rPr>
            <w:webHidden/>
          </w:rPr>
          <w:fldChar w:fldCharType="begin"/>
        </w:r>
        <w:r>
          <w:rPr>
            <w:webHidden/>
          </w:rPr>
          <w:instrText xml:space="preserve"> PAGEREF _Toc187330547 \h </w:instrText>
        </w:r>
        <w:r>
          <w:rPr>
            <w:webHidden/>
          </w:rPr>
        </w:r>
        <w:r>
          <w:rPr>
            <w:webHidden/>
          </w:rPr>
          <w:fldChar w:fldCharType="separate"/>
        </w:r>
        <w:r w:rsidR="0013459E">
          <w:rPr>
            <w:webHidden/>
          </w:rPr>
          <w:t>36</w:t>
        </w:r>
        <w:r>
          <w:rPr>
            <w:webHidden/>
          </w:rPr>
          <w:fldChar w:fldCharType="end"/>
        </w:r>
      </w:hyperlink>
    </w:p>
    <w:p w14:paraId="7F63F2D9" w14:textId="70AC2F60" w:rsidR="00545D81" w:rsidRDefault="00545D81">
      <w:pPr>
        <w:pStyle w:val="TOC4"/>
        <w:rPr>
          <w:rFonts w:eastAsiaTheme="minorEastAsia" w:cstheme="minorBidi"/>
          <w:color w:val="auto"/>
          <w:kern w:val="2"/>
          <w:sz w:val="24"/>
          <w:szCs w:val="24"/>
          <w14:ligatures w14:val="standardContextual"/>
        </w:rPr>
      </w:pPr>
      <w:hyperlink w:anchor="_Toc187330548" w:history="1">
        <w:r w:rsidRPr="00AC24B4">
          <w:rPr>
            <w:rStyle w:val="Hyperlink"/>
          </w:rPr>
          <w:t>5.2.1.2 Government</w:t>
        </w:r>
        <w:r>
          <w:rPr>
            <w:webHidden/>
          </w:rPr>
          <w:tab/>
        </w:r>
        <w:r>
          <w:rPr>
            <w:webHidden/>
          </w:rPr>
          <w:fldChar w:fldCharType="begin"/>
        </w:r>
        <w:r>
          <w:rPr>
            <w:webHidden/>
          </w:rPr>
          <w:instrText xml:space="preserve"> PAGEREF _Toc187330548 \h </w:instrText>
        </w:r>
        <w:r>
          <w:rPr>
            <w:webHidden/>
          </w:rPr>
        </w:r>
        <w:r>
          <w:rPr>
            <w:webHidden/>
          </w:rPr>
          <w:fldChar w:fldCharType="separate"/>
        </w:r>
        <w:r w:rsidR="0013459E">
          <w:rPr>
            <w:webHidden/>
          </w:rPr>
          <w:t>37</w:t>
        </w:r>
        <w:r>
          <w:rPr>
            <w:webHidden/>
          </w:rPr>
          <w:fldChar w:fldCharType="end"/>
        </w:r>
      </w:hyperlink>
    </w:p>
    <w:p w14:paraId="38685CC1" w14:textId="29232B43" w:rsidR="00545D81" w:rsidRDefault="00545D81">
      <w:pPr>
        <w:pStyle w:val="TOC4"/>
        <w:rPr>
          <w:rFonts w:eastAsiaTheme="minorEastAsia" w:cstheme="minorBidi"/>
          <w:color w:val="auto"/>
          <w:kern w:val="2"/>
          <w:sz w:val="24"/>
          <w:szCs w:val="24"/>
          <w14:ligatures w14:val="standardContextual"/>
        </w:rPr>
      </w:pPr>
      <w:hyperlink w:anchor="_Toc187330549" w:history="1">
        <w:r w:rsidRPr="00AC24B4">
          <w:rPr>
            <w:rStyle w:val="Hyperlink"/>
          </w:rPr>
          <w:t>5.2.1.3 Total costs: Option 1</w:t>
        </w:r>
        <w:r>
          <w:rPr>
            <w:webHidden/>
          </w:rPr>
          <w:tab/>
        </w:r>
        <w:r>
          <w:rPr>
            <w:webHidden/>
          </w:rPr>
          <w:fldChar w:fldCharType="begin"/>
        </w:r>
        <w:r>
          <w:rPr>
            <w:webHidden/>
          </w:rPr>
          <w:instrText xml:space="preserve"> PAGEREF _Toc187330549 \h </w:instrText>
        </w:r>
        <w:r>
          <w:rPr>
            <w:webHidden/>
          </w:rPr>
        </w:r>
        <w:r>
          <w:rPr>
            <w:webHidden/>
          </w:rPr>
          <w:fldChar w:fldCharType="separate"/>
        </w:r>
        <w:r w:rsidR="0013459E">
          <w:rPr>
            <w:webHidden/>
          </w:rPr>
          <w:t>37</w:t>
        </w:r>
        <w:r>
          <w:rPr>
            <w:webHidden/>
          </w:rPr>
          <w:fldChar w:fldCharType="end"/>
        </w:r>
      </w:hyperlink>
    </w:p>
    <w:p w14:paraId="16BB1D93" w14:textId="2DCC8D96" w:rsidR="00545D81" w:rsidRDefault="00545D81">
      <w:pPr>
        <w:pStyle w:val="TOC3"/>
        <w:rPr>
          <w:b w:val="0"/>
          <w:color w:val="auto"/>
          <w:kern w:val="2"/>
          <w:sz w:val="24"/>
          <w:szCs w:val="24"/>
          <w14:ligatures w14:val="standardContextual"/>
        </w:rPr>
      </w:pPr>
      <w:hyperlink w:anchor="_Toc187330550" w:history="1">
        <w:r w:rsidRPr="00AC24B4">
          <w:rPr>
            <w:rStyle w:val="Hyperlink"/>
          </w:rPr>
          <w:t>5.2.2 Benefits</w:t>
        </w:r>
        <w:r>
          <w:rPr>
            <w:webHidden/>
          </w:rPr>
          <w:tab/>
        </w:r>
        <w:r>
          <w:rPr>
            <w:webHidden/>
          </w:rPr>
          <w:fldChar w:fldCharType="begin"/>
        </w:r>
        <w:r>
          <w:rPr>
            <w:webHidden/>
          </w:rPr>
          <w:instrText xml:space="preserve"> PAGEREF _Toc187330550 \h </w:instrText>
        </w:r>
        <w:r>
          <w:rPr>
            <w:webHidden/>
          </w:rPr>
        </w:r>
        <w:r>
          <w:rPr>
            <w:webHidden/>
          </w:rPr>
          <w:fldChar w:fldCharType="separate"/>
        </w:r>
        <w:r w:rsidR="0013459E">
          <w:rPr>
            <w:webHidden/>
          </w:rPr>
          <w:t>38</w:t>
        </w:r>
        <w:r>
          <w:rPr>
            <w:webHidden/>
          </w:rPr>
          <w:fldChar w:fldCharType="end"/>
        </w:r>
      </w:hyperlink>
    </w:p>
    <w:p w14:paraId="236A527E" w14:textId="6096B902" w:rsidR="00545D81" w:rsidRDefault="00545D81">
      <w:pPr>
        <w:pStyle w:val="TOC4"/>
        <w:rPr>
          <w:rFonts w:eastAsiaTheme="minorEastAsia" w:cstheme="minorBidi"/>
          <w:color w:val="auto"/>
          <w:kern w:val="2"/>
          <w:sz w:val="24"/>
          <w:szCs w:val="24"/>
          <w14:ligatures w14:val="standardContextual"/>
        </w:rPr>
      </w:pPr>
      <w:hyperlink w:anchor="_Toc187330551" w:history="1">
        <w:r w:rsidRPr="00AC24B4">
          <w:rPr>
            <w:rStyle w:val="Hyperlink"/>
          </w:rPr>
          <w:t>5.2.2.1 MCA assessment: Option 1 – the current Regulations with some amendments</w:t>
        </w:r>
        <w:r>
          <w:rPr>
            <w:webHidden/>
          </w:rPr>
          <w:tab/>
        </w:r>
        <w:r>
          <w:rPr>
            <w:webHidden/>
          </w:rPr>
          <w:fldChar w:fldCharType="begin"/>
        </w:r>
        <w:r>
          <w:rPr>
            <w:webHidden/>
          </w:rPr>
          <w:instrText xml:space="preserve"> PAGEREF _Toc187330551 \h </w:instrText>
        </w:r>
        <w:r>
          <w:rPr>
            <w:webHidden/>
          </w:rPr>
        </w:r>
        <w:r>
          <w:rPr>
            <w:webHidden/>
          </w:rPr>
          <w:fldChar w:fldCharType="separate"/>
        </w:r>
        <w:r w:rsidR="0013459E">
          <w:rPr>
            <w:webHidden/>
          </w:rPr>
          <w:t>38</w:t>
        </w:r>
        <w:r>
          <w:rPr>
            <w:webHidden/>
          </w:rPr>
          <w:fldChar w:fldCharType="end"/>
        </w:r>
      </w:hyperlink>
    </w:p>
    <w:p w14:paraId="40EB6731" w14:textId="094B1AE4" w:rsidR="00545D81" w:rsidRDefault="00545D81">
      <w:pPr>
        <w:pStyle w:val="TOC3"/>
        <w:rPr>
          <w:b w:val="0"/>
          <w:color w:val="auto"/>
          <w:kern w:val="2"/>
          <w:sz w:val="24"/>
          <w:szCs w:val="24"/>
          <w14:ligatures w14:val="standardContextual"/>
        </w:rPr>
      </w:pPr>
      <w:hyperlink w:anchor="_Toc187330552" w:history="1">
        <w:r w:rsidRPr="00AC24B4">
          <w:rPr>
            <w:rStyle w:val="Hyperlink"/>
          </w:rPr>
          <w:t>5.2.3 Overall assessment</w:t>
        </w:r>
        <w:r>
          <w:rPr>
            <w:webHidden/>
          </w:rPr>
          <w:tab/>
        </w:r>
        <w:r>
          <w:rPr>
            <w:webHidden/>
          </w:rPr>
          <w:fldChar w:fldCharType="begin"/>
        </w:r>
        <w:r>
          <w:rPr>
            <w:webHidden/>
          </w:rPr>
          <w:instrText xml:space="preserve"> PAGEREF _Toc187330552 \h </w:instrText>
        </w:r>
        <w:r>
          <w:rPr>
            <w:webHidden/>
          </w:rPr>
        </w:r>
        <w:r>
          <w:rPr>
            <w:webHidden/>
          </w:rPr>
          <w:fldChar w:fldCharType="separate"/>
        </w:r>
        <w:r w:rsidR="0013459E">
          <w:rPr>
            <w:webHidden/>
          </w:rPr>
          <w:t>39</w:t>
        </w:r>
        <w:r>
          <w:rPr>
            <w:webHidden/>
          </w:rPr>
          <w:fldChar w:fldCharType="end"/>
        </w:r>
      </w:hyperlink>
    </w:p>
    <w:p w14:paraId="21E29E37" w14:textId="1461F054" w:rsidR="00545D81" w:rsidRDefault="00545D81">
      <w:pPr>
        <w:pStyle w:val="TOC2"/>
        <w:rPr>
          <w:rFonts w:eastAsiaTheme="minorEastAsia" w:cstheme="minorBidi"/>
          <w:color w:val="auto"/>
          <w:kern w:val="2"/>
          <w:sz w:val="24"/>
          <w:szCs w:val="24"/>
          <w14:ligatures w14:val="standardContextual"/>
        </w:rPr>
      </w:pPr>
      <w:hyperlink w:anchor="_Toc187330553" w:history="1">
        <w:r w:rsidRPr="00AC24B4">
          <w:rPr>
            <w:rStyle w:val="Hyperlink"/>
          </w:rPr>
          <w:t>5.3 Option 2</w:t>
        </w:r>
        <w:r>
          <w:rPr>
            <w:webHidden/>
          </w:rPr>
          <w:tab/>
        </w:r>
        <w:r>
          <w:rPr>
            <w:webHidden/>
          </w:rPr>
          <w:fldChar w:fldCharType="begin"/>
        </w:r>
        <w:r>
          <w:rPr>
            <w:webHidden/>
          </w:rPr>
          <w:instrText xml:space="preserve"> PAGEREF _Toc187330553 \h </w:instrText>
        </w:r>
        <w:r>
          <w:rPr>
            <w:webHidden/>
          </w:rPr>
        </w:r>
        <w:r>
          <w:rPr>
            <w:webHidden/>
          </w:rPr>
          <w:fldChar w:fldCharType="separate"/>
        </w:r>
        <w:r w:rsidR="0013459E">
          <w:rPr>
            <w:webHidden/>
          </w:rPr>
          <w:t>39</w:t>
        </w:r>
        <w:r>
          <w:rPr>
            <w:webHidden/>
          </w:rPr>
          <w:fldChar w:fldCharType="end"/>
        </w:r>
      </w:hyperlink>
    </w:p>
    <w:p w14:paraId="0DDC6E8A" w14:textId="16B4CFC3" w:rsidR="00545D81" w:rsidRDefault="00545D81">
      <w:pPr>
        <w:pStyle w:val="TOC3"/>
        <w:rPr>
          <w:b w:val="0"/>
          <w:color w:val="auto"/>
          <w:kern w:val="2"/>
          <w:sz w:val="24"/>
          <w:szCs w:val="24"/>
          <w14:ligatures w14:val="standardContextual"/>
        </w:rPr>
      </w:pPr>
      <w:hyperlink w:anchor="_Toc187330554" w:history="1">
        <w:r w:rsidRPr="00AC24B4">
          <w:rPr>
            <w:rStyle w:val="Hyperlink"/>
          </w:rPr>
          <w:t>5.3.1 Costs</w:t>
        </w:r>
        <w:r>
          <w:rPr>
            <w:webHidden/>
          </w:rPr>
          <w:tab/>
        </w:r>
        <w:r>
          <w:rPr>
            <w:webHidden/>
          </w:rPr>
          <w:fldChar w:fldCharType="begin"/>
        </w:r>
        <w:r>
          <w:rPr>
            <w:webHidden/>
          </w:rPr>
          <w:instrText xml:space="preserve"> PAGEREF _Toc187330554 \h </w:instrText>
        </w:r>
        <w:r>
          <w:rPr>
            <w:webHidden/>
          </w:rPr>
        </w:r>
        <w:r>
          <w:rPr>
            <w:webHidden/>
          </w:rPr>
          <w:fldChar w:fldCharType="separate"/>
        </w:r>
        <w:r w:rsidR="0013459E">
          <w:rPr>
            <w:webHidden/>
          </w:rPr>
          <w:t>40</w:t>
        </w:r>
        <w:r>
          <w:rPr>
            <w:webHidden/>
          </w:rPr>
          <w:fldChar w:fldCharType="end"/>
        </w:r>
      </w:hyperlink>
    </w:p>
    <w:p w14:paraId="5C894D58" w14:textId="76ABFAFF" w:rsidR="00545D81" w:rsidRDefault="00545D81">
      <w:pPr>
        <w:pStyle w:val="TOC4"/>
        <w:rPr>
          <w:rFonts w:eastAsiaTheme="minorEastAsia" w:cstheme="minorBidi"/>
          <w:color w:val="auto"/>
          <w:kern w:val="2"/>
          <w:sz w:val="24"/>
          <w:szCs w:val="24"/>
          <w14:ligatures w14:val="standardContextual"/>
        </w:rPr>
      </w:pPr>
      <w:hyperlink w:anchor="_Toc187330555" w:history="1">
        <w:r w:rsidRPr="00AC24B4">
          <w:rPr>
            <w:rStyle w:val="Hyperlink"/>
          </w:rPr>
          <w:t>5.3.1.1 Businesses and individuals</w:t>
        </w:r>
        <w:r>
          <w:rPr>
            <w:webHidden/>
          </w:rPr>
          <w:tab/>
        </w:r>
        <w:r>
          <w:rPr>
            <w:webHidden/>
          </w:rPr>
          <w:fldChar w:fldCharType="begin"/>
        </w:r>
        <w:r>
          <w:rPr>
            <w:webHidden/>
          </w:rPr>
          <w:instrText xml:space="preserve"> PAGEREF _Toc187330555 \h </w:instrText>
        </w:r>
        <w:r>
          <w:rPr>
            <w:webHidden/>
          </w:rPr>
        </w:r>
        <w:r>
          <w:rPr>
            <w:webHidden/>
          </w:rPr>
          <w:fldChar w:fldCharType="separate"/>
        </w:r>
        <w:r w:rsidR="0013459E">
          <w:rPr>
            <w:webHidden/>
          </w:rPr>
          <w:t>40</w:t>
        </w:r>
        <w:r>
          <w:rPr>
            <w:webHidden/>
          </w:rPr>
          <w:fldChar w:fldCharType="end"/>
        </w:r>
      </w:hyperlink>
    </w:p>
    <w:p w14:paraId="1A68FF10" w14:textId="40599DF4" w:rsidR="00545D81" w:rsidRDefault="00545D81">
      <w:pPr>
        <w:pStyle w:val="TOC4"/>
        <w:rPr>
          <w:rFonts w:eastAsiaTheme="minorEastAsia" w:cstheme="minorBidi"/>
          <w:color w:val="auto"/>
          <w:kern w:val="2"/>
          <w:sz w:val="24"/>
          <w:szCs w:val="24"/>
          <w14:ligatures w14:val="standardContextual"/>
        </w:rPr>
      </w:pPr>
      <w:hyperlink w:anchor="_Toc187330556" w:history="1">
        <w:r w:rsidRPr="00AC24B4">
          <w:rPr>
            <w:rStyle w:val="Hyperlink"/>
          </w:rPr>
          <w:t>5.3.1.2 Government</w:t>
        </w:r>
        <w:r>
          <w:rPr>
            <w:webHidden/>
          </w:rPr>
          <w:tab/>
        </w:r>
        <w:r>
          <w:rPr>
            <w:webHidden/>
          </w:rPr>
          <w:fldChar w:fldCharType="begin"/>
        </w:r>
        <w:r>
          <w:rPr>
            <w:webHidden/>
          </w:rPr>
          <w:instrText xml:space="preserve"> PAGEREF _Toc187330556 \h </w:instrText>
        </w:r>
        <w:r>
          <w:rPr>
            <w:webHidden/>
          </w:rPr>
        </w:r>
        <w:r>
          <w:rPr>
            <w:webHidden/>
          </w:rPr>
          <w:fldChar w:fldCharType="separate"/>
        </w:r>
        <w:r w:rsidR="0013459E">
          <w:rPr>
            <w:webHidden/>
          </w:rPr>
          <w:t>40</w:t>
        </w:r>
        <w:r>
          <w:rPr>
            <w:webHidden/>
          </w:rPr>
          <w:fldChar w:fldCharType="end"/>
        </w:r>
      </w:hyperlink>
    </w:p>
    <w:p w14:paraId="490DD756" w14:textId="260B10BA" w:rsidR="00545D81" w:rsidRDefault="00545D81">
      <w:pPr>
        <w:pStyle w:val="TOC4"/>
        <w:rPr>
          <w:rFonts w:eastAsiaTheme="minorEastAsia" w:cstheme="minorBidi"/>
          <w:color w:val="auto"/>
          <w:kern w:val="2"/>
          <w:sz w:val="24"/>
          <w:szCs w:val="24"/>
          <w14:ligatures w14:val="standardContextual"/>
        </w:rPr>
      </w:pPr>
      <w:hyperlink w:anchor="_Toc187330557" w:history="1">
        <w:r w:rsidRPr="00AC24B4">
          <w:rPr>
            <w:rStyle w:val="Hyperlink"/>
          </w:rPr>
          <w:t>5.3.1.3 Total costs</w:t>
        </w:r>
        <w:r>
          <w:rPr>
            <w:webHidden/>
          </w:rPr>
          <w:tab/>
        </w:r>
        <w:r>
          <w:rPr>
            <w:webHidden/>
          </w:rPr>
          <w:fldChar w:fldCharType="begin"/>
        </w:r>
        <w:r>
          <w:rPr>
            <w:webHidden/>
          </w:rPr>
          <w:instrText xml:space="preserve"> PAGEREF _Toc187330557 \h </w:instrText>
        </w:r>
        <w:r>
          <w:rPr>
            <w:webHidden/>
          </w:rPr>
        </w:r>
        <w:r>
          <w:rPr>
            <w:webHidden/>
          </w:rPr>
          <w:fldChar w:fldCharType="separate"/>
        </w:r>
        <w:r w:rsidR="0013459E">
          <w:rPr>
            <w:webHidden/>
          </w:rPr>
          <w:t>40</w:t>
        </w:r>
        <w:r>
          <w:rPr>
            <w:webHidden/>
          </w:rPr>
          <w:fldChar w:fldCharType="end"/>
        </w:r>
      </w:hyperlink>
    </w:p>
    <w:p w14:paraId="330AE5DE" w14:textId="7934687C" w:rsidR="00545D81" w:rsidRDefault="00545D81">
      <w:pPr>
        <w:pStyle w:val="TOC3"/>
        <w:rPr>
          <w:b w:val="0"/>
          <w:color w:val="auto"/>
          <w:kern w:val="2"/>
          <w:sz w:val="24"/>
          <w:szCs w:val="24"/>
          <w14:ligatures w14:val="standardContextual"/>
        </w:rPr>
      </w:pPr>
      <w:hyperlink w:anchor="_Toc187330558" w:history="1">
        <w:r w:rsidRPr="00AC24B4">
          <w:rPr>
            <w:rStyle w:val="Hyperlink"/>
          </w:rPr>
          <w:t>5.3.2 Benefits</w:t>
        </w:r>
        <w:r>
          <w:rPr>
            <w:webHidden/>
          </w:rPr>
          <w:tab/>
        </w:r>
        <w:r>
          <w:rPr>
            <w:webHidden/>
          </w:rPr>
          <w:fldChar w:fldCharType="begin"/>
        </w:r>
        <w:r>
          <w:rPr>
            <w:webHidden/>
          </w:rPr>
          <w:instrText xml:space="preserve"> PAGEREF _Toc187330558 \h </w:instrText>
        </w:r>
        <w:r>
          <w:rPr>
            <w:webHidden/>
          </w:rPr>
        </w:r>
        <w:r>
          <w:rPr>
            <w:webHidden/>
          </w:rPr>
          <w:fldChar w:fldCharType="separate"/>
        </w:r>
        <w:r w:rsidR="0013459E">
          <w:rPr>
            <w:webHidden/>
          </w:rPr>
          <w:t>40</w:t>
        </w:r>
        <w:r>
          <w:rPr>
            <w:webHidden/>
          </w:rPr>
          <w:fldChar w:fldCharType="end"/>
        </w:r>
      </w:hyperlink>
    </w:p>
    <w:p w14:paraId="44215781" w14:textId="161FEEA8" w:rsidR="00545D81" w:rsidRDefault="00545D81">
      <w:pPr>
        <w:pStyle w:val="TOC4"/>
        <w:rPr>
          <w:rFonts w:eastAsiaTheme="minorEastAsia" w:cstheme="minorBidi"/>
          <w:color w:val="auto"/>
          <w:kern w:val="2"/>
          <w:sz w:val="24"/>
          <w:szCs w:val="24"/>
          <w14:ligatures w14:val="standardContextual"/>
        </w:rPr>
      </w:pPr>
      <w:hyperlink w:anchor="_Toc187330559" w:history="1">
        <w:r w:rsidRPr="00AC24B4">
          <w:rPr>
            <w:rStyle w:val="Hyperlink"/>
          </w:rPr>
          <w:t xml:space="preserve">5.3.2.1 MCA Assessment: Option 2 </w:t>
        </w:r>
        <w:r w:rsidRPr="00AC24B4">
          <w:rPr>
            <w:rStyle w:val="Hyperlink"/>
            <w:rFonts w:cstheme="minorHAnsi"/>
          </w:rPr>
          <w:t>–</w:t>
        </w:r>
        <w:r w:rsidRPr="00AC24B4">
          <w:rPr>
            <w:rStyle w:val="Hyperlink"/>
          </w:rPr>
          <w:t xml:space="preserve"> performance-based approach</w:t>
        </w:r>
        <w:r>
          <w:rPr>
            <w:webHidden/>
          </w:rPr>
          <w:tab/>
        </w:r>
        <w:r>
          <w:rPr>
            <w:webHidden/>
          </w:rPr>
          <w:fldChar w:fldCharType="begin"/>
        </w:r>
        <w:r>
          <w:rPr>
            <w:webHidden/>
          </w:rPr>
          <w:instrText xml:space="preserve"> PAGEREF _Toc187330559 \h </w:instrText>
        </w:r>
        <w:r>
          <w:rPr>
            <w:webHidden/>
          </w:rPr>
        </w:r>
        <w:r>
          <w:rPr>
            <w:webHidden/>
          </w:rPr>
          <w:fldChar w:fldCharType="separate"/>
        </w:r>
        <w:r w:rsidR="0013459E">
          <w:rPr>
            <w:webHidden/>
          </w:rPr>
          <w:t>40</w:t>
        </w:r>
        <w:r>
          <w:rPr>
            <w:webHidden/>
          </w:rPr>
          <w:fldChar w:fldCharType="end"/>
        </w:r>
      </w:hyperlink>
    </w:p>
    <w:p w14:paraId="4E26D23E" w14:textId="1B71A4D3" w:rsidR="00545D81" w:rsidRDefault="00545D81">
      <w:pPr>
        <w:pStyle w:val="TOC3"/>
        <w:rPr>
          <w:b w:val="0"/>
          <w:color w:val="auto"/>
          <w:kern w:val="2"/>
          <w:sz w:val="24"/>
          <w:szCs w:val="24"/>
          <w14:ligatures w14:val="standardContextual"/>
        </w:rPr>
      </w:pPr>
      <w:hyperlink w:anchor="_Toc187330560" w:history="1">
        <w:r w:rsidRPr="00AC24B4">
          <w:rPr>
            <w:rStyle w:val="Hyperlink"/>
          </w:rPr>
          <w:t>5.3.3 Overall assessment</w:t>
        </w:r>
        <w:r>
          <w:rPr>
            <w:webHidden/>
          </w:rPr>
          <w:tab/>
        </w:r>
        <w:r>
          <w:rPr>
            <w:webHidden/>
          </w:rPr>
          <w:fldChar w:fldCharType="begin"/>
        </w:r>
        <w:r>
          <w:rPr>
            <w:webHidden/>
          </w:rPr>
          <w:instrText xml:space="preserve"> PAGEREF _Toc187330560 \h </w:instrText>
        </w:r>
        <w:r>
          <w:rPr>
            <w:webHidden/>
          </w:rPr>
        </w:r>
        <w:r>
          <w:rPr>
            <w:webHidden/>
          </w:rPr>
          <w:fldChar w:fldCharType="separate"/>
        </w:r>
        <w:r w:rsidR="0013459E">
          <w:rPr>
            <w:webHidden/>
          </w:rPr>
          <w:t>42</w:t>
        </w:r>
        <w:r>
          <w:rPr>
            <w:webHidden/>
          </w:rPr>
          <w:fldChar w:fldCharType="end"/>
        </w:r>
      </w:hyperlink>
    </w:p>
    <w:p w14:paraId="425C8152" w14:textId="5C4C35AB" w:rsidR="00545D81" w:rsidRDefault="00545D81">
      <w:pPr>
        <w:pStyle w:val="TOC2"/>
        <w:rPr>
          <w:rFonts w:eastAsiaTheme="minorEastAsia" w:cstheme="minorBidi"/>
          <w:color w:val="auto"/>
          <w:kern w:val="2"/>
          <w:sz w:val="24"/>
          <w:szCs w:val="24"/>
          <w14:ligatures w14:val="standardContextual"/>
        </w:rPr>
      </w:pPr>
      <w:hyperlink w:anchor="_Toc187330561" w:history="1">
        <w:r w:rsidRPr="00AC24B4">
          <w:rPr>
            <w:rStyle w:val="Hyperlink"/>
          </w:rPr>
          <w:t>5.4 Option 3</w:t>
        </w:r>
        <w:r>
          <w:rPr>
            <w:webHidden/>
          </w:rPr>
          <w:tab/>
        </w:r>
        <w:r>
          <w:rPr>
            <w:webHidden/>
          </w:rPr>
          <w:fldChar w:fldCharType="begin"/>
        </w:r>
        <w:r>
          <w:rPr>
            <w:webHidden/>
          </w:rPr>
          <w:instrText xml:space="preserve"> PAGEREF _Toc187330561 \h </w:instrText>
        </w:r>
        <w:r>
          <w:rPr>
            <w:webHidden/>
          </w:rPr>
        </w:r>
        <w:r>
          <w:rPr>
            <w:webHidden/>
          </w:rPr>
          <w:fldChar w:fldCharType="separate"/>
        </w:r>
        <w:r w:rsidR="0013459E">
          <w:rPr>
            <w:webHidden/>
          </w:rPr>
          <w:t>42</w:t>
        </w:r>
        <w:r>
          <w:rPr>
            <w:webHidden/>
          </w:rPr>
          <w:fldChar w:fldCharType="end"/>
        </w:r>
      </w:hyperlink>
    </w:p>
    <w:p w14:paraId="71D9F6BC" w14:textId="75EFABD4" w:rsidR="00545D81" w:rsidRDefault="00545D81">
      <w:pPr>
        <w:pStyle w:val="TOC3"/>
        <w:rPr>
          <w:b w:val="0"/>
          <w:color w:val="auto"/>
          <w:kern w:val="2"/>
          <w:sz w:val="24"/>
          <w:szCs w:val="24"/>
          <w14:ligatures w14:val="standardContextual"/>
        </w:rPr>
      </w:pPr>
      <w:hyperlink w:anchor="_Toc187330562" w:history="1">
        <w:r w:rsidRPr="00AC24B4">
          <w:rPr>
            <w:rStyle w:val="Hyperlink"/>
          </w:rPr>
          <w:t>5.4.1 Costs</w:t>
        </w:r>
        <w:r>
          <w:rPr>
            <w:webHidden/>
          </w:rPr>
          <w:tab/>
        </w:r>
        <w:r>
          <w:rPr>
            <w:webHidden/>
          </w:rPr>
          <w:fldChar w:fldCharType="begin"/>
        </w:r>
        <w:r>
          <w:rPr>
            <w:webHidden/>
          </w:rPr>
          <w:instrText xml:space="preserve"> PAGEREF _Toc187330562 \h </w:instrText>
        </w:r>
        <w:r>
          <w:rPr>
            <w:webHidden/>
          </w:rPr>
        </w:r>
        <w:r>
          <w:rPr>
            <w:webHidden/>
          </w:rPr>
          <w:fldChar w:fldCharType="separate"/>
        </w:r>
        <w:r w:rsidR="0013459E">
          <w:rPr>
            <w:webHidden/>
          </w:rPr>
          <w:t>42</w:t>
        </w:r>
        <w:r>
          <w:rPr>
            <w:webHidden/>
          </w:rPr>
          <w:fldChar w:fldCharType="end"/>
        </w:r>
      </w:hyperlink>
    </w:p>
    <w:p w14:paraId="51DB833B" w14:textId="3B6B337A" w:rsidR="00545D81" w:rsidRDefault="00545D81">
      <w:pPr>
        <w:pStyle w:val="TOC3"/>
        <w:rPr>
          <w:b w:val="0"/>
          <w:color w:val="auto"/>
          <w:kern w:val="2"/>
          <w:sz w:val="24"/>
          <w:szCs w:val="24"/>
          <w14:ligatures w14:val="standardContextual"/>
        </w:rPr>
      </w:pPr>
      <w:hyperlink w:anchor="_Toc187330563" w:history="1">
        <w:r w:rsidRPr="00AC24B4">
          <w:rPr>
            <w:rStyle w:val="Hyperlink"/>
          </w:rPr>
          <w:t>5.4.2 Benefits</w:t>
        </w:r>
        <w:r>
          <w:rPr>
            <w:webHidden/>
          </w:rPr>
          <w:tab/>
        </w:r>
        <w:r>
          <w:rPr>
            <w:webHidden/>
          </w:rPr>
          <w:fldChar w:fldCharType="begin"/>
        </w:r>
        <w:r>
          <w:rPr>
            <w:webHidden/>
          </w:rPr>
          <w:instrText xml:space="preserve"> PAGEREF _Toc187330563 \h </w:instrText>
        </w:r>
        <w:r>
          <w:rPr>
            <w:webHidden/>
          </w:rPr>
        </w:r>
        <w:r>
          <w:rPr>
            <w:webHidden/>
          </w:rPr>
          <w:fldChar w:fldCharType="separate"/>
        </w:r>
        <w:r w:rsidR="0013459E">
          <w:rPr>
            <w:webHidden/>
          </w:rPr>
          <w:t>43</w:t>
        </w:r>
        <w:r>
          <w:rPr>
            <w:webHidden/>
          </w:rPr>
          <w:fldChar w:fldCharType="end"/>
        </w:r>
      </w:hyperlink>
    </w:p>
    <w:p w14:paraId="6D464EDD" w14:textId="6AA299B2" w:rsidR="00545D81" w:rsidRDefault="00545D81">
      <w:pPr>
        <w:pStyle w:val="TOC4"/>
        <w:rPr>
          <w:rFonts w:eastAsiaTheme="minorEastAsia" w:cstheme="minorBidi"/>
          <w:color w:val="auto"/>
          <w:kern w:val="2"/>
          <w:sz w:val="24"/>
          <w:szCs w:val="24"/>
          <w14:ligatures w14:val="standardContextual"/>
        </w:rPr>
      </w:pPr>
      <w:hyperlink w:anchor="_Toc187330564" w:history="1">
        <w:r w:rsidRPr="00AC24B4">
          <w:rPr>
            <w:rStyle w:val="Hyperlink"/>
          </w:rPr>
          <w:t xml:space="preserve">5.4.2.1 MCA Assessment: Option 3 </w:t>
        </w:r>
        <w:r w:rsidRPr="00AC24B4">
          <w:rPr>
            <w:rStyle w:val="Hyperlink"/>
            <w:rFonts w:cstheme="minorHAnsi"/>
          </w:rPr>
          <w:t>–</w:t>
        </w:r>
        <w:r w:rsidRPr="00AC24B4">
          <w:rPr>
            <w:rStyle w:val="Hyperlink"/>
          </w:rPr>
          <w:t xml:space="preserve"> non-regulatory approach</w:t>
        </w:r>
        <w:r>
          <w:rPr>
            <w:webHidden/>
          </w:rPr>
          <w:tab/>
        </w:r>
        <w:r>
          <w:rPr>
            <w:webHidden/>
          </w:rPr>
          <w:fldChar w:fldCharType="begin"/>
        </w:r>
        <w:r>
          <w:rPr>
            <w:webHidden/>
          </w:rPr>
          <w:instrText xml:space="preserve"> PAGEREF _Toc187330564 \h </w:instrText>
        </w:r>
        <w:r>
          <w:rPr>
            <w:webHidden/>
          </w:rPr>
        </w:r>
        <w:r>
          <w:rPr>
            <w:webHidden/>
          </w:rPr>
          <w:fldChar w:fldCharType="separate"/>
        </w:r>
        <w:r w:rsidR="0013459E">
          <w:rPr>
            <w:webHidden/>
          </w:rPr>
          <w:t>43</w:t>
        </w:r>
        <w:r>
          <w:rPr>
            <w:webHidden/>
          </w:rPr>
          <w:fldChar w:fldCharType="end"/>
        </w:r>
      </w:hyperlink>
    </w:p>
    <w:p w14:paraId="3D4C6BB9" w14:textId="47D89228" w:rsidR="00545D81" w:rsidRDefault="00545D81">
      <w:pPr>
        <w:pStyle w:val="TOC3"/>
        <w:rPr>
          <w:b w:val="0"/>
          <w:color w:val="auto"/>
          <w:kern w:val="2"/>
          <w:sz w:val="24"/>
          <w:szCs w:val="24"/>
          <w14:ligatures w14:val="standardContextual"/>
        </w:rPr>
      </w:pPr>
      <w:hyperlink w:anchor="_Toc187330565" w:history="1">
        <w:r w:rsidRPr="00AC24B4">
          <w:rPr>
            <w:rStyle w:val="Hyperlink"/>
          </w:rPr>
          <w:t>5.4.3 Overall assessment</w:t>
        </w:r>
        <w:r>
          <w:rPr>
            <w:webHidden/>
          </w:rPr>
          <w:tab/>
        </w:r>
        <w:r>
          <w:rPr>
            <w:webHidden/>
          </w:rPr>
          <w:fldChar w:fldCharType="begin"/>
        </w:r>
        <w:r>
          <w:rPr>
            <w:webHidden/>
          </w:rPr>
          <w:instrText xml:space="preserve"> PAGEREF _Toc187330565 \h </w:instrText>
        </w:r>
        <w:r>
          <w:rPr>
            <w:webHidden/>
          </w:rPr>
        </w:r>
        <w:r>
          <w:rPr>
            <w:webHidden/>
          </w:rPr>
          <w:fldChar w:fldCharType="separate"/>
        </w:r>
        <w:r w:rsidR="0013459E">
          <w:rPr>
            <w:webHidden/>
          </w:rPr>
          <w:t>45</w:t>
        </w:r>
        <w:r>
          <w:rPr>
            <w:webHidden/>
          </w:rPr>
          <w:fldChar w:fldCharType="end"/>
        </w:r>
      </w:hyperlink>
    </w:p>
    <w:p w14:paraId="37CD605D" w14:textId="77FAA6A1" w:rsidR="00545D81" w:rsidRDefault="00545D81">
      <w:pPr>
        <w:pStyle w:val="TOC2"/>
        <w:rPr>
          <w:rFonts w:eastAsiaTheme="minorEastAsia" w:cstheme="minorBidi"/>
          <w:color w:val="auto"/>
          <w:kern w:val="2"/>
          <w:sz w:val="24"/>
          <w:szCs w:val="24"/>
          <w14:ligatures w14:val="standardContextual"/>
        </w:rPr>
      </w:pPr>
      <w:hyperlink w:anchor="_Toc187330566" w:history="1">
        <w:r w:rsidRPr="00AC24B4">
          <w:rPr>
            <w:rStyle w:val="Hyperlink"/>
          </w:rPr>
          <w:t>5.5 Determining the preferred option</w:t>
        </w:r>
        <w:r>
          <w:rPr>
            <w:webHidden/>
          </w:rPr>
          <w:tab/>
        </w:r>
        <w:r>
          <w:rPr>
            <w:webHidden/>
          </w:rPr>
          <w:fldChar w:fldCharType="begin"/>
        </w:r>
        <w:r>
          <w:rPr>
            <w:webHidden/>
          </w:rPr>
          <w:instrText xml:space="preserve"> PAGEREF _Toc187330566 \h </w:instrText>
        </w:r>
        <w:r>
          <w:rPr>
            <w:webHidden/>
          </w:rPr>
        </w:r>
        <w:r>
          <w:rPr>
            <w:webHidden/>
          </w:rPr>
          <w:fldChar w:fldCharType="separate"/>
        </w:r>
        <w:r w:rsidR="0013459E">
          <w:rPr>
            <w:webHidden/>
          </w:rPr>
          <w:t>45</w:t>
        </w:r>
        <w:r>
          <w:rPr>
            <w:webHidden/>
          </w:rPr>
          <w:fldChar w:fldCharType="end"/>
        </w:r>
      </w:hyperlink>
    </w:p>
    <w:p w14:paraId="5CF6A68D" w14:textId="1303A1F8" w:rsidR="00545D81" w:rsidRDefault="00545D81">
      <w:pPr>
        <w:pStyle w:val="TOC3"/>
        <w:rPr>
          <w:b w:val="0"/>
          <w:color w:val="auto"/>
          <w:kern w:val="2"/>
          <w:sz w:val="24"/>
          <w:szCs w:val="24"/>
          <w14:ligatures w14:val="standardContextual"/>
        </w:rPr>
      </w:pPr>
      <w:hyperlink w:anchor="_Toc187330567" w:history="1">
        <w:r w:rsidRPr="00AC24B4">
          <w:rPr>
            <w:rStyle w:val="Hyperlink"/>
          </w:rPr>
          <w:t xml:space="preserve">5.5.1 Supplementary assessment </w:t>
        </w:r>
        <w:r w:rsidRPr="00AC24B4">
          <w:rPr>
            <w:rStyle w:val="Hyperlink"/>
            <w:rFonts w:cstheme="majorHAnsi"/>
          </w:rPr>
          <w:t>–</w:t>
        </w:r>
        <w:r w:rsidRPr="00AC24B4">
          <w:rPr>
            <w:rStyle w:val="Hyperlink"/>
          </w:rPr>
          <w:t xml:space="preserve"> Break-even Analysis</w:t>
        </w:r>
        <w:r>
          <w:rPr>
            <w:webHidden/>
          </w:rPr>
          <w:tab/>
        </w:r>
        <w:r>
          <w:rPr>
            <w:webHidden/>
          </w:rPr>
          <w:fldChar w:fldCharType="begin"/>
        </w:r>
        <w:r>
          <w:rPr>
            <w:webHidden/>
          </w:rPr>
          <w:instrText xml:space="preserve"> PAGEREF _Toc187330567 \h </w:instrText>
        </w:r>
        <w:r>
          <w:rPr>
            <w:webHidden/>
          </w:rPr>
        </w:r>
        <w:r>
          <w:rPr>
            <w:webHidden/>
          </w:rPr>
          <w:fldChar w:fldCharType="separate"/>
        </w:r>
        <w:r w:rsidR="0013459E">
          <w:rPr>
            <w:webHidden/>
          </w:rPr>
          <w:t>46</w:t>
        </w:r>
        <w:r>
          <w:rPr>
            <w:webHidden/>
          </w:rPr>
          <w:fldChar w:fldCharType="end"/>
        </w:r>
      </w:hyperlink>
    </w:p>
    <w:p w14:paraId="7D605619" w14:textId="1C1DD7B9" w:rsidR="00545D81" w:rsidRDefault="00545D81">
      <w:pPr>
        <w:pStyle w:val="TOC1"/>
        <w:rPr>
          <w:rFonts w:eastAsiaTheme="minorEastAsia" w:cstheme="minorBidi"/>
          <w:b w:val="0"/>
          <w:color w:val="auto"/>
          <w:kern w:val="2"/>
          <w14:ligatures w14:val="standardContextual"/>
        </w:rPr>
      </w:pPr>
      <w:hyperlink w:anchor="_Toc187330568" w:history="1">
        <w:r w:rsidRPr="00AC24B4">
          <w:rPr>
            <w:rStyle w:val="Hyperlink"/>
          </w:rPr>
          <w:t>6. Preferred Option</w:t>
        </w:r>
        <w:r>
          <w:rPr>
            <w:webHidden/>
          </w:rPr>
          <w:tab/>
        </w:r>
        <w:r>
          <w:rPr>
            <w:webHidden/>
          </w:rPr>
          <w:fldChar w:fldCharType="begin"/>
        </w:r>
        <w:r>
          <w:rPr>
            <w:webHidden/>
          </w:rPr>
          <w:instrText xml:space="preserve"> PAGEREF _Toc187330568 \h </w:instrText>
        </w:r>
        <w:r>
          <w:rPr>
            <w:webHidden/>
          </w:rPr>
        </w:r>
        <w:r>
          <w:rPr>
            <w:webHidden/>
          </w:rPr>
          <w:fldChar w:fldCharType="separate"/>
        </w:r>
        <w:r w:rsidR="0013459E">
          <w:rPr>
            <w:webHidden/>
          </w:rPr>
          <w:t>48</w:t>
        </w:r>
        <w:r>
          <w:rPr>
            <w:webHidden/>
          </w:rPr>
          <w:fldChar w:fldCharType="end"/>
        </w:r>
      </w:hyperlink>
    </w:p>
    <w:p w14:paraId="73D3E5FB" w14:textId="018202A6" w:rsidR="00545D81" w:rsidRDefault="00545D81">
      <w:pPr>
        <w:pStyle w:val="TOC2"/>
        <w:rPr>
          <w:rFonts w:eastAsiaTheme="minorEastAsia" w:cstheme="minorBidi"/>
          <w:color w:val="auto"/>
          <w:kern w:val="2"/>
          <w:sz w:val="24"/>
          <w:szCs w:val="24"/>
          <w14:ligatures w14:val="standardContextual"/>
        </w:rPr>
      </w:pPr>
      <w:hyperlink w:anchor="_Toc187330569" w:history="1">
        <w:r w:rsidRPr="00AC24B4">
          <w:rPr>
            <w:rStyle w:val="Hyperlink"/>
          </w:rPr>
          <w:t>6.1 The proposed Regulations</w:t>
        </w:r>
        <w:r>
          <w:rPr>
            <w:webHidden/>
          </w:rPr>
          <w:tab/>
        </w:r>
        <w:r>
          <w:rPr>
            <w:webHidden/>
          </w:rPr>
          <w:fldChar w:fldCharType="begin"/>
        </w:r>
        <w:r>
          <w:rPr>
            <w:webHidden/>
          </w:rPr>
          <w:instrText xml:space="preserve"> PAGEREF _Toc187330569 \h </w:instrText>
        </w:r>
        <w:r>
          <w:rPr>
            <w:webHidden/>
          </w:rPr>
        </w:r>
        <w:r>
          <w:rPr>
            <w:webHidden/>
          </w:rPr>
          <w:fldChar w:fldCharType="separate"/>
        </w:r>
        <w:r w:rsidR="0013459E">
          <w:rPr>
            <w:webHidden/>
          </w:rPr>
          <w:t>48</w:t>
        </w:r>
        <w:r>
          <w:rPr>
            <w:webHidden/>
          </w:rPr>
          <w:fldChar w:fldCharType="end"/>
        </w:r>
      </w:hyperlink>
    </w:p>
    <w:p w14:paraId="232AB36A" w14:textId="34EB9AED" w:rsidR="00545D81" w:rsidRDefault="00545D81">
      <w:pPr>
        <w:pStyle w:val="TOC2"/>
        <w:rPr>
          <w:rFonts w:eastAsiaTheme="minorEastAsia" w:cstheme="minorBidi"/>
          <w:color w:val="auto"/>
          <w:kern w:val="2"/>
          <w:sz w:val="24"/>
          <w:szCs w:val="24"/>
          <w14:ligatures w14:val="standardContextual"/>
        </w:rPr>
      </w:pPr>
      <w:hyperlink w:anchor="_Toc187330570" w:history="1">
        <w:r w:rsidRPr="00AC24B4">
          <w:rPr>
            <w:rStyle w:val="Hyperlink"/>
          </w:rPr>
          <w:t>6.2 Competition Assessment</w:t>
        </w:r>
        <w:r>
          <w:rPr>
            <w:webHidden/>
          </w:rPr>
          <w:tab/>
        </w:r>
        <w:r>
          <w:rPr>
            <w:webHidden/>
          </w:rPr>
          <w:fldChar w:fldCharType="begin"/>
        </w:r>
        <w:r>
          <w:rPr>
            <w:webHidden/>
          </w:rPr>
          <w:instrText xml:space="preserve"> PAGEREF _Toc187330570 \h </w:instrText>
        </w:r>
        <w:r>
          <w:rPr>
            <w:webHidden/>
          </w:rPr>
        </w:r>
        <w:r>
          <w:rPr>
            <w:webHidden/>
          </w:rPr>
          <w:fldChar w:fldCharType="separate"/>
        </w:r>
        <w:r w:rsidR="0013459E">
          <w:rPr>
            <w:webHidden/>
          </w:rPr>
          <w:t>48</w:t>
        </w:r>
        <w:r>
          <w:rPr>
            <w:webHidden/>
          </w:rPr>
          <w:fldChar w:fldCharType="end"/>
        </w:r>
      </w:hyperlink>
    </w:p>
    <w:p w14:paraId="3831AC45" w14:textId="0944E9A5" w:rsidR="00545D81" w:rsidRDefault="00545D81">
      <w:pPr>
        <w:pStyle w:val="TOC2"/>
        <w:rPr>
          <w:rFonts w:eastAsiaTheme="minorEastAsia" w:cstheme="minorBidi"/>
          <w:color w:val="auto"/>
          <w:kern w:val="2"/>
          <w:sz w:val="24"/>
          <w:szCs w:val="24"/>
          <w14:ligatures w14:val="standardContextual"/>
        </w:rPr>
      </w:pPr>
      <w:hyperlink w:anchor="_Toc187330571" w:history="1">
        <w:r w:rsidRPr="00AC24B4">
          <w:rPr>
            <w:rStyle w:val="Hyperlink"/>
          </w:rPr>
          <w:t>6.3 Small Business Impacts</w:t>
        </w:r>
        <w:r>
          <w:rPr>
            <w:webHidden/>
          </w:rPr>
          <w:tab/>
        </w:r>
        <w:r>
          <w:rPr>
            <w:webHidden/>
          </w:rPr>
          <w:fldChar w:fldCharType="begin"/>
        </w:r>
        <w:r>
          <w:rPr>
            <w:webHidden/>
          </w:rPr>
          <w:instrText xml:space="preserve"> PAGEREF _Toc187330571 \h </w:instrText>
        </w:r>
        <w:r>
          <w:rPr>
            <w:webHidden/>
          </w:rPr>
        </w:r>
        <w:r>
          <w:rPr>
            <w:webHidden/>
          </w:rPr>
          <w:fldChar w:fldCharType="separate"/>
        </w:r>
        <w:r w:rsidR="0013459E">
          <w:rPr>
            <w:webHidden/>
          </w:rPr>
          <w:t>49</w:t>
        </w:r>
        <w:r>
          <w:rPr>
            <w:webHidden/>
          </w:rPr>
          <w:fldChar w:fldCharType="end"/>
        </w:r>
      </w:hyperlink>
    </w:p>
    <w:p w14:paraId="64AAA6D6" w14:textId="041A6383" w:rsidR="00545D81" w:rsidRDefault="00545D81">
      <w:pPr>
        <w:pStyle w:val="TOC1"/>
        <w:rPr>
          <w:rFonts w:eastAsiaTheme="minorEastAsia" w:cstheme="minorBidi"/>
          <w:b w:val="0"/>
          <w:color w:val="auto"/>
          <w:kern w:val="2"/>
          <w14:ligatures w14:val="standardContextual"/>
        </w:rPr>
      </w:pPr>
      <w:hyperlink w:anchor="_Toc187330572" w:history="1">
        <w:r w:rsidRPr="00AC24B4">
          <w:rPr>
            <w:rStyle w:val="Hyperlink"/>
          </w:rPr>
          <w:t>7. Implementation and Evaluation</w:t>
        </w:r>
        <w:r>
          <w:rPr>
            <w:webHidden/>
          </w:rPr>
          <w:tab/>
        </w:r>
        <w:r>
          <w:rPr>
            <w:webHidden/>
          </w:rPr>
          <w:fldChar w:fldCharType="begin"/>
        </w:r>
        <w:r>
          <w:rPr>
            <w:webHidden/>
          </w:rPr>
          <w:instrText xml:space="preserve"> PAGEREF _Toc187330572 \h </w:instrText>
        </w:r>
        <w:r>
          <w:rPr>
            <w:webHidden/>
          </w:rPr>
        </w:r>
        <w:r>
          <w:rPr>
            <w:webHidden/>
          </w:rPr>
          <w:fldChar w:fldCharType="separate"/>
        </w:r>
        <w:r w:rsidR="0013459E">
          <w:rPr>
            <w:webHidden/>
          </w:rPr>
          <w:t>50</w:t>
        </w:r>
        <w:r>
          <w:rPr>
            <w:webHidden/>
          </w:rPr>
          <w:fldChar w:fldCharType="end"/>
        </w:r>
      </w:hyperlink>
    </w:p>
    <w:p w14:paraId="01CF3C6F" w14:textId="53F8B150" w:rsidR="00545D81" w:rsidRDefault="00545D81">
      <w:pPr>
        <w:pStyle w:val="TOC2"/>
        <w:rPr>
          <w:rFonts w:eastAsiaTheme="minorEastAsia" w:cstheme="minorBidi"/>
          <w:color w:val="auto"/>
          <w:kern w:val="2"/>
          <w:sz w:val="24"/>
          <w:szCs w:val="24"/>
          <w14:ligatures w14:val="standardContextual"/>
        </w:rPr>
      </w:pPr>
      <w:hyperlink w:anchor="_Toc187330573" w:history="1">
        <w:r w:rsidRPr="00AC24B4">
          <w:rPr>
            <w:rStyle w:val="Hyperlink"/>
          </w:rPr>
          <w:t>7.1 Implementation</w:t>
        </w:r>
        <w:r>
          <w:rPr>
            <w:webHidden/>
          </w:rPr>
          <w:tab/>
        </w:r>
        <w:r>
          <w:rPr>
            <w:webHidden/>
          </w:rPr>
          <w:fldChar w:fldCharType="begin"/>
        </w:r>
        <w:r>
          <w:rPr>
            <w:webHidden/>
          </w:rPr>
          <w:instrText xml:space="preserve"> PAGEREF _Toc187330573 \h </w:instrText>
        </w:r>
        <w:r>
          <w:rPr>
            <w:webHidden/>
          </w:rPr>
        </w:r>
        <w:r>
          <w:rPr>
            <w:webHidden/>
          </w:rPr>
          <w:fldChar w:fldCharType="separate"/>
        </w:r>
        <w:r w:rsidR="0013459E">
          <w:rPr>
            <w:webHidden/>
          </w:rPr>
          <w:t>50</w:t>
        </w:r>
        <w:r>
          <w:rPr>
            <w:webHidden/>
          </w:rPr>
          <w:fldChar w:fldCharType="end"/>
        </w:r>
      </w:hyperlink>
    </w:p>
    <w:p w14:paraId="064E15E4" w14:textId="3A53AD51" w:rsidR="00545D81" w:rsidRDefault="00545D81">
      <w:pPr>
        <w:pStyle w:val="TOC2"/>
        <w:rPr>
          <w:rFonts w:eastAsiaTheme="minorEastAsia" w:cstheme="minorBidi"/>
          <w:color w:val="auto"/>
          <w:kern w:val="2"/>
          <w:sz w:val="24"/>
          <w:szCs w:val="24"/>
          <w14:ligatures w14:val="standardContextual"/>
        </w:rPr>
      </w:pPr>
      <w:hyperlink w:anchor="_Toc187330574" w:history="1">
        <w:r w:rsidRPr="00AC24B4">
          <w:rPr>
            <w:rStyle w:val="Hyperlink"/>
          </w:rPr>
          <w:t>7.2 Evaluation</w:t>
        </w:r>
        <w:r>
          <w:rPr>
            <w:webHidden/>
          </w:rPr>
          <w:tab/>
        </w:r>
        <w:r>
          <w:rPr>
            <w:webHidden/>
          </w:rPr>
          <w:fldChar w:fldCharType="begin"/>
        </w:r>
        <w:r>
          <w:rPr>
            <w:webHidden/>
          </w:rPr>
          <w:instrText xml:space="preserve"> PAGEREF _Toc187330574 \h </w:instrText>
        </w:r>
        <w:r>
          <w:rPr>
            <w:webHidden/>
          </w:rPr>
        </w:r>
        <w:r>
          <w:rPr>
            <w:webHidden/>
          </w:rPr>
          <w:fldChar w:fldCharType="separate"/>
        </w:r>
        <w:r w:rsidR="0013459E">
          <w:rPr>
            <w:webHidden/>
          </w:rPr>
          <w:t>50</w:t>
        </w:r>
        <w:r>
          <w:rPr>
            <w:webHidden/>
          </w:rPr>
          <w:fldChar w:fldCharType="end"/>
        </w:r>
      </w:hyperlink>
    </w:p>
    <w:p w14:paraId="7CAA7BB5" w14:textId="4BB21C91" w:rsidR="00545D81" w:rsidRDefault="00545D81">
      <w:pPr>
        <w:pStyle w:val="TOC1"/>
        <w:rPr>
          <w:rFonts w:eastAsiaTheme="minorEastAsia" w:cstheme="minorBidi"/>
          <w:b w:val="0"/>
          <w:color w:val="auto"/>
          <w:kern w:val="2"/>
          <w14:ligatures w14:val="standardContextual"/>
        </w:rPr>
      </w:pPr>
      <w:hyperlink w:anchor="_Toc187330575" w:history="1">
        <w:r w:rsidRPr="00AC24B4">
          <w:rPr>
            <w:rStyle w:val="Hyperlink"/>
          </w:rPr>
          <w:t>8. Compliance and enforcement</w:t>
        </w:r>
        <w:r>
          <w:rPr>
            <w:webHidden/>
          </w:rPr>
          <w:tab/>
        </w:r>
        <w:r>
          <w:rPr>
            <w:webHidden/>
          </w:rPr>
          <w:fldChar w:fldCharType="begin"/>
        </w:r>
        <w:r>
          <w:rPr>
            <w:webHidden/>
          </w:rPr>
          <w:instrText xml:space="preserve"> PAGEREF _Toc187330575 \h </w:instrText>
        </w:r>
        <w:r>
          <w:rPr>
            <w:webHidden/>
          </w:rPr>
        </w:r>
        <w:r>
          <w:rPr>
            <w:webHidden/>
          </w:rPr>
          <w:fldChar w:fldCharType="separate"/>
        </w:r>
        <w:r w:rsidR="0013459E">
          <w:rPr>
            <w:webHidden/>
          </w:rPr>
          <w:t>52</w:t>
        </w:r>
        <w:r>
          <w:rPr>
            <w:webHidden/>
          </w:rPr>
          <w:fldChar w:fldCharType="end"/>
        </w:r>
      </w:hyperlink>
    </w:p>
    <w:p w14:paraId="3358C236" w14:textId="6C823EB9" w:rsidR="00545D81" w:rsidRDefault="00545D81">
      <w:pPr>
        <w:pStyle w:val="TOC1"/>
        <w:rPr>
          <w:rFonts w:eastAsiaTheme="minorEastAsia" w:cstheme="minorBidi"/>
          <w:b w:val="0"/>
          <w:color w:val="auto"/>
          <w:kern w:val="2"/>
          <w14:ligatures w14:val="standardContextual"/>
        </w:rPr>
      </w:pPr>
      <w:hyperlink w:anchor="_Toc187330576" w:history="1">
        <w:r w:rsidRPr="00AC24B4">
          <w:rPr>
            <w:rStyle w:val="Hyperlink"/>
          </w:rPr>
          <w:t>9. Consultation</w:t>
        </w:r>
        <w:r>
          <w:rPr>
            <w:webHidden/>
          </w:rPr>
          <w:tab/>
        </w:r>
        <w:r>
          <w:rPr>
            <w:webHidden/>
          </w:rPr>
          <w:fldChar w:fldCharType="begin"/>
        </w:r>
        <w:r>
          <w:rPr>
            <w:webHidden/>
          </w:rPr>
          <w:instrText xml:space="preserve"> PAGEREF _Toc187330576 \h </w:instrText>
        </w:r>
        <w:r>
          <w:rPr>
            <w:webHidden/>
          </w:rPr>
        </w:r>
        <w:r>
          <w:rPr>
            <w:webHidden/>
          </w:rPr>
          <w:fldChar w:fldCharType="separate"/>
        </w:r>
        <w:r w:rsidR="0013459E">
          <w:rPr>
            <w:webHidden/>
          </w:rPr>
          <w:t>53</w:t>
        </w:r>
        <w:r>
          <w:rPr>
            <w:webHidden/>
          </w:rPr>
          <w:fldChar w:fldCharType="end"/>
        </w:r>
      </w:hyperlink>
    </w:p>
    <w:p w14:paraId="6F1F58B9" w14:textId="1E5B486E" w:rsidR="00545D81" w:rsidRDefault="00545D81">
      <w:pPr>
        <w:pStyle w:val="TOC1"/>
        <w:rPr>
          <w:rFonts w:eastAsiaTheme="minorEastAsia" w:cstheme="minorBidi"/>
          <w:b w:val="0"/>
          <w:color w:val="auto"/>
          <w:kern w:val="2"/>
          <w14:ligatures w14:val="standardContextual"/>
        </w:rPr>
      </w:pPr>
      <w:hyperlink w:anchor="_Toc187330577" w:history="1">
        <w:r w:rsidRPr="00AC24B4">
          <w:rPr>
            <w:rStyle w:val="Hyperlink"/>
          </w:rPr>
          <w:t>Appendix A: Cost calculations</w:t>
        </w:r>
        <w:r>
          <w:rPr>
            <w:webHidden/>
          </w:rPr>
          <w:tab/>
        </w:r>
        <w:r>
          <w:rPr>
            <w:webHidden/>
          </w:rPr>
          <w:fldChar w:fldCharType="begin"/>
        </w:r>
        <w:r>
          <w:rPr>
            <w:webHidden/>
          </w:rPr>
          <w:instrText xml:space="preserve"> PAGEREF _Toc187330577 \h </w:instrText>
        </w:r>
        <w:r>
          <w:rPr>
            <w:webHidden/>
          </w:rPr>
        </w:r>
        <w:r>
          <w:rPr>
            <w:webHidden/>
          </w:rPr>
          <w:fldChar w:fldCharType="separate"/>
        </w:r>
        <w:r w:rsidR="0013459E">
          <w:rPr>
            <w:webHidden/>
          </w:rPr>
          <w:t>54</w:t>
        </w:r>
        <w:r>
          <w:rPr>
            <w:webHidden/>
          </w:rPr>
          <w:fldChar w:fldCharType="end"/>
        </w:r>
      </w:hyperlink>
    </w:p>
    <w:p w14:paraId="209B9982" w14:textId="3FA9E5A3" w:rsidR="00545D81" w:rsidRDefault="00545D81">
      <w:pPr>
        <w:pStyle w:val="TOC4"/>
        <w:rPr>
          <w:rFonts w:eastAsiaTheme="minorEastAsia" w:cstheme="minorBidi"/>
          <w:color w:val="auto"/>
          <w:kern w:val="2"/>
          <w:sz w:val="24"/>
          <w:szCs w:val="24"/>
          <w14:ligatures w14:val="standardContextual"/>
        </w:rPr>
      </w:pPr>
      <w:hyperlink w:anchor="_Toc187330578" w:history="1">
        <w:r w:rsidRPr="00AC24B4">
          <w:rPr>
            <w:rStyle w:val="Hyperlink"/>
          </w:rPr>
          <w:t>Tariff – Value of regulated parties’ time and cost of fire suppression equipment</w:t>
        </w:r>
        <w:r>
          <w:rPr>
            <w:webHidden/>
          </w:rPr>
          <w:tab/>
        </w:r>
        <w:r>
          <w:rPr>
            <w:webHidden/>
          </w:rPr>
          <w:fldChar w:fldCharType="begin"/>
        </w:r>
        <w:r>
          <w:rPr>
            <w:webHidden/>
          </w:rPr>
          <w:instrText xml:space="preserve"> PAGEREF _Toc187330578 \h </w:instrText>
        </w:r>
        <w:r>
          <w:rPr>
            <w:webHidden/>
          </w:rPr>
        </w:r>
        <w:r>
          <w:rPr>
            <w:webHidden/>
          </w:rPr>
          <w:fldChar w:fldCharType="separate"/>
        </w:r>
        <w:r w:rsidR="0013459E">
          <w:rPr>
            <w:webHidden/>
          </w:rPr>
          <w:t>54</w:t>
        </w:r>
        <w:r>
          <w:rPr>
            <w:webHidden/>
          </w:rPr>
          <w:fldChar w:fldCharType="end"/>
        </w:r>
      </w:hyperlink>
    </w:p>
    <w:p w14:paraId="0C5CE413" w14:textId="479C0B9C" w:rsidR="00545D81" w:rsidRDefault="00545D81">
      <w:pPr>
        <w:pStyle w:val="TOC4"/>
        <w:rPr>
          <w:rFonts w:eastAsiaTheme="minorEastAsia" w:cstheme="minorBidi"/>
          <w:color w:val="auto"/>
          <w:kern w:val="2"/>
          <w:sz w:val="24"/>
          <w:szCs w:val="24"/>
          <w14:ligatures w14:val="standardContextual"/>
        </w:rPr>
      </w:pPr>
      <w:hyperlink w:anchor="_Toc187330579" w:history="1">
        <w:r w:rsidRPr="00AC24B4">
          <w:rPr>
            <w:rStyle w:val="Hyperlink"/>
          </w:rPr>
          <w:t>Frequency</w:t>
        </w:r>
        <w:r>
          <w:rPr>
            <w:webHidden/>
          </w:rPr>
          <w:tab/>
        </w:r>
        <w:r>
          <w:rPr>
            <w:webHidden/>
          </w:rPr>
          <w:fldChar w:fldCharType="begin"/>
        </w:r>
        <w:r>
          <w:rPr>
            <w:webHidden/>
          </w:rPr>
          <w:instrText xml:space="preserve"> PAGEREF _Toc187330579 \h </w:instrText>
        </w:r>
        <w:r>
          <w:rPr>
            <w:webHidden/>
          </w:rPr>
        </w:r>
        <w:r>
          <w:rPr>
            <w:webHidden/>
          </w:rPr>
          <w:fldChar w:fldCharType="separate"/>
        </w:r>
        <w:r w:rsidR="0013459E">
          <w:rPr>
            <w:webHidden/>
          </w:rPr>
          <w:t>54</w:t>
        </w:r>
        <w:r>
          <w:rPr>
            <w:webHidden/>
          </w:rPr>
          <w:fldChar w:fldCharType="end"/>
        </w:r>
      </w:hyperlink>
    </w:p>
    <w:p w14:paraId="62A66A31" w14:textId="792A7809" w:rsidR="00545D81" w:rsidRDefault="00545D81">
      <w:pPr>
        <w:pStyle w:val="TOC4"/>
        <w:rPr>
          <w:rFonts w:eastAsiaTheme="minorEastAsia" w:cstheme="minorBidi"/>
          <w:color w:val="auto"/>
          <w:kern w:val="2"/>
          <w:sz w:val="24"/>
          <w:szCs w:val="24"/>
          <w14:ligatures w14:val="standardContextual"/>
        </w:rPr>
      </w:pPr>
      <w:hyperlink w:anchor="_Toc187330580" w:history="1">
        <w:r w:rsidRPr="00AC24B4">
          <w:rPr>
            <w:rStyle w:val="Hyperlink"/>
          </w:rPr>
          <w:t>Population</w:t>
        </w:r>
        <w:r>
          <w:rPr>
            <w:webHidden/>
          </w:rPr>
          <w:tab/>
        </w:r>
        <w:r>
          <w:rPr>
            <w:webHidden/>
          </w:rPr>
          <w:fldChar w:fldCharType="begin"/>
        </w:r>
        <w:r>
          <w:rPr>
            <w:webHidden/>
          </w:rPr>
          <w:instrText xml:space="preserve"> PAGEREF _Toc187330580 \h </w:instrText>
        </w:r>
        <w:r>
          <w:rPr>
            <w:webHidden/>
          </w:rPr>
        </w:r>
        <w:r>
          <w:rPr>
            <w:webHidden/>
          </w:rPr>
          <w:fldChar w:fldCharType="separate"/>
        </w:r>
        <w:r w:rsidR="0013459E">
          <w:rPr>
            <w:webHidden/>
          </w:rPr>
          <w:t>54</w:t>
        </w:r>
        <w:r>
          <w:rPr>
            <w:webHidden/>
          </w:rPr>
          <w:fldChar w:fldCharType="end"/>
        </w:r>
      </w:hyperlink>
    </w:p>
    <w:p w14:paraId="2544C9F8" w14:textId="16057A80" w:rsidR="00545D81" w:rsidRDefault="00545D81">
      <w:pPr>
        <w:pStyle w:val="TOC4"/>
        <w:rPr>
          <w:rFonts w:eastAsiaTheme="minorEastAsia" w:cstheme="minorBidi"/>
          <w:color w:val="auto"/>
          <w:kern w:val="2"/>
          <w:sz w:val="24"/>
          <w:szCs w:val="24"/>
          <w14:ligatures w14:val="standardContextual"/>
        </w:rPr>
      </w:pPr>
      <w:hyperlink w:anchor="_Toc187330581" w:history="1">
        <w:r w:rsidRPr="00AC24B4">
          <w:rPr>
            <w:rStyle w:val="Hyperlink"/>
          </w:rPr>
          <w:t>Government costs</w:t>
        </w:r>
        <w:r>
          <w:rPr>
            <w:webHidden/>
          </w:rPr>
          <w:tab/>
        </w:r>
        <w:r>
          <w:rPr>
            <w:webHidden/>
          </w:rPr>
          <w:fldChar w:fldCharType="begin"/>
        </w:r>
        <w:r>
          <w:rPr>
            <w:webHidden/>
          </w:rPr>
          <w:instrText xml:space="preserve"> PAGEREF _Toc187330581 \h </w:instrText>
        </w:r>
        <w:r>
          <w:rPr>
            <w:webHidden/>
          </w:rPr>
        </w:r>
        <w:r>
          <w:rPr>
            <w:webHidden/>
          </w:rPr>
          <w:fldChar w:fldCharType="separate"/>
        </w:r>
        <w:r w:rsidR="0013459E">
          <w:rPr>
            <w:webHidden/>
          </w:rPr>
          <w:t>54</w:t>
        </w:r>
        <w:r>
          <w:rPr>
            <w:webHidden/>
          </w:rPr>
          <w:fldChar w:fldCharType="end"/>
        </w:r>
      </w:hyperlink>
    </w:p>
    <w:p w14:paraId="5B0505B6" w14:textId="0CA2CE76" w:rsidR="00545D81" w:rsidRDefault="00545D81">
      <w:pPr>
        <w:pStyle w:val="TOC4"/>
        <w:rPr>
          <w:rFonts w:eastAsiaTheme="minorEastAsia" w:cstheme="minorBidi"/>
          <w:color w:val="auto"/>
          <w:kern w:val="2"/>
          <w:sz w:val="24"/>
          <w:szCs w:val="24"/>
          <w14:ligatures w14:val="standardContextual"/>
        </w:rPr>
      </w:pPr>
      <w:hyperlink w:anchor="_Toc187330582" w:history="1">
        <w:r w:rsidRPr="00AC24B4">
          <w:rPr>
            <w:rStyle w:val="Hyperlink"/>
          </w:rPr>
          <w:t>Discount rate</w:t>
        </w:r>
        <w:r>
          <w:rPr>
            <w:webHidden/>
          </w:rPr>
          <w:tab/>
        </w:r>
        <w:r>
          <w:rPr>
            <w:webHidden/>
          </w:rPr>
          <w:fldChar w:fldCharType="begin"/>
        </w:r>
        <w:r>
          <w:rPr>
            <w:webHidden/>
          </w:rPr>
          <w:instrText xml:space="preserve"> PAGEREF _Toc187330582 \h </w:instrText>
        </w:r>
        <w:r>
          <w:rPr>
            <w:webHidden/>
          </w:rPr>
        </w:r>
        <w:r>
          <w:rPr>
            <w:webHidden/>
          </w:rPr>
          <w:fldChar w:fldCharType="separate"/>
        </w:r>
        <w:r w:rsidR="0013459E">
          <w:rPr>
            <w:webHidden/>
          </w:rPr>
          <w:t>55</w:t>
        </w:r>
        <w:r>
          <w:rPr>
            <w:webHidden/>
          </w:rPr>
          <w:fldChar w:fldCharType="end"/>
        </w:r>
      </w:hyperlink>
    </w:p>
    <w:p w14:paraId="6AB8F00E" w14:textId="485CD0D9" w:rsidR="00545D81" w:rsidRDefault="00545D81">
      <w:pPr>
        <w:pStyle w:val="TOC1"/>
        <w:rPr>
          <w:rFonts w:eastAsiaTheme="minorEastAsia" w:cstheme="minorBidi"/>
          <w:b w:val="0"/>
          <w:color w:val="auto"/>
          <w:kern w:val="2"/>
          <w14:ligatures w14:val="standardContextual"/>
        </w:rPr>
      </w:pPr>
      <w:hyperlink w:anchor="_Toc187330583" w:history="1">
        <w:r w:rsidRPr="00AC24B4">
          <w:rPr>
            <w:rStyle w:val="Hyperlink"/>
          </w:rPr>
          <w:t>Appendix B: Multi-criteria Analysis decision making tool</w:t>
        </w:r>
        <w:r>
          <w:rPr>
            <w:webHidden/>
          </w:rPr>
          <w:tab/>
        </w:r>
        <w:r>
          <w:rPr>
            <w:webHidden/>
          </w:rPr>
          <w:fldChar w:fldCharType="begin"/>
        </w:r>
        <w:r>
          <w:rPr>
            <w:webHidden/>
          </w:rPr>
          <w:instrText xml:space="preserve"> PAGEREF _Toc187330583 \h </w:instrText>
        </w:r>
        <w:r>
          <w:rPr>
            <w:webHidden/>
          </w:rPr>
        </w:r>
        <w:r>
          <w:rPr>
            <w:webHidden/>
          </w:rPr>
          <w:fldChar w:fldCharType="separate"/>
        </w:r>
        <w:r w:rsidR="0013459E">
          <w:rPr>
            <w:webHidden/>
          </w:rPr>
          <w:t>56</w:t>
        </w:r>
        <w:r>
          <w:rPr>
            <w:webHidden/>
          </w:rPr>
          <w:fldChar w:fldCharType="end"/>
        </w:r>
      </w:hyperlink>
    </w:p>
    <w:p w14:paraId="53DE3A3A" w14:textId="3B33631C" w:rsidR="00545D81" w:rsidRDefault="00545D81">
      <w:pPr>
        <w:pStyle w:val="TOC1"/>
        <w:rPr>
          <w:rFonts w:eastAsiaTheme="minorEastAsia" w:cstheme="minorBidi"/>
          <w:b w:val="0"/>
          <w:color w:val="auto"/>
          <w:kern w:val="2"/>
          <w14:ligatures w14:val="standardContextual"/>
        </w:rPr>
      </w:pPr>
      <w:hyperlink w:anchor="_Toc187330584" w:history="1">
        <w:r w:rsidRPr="00AC24B4">
          <w:rPr>
            <w:rStyle w:val="Hyperlink"/>
          </w:rPr>
          <w:t>Appendix C: Key changes of the proposed Regulations</w:t>
        </w:r>
        <w:r>
          <w:rPr>
            <w:webHidden/>
          </w:rPr>
          <w:tab/>
        </w:r>
        <w:r>
          <w:rPr>
            <w:webHidden/>
          </w:rPr>
          <w:fldChar w:fldCharType="begin"/>
        </w:r>
        <w:r>
          <w:rPr>
            <w:webHidden/>
          </w:rPr>
          <w:instrText xml:space="preserve"> PAGEREF _Toc187330584 \h </w:instrText>
        </w:r>
        <w:r>
          <w:rPr>
            <w:webHidden/>
          </w:rPr>
        </w:r>
        <w:r>
          <w:rPr>
            <w:webHidden/>
          </w:rPr>
          <w:fldChar w:fldCharType="separate"/>
        </w:r>
        <w:r w:rsidR="0013459E">
          <w:rPr>
            <w:webHidden/>
          </w:rPr>
          <w:t>57</w:t>
        </w:r>
        <w:r>
          <w:rPr>
            <w:webHidden/>
          </w:rPr>
          <w:fldChar w:fldCharType="end"/>
        </w:r>
      </w:hyperlink>
    </w:p>
    <w:p w14:paraId="0F6CA78D" w14:textId="3CF5841D" w:rsidR="00545D81" w:rsidRDefault="00545D81">
      <w:pPr>
        <w:pStyle w:val="TOC1"/>
        <w:rPr>
          <w:rFonts w:eastAsiaTheme="minorEastAsia" w:cstheme="minorBidi"/>
          <w:b w:val="0"/>
          <w:color w:val="auto"/>
          <w:kern w:val="2"/>
          <w14:ligatures w14:val="standardContextual"/>
        </w:rPr>
      </w:pPr>
      <w:hyperlink w:anchor="_Toc187330585" w:history="1">
        <w:r w:rsidRPr="00AC24B4">
          <w:rPr>
            <w:rStyle w:val="Hyperlink"/>
          </w:rPr>
          <w:t>Appendix D: Cost Calculations</w:t>
        </w:r>
        <w:r>
          <w:rPr>
            <w:webHidden/>
          </w:rPr>
          <w:tab/>
        </w:r>
        <w:r>
          <w:rPr>
            <w:webHidden/>
          </w:rPr>
          <w:fldChar w:fldCharType="begin"/>
        </w:r>
        <w:r>
          <w:rPr>
            <w:webHidden/>
          </w:rPr>
          <w:instrText xml:space="preserve"> PAGEREF _Toc187330585 \h </w:instrText>
        </w:r>
        <w:r>
          <w:rPr>
            <w:webHidden/>
          </w:rPr>
        </w:r>
        <w:r>
          <w:rPr>
            <w:webHidden/>
          </w:rPr>
          <w:fldChar w:fldCharType="separate"/>
        </w:r>
        <w:r w:rsidR="0013459E">
          <w:rPr>
            <w:webHidden/>
          </w:rPr>
          <w:t>59</w:t>
        </w:r>
        <w:r>
          <w:rPr>
            <w:webHidden/>
          </w:rPr>
          <w:fldChar w:fldCharType="end"/>
        </w:r>
      </w:hyperlink>
    </w:p>
    <w:p w14:paraId="6F080213" w14:textId="566495F3" w:rsidR="00376EF3" w:rsidRDefault="00977F6D" w:rsidP="006B00E8">
      <w:pPr>
        <w:pStyle w:val="TOC1"/>
        <w:rPr>
          <w:rFonts w:eastAsiaTheme="majorEastAsia"/>
        </w:rPr>
      </w:pPr>
      <w:r>
        <w:rPr>
          <w:rFonts w:eastAsiaTheme="majorEastAsia"/>
          <w:b w:val="0"/>
        </w:rPr>
        <w:fldChar w:fldCharType="end"/>
      </w:r>
    </w:p>
    <w:p w14:paraId="5DCA38BE" w14:textId="77777777" w:rsidR="007D27A8" w:rsidRDefault="007D27A8" w:rsidP="005C24D2">
      <w:pPr>
        <w:rPr>
          <w:rFonts w:asciiTheme="majorHAnsi" w:eastAsiaTheme="majorEastAsia" w:hAnsiTheme="majorHAnsi" w:cstheme="majorBidi"/>
          <w:b/>
          <w:bCs/>
          <w:color w:val="201547" w:themeColor="text2"/>
          <w:spacing w:val="-4"/>
          <w:sz w:val="40"/>
          <w:szCs w:val="40"/>
          <w:highlight w:val="yellow"/>
        </w:rPr>
        <w:sectPr w:rsidR="007D27A8" w:rsidSect="005C24D2">
          <w:headerReference w:type="default" r:id="rId56"/>
          <w:footerReference w:type="even" r:id="rId57"/>
          <w:footerReference w:type="default" r:id="rId58"/>
          <w:footerReference w:type="first" r:id="rId59"/>
          <w:pgSz w:w="11907" w:h="16839" w:code="9"/>
          <w:pgMar w:top="1134" w:right="1134" w:bottom="1134" w:left="1134" w:header="283" w:footer="283" w:gutter="0"/>
          <w:cols w:space="720"/>
          <w:noEndnote/>
          <w:docGrid w:linePitch="360"/>
        </w:sectPr>
      </w:pPr>
    </w:p>
    <w:p w14:paraId="78A23031" w14:textId="4F01253E" w:rsidR="00342316" w:rsidRDefault="007D27A8" w:rsidP="00E2502E">
      <w:pPr>
        <w:pStyle w:val="Heading1"/>
        <w:numPr>
          <w:ilvl w:val="0"/>
          <w:numId w:val="0"/>
        </w:numPr>
      </w:pPr>
      <w:bookmarkStart w:id="6" w:name="_Toc187330503"/>
      <w:r w:rsidRPr="007D27A8">
        <w:lastRenderedPageBreak/>
        <w:t>Glossary</w:t>
      </w:r>
      <w:bookmarkEnd w:id="6"/>
    </w:p>
    <w:tbl>
      <w:tblPr>
        <w:tblStyle w:val="TableGrid"/>
        <w:tblW w:w="0" w:type="auto"/>
        <w:tblLook w:val="04A0" w:firstRow="1" w:lastRow="0" w:firstColumn="1" w:lastColumn="0" w:noHBand="0" w:noVBand="1"/>
      </w:tblPr>
      <w:tblGrid>
        <w:gridCol w:w="4006"/>
        <w:gridCol w:w="5633"/>
      </w:tblGrid>
      <w:tr w:rsidR="006257A9" w:rsidRPr="002E0E5F" w14:paraId="4B135A6D" w14:textId="77777777" w:rsidTr="00507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6" w:type="dxa"/>
            <w:tcBorders>
              <w:bottom w:val="single" w:sz="4" w:space="0" w:color="auto"/>
            </w:tcBorders>
            <w:shd w:val="clear" w:color="auto" w:fill="E8E8E8" w:themeFill="text1" w:themeFillTint="1A"/>
          </w:tcPr>
          <w:p w14:paraId="7F479FC8" w14:textId="77777777" w:rsidR="006257A9" w:rsidRPr="002E0E5F" w:rsidRDefault="006257A9" w:rsidP="006C17CE">
            <w:pPr>
              <w:pStyle w:val="BodyText"/>
              <w:rPr>
                <w:rFonts w:eastAsiaTheme="majorEastAsia"/>
                <w:b/>
                <w:bCs/>
                <w:color w:val="auto"/>
              </w:rPr>
            </w:pPr>
            <w:r w:rsidRPr="002E0E5F">
              <w:rPr>
                <w:rFonts w:eastAsiaTheme="majorEastAsia"/>
                <w:b/>
                <w:bCs/>
                <w:color w:val="auto"/>
              </w:rPr>
              <w:t>Term</w:t>
            </w:r>
          </w:p>
        </w:tc>
        <w:tc>
          <w:tcPr>
            <w:tcW w:w="5633" w:type="dxa"/>
            <w:tcBorders>
              <w:bottom w:val="single" w:sz="4" w:space="0" w:color="auto"/>
            </w:tcBorders>
            <w:shd w:val="clear" w:color="auto" w:fill="E8E8E8" w:themeFill="text1" w:themeFillTint="1A"/>
          </w:tcPr>
          <w:p w14:paraId="79C9BAE2" w14:textId="77777777" w:rsidR="006257A9" w:rsidRPr="002E0E5F" w:rsidRDefault="006257A9" w:rsidP="006C17CE">
            <w:pPr>
              <w:pStyle w:val="BodyText"/>
              <w:cnfStyle w:val="100000000000" w:firstRow="1" w:lastRow="0" w:firstColumn="0" w:lastColumn="0" w:oddVBand="0" w:evenVBand="0" w:oddHBand="0" w:evenHBand="0" w:firstRowFirstColumn="0" w:firstRowLastColumn="0" w:lastRowFirstColumn="0" w:lastRowLastColumn="0"/>
              <w:rPr>
                <w:rFonts w:eastAsiaTheme="majorEastAsia"/>
                <w:b/>
                <w:bCs/>
                <w:color w:val="auto"/>
              </w:rPr>
            </w:pPr>
            <w:r w:rsidRPr="002E0E5F">
              <w:rPr>
                <w:rFonts w:eastAsiaTheme="majorEastAsia"/>
                <w:b/>
                <w:bCs/>
                <w:color w:val="auto"/>
              </w:rPr>
              <w:t>Description</w:t>
            </w:r>
          </w:p>
        </w:tc>
      </w:tr>
      <w:tr w:rsidR="006257A9" w14:paraId="60D04BCE"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4080D7D9" w14:textId="77777777" w:rsidR="006257A9" w:rsidRDefault="006257A9" w:rsidP="00254AC9">
            <w:pPr>
              <w:pStyle w:val="BodyText"/>
            </w:pPr>
            <w:r>
              <w:t>AS</w:t>
            </w:r>
          </w:p>
        </w:tc>
        <w:tc>
          <w:tcPr>
            <w:tcW w:w="5633" w:type="dxa"/>
            <w:tcBorders>
              <w:top w:val="single" w:sz="4" w:space="0" w:color="auto"/>
            </w:tcBorders>
          </w:tcPr>
          <w:p w14:paraId="29E567EA"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Australian Standard</w:t>
            </w:r>
          </w:p>
        </w:tc>
      </w:tr>
      <w:tr w:rsidR="006257A9" w14:paraId="313975AB"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31F908D6" w14:textId="77777777" w:rsidR="006257A9" w:rsidRDefault="006257A9" w:rsidP="00254AC9">
            <w:pPr>
              <w:pStyle w:val="BodyText"/>
            </w:pPr>
            <w:r>
              <w:t>BEA</w:t>
            </w:r>
          </w:p>
        </w:tc>
        <w:tc>
          <w:tcPr>
            <w:tcW w:w="5633" w:type="dxa"/>
            <w:tcBorders>
              <w:top w:val="single" w:sz="4" w:space="0" w:color="auto"/>
            </w:tcBorders>
          </w:tcPr>
          <w:p w14:paraId="39D4BBE8"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Break-even analysis</w:t>
            </w:r>
          </w:p>
        </w:tc>
      </w:tr>
      <w:tr w:rsidR="006257A9" w14:paraId="7ECC25BC"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0463F86B" w14:textId="77777777" w:rsidR="006257A9" w:rsidRDefault="006257A9" w:rsidP="00254AC9">
            <w:pPr>
              <w:pStyle w:val="BodyText"/>
            </w:pPr>
            <w:r>
              <w:t>BoM</w:t>
            </w:r>
          </w:p>
        </w:tc>
        <w:tc>
          <w:tcPr>
            <w:tcW w:w="5633" w:type="dxa"/>
            <w:tcBorders>
              <w:top w:val="single" w:sz="4" w:space="0" w:color="auto"/>
            </w:tcBorders>
          </w:tcPr>
          <w:p w14:paraId="0A3DC571" w14:textId="3849CCC0"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 xml:space="preserve">Bureau of </w:t>
            </w:r>
            <w:r w:rsidR="009D0B29">
              <w:t>Meteorology</w:t>
            </w:r>
          </w:p>
        </w:tc>
      </w:tr>
      <w:tr w:rsidR="006257A9" w14:paraId="45DCCFBE"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78D0AB82" w14:textId="77777777" w:rsidR="006257A9" w:rsidRPr="00601D6B" w:rsidRDefault="006257A9" w:rsidP="00254AC9">
            <w:pPr>
              <w:pStyle w:val="BodyText"/>
            </w:pPr>
            <w:r>
              <w:t>CFA</w:t>
            </w:r>
          </w:p>
        </w:tc>
        <w:tc>
          <w:tcPr>
            <w:tcW w:w="5633" w:type="dxa"/>
          </w:tcPr>
          <w:p w14:paraId="78509122"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Country Fire Authority</w:t>
            </w:r>
          </w:p>
        </w:tc>
      </w:tr>
      <w:tr w:rsidR="006257A9" w14:paraId="58AF0CD7"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431A98BF" w14:textId="77777777" w:rsidR="006257A9" w:rsidRDefault="006257A9" w:rsidP="00254AC9">
            <w:pPr>
              <w:pStyle w:val="BodyText"/>
            </w:pPr>
            <w:r>
              <w:t>CSIRO</w:t>
            </w:r>
          </w:p>
        </w:tc>
        <w:tc>
          <w:tcPr>
            <w:tcW w:w="5633" w:type="dxa"/>
            <w:tcBorders>
              <w:top w:val="single" w:sz="4" w:space="0" w:color="auto"/>
            </w:tcBorders>
          </w:tcPr>
          <w:p w14:paraId="6E62A05D"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Commonwealth Scientific and Industrial Research Organisation</w:t>
            </w:r>
          </w:p>
        </w:tc>
      </w:tr>
      <w:tr w:rsidR="006257A9" w14:paraId="435E74EB"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4E8C7417" w14:textId="77777777" w:rsidR="006257A9" w:rsidRPr="00601D6B" w:rsidRDefault="006257A9" w:rsidP="00254AC9">
            <w:pPr>
              <w:pStyle w:val="BodyText"/>
            </w:pPr>
            <w:r>
              <w:t>DEECA</w:t>
            </w:r>
          </w:p>
        </w:tc>
        <w:tc>
          <w:tcPr>
            <w:tcW w:w="5633" w:type="dxa"/>
            <w:tcBorders>
              <w:top w:val="single" w:sz="4" w:space="0" w:color="auto"/>
            </w:tcBorders>
          </w:tcPr>
          <w:p w14:paraId="7D4E63FA" w14:textId="77777777" w:rsidR="006257A9" w:rsidRPr="00D12D19" w:rsidRDefault="006257A9" w:rsidP="00254AC9">
            <w:pPr>
              <w:pStyle w:val="BodyText"/>
              <w:cnfStyle w:val="000000000000" w:firstRow="0" w:lastRow="0" w:firstColumn="0" w:lastColumn="0" w:oddVBand="0" w:evenVBand="0" w:oddHBand="0" w:evenHBand="0" w:firstRowFirstColumn="0" w:firstRowLastColumn="0" w:lastRowFirstColumn="0" w:lastRowLastColumn="0"/>
              <w:rPr>
                <w:bCs/>
              </w:rPr>
            </w:pPr>
            <w:r>
              <w:t>Department of Energy, Environment and Climate Action</w:t>
            </w:r>
          </w:p>
        </w:tc>
      </w:tr>
      <w:tr w:rsidR="006257A9" w14:paraId="019F4E44"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19B82208" w14:textId="77777777" w:rsidR="006257A9" w:rsidRDefault="006257A9" w:rsidP="00254AC9">
            <w:pPr>
              <w:pStyle w:val="BodyText"/>
            </w:pPr>
            <w:r>
              <w:t>FFDI</w:t>
            </w:r>
          </w:p>
        </w:tc>
        <w:tc>
          <w:tcPr>
            <w:tcW w:w="5633" w:type="dxa"/>
            <w:tcBorders>
              <w:top w:val="single" w:sz="4" w:space="0" w:color="auto"/>
            </w:tcBorders>
          </w:tcPr>
          <w:p w14:paraId="47FE4B65"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Forest Fire Danger Index</w:t>
            </w:r>
          </w:p>
        </w:tc>
      </w:tr>
      <w:tr w:rsidR="006257A9" w14:paraId="6E6A0369"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578A41BF" w14:textId="77777777" w:rsidR="006257A9" w:rsidRDefault="006257A9" w:rsidP="00254AC9">
            <w:pPr>
              <w:pStyle w:val="BodyText"/>
            </w:pPr>
            <w:r>
              <w:t>FFMVic</w:t>
            </w:r>
          </w:p>
        </w:tc>
        <w:tc>
          <w:tcPr>
            <w:tcW w:w="5633" w:type="dxa"/>
            <w:tcBorders>
              <w:top w:val="single" w:sz="4" w:space="0" w:color="auto"/>
            </w:tcBorders>
          </w:tcPr>
          <w:p w14:paraId="6E091B52"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Forest Fire Management Victoria</w:t>
            </w:r>
          </w:p>
        </w:tc>
      </w:tr>
      <w:tr w:rsidR="006257A9" w14:paraId="1B8F3801"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7411BF43" w14:textId="77777777" w:rsidR="006257A9" w:rsidRDefault="006257A9" w:rsidP="00254AC9">
            <w:pPr>
              <w:pStyle w:val="BodyText"/>
            </w:pPr>
            <w:r>
              <w:t>FRV</w:t>
            </w:r>
          </w:p>
        </w:tc>
        <w:tc>
          <w:tcPr>
            <w:tcW w:w="5633" w:type="dxa"/>
            <w:tcBorders>
              <w:top w:val="single" w:sz="4" w:space="0" w:color="auto"/>
            </w:tcBorders>
          </w:tcPr>
          <w:p w14:paraId="67E371BC"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Fire Rescue Victoria</w:t>
            </w:r>
          </w:p>
        </w:tc>
      </w:tr>
      <w:tr w:rsidR="006257A9" w14:paraId="676F170B"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606437C2" w14:textId="77777777" w:rsidR="006257A9" w:rsidRDefault="006257A9" w:rsidP="00254AC9">
            <w:pPr>
              <w:pStyle w:val="BodyText"/>
            </w:pPr>
            <w:r w:rsidRPr="00601D6B">
              <w:t>MCA</w:t>
            </w:r>
          </w:p>
        </w:tc>
        <w:tc>
          <w:tcPr>
            <w:tcW w:w="5633" w:type="dxa"/>
          </w:tcPr>
          <w:p w14:paraId="7FBBEC8F"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Multi-criteria analysis</w:t>
            </w:r>
          </w:p>
        </w:tc>
      </w:tr>
      <w:tr w:rsidR="006257A9" w14:paraId="7D68A2A7"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2BD3ECD2" w14:textId="77777777" w:rsidR="006257A9" w:rsidRPr="00601D6B" w:rsidRDefault="006257A9" w:rsidP="00254AC9">
            <w:pPr>
              <w:pStyle w:val="BodyText"/>
            </w:pPr>
            <w:r>
              <w:t>PV</w:t>
            </w:r>
          </w:p>
        </w:tc>
        <w:tc>
          <w:tcPr>
            <w:tcW w:w="5633" w:type="dxa"/>
          </w:tcPr>
          <w:p w14:paraId="7C30F65F"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Present Value</w:t>
            </w:r>
          </w:p>
        </w:tc>
      </w:tr>
      <w:tr w:rsidR="006257A9" w14:paraId="66CEB86D"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3234E285" w14:textId="77777777" w:rsidR="006257A9" w:rsidRPr="00601D6B" w:rsidRDefault="006257A9" w:rsidP="00254AC9">
            <w:pPr>
              <w:pStyle w:val="BodyText"/>
            </w:pPr>
            <w:r w:rsidRPr="00601D6B">
              <w:t>RIS</w:t>
            </w:r>
          </w:p>
        </w:tc>
        <w:tc>
          <w:tcPr>
            <w:tcW w:w="5633" w:type="dxa"/>
          </w:tcPr>
          <w:p w14:paraId="31E2D9EA"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t>Regulatory Impact Statement</w:t>
            </w:r>
          </w:p>
        </w:tc>
      </w:tr>
      <w:tr w:rsidR="006257A9" w14:paraId="63707EC3"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2386264F" w14:textId="77777777" w:rsidR="006257A9" w:rsidRPr="00601D6B" w:rsidRDefault="006257A9" w:rsidP="00254AC9">
            <w:pPr>
              <w:pStyle w:val="BodyText"/>
            </w:pPr>
            <w:r w:rsidRPr="00601D6B">
              <w:t>SLA</w:t>
            </w:r>
          </w:p>
        </w:tc>
        <w:tc>
          <w:tcPr>
            <w:tcW w:w="5633" w:type="dxa"/>
          </w:tcPr>
          <w:p w14:paraId="6C787013"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pPr>
            <w:r w:rsidRPr="00F50B9B">
              <w:rPr>
                <w:i/>
                <w:iCs/>
              </w:rPr>
              <w:t>Subordinate Legislation Act 1994</w:t>
            </w:r>
          </w:p>
        </w:tc>
      </w:tr>
      <w:tr w:rsidR="006257A9" w14:paraId="1EE12F0A"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6DBBF466" w14:textId="77777777" w:rsidR="006257A9" w:rsidRDefault="006257A9" w:rsidP="00254AC9">
            <w:pPr>
              <w:pStyle w:val="BodyText"/>
              <w:rPr>
                <w:rFonts w:eastAsiaTheme="majorEastAsia"/>
              </w:rPr>
            </w:pPr>
            <w:r w:rsidRPr="00601D6B">
              <w:t>The Act</w:t>
            </w:r>
          </w:p>
        </w:tc>
        <w:tc>
          <w:tcPr>
            <w:tcW w:w="5633" w:type="dxa"/>
          </w:tcPr>
          <w:p w14:paraId="5E9BED08"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sidRPr="00D12D19">
              <w:rPr>
                <w:i/>
                <w:iCs/>
              </w:rPr>
              <w:t>Forests Act 1958</w:t>
            </w:r>
          </w:p>
        </w:tc>
      </w:tr>
      <w:tr w:rsidR="006257A9" w14:paraId="7F740978"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3FD65206" w14:textId="77777777" w:rsidR="006257A9" w:rsidRDefault="006257A9" w:rsidP="00254AC9">
            <w:pPr>
              <w:pStyle w:val="BodyText"/>
              <w:rPr>
                <w:rFonts w:eastAsiaTheme="majorEastAsia"/>
              </w:rPr>
            </w:pPr>
            <w:r w:rsidRPr="00601D6B">
              <w:t>The current Regulations</w:t>
            </w:r>
          </w:p>
        </w:tc>
        <w:tc>
          <w:tcPr>
            <w:tcW w:w="5633" w:type="dxa"/>
          </w:tcPr>
          <w:p w14:paraId="1C157D49" w14:textId="77777777" w:rsidR="006257A9" w:rsidRPr="00F63886" w:rsidRDefault="006257A9" w:rsidP="00254AC9">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sidRPr="00F63886">
              <w:t>Forests (Fire Protection) Regulations 2014</w:t>
            </w:r>
          </w:p>
        </w:tc>
      </w:tr>
      <w:tr w:rsidR="006257A9" w14:paraId="0CC5DAED"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219C4A64" w14:textId="73BAF93D" w:rsidR="006257A9" w:rsidRDefault="006257A9" w:rsidP="00254AC9">
            <w:pPr>
              <w:pStyle w:val="BodyText"/>
              <w:rPr>
                <w:rFonts w:eastAsiaTheme="majorEastAsia"/>
              </w:rPr>
            </w:pPr>
            <w:r w:rsidRPr="00601D6B">
              <w:t xml:space="preserve">The </w:t>
            </w:r>
            <w:r>
              <w:t>d</w:t>
            </w:r>
            <w:r w:rsidRPr="00601D6B">
              <w:t>epartment</w:t>
            </w:r>
          </w:p>
        </w:tc>
        <w:tc>
          <w:tcPr>
            <w:tcW w:w="5633" w:type="dxa"/>
          </w:tcPr>
          <w:p w14:paraId="03DE934E"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t>Department of Energy, Environment and Climate Action</w:t>
            </w:r>
          </w:p>
        </w:tc>
      </w:tr>
      <w:tr w:rsidR="006257A9" w14:paraId="4B040D42" w14:textId="77777777" w:rsidTr="00507A24">
        <w:tc>
          <w:tcPr>
            <w:cnfStyle w:val="001000000000" w:firstRow="0" w:lastRow="0" w:firstColumn="1" w:lastColumn="0" w:oddVBand="0" w:evenVBand="0" w:oddHBand="0" w:evenHBand="0" w:firstRowFirstColumn="0" w:firstRowLastColumn="0" w:lastRowFirstColumn="0" w:lastRowLastColumn="0"/>
            <w:tcW w:w="4006" w:type="dxa"/>
          </w:tcPr>
          <w:p w14:paraId="1D6C636F" w14:textId="77777777" w:rsidR="006257A9" w:rsidRDefault="006257A9" w:rsidP="00254AC9">
            <w:pPr>
              <w:pStyle w:val="BodyText"/>
              <w:rPr>
                <w:rFonts w:eastAsiaTheme="majorEastAsia"/>
              </w:rPr>
            </w:pPr>
            <w:r w:rsidRPr="00601D6B">
              <w:t>The Minister</w:t>
            </w:r>
          </w:p>
        </w:tc>
        <w:tc>
          <w:tcPr>
            <w:tcW w:w="5633" w:type="dxa"/>
          </w:tcPr>
          <w:p w14:paraId="622F48AD" w14:textId="77777777" w:rsidR="006257A9" w:rsidRDefault="006257A9" w:rsidP="00254AC9">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t>Minister for Environment</w:t>
            </w:r>
          </w:p>
        </w:tc>
      </w:tr>
      <w:tr w:rsidR="006257A9" w14:paraId="1C6A37D8" w14:textId="77777777" w:rsidTr="00507A24">
        <w:tc>
          <w:tcPr>
            <w:cnfStyle w:val="001000000000" w:firstRow="0" w:lastRow="0" w:firstColumn="1" w:lastColumn="0" w:oddVBand="0" w:evenVBand="0" w:oddHBand="0" w:evenHBand="0" w:firstRowFirstColumn="0" w:firstRowLastColumn="0" w:lastRowFirstColumn="0" w:lastRowLastColumn="0"/>
            <w:tcW w:w="4006" w:type="dxa"/>
            <w:tcBorders>
              <w:top w:val="single" w:sz="4" w:space="0" w:color="auto"/>
            </w:tcBorders>
          </w:tcPr>
          <w:p w14:paraId="757D72D7" w14:textId="77777777" w:rsidR="006257A9" w:rsidRDefault="006257A9" w:rsidP="00254AC9">
            <w:pPr>
              <w:pStyle w:val="BodyText"/>
              <w:rPr>
                <w:rFonts w:eastAsiaTheme="majorEastAsia"/>
              </w:rPr>
            </w:pPr>
            <w:r w:rsidRPr="00601D6B">
              <w:t>The proposed Regulations</w:t>
            </w:r>
          </w:p>
        </w:tc>
        <w:tc>
          <w:tcPr>
            <w:tcW w:w="5633" w:type="dxa"/>
            <w:tcBorders>
              <w:top w:val="single" w:sz="4" w:space="0" w:color="auto"/>
            </w:tcBorders>
          </w:tcPr>
          <w:p w14:paraId="68ABA873" w14:textId="77777777" w:rsidR="006257A9" w:rsidRPr="000604AD" w:rsidRDefault="006257A9" w:rsidP="00254AC9">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sidRPr="000604AD">
              <w:rPr>
                <w:bCs/>
              </w:rPr>
              <w:t>Forests (Fire Protection) Regulations 2025</w:t>
            </w:r>
          </w:p>
        </w:tc>
      </w:tr>
    </w:tbl>
    <w:p w14:paraId="2B1AAFB9" w14:textId="77777777" w:rsidR="00EC6CC0" w:rsidRDefault="00EC6CC0" w:rsidP="006C17CE">
      <w:pPr>
        <w:pStyle w:val="BodyText"/>
        <w:rPr>
          <w:rFonts w:eastAsiaTheme="majorEastAsia"/>
        </w:rPr>
        <w:sectPr w:rsidR="00EC6CC0" w:rsidSect="00CE495F">
          <w:pgSz w:w="11907" w:h="16839" w:code="9"/>
          <w:pgMar w:top="1134" w:right="1134" w:bottom="1134" w:left="1134" w:header="283" w:footer="283" w:gutter="0"/>
          <w:cols w:space="720"/>
          <w:noEndnote/>
          <w:docGrid w:linePitch="360"/>
        </w:sectPr>
      </w:pPr>
    </w:p>
    <w:p w14:paraId="7DFA5099" w14:textId="331DDA50" w:rsidR="006C17CE" w:rsidRDefault="00EC6CC0" w:rsidP="0071052D">
      <w:pPr>
        <w:pStyle w:val="Heading1"/>
        <w:numPr>
          <w:ilvl w:val="0"/>
          <w:numId w:val="0"/>
        </w:numPr>
      </w:pPr>
      <w:bookmarkStart w:id="7" w:name="_Toc187330504"/>
      <w:r>
        <w:lastRenderedPageBreak/>
        <w:t>Executive Summary</w:t>
      </w:r>
      <w:bookmarkEnd w:id="7"/>
    </w:p>
    <w:p w14:paraId="56D641DA" w14:textId="554B6090" w:rsidR="00912547" w:rsidRPr="00912547" w:rsidRDefault="00912547" w:rsidP="0041629C">
      <w:pPr>
        <w:pStyle w:val="Heading3"/>
        <w:numPr>
          <w:ilvl w:val="0"/>
          <w:numId w:val="0"/>
        </w:numPr>
      </w:pPr>
      <w:bookmarkStart w:id="8" w:name="_Toc187330505"/>
      <w:r w:rsidRPr="00912547">
        <w:t>Context</w:t>
      </w:r>
      <w:r w:rsidR="00E72F7E">
        <w:t xml:space="preserve"> (Chapter 2)</w:t>
      </w:r>
      <w:bookmarkEnd w:id="8"/>
    </w:p>
    <w:p w14:paraId="1D80C32A" w14:textId="67F1BE60" w:rsidR="00912547" w:rsidRDefault="00912547" w:rsidP="00912547">
      <w:r>
        <w:t xml:space="preserve">The Victorian Government </w:t>
      </w:r>
      <w:r w:rsidR="008F6AEA">
        <w:t xml:space="preserve">through the Department of Energy, Environment and Climate Action (DEECA) </w:t>
      </w:r>
      <w:r>
        <w:t>is proposing to make the Forests (Fire Protection) Regulations 2025, which will replace the sunsetting Forests (Fire Protection) Regulations 2014</w:t>
      </w:r>
      <w:r>
        <w:rPr>
          <w:rStyle w:val="FootnoteReference"/>
        </w:rPr>
        <w:footnoteReference w:id="2"/>
      </w:r>
      <w:r>
        <w:t xml:space="preserve"> and make some minor changes.</w:t>
      </w:r>
    </w:p>
    <w:p w14:paraId="6240CFBE" w14:textId="3C30584F" w:rsidR="006B00E8" w:rsidRPr="00912547" w:rsidRDefault="00912547" w:rsidP="0041629C">
      <w:pPr>
        <w:pStyle w:val="Heading3"/>
        <w:numPr>
          <w:ilvl w:val="0"/>
          <w:numId w:val="0"/>
        </w:numPr>
      </w:pPr>
      <w:bookmarkStart w:id="9" w:name="_Toc187330506"/>
      <w:r w:rsidRPr="00912547">
        <w:t xml:space="preserve">Problem and Objectives </w:t>
      </w:r>
      <w:r w:rsidR="00E72F7E">
        <w:t>(Chapters 2 &amp; 3)</w:t>
      </w:r>
      <w:bookmarkEnd w:id="9"/>
    </w:p>
    <w:p w14:paraId="3FDBD196" w14:textId="212F4CAD" w:rsidR="006B00E8" w:rsidRPr="00C22A7C" w:rsidRDefault="00C22A7C" w:rsidP="006B00E8">
      <w:pPr>
        <w:rPr>
          <w:rFonts w:cstheme="minorHAnsi"/>
        </w:rPr>
      </w:pPr>
      <w:r w:rsidRPr="00E30A20">
        <w:t>Victoria is one of the world’s most fire-prone regions. The effects of fire are far-reaching and have consequences across many spheres of Victorian</w:t>
      </w:r>
      <w:r>
        <w:t>s</w:t>
      </w:r>
      <w:r w:rsidRPr="00E30A20">
        <w:t xml:space="preserve">’ lives. </w:t>
      </w:r>
      <w:r>
        <w:t xml:space="preserve">Bushfire can result in serious negative impacts. </w:t>
      </w:r>
      <w:r w:rsidR="00B3223D">
        <w:t>T</w:t>
      </w:r>
      <w:r w:rsidR="00912547" w:rsidRPr="00C22A7C">
        <w:rPr>
          <w:rFonts w:cstheme="minorHAnsi"/>
        </w:rPr>
        <w:t xml:space="preserve">he </w:t>
      </w:r>
      <w:r>
        <w:rPr>
          <w:rFonts w:cstheme="minorHAnsi"/>
        </w:rPr>
        <w:t xml:space="preserve">objectives of </w:t>
      </w:r>
      <w:r w:rsidR="00912547" w:rsidRPr="00C22A7C">
        <w:rPr>
          <w:rFonts w:cstheme="minorHAnsi"/>
        </w:rPr>
        <w:t xml:space="preserve">the proposed Regulations </w:t>
      </w:r>
      <w:r w:rsidRPr="00C22A7C">
        <w:rPr>
          <w:rFonts w:cstheme="minorHAnsi"/>
        </w:rPr>
        <w:t>are to</w:t>
      </w:r>
      <w:r w:rsidR="006B00E8" w:rsidRPr="00C22A7C">
        <w:rPr>
          <w:rFonts w:cstheme="minorHAnsi"/>
        </w:rPr>
        <w:t>:</w:t>
      </w:r>
    </w:p>
    <w:p w14:paraId="6F043783" w14:textId="77777777" w:rsidR="006B00E8" w:rsidRPr="00C22A7C" w:rsidRDefault="006B00E8" w:rsidP="006B00E8">
      <w:pPr>
        <w:pStyle w:val="ListBullet"/>
        <w:rPr>
          <w:rFonts w:cstheme="minorHAnsi"/>
        </w:rPr>
      </w:pPr>
      <w:r w:rsidRPr="00C22A7C">
        <w:rPr>
          <w:rFonts w:cstheme="minorHAnsi"/>
        </w:rPr>
        <w:t>protect the safety of Victorians</w:t>
      </w:r>
    </w:p>
    <w:p w14:paraId="0FD29C7F" w14:textId="77777777" w:rsidR="006B00E8" w:rsidRPr="00C22A7C" w:rsidRDefault="006B00E8" w:rsidP="006B00E8">
      <w:pPr>
        <w:pStyle w:val="ListBullet"/>
        <w:rPr>
          <w:rFonts w:cstheme="minorHAnsi"/>
        </w:rPr>
      </w:pPr>
      <w:r w:rsidRPr="00C22A7C">
        <w:rPr>
          <w:rFonts w:cstheme="minorHAnsi"/>
        </w:rPr>
        <w:t>prevent loss of private and public property</w:t>
      </w:r>
    </w:p>
    <w:p w14:paraId="00134AB3" w14:textId="77777777" w:rsidR="00912547" w:rsidRPr="00C22A7C" w:rsidRDefault="006B00E8">
      <w:pPr>
        <w:pStyle w:val="ListBullet"/>
        <w:rPr>
          <w:rFonts w:cstheme="minorHAnsi"/>
        </w:rPr>
      </w:pPr>
      <w:r w:rsidRPr="00C22A7C">
        <w:rPr>
          <w:rFonts w:cstheme="minorHAnsi"/>
        </w:rPr>
        <w:t>support resilience of Victorian ecosystems</w:t>
      </w:r>
    </w:p>
    <w:p w14:paraId="7951BF91" w14:textId="1F9DB41C" w:rsidR="006B00E8" w:rsidRDefault="006B00E8">
      <w:pPr>
        <w:pStyle w:val="ListBullet"/>
        <w:rPr>
          <w:rFonts w:cstheme="minorHAnsi"/>
        </w:rPr>
      </w:pPr>
      <w:r w:rsidRPr="00C22A7C">
        <w:rPr>
          <w:rFonts w:cstheme="minorHAnsi"/>
        </w:rPr>
        <w:t>provide assurance that commercial activities are conducted in a safe manner.</w:t>
      </w:r>
    </w:p>
    <w:p w14:paraId="62384F8D" w14:textId="51F8EA9D" w:rsidR="00E72F7E" w:rsidRDefault="00FF4924" w:rsidP="00E72F7E">
      <w:pPr>
        <w:rPr>
          <w:rFonts w:ascii="Arial" w:hAnsi="Arial" w:cs="Arial"/>
          <w:szCs w:val="22"/>
        </w:rPr>
      </w:pPr>
      <w:r>
        <w:rPr>
          <w:rFonts w:ascii="Arial" w:hAnsi="Arial" w:cs="Arial"/>
          <w:szCs w:val="22"/>
        </w:rPr>
        <w:t>T</w:t>
      </w:r>
      <w:r w:rsidR="00E72F7E">
        <w:rPr>
          <w:rFonts w:ascii="Arial" w:hAnsi="Arial" w:cs="Arial"/>
          <w:szCs w:val="22"/>
        </w:rPr>
        <w:t xml:space="preserve">he proposed Regulations deal with residual risks not addressed by other legislation or behaviours. </w:t>
      </w:r>
      <w:r>
        <w:rPr>
          <w:rFonts w:ascii="Arial" w:hAnsi="Arial" w:cs="Arial"/>
          <w:szCs w:val="22"/>
        </w:rPr>
        <w:t xml:space="preserve">Specifically, </w:t>
      </w:r>
      <w:r w:rsidR="00E72F7E">
        <w:rPr>
          <w:rFonts w:ascii="Arial" w:hAnsi="Arial" w:cs="Arial"/>
          <w:szCs w:val="22"/>
        </w:rPr>
        <w:t>the Regulations seek to manage risks in certain areas during certain times of the year, associated with:</w:t>
      </w:r>
    </w:p>
    <w:p w14:paraId="2550C3DE" w14:textId="77777777" w:rsidR="00E72F7E" w:rsidRPr="002E51FB" w:rsidRDefault="00E72F7E" w:rsidP="00E72F7E">
      <w:pPr>
        <w:pStyle w:val="ListBullet"/>
        <w:rPr>
          <w:rFonts w:cstheme="minorHAnsi"/>
        </w:rPr>
      </w:pPr>
      <w:r w:rsidRPr="002E51FB">
        <w:rPr>
          <w:rFonts w:cstheme="minorHAnsi"/>
        </w:rPr>
        <w:t>campfires and barbeques</w:t>
      </w:r>
    </w:p>
    <w:p w14:paraId="667B8671" w14:textId="53FFA8BB" w:rsidR="008D0A9F" w:rsidRDefault="00E72F7E" w:rsidP="008D0A9F">
      <w:pPr>
        <w:pStyle w:val="ListBullet"/>
        <w:rPr>
          <w:rFonts w:cstheme="minorHAnsi"/>
        </w:rPr>
      </w:pPr>
      <w:r w:rsidRPr="002E51FB">
        <w:rPr>
          <w:rFonts w:cstheme="minorHAnsi"/>
        </w:rPr>
        <w:t>commercial operations (</w:t>
      </w:r>
      <w:r w:rsidR="0083424B">
        <w:rPr>
          <w:rFonts w:cstheme="minorHAnsi"/>
        </w:rPr>
        <w:t>for example</w:t>
      </w:r>
      <w:r w:rsidRPr="002E51FB">
        <w:rPr>
          <w:rFonts w:cstheme="minorHAnsi"/>
        </w:rPr>
        <w:t xml:space="preserve"> beekeeping activities, sawmill operations), and</w:t>
      </w:r>
    </w:p>
    <w:p w14:paraId="09B43A96" w14:textId="554D6053" w:rsidR="00E72F7E" w:rsidRPr="008D0A9F" w:rsidRDefault="00E72F7E" w:rsidP="008D0A9F">
      <w:pPr>
        <w:pStyle w:val="ListBullet"/>
        <w:rPr>
          <w:rFonts w:cstheme="minorHAnsi"/>
        </w:rPr>
      </w:pPr>
      <w:r w:rsidRPr="008D0A9F">
        <w:rPr>
          <w:rFonts w:cstheme="minorHAnsi"/>
        </w:rPr>
        <w:t>certain high risk activities, such as welding, grinding or use of chainsaws.</w:t>
      </w:r>
    </w:p>
    <w:p w14:paraId="3080DC8E" w14:textId="410256DE" w:rsidR="006B00E8" w:rsidRPr="002E51FB" w:rsidRDefault="002E51FB" w:rsidP="004C748B">
      <w:pPr>
        <w:pStyle w:val="Heading3"/>
        <w:numPr>
          <w:ilvl w:val="0"/>
          <w:numId w:val="0"/>
        </w:numPr>
      </w:pPr>
      <w:bookmarkStart w:id="10" w:name="_Toc187330507"/>
      <w:r w:rsidRPr="002E51FB">
        <w:t>Options considered</w:t>
      </w:r>
      <w:r w:rsidR="00E72F7E">
        <w:t xml:space="preserve"> (Chapter 4)</w:t>
      </w:r>
      <w:bookmarkEnd w:id="10"/>
    </w:p>
    <w:p w14:paraId="3EA6A5A2" w14:textId="6F8270E0" w:rsidR="00E72F7E" w:rsidRDefault="00E72F7E" w:rsidP="00E72F7E">
      <w:r>
        <w:t>A</w:t>
      </w:r>
      <w:r w:rsidRPr="00B629E2">
        <w:t xml:space="preserve"> </w:t>
      </w:r>
      <w:r w:rsidR="008F6AEA">
        <w:t>Regulatory Impact Statement (</w:t>
      </w:r>
      <w:r w:rsidRPr="00B629E2">
        <w:t>RIS</w:t>
      </w:r>
      <w:r w:rsidR="008F6AEA">
        <w:t>)</w:t>
      </w:r>
      <w:r w:rsidRPr="00B629E2">
        <w:t xml:space="preserve"> must consider practicable means of achieving the regulatory objectives, including other regulatory </w:t>
      </w:r>
      <w:r>
        <w:t xml:space="preserve">options </w:t>
      </w:r>
      <w:r w:rsidRPr="00B629E2">
        <w:t>as well as non-regulatory options.</w:t>
      </w:r>
      <w:r w:rsidRPr="00FF55A0">
        <w:rPr>
          <w:vertAlign w:val="superscript"/>
        </w:rPr>
        <w:footnoteReference w:id="3"/>
      </w:r>
      <w:r>
        <w:t xml:space="preserve"> </w:t>
      </w:r>
      <w:r w:rsidRPr="00B629E2">
        <w:t>This section considers which approaches could achieve the policy objectives, and why other options were considered and rejected.</w:t>
      </w:r>
    </w:p>
    <w:p w14:paraId="1A2D0F98" w14:textId="1BE14A1A" w:rsidR="00E72F7E" w:rsidRDefault="008F6AEA" w:rsidP="00E72F7E">
      <w:r>
        <w:t>O</w:t>
      </w:r>
      <w:r w:rsidR="00E72F7E">
        <w:t xml:space="preserve">ptions considered in this RIS </w:t>
      </w:r>
      <w:r>
        <w:t>are</w:t>
      </w:r>
      <w:r w:rsidR="00E72F7E">
        <w:t>:</w:t>
      </w:r>
    </w:p>
    <w:p w14:paraId="4DBC0898" w14:textId="77777777" w:rsidR="00E72F7E" w:rsidRPr="00E72F7E" w:rsidRDefault="00E72F7E" w:rsidP="00E72F7E">
      <w:pPr>
        <w:pStyle w:val="ListBullet"/>
        <w:rPr>
          <w:rFonts w:cstheme="minorHAnsi"/>
        </w:rPr>
      </w:pPr>
      <w:r w:rsidRPr="00E72F7E">
        <w:rPr>
          <w:rFonts w:cstheme="minorHAnsi"/>
        </w:rPr>
        <w:t>Option 1: remake the current Regulations with minor amendments (the proposed Regulations)</w:t>
      </w:r>
    </w:p>
    <w:p w14:paraId="41A288E8" w14:textId="77777777" w:rsidR="00E72F7E" w:rsidRPr="00E72F7E" w:rsidRDefault="00E72F7E" w:rsidP="00E72F7E">
      <w:pPr>
        <w:pStyle w:val="ListBullet"/>
        <w:rPr>
          <w:rFonts w:cstheme="minorHAnsi"/>
        </w:rPr>
      </w:pPr>
      <w:r w:rsidRPr="00E72F7E">
        <w:rPr>
          <w:rFonts w:cstheme="minorHAnsi"/>
        </w:rPr>
        <w:t>Option 2: less prescriptive, more performance-based or principles-based regulations</w:t>
      </w:r>
    </w:p>
    <w:p w14:paraId="136B1662" w14:textId="525FE964" w:rsidR="00E72F7E" w:rsidRPr="00E72F7E" w:rsidRDefault="00E72F7E" w:rsidP="00E72F7E">
      <w:pPr>
        <w:pStyle w:val="ListBullet"/>
        <w:rPr>
          <w:rFonts w:cstheme="minorHAnsi"/>
        </w:rPr>
      </w:pPr>
      <w:r w:rsidRPr="00E72F7E">
        <w:rPr>
          <w:rFonts w:cstheme="minorHAnsi"/>
        </w:rPr>
        <w:t xml:space="preserve">Option 3: non-regulatory option involving providing education and information about fire use and safety, guidance notes, </w:t>
      </w:r>
      <w:r w:rsidR="00A15936">
        <w:rPr>
          <w:rFonts w:cstheme="minorHAnsi"/>
        </w:rPr>
        <w:t xml:space="preserve">with </w:t>
      </w:r>
      <w:r w:rsidRPr="00E72F7E">
        <w:rPr>
          <w:rFonts w:cstheme="minorHAnsi"/>
        </w:rPr>
        <w:t>more reliance on markets and other permit conditions.</w:t>
      </w:r>
    </w:p>
    <w:p w14:paraId="5F3C0BB9" w14:textId="3B13740D" w:rsidR="006B00E8" w:rsidRPr="002E56F6" w:rsidRDefault="002E51FB" w:rsidP="0005617C">
      <w:pPr>
        <w:pStyle w:val="Heading3"/>
        <w:numPr>
          <w:ilvl w:val="0"/>
          <w:numId w:val="0"/>
        </w:numPr>
      </w:pPr>
      <w:bookmarkStart w:id="11" w:name="_Toc187330508"/>
      <w:r w:rsidRPr="002E56F6">
        <w:t>Costs and benefits of the options</w:t>
      </w:r>
      <w:r w:rsidR="008F6AEA">
        <w:t xml:space="preserve"> (Chapter 5)</w:t>
      </w:r>
      <w:bookmarkEnd w:id="11"/>
    </w:p>
    <w:p w14:paraId="674B269B" w14:textId="77777777" w:rsidR="0050309C" w:rsidRDefault="00AA2FEA" w:rsidP="00E72F7E">
      <w:r>
        <w:t xml:space="preserve">In assessing the costs and benefits of the options, two main methods were used. Where costs could be quantified, this was done. Quantifiable costs for each </w:t>
      </w:r>
      <w:r w:rsidR="007A7677">
        <w:t>option</w:t>
      </w:r>
      <w:r>
        <w:t xml:space="preserve"> are summarised in the table below.</w:t>
      </w:r>
    </w:p>
    <w:p w14:paraId="2935E084" w14:textId="77777777" w:rsidR="0050309C" w:rsidRPr="00AF66B6" w:rsidRDefault="0050309C" w:rsidP="0050309C">
      <w:pPr>
        <w:pStyle w:val="Caption"/>
      </w:pPr>
      <w:r w:rsidRPr="00AF66B6">
        <w:t>Summary of regulatory and government costs, 10-year period ($PV)</w:t>
      </w:r>
    </w:p>
    <w:tbl>
      <w:tblPr>
        <w:tblStyle w:val="TableGrid"/>
        <w:tblW w:w="0" w:type="auto"/>
        <w:jc w:val="center"/>
        <w:tblLook w:val="04A0" w:firstRow="1" w:lastRow="0" w:firstColumn="1" w:lastColumn="0" w:noHBand="0" w:noVBand="1"/>
      </w:tblPr>
      <w:tblGrid>
        <w:gridCol w:w="871"/>
        <w:gridCol w:w="4686"/>
        <w:gridCol w:w="1412"/>
        <w:gridCol w:w="1405"/>
        <w:gridCol w:w="1265"/>
      </w:tblGrid>
      <w:tr w:rsidR="0050309C" w:rsidRPr="00AF66B6" w14:paraId="232C159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Borders>
              <w:bottom w:val="single" w:sz="4" w:space="0" w:color="auto"/>
            </w:tcBorders>
            <w:shd w:val="clear" w:color="auto" w:fill="E8E8E8" w:themeFill="text1" w:themeFillTint="1A"/>
          </w:tcPr>
          <w:p w14:paraId="12F2ED44" w14:textId="77777777" w:rsidR="0050309C" w:rsidRPr="00AF66B6" w:rsidRDefault="0050309C">
            <w:pPr>
              <w:rPr>
                <w:b/>
                <w:bCs/>
                <w:color w:val="auto"/>
              </w:rPr>
            </w:pPr>
            <w:r w:rsidRPr="00AF66B6">
              <w:rPr>
                <w:b/>
                <w:bCs/>
                <w:color w:val="auto"/>
              </w:rPr>
              <w:t>Option</w:t>
            </w:r>
          </w:p>
        </w:tc>
        <w:tc>
          <w:tcPr>
            <w:tcW w:w="4686" w:type="dxa"/>
            <w:tcBorders>
              <w:bottom w:val="single" w:sz="4" w:space="0" w:color="auto"/>
            </w:tcBorders>
            <w:shd w:val="clear" w:color="auto" w:fill="E8E8E8" w:themeFill="text1" w:themeFillTint="1A"/>
          </w:tcPr>
          <w:p w14:paraId="0C84FDDB" w14:textId="77777777" w:rsidR="0050309C" w:rsidRPr="00AF66B6" w:rsidRDefault="0050309C">
            <w:pP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Description</w:t>
            </w:r>
          </w:p>
        </w:tc>
        <w:tc>
          <w:tcPr>
            <w:tcW w:w="1412" w:type="dxa"/>
            <w:tcBorders>
              <w:bottom w:val="single" w:sz="4" w:space="0" w:color="auto"/>
            </w:tcBorders>
            <w:shd w:val="clear" w:color="auto" w:fill="E8E8E8" w:themeFill="text1" w:themeFillTint="1A"/>
          </w:tcPr>
          <w:p w14:paraId="650B7E38" w14:textId="77777777" w:rsidR="0050309C" w:rsidRPr="00AF66B6" w:rsidRDefault="0050309C">
            <w:pPr>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Regulatory Costs ($)</w:t>
            </w:r>
          </w:p>
        </w:tc>
        <w:tc>
          <w:tcPr>
            <w:tcW w:w="1405" w:type="dxa"/>
            <w:tcBorders>
              <w:bottom w:val="single" w:sz="4" w:space="0" w:color="auto"/>
            </w:tcBorders>
            <w:shd w:val="clear" w:color="auto" w:fill="E8E8E8" w:themeFill="text1" w:themeFillTint="1A"/>
          </w:tcPr>
          <w:p w14:paraId="04F60503" w14:textId="77777777" w:rsidR="0050309C" w:rsidRPr="00AF66B6" w:rsidRDefault="0050309C">
            <w:pPr>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Government Costs ($)</w:t>
            </w:r>
          </w:p>
        </w:tc>
        <w:tc>
          <w:tcPr>
            <w:tcW w:w="1265" w:type="dxa"/>
            <w:tcBorders>
              <w:bottom w:val="single" w:sz="4" w:space="0" w:color="auto"/>
            </w:tcBorders>
            <w:shd w:val="clear" w:color="auto" w:fill="E8E8E8" w:themeFill="text1" w:themeFillTint="1A"/>
          </w:tcPr>
          <w:p w14:paraId="6D2AEF52" w14:textId="77777777" w:rsidR="0050309C" w:rsidRPr="00AF66B6" w:rsidRDefault="0050309C">
            <w:pPr>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Total Costs ($)</w:t>
            </w:r>
          </w:p>
        </w:tc>
      </w:tr>
      <w:tr w:rsidR="0050309C" w14:paraId="467EF834" w14:textId="77777777">
        <w:trPr>
          <w:jc w:val="center"/>
        </w:trPr>
        <w:tc>
          <w:tcPr>
            <w:cnfStyle w:val="001000000000" w:firstRow="0" w:lastRow="0" w:firstColumn="1" w:lastColumn="0" w:oddVBand="0" w:evenVBand="0" w:oddHBand="0" w:evenHBand="0" w:firstRowFirstColumn="0" w:firstRowLastColumn="0" w:lastRowFirstColumn="0" w:lastRowLastColumn="0"/>
            <w:tcW w:w="871" w:type="dxa"/>
            <w:tcBorders>
              <w:top w:val="single" w:sz="4" w:space="0" w:color="auto"/>
            </w:tcBorders>
          </w:tcPr>
          <w:p w14:paraId="6D447ABF" w14:textId="77777777" w:rsidR="0050309C" w:rsidRDefault="0050309C">
            <w:pPr>
              <w:jc w:val="center"/>
            </w:pPr>
            <w:r>
              <w:t>1</w:t>
            </w:r>
          </w:p>
        </w:tc>
        <w:tc>
          <w:tcPr>
            <w:tcW w:w="4686" w:type="dxa"/>
            <w:tcBorders>
              <w:top w:val="single" w:sz="4" w:space="0" w:color="auto"/>
            </w:tcBorders>
          </w:tcPr>
          <w:p w14:paraId="7725E320" w14:textId="77777777" w:rsidR="0050309C" w:rsidRDefault="0050309C">
            <w:pPr>
              <w:cnfStyle w:val="000000000000" w:firstRow="0" w:lastRow="0" w:firstColumn="0" w:lastColumn="0" w:oddVBand="0" w:evenVBand="0" w:oddHBand="0" w:evenHBand="0" w:firstRowFirstColumn="0" w:firstRowLastColumn="0" w:lastRowFirstColumn="0" w:lastRowLastColumn="0"/>
            </w:pPr>
            <w:r>
              <w:t>Proposed Regulations – current regulations with minor amendments</w:t>
            </w:r>
          </w:p>
        </w:tc>
        <w:tc>
          <w:tcPr>
            <w:tcW w:w="1412" w:type="dxa"/>
            <w:tcBorders>
              <w:top w:val="single" w:sz="4" w:space="0" w:color="auto"/>
            </w:tcBorders>
          </w:tcPr>
          <w:p w14:paraId="038738A4" w14:textId="77777777" w:rsidR="0050309C" w:rsidRPr="007127D4" w:rsidRDefault="0050309C">
            <w:pPr>
              <w:jc w:val="center"/>
              <w:cnfStyle w:val="000000000000" w:firstRow="0" w:lastRow="0" w:firstColumn="0" w:lastColumn="0" w:oddVBand="0" w:evenVBand="0" w:oddHBand="0" w:evenHBand="0" w:firstRowFirstColumn="0" w:firstRowLastColumn="0" w:lastRowFirstColumn="0" w:lastRowLastColumn="0"/>
            </w:pPr>
            <w:r w:rsidRPr="000E18A0">
              <w:rPr>
                <w:rFonts w:asciiTheme="majorHAnsi" w:hAnsiTheme="majorHAnsi" w:cstheme="majorHAnsi"/>
              </w:rPr>
              <w:t>425</w:t>
            </w:r>
            <w:r>
              <w:rPr>
                <w:rFonts w:asciiTheme="majorHAnsi" w:hAnsiTheme="majorHAnsi" w:cstheme="majorHAnsi"/>
              </w:rPr>
              <w:t>,</w:t>
            </w:r>
            <w:r w:rsidRPr="000E18A0">
              <w:rPr>
                <w:rFonts w:asciiTheme="majorHAnsi" w:hAnsiTheme="majorHAnsi" w:cstheme="majorHAnsi"/>
              </w:rPr>
              <w:t>791</w:t>
            </w:r>
          </w:p>
        </w:tc>
        <w:tc>
          <w:tcPr>
            <w:tcW w:w="1405" w:type="dxa"/>
            <w:tcBorders>
              <w:top w:val="single" w:sz="4" w:space="0" w:color="auto"/>
            </w:tcBorders>
          </w:tcPr>
          <w:p w14:paraId="7594A259"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4929C2">
              <w:t>1,335,032</w:t>
            </w:r>
          </w:p>
        </w:tc>
        <w:tc>
          <w:tcPr>
            <w:tcW w:w="1265" w:type="dxa"/>
            <w:tcBorders>
              <w:top w:val="single" w:sz="4" w:space="0" w:color="auto"/>
            </w:tcBorders>
          </w:tcPr>
          <w:p w14:paraId="62252811"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4929C2">
              <w:t>1</w:t>
            </w:r>
            <w:r>
              <w:t>,</w:t>
            </w:r>
            <w:r w:rsidRPr="004929C2">
              <w:t>760</w:t>
            </w:r>
            <w:r>
              <w:t>,</w:t>
            </w:r>
            <w:r w:rsidRPr="004929C2">
              <w:t>824</w:t>
            </w:r>
          </w:p>
        </w:tc>
      </w:tr>
      <w:tr w:rsidR="0050309C" w14:paraId="6AB87B83" w14:textId="77777777">
        <w:trPr>
          <w:jc w:val="center"/>
        </w:trPr>
        <w:tc>
          <w:tcPr>
            <w:cnfStyle w:val="001000000000" w:firstRow="0" w:lastRow="0" w:firstColumn="1" w:lastColumn="0" w:oddVBand="0" w:evenVBand="0" w:oddHBand="0" w:evenHBand="0" w:firstRowFirstColumn="0" w:firstRowLastColumn="0" w:lastRowFirstColumn="0" w:lastRowLastColumn="0"/>
            <w:tcW w:w="871" w:type="dxa"/>
          </w:tcPr>
          <w:p w14:paraId="1004CF8A" w14:textId="77777777" w:rsidR="0050309C" w:rsidRDefault="0050309C">
            <w:pPr>
              <w:jc w:val="center"/>
            </w:pPr>
            <w:r>
              <w:t>2</w:t>
            </w:r>
          </w:p>
        </w:tc>
        <w:tc>
          <w:tcPr>
            <w:tcW w:w="4686" w:type="dxa"/>
          </w:tcPr>
          <w:p w14:paraId="239AA326" w14:textId="77777777" w:rsidR="0050309C" w:rsidRDefault="0050309C">
            <w:pPr>
              <w:cnfStyle w:val="000000000000" w:firstRow="0" w:lastRow="0" w:firstColumn="0" w:lastColumn="0" w:oddVBand="0" w:evenVBand="0" w:oddHBand="0" w:evenHBand="0" w:firstRowFirstColumn="0" w:firstRowLastColumn="0" w:lastRowFirstColumn="0" w:lastRowLastColumn="0"/>
            </w:pPr>
            <w:r>
              <w:t>Performance-based regulations</w:t>
            </w:r>
          </w:p>
        </w:tc>
        <w:tc>
          <w:tcPr>
            <w:tcW w:w="1412" w:type="dxa"/>
          </w:tcPr>
          <w:p w14:paraId="7E719D40"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4929C2">
              <w:t>383</w:t>
            </w:r>
            <w:r>
              <w:t>,</w:t>
            </w:r>
            <w:r w:rsidRPr="004929C2">
              <w:t>650</w:t>
            </w:r>
          </w:p>
        </w:tc>
        <w:tc>
          <w:tcPr>
            <w:tcW w:w="1405" w:type="dxa"/>
          </w:tcPr>
          <w:p w14:paraId="67AAA625"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4929C2">
              <w:t>1,335,032</w:t>
            </w:r>
          </w:p>
        </w:tc>
        <w:tc>
          <w:tcPr>
            <w:tcW w:w="1265" w:type="dxa"/>
          </w:tcPr>
          <w:p w14:paraId="18B4CA10"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4929C2">
              <w:t>1</w:t>
            </w:r>
            <w:r>
              <w:t>,</w:t>
            </w:r>
            <w:r w:rsidRPr="004929C2">
              <w:t>718</w:t>
            </w:r>
            <w:r>
              <w:t>,</w:t>
            </w:r>
            <w:r w:rsidRPr="004929C2">
              <w:t>682</w:t>
            </w:r>
          </w:p>
        </w:tc>
      </w:tr>
      <w:tr w:rsidR="0050309C" w14:paraId="72B372EF" w14:textId="77777777">
        <w:trPr>
          <w:jc w:val="center"/>
        </w:trPr>
        <w:tc>
          <w:tcPr>
            <w:cnfStyle w:val="001000000000" w:firstRow="0" w:lastRow="0" w:firstColumn="1" w:lastColumn="0" w:oddVBand="0" w:evenVBand="0" w:oddHBand="0" w:evenHBand="0" w:firstRowFirstColumn="0" w:firstRowLastColumn="0" w:lastRowFirstColumn="0" w:lastRowLastColumn="0"/>
            <w:tcW w:w="871" w:type="dxa"/>
          </w:tcPr>
          <w:p w14:paraId="4267372B" w14:textId="77777777" w:rsidR="0050309C" w:rsidRDefault="0050309C">
            <w:pPr>
              <w:jc w:val="center"/>
            </w:pPr>
            <w:r>
              <w:t>3</w:t>
            </w:r>
          </w:p>
        </w:tc>
        <w:tc>
          <w:tcPr>
            <w:tcW w:w="4686" w:type="dxa"/>
          </w:tcPr>
          <w:p w14:paraId="0CBC39A7" w14:textId="77777777" w:rsidR="0050309C" w:rsidRDefault="0050309C">
            <w:pPr>
              <w:cnfStyle w:val="000000000000" w:firstRow="0" w:lastRow="0" w:firstColumn="0" w:lastColumn="0" w:oddVBand="0" w:evenVBand="0" w:oddHBand="0" w:evenHBand="0" w:firstRowFirstColumn="0" w:firstRowLastColumn="0" w:lastRowFirstColumn="0" w:lastRowLastColumn="0"/>
            </w:pPr>
            <w:r>
              <w:t>Non-regulatory approach</w:t>
            </w:r>
          </w:p>
        </w:tc>
        <w:tc>
          <w:tcPr>
            <w:tcW w:w="1412" w:type="dxa"/>
          </w:tcPr>
          <w:p w14:paraId="2BFC64A8"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4929C2">
              <w:t>36</w:t>
            </w:r>
            <w:r>
              <w:t>,</w:t>
            </w:r>
            <w:r w:rsidRPr="004929C2">
              <w:t>762</w:t>
            </w:r>
          </w:p>
        </w:tc>
        <w:tc>
          <w:tcPr>
            <w:tcW w:w="1405" w:type="dxa"/>
          </w:tcPr>
          <w:p w14:paraId="0CAE4239" w14:textId="77777777" w:rsidR="0050309C" w:rsidRDefault="0050309C">
            <w:pPr>
              <w:jc w:val="center"/>
              <w:cnfStyle w:val="000000000000" w:firstRow="0" w:lastRow="0" w:firstColumn="0" w:lastColumn="0" w:oddVBand="0" w:evenVBand="0" w:oddHBand="0" w:evenHBand="0" w:firstRowFirstColumn="0" w:firstRowLastColumn="0" w:lastRowFirstColumn="0" w:lastRowLastColumn="0"/>
            </w:pPr>
            <w:r w:rsidRPr="00256998">
              <w:t>615</w:t>
            </w:r>
            <w:r>
              <w:t>,</w:t>
            </w:r>
            <w:r w:rsidRPr="00256998">
              <w:t>029</w:t>
            </w:r>
          </w:p>
        </w:tc>
        <w:tc>
          <w:tcPr>
            <w:tcW w:w="1265" w:type="dxa"/>
          </w:tcPr>
          <w:p w14:paraId="142F393C" w14:textId="77777777" w:rsidR="0050309C" w:rsidRDefault="0050309C">
            <w:pPr>
              <w:ind w:right="-111"/>
              <w:jc w:val="center"/>
              <w:cnfStyle w:val="000000000000" w:firstRow="0" w:lastRow="0" w:firstColumn="0" w:lastColumn="0" w:oddVBand="0" w:evenVBand="0" w:oddHBand="0" w:evenHBand="0" w:firstRowFirstColumn="0" w:firstRowLastColumn="0" w:lastRowFirstColumn="0" w:lastRowLastColumn="0"/>
            </w:pPr>
            <w:r w:rsidRPr="00256998">
              <w:t>651</w:t>
            </w:r>
            <w:r>
              <w:t>,</w:t>
            </w:r>
            <w:r w:rsidRPr="00256998">
              <w:t>755</w:t>
            </w:r>
          </w:p>
        </w:tc>
      </w:tr>
    </w:tbl>
    <w:p w14:paraId="447B27B1" w14:textId="58A4EF5B" w:rsidR="00AA2FEA" w:rsidRDefault="00AA2FEA" w:rsidP="00E72F7E">
      <w:r>
        <w:lastRenderedPageBreak/>
        <w:t>Benefits proved more difficult to assess, so the Multi-criteria Analysis (MCA) decision mak</w:t>
      </w:r>
      <w:r w:rsidR="001301F5">
        <w:t>ing</w:t>
      </w:r>
      <w:r>
        <w:t xml:space="preserve"> tool was used.</w:t>
      </w:r>
    </w:p>
    <w:p w14:paraId="54743E33" w14:textId="0D92B0C8" w:rsidR="00E72F7E" w:rsidRDefault="00E72F7E" w:rsidP="00E72F7E">
      <w:pPr>
        <w:rPr>
          <w:rFonts w:ascii="Arial" w:hAnsi="Arial" w:cs="Arial"/>
        </w:rPr>
      </w:pPr>
      <w:r>
        <w:t xml:space="preserve">While each of the options assessed in the sections above are likely to provide some benefits, the preferred option should be based on the option that provides the greatest benefit to the community as a whole. </w:t>
      </w:r>
      <w:r w:rsidR="00AA2FEA" w:rsidRPr="00A41F5F">
        <w:rPr>
          <w:rFonts w:ascii="Arial" w:hAnsi="Arial" w:cs="Arial"/>
        </w:rPr>
        <w:t>This tool requires judgements about how options would perform against a series of criteria that are chosen to reflect the benefits and costs associated with the options.</w:t>
      </w:r>
      <w:r w:rsidR="00AA2FEA">
        <w:rPr>
          <w:rFonts w:ascii="Arial" w:hAnsi="Arial" w:cs="Arial"/>
        </w:rPr>
        <w:t xml:space="preserve"> </w:t>
      </w:r>
      <w:r w:rsidR="000B04AA">
        <w:rPr>
          <w:rFonts w:ascii="Arial" w:hAnsi="Arial" w:cs="Arial"/>
        </w:rPr>
        <w:t>I</w:t>
      </w:r>
      <w:r w:rsidR="00AA2FEA" w:rsidRPr="00A41F5F">
        <w:rPr>
          <w:rFonts w:ascii="Arial" w:hAnsi="Arial" w:cs="Arial"/>
        </w:rPr>
        <w:t>f the MCA received a positive net score, it represents an improvement over the base case.</w:t>
      </w:r>
      <w:r w:rsidR="00AA2FEA">
        <w:rPr>
          <w:rFonts w:ascii="Arial" w:hAnsi="Arial" w:cs="Arial"/>
        </w:rPr>
        <w:t xml:space="preserve"> </w:t>
      </w:r>
      <w:r w:rsidR="00AA2FEA" w:rsidRPr="00A41F5F">
        <w:rPr>
          <w:rFonts w:ascii="Arial" w:hAnsi="Arial" w:cs="Arial"/>
        </w:rPr>
        <w:t>The option with the highest net score is preferred</w:t>
      </w:r>
      <w:r w:rsidR="00623AB9">
        <w:rPr>
          <w:rFonts w:ascii="Arial" w:hAnsi="Arial" w:cs="Arial"/>
        </w:rPr>
        <w:t>.</w:t>
      </w:r>
      <w:r w:rsidR="000B04AA" w:rsidRPr="000B04AA">
        <w:t xml:space="preserve"> </w:t>
      </w:r>
      <w:r w:rsidR="000B04AA">
        <w:t>The MCA assessment scores are summarised below.</w:t>
      </w:r>
    </w:p>
    <w:p w14:paraId="6D3CB2BC" w14:textId="77777777" w:rsidR="00E71806" w:rsidRDefault="00E71806" w:rsidP="00E71806">
      <w:pPr>
        <w:pStyle w:val="Caption"/>
        <w:ind w:left="0" w:firstLine="0"/>
      </w:pPr>
      <w:r>
        <w:t>Summary of MCA assessment – cost ratio to probability of effectively reducing risks</w:t>
      </w:r>
    </w:p>
    <w:tbl>
      <w:tblPr>
        <w:tblStyle w:val="TableGrid"/>
        <w:tblW w:w="0" w:type="auto"/>
        <w:jc w:val="center"/>
        <w:tblLook w:val="04A0" w:firstRow="1" w:lastRow="0" w:firstColumn="1" w:lastColumn="0" w:noHBand="0" w:noVBand="1"/>
      </w:tblPr>
      <w:tblGrid>
        <w:gridCol w:w="1383"/>
        <w:gridCol w:w="3408"/>
        <w:gridCol w:w="3069"/>
        <w:gridCol w:w="1779"/>
      </w:tblGrid>
      <w:tr w:rsidR="00E71806" w:rsidRPr="00AF66B6" w14:paraId="6EC67747" w14:textId="77777777">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383" w:type="dxa"/>
            <w:tcBorders>
              <w:bottom w:val="single" w:sz="4" w:space="0" w:color="auto"/>
            </w:tcBorders>
            <w:shd w:val="clear" w:color="auto" w:fill="E8E8E8" w:themeFill="text1" w:themeFillTint="1A"/>
            <w:vAlign w:val="center"/>
          </w:tcPr>
          <w:p w14:paraId="4CA1DAFF" w14:textId="77777777" w:rsidR="00E71806" w:rsidRPr="00AF66B6" w:rsidRDefault="00E71806">
            <w:pPr>
              <w:spacing w:before="0" w:after="0" w:line="240" w:lineRule="auto"/>
              <w:rPr>
                <w:b/>
                <w:bCs/>
                <w:color w:val="auto"/>
              </w:rPr>
            </w:pPr>
            <w:r w:rsidRPr="00AF66B6">
              <w:rPr>
                <w:b/>
                <w:bCs/>
                <w:color w:val="auto"/>
              </w:rPr>
              <w:t xml:space="preserve"> Option</w:t>
            </w:r>
          </w:p>
        </w:tc>
        <w:tc>
          <w:tcPr>
            <w:tcW w:w="3408" w:type="dxa"/>
            <w:tcBorders>
              <w:bottom w:val="single" w:sz="4" w:space="0" w:color="auto"/>
            </w:tcBorders>
            <w:shd w:val="clear" w:color="auto" w:fill="E8E8E8" w:themeFill="text1" w:themeFillTint="1A"/>
            <w:vAlign w:val="center"/>
          </w:tcPr>
          <w:p w14:paraId="785B367C" w14:textId="77777777" w:rsidR="00E71806" w:rsidRPr="00AF66B6" w:rsidRDefault="00E71806">
            <w:pPr>
              <w:spacing w:before="0" w:after="0" w:line="240" w:lineRule="auto"/>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Description</w:t>
            </w:r>
          </w:p>
        </w:tc>
        <w:tc>
          <w:tcPr>
            <w:tcW w:w="3069" w:type="dxa"/>
            <w:tcBorders>
              <w:bottom w:val="single" w:sz="4" w:space="0" w:color="auto"/>
            </w:tcBorders>
            <w:shd w:val="clear" w:color="auto" w:fill="E8E8E8" w:themeFill="text1" w:themeFillTint="1A"/>
            <w:vAlign w:val="center"/>
          </w:tcPr>
          <w:p w14:paraId="5E4628AF" w14:textId="77777777" w:rsidR="00E71806" w:rsidRPr="00AF66B6" w:rsidRDefault="00E71806">
            <w:pPr>
              <w:spacing w:before="0" w:after="0" w:line="240" w:lineRule="auto"/>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MCA Criteria</w:t>
            </w:r>
          </w:p>
        </w:tc>
        <w:tc>
          <w:tcPr>
            <w:tcW w:w="1779" w:type="dxa"/>
            <w:tcBorders>
              <w:bottom w:val="single" w:sz="4" w:space="0" w:color="auto"/>
            </w:tcBorders>
            <w:shd w:val="clear" w:color="auto" w:fill="E8E8E8" w:themeFill="text1" w:themeFillTint="1A"/>
            <w:vAlign w:val="center"/>
          </w:tcPr>
          <w:p w14:paraId="4493A24F" w14:textId="77777777" w:rsidR="00E71806" w:rsidRPr="00AF66B6" w:rsidRDefault="00E718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Weighted score</w:t>
            </w:r>
          </w:p>
        </w:tc>
      </w:tr>
      <w:tr w:rsidR="00E71806" w14:paraId="1843458B" w14:textId="77777777">
        <w:trPr>
          <w:jc w:val="center"/>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auto"/>
            </w:tcBorders>
          </w:tcPr>
          <w:p w14:paraId="4EDAE30A" w14:textId="77777777" w:rsidR="00E71806" w:rsidRPr="009B2879" w:rsidRDefault="00E71806">
            <w:pPr>
              <w:spacing w:before="0" w:after="0" w:line="240" w:lineRule="auto"/>
              <w:jc w:val="center"/>
              <w:rPr>
                <w:rFonts w:cstheme="minorHAnsi"/>
              </w:rPr>
            </w:pPr>
            <w:r w:rsidRPr="009B2879">
              <w:rPr>
                <w:rFonts w:cstheme="minorHAnsi"/>
              </w:rPr>
              <w:t>1</w:t>
            </w:r>
          </w:p>
        </w:tc>
        <w:tc>
          <w:tcPr>
            <w:tcW w:w="3408" w:type="dxa"/>
            <w:tcBorders>
              <w:top w:val="single" w:sz="4" w:space="0" w:color="auto"/>
            </w:tcBorders>
          </w:tcPr>
          <w:p w14:paraId="3E44E766"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rPr>
              <w:t>Proposed Regulations – current regulations with amendments</w:t>
            </w:r>
          </w:p>
          <w:p w14:paraId="746E1C0D"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p w14:paraId="3F37236C"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069" w:type="dxa"/>
            <w:tcBorders>
              <w:top w:val="single" w:sz="4" w:space="0" w:color="auto"/>
            </w:tcBorders>
          </w:tcPr>
          <w:p w14:paraId="4156B416"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life</w:t>
            </w:r>
          </w:p>
          <w:p w14:paraId="36477F44"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environment</w:t>
            </w:r>
            <w:r w:rsidRPr="009B2879">
              <w:rPr>
                <w:rFonts w:cstheme="minorHAnsi"/>
                <w:color w:val="000000"/>
              </w:rPr>
              <w:t xml:space="preserve"> </w:t>
            </w:r>
          </w:p>
          <w:p w14:paraId="6FEA3448"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assurance</w:t>
            </w:r>
            <w:r w:rsidRPr="009B2879">
              <w:rPr>
                <w:rFonts w:cstheme="minorHAnsi"/>
                <w:color w:val="000000"/>
              </w:rPr>
              <w:t xml:space="preserve"> </w:t>
            </w:r>
          </w:p>
          <w:p w14:paraId="06E4B388"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costs</w:t>
            </w:r>
            <w:r w:rsidRPr="009B2879">
              <w:rPr>
                <w:rFonts w:cstheme="minorHAnsi"/>
                <w:color w:val="000000"/>
              </w:rPr>
              <w:t xml:space="preserve"> </w:t>
            </w:r>
          </w:p>
          <w:p w14:paraId="0EC8282C"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Individual costs</w:t>
            </w:r>
            <w:r w:rsidRPr="009B2879">
              <w:rPr>
                <w:rFonts w:cstheme="minorHAnsi"/>
                <w:color w:val="000000"/>
              </w:rPr>
              <w:t xml:space="preserve"> </w:t>
            </w:r>
          </w:p>
          <w:p w14:paraId="2FB9E991"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Government costs</w:t>
            </w:r>
          </w:p>
          <w:p w14:paraId="0A422164" w14:textId="77777777" w:rsidR="00E71806" w:rsidRPr="009B2879" w:rsidRDefault="00E7180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i/>
                <w:iCs/>
              </w:rPr>
            </w:pPr>
            <w:r w:rsidRPr="009B2879">
              <w:rPr>
                <w:rFonts w:cstheme="minorHAnsi"/>
                <w:b/>
                <w:bCs/>
                <w:i/>
                <w:iCs/>
                <w:color w:val="000000"/>
              </w:rPr>
              <w:t>Total</w:t>
            </w:r>
          </w:p>
        </w:tc>
        <w:tc>
          <w:tcPr>
            <w:tcW w:w="1779" w:type="dxa"/>
            <w:tcBorders>
              <w:top w:val="single" w:sz="4" w:space="0" w:color="auto"/>
            </w:tcBorders>
          </w:tcPr>
          <w:p w14:paraId="2607B845"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p w14:paraId="1134F8B9"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p w14:paraId="383699E3"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p w14:paraId="21BA7AA6"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p w14:paraId="09FFFC56"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3C803467"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p w14:paraId="1D671FFF" w14:textId="77777777" w:rsidR="00E71806" w:rsidRPr="009B2879"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b/>
                <w:bCs/>
              </w:rPr>
              <w:t>+1.8</w:t>
            </w:r>
          </w:p>
        </w:tc>
      </w:tr>
      <w:tr w:rsidR="00E71806" w14:paraId="62070404" w14:textId="77777777">
        <w:trPr>
          <w:jc w:val="center"/>
        </w:trPr>
        <w:tc>
          <w:tcPr>
            <w:cnfStyle w:val="001000000000" w:firstRow="0" w:lastRow="0" w:firstColumn="1" w:lastColumn="0" w:oddVBand="0" w:evenVBand="0" w:oddHBand="0" w:evenHBand="0" w:firstRowFirstColumn="0" w:firstRowLastColumn="0" w:lastRowFirstColumn="0" w:lastRowLastColumn="0"/>
            <w:tcW w:w="1383" w:type="dxa"/>
          </w:tcPr>
          <w:p w14:paraId="67CF990B" w14:textId="77777777" w:rsidR="00E71806" w:rsidRPr="009B2879" w:rsidRDefault="00E71806">
            <w:pPr>
              <w:spacing w:before="0" w:after="0" w:line="240" w:lineRule="auto"/>
              <w:jc w:val="center"/>
              <w:rPr>
                <w:rFonts w:cstheme="minorHAnsi"/>
              </w:rPr>
            </w:pPr>
            <w:r w:rsidRPr="009B2879">
              <w:rPr>
                <w:rFonts w:cstheme="minorHAnsi"/>
              </w:rPr>
              <w:t>2</w:t>
            </w:r>
          </w:p>
        </w:tc>
        <w:tc>
          <w:tcPr>
            <w:tcW w:w="3408" w:type="dxa"/>
          </w:tcPr>
          <w:p w14:paraId="222F3A00"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rPr>
              <w:t>Performance-based regulations</w:t>
            </w:r>
          </w:p>
        </w:tc>
        <w:tc>
          <w:tcPr>
            <w:tcW w:w="3069" w:type="dxa"/>
          </w:tcPr>
          <w:p w14:paraId="08D0E746"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life</w:t>
            </w:r>
          </w:p>
          <w:p w14:paraId="514510AA"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environment</w:t>
            </w:r>
            <w:r w:rsidRPr="009B2879">
              <w:rPr>
                <w:rFonts w:cstheme="minorHAnsi"/>
                <w:color w:val="000000"/>
              </w:rPr>
              <w:t xml:space="preserve"> </w:t>
            </w:r>
          </w:p>
          <w:p w14:paraId="619D385A"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assurance</w:t>
            </w:r>
            <w:r w:rsidRPr="009B2879">
              <w:rPr>
                <w:rFonts w:cstheme="minorHAnsi"/>
                <w:color w:val="000000"/>
              </w:rPr>
              <w:t xml:space="preserve"> </w:t>
            </w:r>
          </w:p>
          <w:p w14:paraId="6787B26E"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costs</w:t>
            </w:r>
            <w:r w:rsidRPr="009B2879">
              <w:rPr>
                <w:rFonts w:cstheme="minorHAnsi"/>
                <w:color w:val="000000"/>
              </w:rPr>
              <w:t xml:space="preserve"> </w:t>
            </w:r>
          </w:p>
          <w:p w14:paraId="5BD508B7"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Individual costs</w:t>
            </w:r>
            <w:r w:rsidRPr="009B2879">
              <w:rPr>
                <w:rFonts w:cstheme="minorHAnsi"/>
                <w:color w:val="000000"/>
              </w:rPr>
              <w:t xml:space="preserve"> </w:t>
            </w:r>
          </w:p>
          <w:p w14:paraId="16BC3DC2"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Government costs</w:t>
            </w:r>
          </w:p>
          <w:p w14:paraId="4E99F6D2" w14:textId="77777777" w:rsidR="00E71806" w:rsidRPr="009B2879" w:rsidRDefault="00E7180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b/>
                <w:bCs/>
                <w:i/>
                <w:iCs/>
                <w:color w:val="000000"/>
              </w:rPr>
              <w:t>Total</w:t>
            </w:r>
          </w:p>
        </w:tc>
        <w:tc>
          <w:tcPr>
            <w:tcW w:w="1779" w:type="dxa"/>
          </w:tcPr>
          <w:p w14:paraId="039EAABD"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0.8</w:t>
            </w:r>
          </w:p>
          <w:p w14:paraId="7908BCF8"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0.8</w:t>
            </w:r>
          </w:p>
          <w:p w14:paraId="5F466BA8"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0.65</w:t>
            </w:r>
          </w:p>
          <w:p w14:paraId="2B9CE5B9"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3D25ADF1"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w:t>
            </w:r>
          </w:p>
          <w:p w14:paraId="698ED82E"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-0.65</w:t>
            </w:r>
          </w:p>
          <w:p w14:paraId="2808508D" w14:textId="77777777" w:rsidR="00E71806" w:rsidRPr="00BE07FA"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E07FA">
              <w:rPr>
                <w:rFonts w:cstheme="minorHAnsi"/>
                <w:b/>
                <w:bCs/>
              </w:rPr>
              <w:t>+1.00</w:t>
            </w:r>
          </w:p>
        </w:tc>
      </w:tr>
      <w:tr w:rsidR="00E71806" w14:paraId="263A32BC" w14:textId="77777777">
        <w:trPr>
          <w:jc w:val="center"/>
        </w:trPr>
        <w:tc>
          <w:tcPr>
            <w:cnfStyle w:val="001000000000" w:firstRow="0" w:lastRow="0" w:firstColumn="1" w:lastColumn="0" w:oddVBand="0" w:evenVBand="0" w:oddHBand="0" w:evenHBand="0" w:firstRowFirstColumn="0" w:firstRowLastColumn="0" w:lastRowFirstColumn="0" w:lastRowLastColumn="0"/>
            <w:tcW w:w="1383" w:type="dxa"/>
          </w:tcPr>
          <w:p w14:paraId="423202A4" w14:textId="77777777" w:rsidR="00E71806" w:rsidRPr="009B2879" w:rsidRDefault="00E71806">
            <w:pPr>
              <w:spacing w:before="0" w:after="0" w:line="240" w:lineRule="auto"/>
              <w:jc w:val="center"/>
              <w:rPr>
                <w:rFonts w:cstheme="minorHAnsi"/>
              </w:rPr>
            </w:pPr>
            <w:r w:rsidRPr="009B2879">
              <w:rPr>
                <w:rFonts w:cstheme="minorHAnsi"/>
              </w:rPr>
              <w:t>3</w:t>
            </w:r>
          </w:p>
        </w:tc>
        <w:tc>
          <w:tcPr>
            <w:tcW w:w="3408" w:type="dxa"/>
          </w:tcPr>
          <w:p w14:paraId="139C2AB8"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rPr>
              <w:t>Non-regulatory approach</w:t>
            </w:r>
          </w:p>
        </w:tc>
        <w:tc>
          <w:tcPr>
            <w:tcW w:w="3069" w:type="dxa"/>
          </w:tcPr>
          <w:p w14:paraId="691F7FDA"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life</w:t>
            </w:r>
          </w:p>
          <w:p w14:paraId="7878B212"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environment</w:t>
            </w:r>
            <w:r w:rsidRPr="009B2879">
              <w:rPr>
                <w:rFonts w:cstheme="minorHAnsi"/>
                <w:color w:val="000000"/>
              </w:rPr>
              <w:t xml:space="preserve"> </w:t>
            </w:r>
          </w:p>
          <w:p w14:paraId="4954619D"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assurance</w:t>
            </w:r>
            <w:r w:rsidRPr="009B2879">
              <w:rPr>
                <w:rFonts w:cstheme="minorHAnsi"/>
                <w:color w:val="000000"/>
              </w:rPr>
              <w:t xml:space="preserve"> </w:t>
            </w:r>
          </w:p>
          <w:p w14:paraId="45318E4A"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costs</w:t>
            </w:r>
            <w:r w:rsidRPr="009B2879">
              <w:rPr>
                <w:rFonts w:cstheme="minorHAnsi"/>
                <w:color w:val="000000"/>
              </w:rPr>
              <w:t xml:space="preserve"> </w:t>
            </w:r>
          </w:p>
          <w:p w14:paraId="192C86F3"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Individual costs</w:t>
            </w:r>
            <w:r w:rsidRPr="009B2879">
              <w:rPr>
                <w:rFonts w:cstheme="minorHAnsi"/>
                <w:color w:val="000000"/>
              </w:rPr>
              <w:t xml:space="preserve"> </w:t>
            </w:r>
          </w:p>
          <w:p w14:paraId="5C41D87D" w14:textId="77777777" w:rsidR="00E71806" w:rsidRPr="009B2879" w:rsidRDefault="00E7180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Government costs</w:t>
            </w:r>
          </w:p>
          <w:p w14:paraId="651B26CC" w14:textId="77777777" w:rsidR="00E71806" w:rsidRPr="009B2879" w:rsidRDefault="00E7180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b/>
                <w:bCs/>
                <w:i/>
                <w:iCs/>
                <w:color w:val="000000"/>
              </w:rPr>
              <w:t>Total</w:t>
            </w:r>
          </w:p>
        </w:tc>
        <w:tc>
          <w:tcPr>
            <w:tcW w:w="1779" w:type="dxa"/>
          </w:tcPr>
          <w:p w14:paraId="5DAC55D2"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376540D7"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427552FE"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w:t>
            </w:r>
          </w:p>
          <w:p w14:paraId="29FDC0C7"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-0.05</w:t>
            </w:r>
          </w:p>
          <w:p w14:paraId="06D9585B"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-0.1</w:t>
            </w:r>
          </w:p>
          <w:p w14:paraId="5B1F482A" w14:textId="77777777" w:rsidR="00E7180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w:t>
            </w:r>
          </w:p>
          <w:p w14:paraId="5A205A6F" w14:textId="77777777" w:rsidR="00E71806" w:rsidRPr="00AF66B6" w:rsidRDefault="00E7180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6B6">
              <w:rPr>
                <w:rFonts w:cstheme="minorHAnsi"/>
                <w:b/>
                <w:bCs/>
              </w:rPr>
              <w:t>+0.35</w:t>
            </w:r>
          </w:p>
        </w:tc>
      </w:tr>
    </w:tbl>
    <w:p w14:paraId="3D9CEB01" w14:textId="03EA7614" w:rsidR="00CF584D" w:rsidRDefault="00E71806" w:rsidP="00623AB9">
      <w:pPr>
        <w:spacing w:before="240"/>
      </w:pPr>
      <w:r>
        <w:t xml:space="preserve">Although </w:t>
      </w:r>
      <w:r w:rsidR="00623AB9">
        <w:t>Option 1 has the highe</w:t>
      </w:r>
      <w:r>
        <w:t>st</w:t>
      </w:r>
      <w:r w:rsidR="00623AB9">
        <w:t xml:space="preserve"> cost</w:t>
      </w:r>
      <w:r>
        <w:t>s</w:t>
      </w:r>
      <w:r w:rsidR="00623AB9">
        <w:t xml:space="preserve">, it </w:t>
      </w:r>
      <w:r>
        <w:t xml:space="preserve">also </w:t>
      </w:r>
      <w:r w:rsidR="00623AB9">
        <w:t xml:space="preserve">has the highest </w:t>
      </w:r>
      <w:r w:rsidR="009C4553">
        <w:t xml:space="preserve">overall MCA benefit score and </w:t>
      </w:r>
      <w:r w:rsidR="00623AB9">
        <w:t xml:space="preserve">likelihood of reducing fire risk to justify the costs. </w:t>
      </w:r>
      <w:r w:rsidR="009C4553">
        <w:t xml:space="preserve">Although </w:t>
      </w:r>
      <w:r w:rsidR="00623AB9">
        <w:t>Options 2 and 3 may still result in benefits that outweigh costs, the likelihood that they achieve the government’s objectives is lower</w:t>
      </w:r>
      <w:r w:rsidR="003E5A9F">
        <w:t>, as they</w:t>
      </w:r>
      <w:r w:rsidR="00623AB9">
        <w:t xml:space="preserve"> do not adequately manage the risks associated with campfires. </w:t>
      </w:r>
    </w:p>
    <w:p w14:paraId="2F164621" w14:textId="451AEA08" w:rsidR="00623AB9" w:rsidRDefault="00623AB9" w:rsidP="00623AB9">
      <w:pPr>
        <w:spacing w:before="240"/>
      </w:pPr>
      <w:r>
        <w:t>The proposed Regulations prescribe certain requirements for all campfires that have been proven to reduce the risks of fire spreading. They are also supported by significant penalties, at 50 penalty units or $9,879.50</w:t>
      </w:r>
      <w:r w:rsidR="009C4553">
        <w:rPr>
          <w:rStyle w:val="FootnoteReference"/>
        </w:rPr>
        <w:footnoteReference w:id="4"/>
      </w:r>
      <w:r w:rsidR="00D42E8C">
        <w:t xml:space="preserve"> </w:t>
      </w:r>
      <w:r w:rsidR="00CF22B4">
        <w:t>to reflect that b</w:t>
      </w:r>
      <w:r w:rsidRPr="00434373">
        <w:t>ushfires</w:t>
      </w:r>
      <w:r>
        <w:t xml:space="preserve"> caused by campfires pose a significant risk</w:t>
      </w:r>
      <w:r w:rsidR="00CF22B4">
        <w:t xml:space="preserve"> to the Victorian community</w:t>
      </w:r>
      <w:r>
        <w:t>. The proposed Regulations provide certainty, are easy to comply with, and impose a relatively low regulatory burden.</w:t>
      </w:r>
    </w:p>
    <w:p w14:paraId="048D3B54" w14:textId="4C2F8A9F" w:rsidR="00623AB9" w:rsidRDefault="00623AB9" w:rsidP="00623AB9">
      <w:r>
        <w:t xml:space="preserve">Option 3 is the lowest-cost option, noting however that the scale of information provision costs could be higher than the other options if the information campaign </w:t>
      </w:r>
      <w:r w:rsidR="007861CC">
        <w:t xml:space="preserve">was </w:t>
      </w:r>
      <w:r>
        <w:t>more extensive. As with the other options, it could be reasonably effective because most people ‘do the right thing’. However, without statutory enforcement tools to regulate behaviour (especially in relation to campfires and barbeque</w:t>
      </w:r>
      <w:r w:rsidR="00216AB3">
        <w:t>s</w:t>
      </w:r>
      <w:r>
        <w:t xml:space="preserve">), there is little incentive for those who engage in risky or irresponsible activities to modify their behaviour. </w:t>
      </w:r>
      <w:r w:rsidR="009908C6">
        <w:t>Statutory enforcement tools play an important role in regulating the use of fire, as even a</w:t>
      </w:r>
      <w:r>
        <w:t xml:space="preserve"> single </w:t>
      </w:r>
      <w:r w:rsidR="009908C6">
        <w:t xml:space="preserve">fire </w:t>
      </w:r>
      <w:r>
        <w:t>can result in high-consequence events.</w:t>
      </w:r>
    </w:p>
    <w:p w14:paraId="3929C91A" w14:textId="77777777" w:rsidR="00623AB9" w:rsidRDefault="00623AB9" w:rsidP="00623AB9">
      <w:pPr>
        <w:rPr>
          <w:rFonts w:ascii="Arial" w:hAnsi="Arial" w:cs="Arial"/>
          <w:szCs w:val="22"/>
        </w:rPr>
      </w:pPr>
      <w:r>
        <w:t>Therefore, Option 1, the Proposed Regulations, is assessed as the preferred option.</w:t>
      </w:r>
    </w:p>
    <w:p w14:paraId="1295DA04" w14:textId="0DFB02FD" w:rsidR="002E56F6" w:rsidRPr="00C22A7C" w:rsidRDefault="002E56F6" w:rsidP="00D233F0">
      <w:pPr>
        <w:pStyle w:val="Heading3"/>
        <w:numPr>
          <w:ilvl w:val="0"/>
          <w:numId w:val="0"/>
        </w:numPr>
      </w:pPr>
      <w:bookmarkStart w:id="12" w:name="_Toc187330509"/>
      <w:r>
        <w:t>Preferred Option −</w:t>
      </w:r>
      <w:r w:rsidRPr="00C22A7C">
        <w:t xml:space="preserve"> proposed Regulation</w:t>
      </w:r>
      <w:r>
        <w:t>s</w:t>
      </w:r>
      <w:r w:rsidR="00E72F7E">
        <w:t xml:space="preserve"> (Chapter 6)</w:t>
      </w:r>
      <w:bookmarkEnd w:id="12"/>
    </w:p>
    <w:p w14:paraId="79DD341B" w14:textId="77777777" w:rsidR="002E56F6" w:rsidRPr="00E34B25" w:rsidRDefault="002E56F6" w:rsidP="002E56F6">
      <w:pPr>
        <w:rPr>
          <w:rFonts w:ascii="Arial" w:hAnsi="Arial" w:cs="Arial"/>
          <w:szCs w:val="22"/>
        </w:rPr>
      </w:pPr>
      <w:r>
        <w:rPr>
          <w:rFonts w:ascii="Arial" w:hAnsi="Arial" w:cs="Arial"/>
          <w:szCs w:val="22"/>
        </w:rPr>
        <w:t>The proposed Regulations largely remake the current 2014 Regulations, but there are some amendments, namely:</w:t>
      </w:r>
    </w:p>
    <w:p w14:paraId="3624DBB5" w14:textId="77777777" w:rsidR="002E56F6" w:rsidRPr="002E51FB" w:rsidRDefault="002E56F6" w:rsidP="002E56F6">
      <w:pPr>
        <w:pStyle w:val="ListBullet"/>
        <w:rPr>
          <w:rFonts w:cstheme="minorHAnsi"/>
        </w:rPr>
      </w:pPr>
      <w:r w:rsidRPr="002E51FB">
        <w:rPr>
          <w:rFonts w:cstheme="minorHAnsi"/>
        </w:rPr>
        <w:t>a person must not be outside the line of sight of the campfire or barbeque or be more than 50 metres from the perimeter of the campfire or barbeque (to align the requirements for the entire fire protected area with those in section 66A of the Act).</w:t>
      </w:r>
    </w:p>
    <w:p w14:paraId="3F0D77CF" w14:textId="229E5F80" w:rsidR="002E56F6" w:rsidRPr="002E51FB" w:rsidRDefault="002E56F6" w:rsidP="002E56F6">
      <w:pPr>
        <w:pStyle w:val="ListBullet"/>
        <w:rPr>
          <w:rFonts w:cstheme="minorHAnsi"/>
        </w:rPr>
      </w:pPr>
      <w:r w:rsidRPr="002E51FB">
        <w:rPr>
          <w:rFonts w:cstheme="minorHAnsi"/>
        </w:rPr>
        <w:t xml:space="preserve">the requirements for fires used for bee smokers would now apply for the declared prohibited period, not only “if the weather conditions in the area are such that there is a danger of the spread of fire”. This amendment is also being applied to welding, grinding, soldering and gas-cutting activities. Given the declaration of the prohibited period in each area is aimed at identifying the times of the year when there is a higher risk of fire spread, this will improve certainty for </w:t>
      </w:r>
      <w:r w:rsidR="00092076">
        <w:rPr>
          <w:rFonts w:cstheme="minorHAnsi"/>
        </w:rPr>
        <w:t>beekeepers</w:t>
      </w:r>
      <w:r w:rsidR="00092076" w:rsidRPr="002E51FB">
        <w:rPr>
          <w:rFonts w:cstheme="minorHAnsi"/>
        </w:rPr>
        <w:t xml:space="preserve"> </w:t>
      </w:r>
      <w:r w:rsidRPr="002E51FB">
        <w:rPr>
          <w:rFonts w:cstheme="minorHAnsi"/>
        </w:rPr>
        <w:t>by removing the subjectivity around whether ‘there is a danger’ that the fire could spread.</w:t>
      </w:r>
    </w:p>
    <w:p w14:paraId="02BA1DDD" w14:textId="2D7A730E" w:rsidR="002E56F6" w:rsidRPr="002E51FB" w:rsidRDefault="002E56F6" w:rsidP="002E56F6">
      <w:pPr>
        <w:pStyle w:val="ListBullet"/>
        <w:rPr>
          <w:rFonts w:cstheme="minorHAnsi"/>
        </w:rPr>
      </w:pPr>
      <w:r w:rsidRPr="002E51FB">
        <w:rPr>
          <w:rFonts w:cstheme="minorHAnsi"/>
        </w:rPr>
        <w:t xml:space="preserve">the proposed Regulations include a new regulation that </w:t>
      </w:r>
      <w:r w:rsidR="002A1933">
        <w:rPr>
          <w:rFonts w:cstheme="minorHAnsi"/>
        </w:rPr>
        <w:t>exempts</w:t>
      </w:r>
      <w:r w:rsidR="002A1933" w:rsidRPr="002E51FB">
        <w:rPr>
          <w:rFonts w:cstheme="minorHAnsi"/>
        </w:rPr>
        <w:t xml:space="preserve"> </w:t>
      </w:r>
      <w:r w:rsidR="002A1933">
        <w:rPr>
          <w:rFonts w:cstheme="minorHAnsi"/>
        </w:rPr>
        <w:t xml:space="preserve">(with some exceptions) </w:t>
      </w:r>
      <w:r w:rsidRPr="002E51FB">
        <w:rPr>
          <w:rFonts w:cstheme="minorHAnsi"/>
        </w:rPr>
        <w:t xml:space="preserve">a Traditional Owner group entity that has an agreement under Part 6 of the </w:t>
      </w:r>
      <w:r w:rsidRPr="00D233F0">
        <w:rPr>
          <w:rFonts w:cstheme="minorHAnsi"/>
          <w:i/>
        </w:rPr>
        <w:t>Traditional Owner Settlement Act 2010</w:t>
      </w:r>
      <w:r w:rsidR="006B2265">
        <w:rPr>
          <w:rFonts w:cstheme="minorHAnsi"/>
        </w:rPr>
        <w:t>,</w:t>
      </w:r>
      <w:r w:rsidRPr="002E51FB">
        <w:rPr>
          <w:rFonts w:cstheme="minorHAnsi"/>
        </w:rPr>
        <w:t xml:space="preserve"> from the Regulations in certain circumstances.</w:t>
      </w:r>
    </w:p>
    <w:p w14:paraId="76A97926" w14:textId="151DFD25" w:rsidR="002E56F6" w:rsidRDefault="00F5622B" w:rsidP="002E56F6">
      <w:r>
        <w:rPr>
          <w:rFonts w:cstheme="minorBidi"/>
        </w:rPr>
        <w:t>T</w:t>
      </w:r>
      <w:r w:rsidR="002E56F6" w:rsidRPr="51F6135E">
        <w:rPr>
          <w:rFonts w:cstheme="minorBidi"/>
        </w:rPr>
        <w:t xml:space="preserve">renches </w:t>
      </w:r>
      <w:r w:rsidR="005566C5" w:rsidRPr="51F6135E">
        <w:rPr>
          <w:rFonts w:cstheme="minorBidi"/>
        </w:rPr>
        <w:t xml:space="preserve">are no longer </w:t>
      </w:r>
      <w:r w:rsidR="00876964" w:rsidRPr="51F6135E">
        <w:rPr>
          <w:rFonts w:cstheme="minorBidi"/>
        </w:rPr>
        <w:t>referenced</w:t>
      </w:r>
      <w:r w:rsidR="002E56F6" w:rsidRPr="51F6135E">
        <w:rPr>
          <w:rFonts w:cstheme="minorBidi"/>
        </w:rPr>
        <w:t xml:space="preserve"> as a campfire or barbeque risk reduction option </w:t>
      </w:r>
      <w:r w:rsidR="3C43BD89" w:rsidRPr="51F6135E">
        <w:rPr>
          <w:rFonts w:cstheme="minorBidi"/>
        </w:rPr>
        <w:t>to ensure consistency with the</w:t>
      </w:r>
      <w:r w:rsidR="2DFC6817" w:rsidRPr="51F6135E">
        <w:rPr>
          <w:rFonts w:cstheme="minorBidi"/>
        </w:rPr>
        <w:t xml:space="preserve"> prohibition on digging in the</w:t>
      </w:r>
      <w:r w:rsidR="7E78E9DC" w:rsidRPr="51F6135E">
        <w:rPr>
          <w:rFonts w:cstheme="minorBidi"/>
        </w:rPr>
        <w:t xml:space="preserve"> Forest </w:t>
      </w:r>
      <w:r w:rsidR="2E63BB06" w:rsidRPr="51F6135E">
        <w:rPr>
          <w:rFonts w:cstheme="minorBidi"/>
        </w:rPr>
        <w:t>(</w:t>
      </w:r>
      <w:r w:rsidR="7E78E9DC" w:rsidRPr="51F6135E">
        <w:rPr>
          <w:rFonts w:cstheme="minorBidi"/>
        </w:rPr>
        <w:t>Recreation</w:t>
      </w:r>
      <w:r w:rsidR="1FCB3BD9" w:rsidRPr="51F6135E">
        <w:rPr>
          <w:rFonts w:cstheme="minorBidi"/>
        </w:rPr>
        <w:t>)</w:t>
      </w:r>
      <w:r w:rsidR="7E78E9DC" w:rsidRPr="51F6135E">
        <w:rPr>
          <w:rFonts w:cstheme="minorBidi"/>
        </w:rPr>
        <w:t xml:space="preserve"> Regulations</w:t>
      </w:r>
      <w:r w:rsidR="002E56F6" w:rsidRPr="51F6135E">
        <w:rPr>
          <w:rFonts w:cstheme="minorBidi"/>
        </w:rPr>
        <w:t xml:space="preserve"> </w:t>
      </w:r>
      <w:r w:rsidR="00206B9F">
        <w:rPr>
          <w:rFonts w:cstheme="minorBidi"/>
        </w:rPr>
        <w:t>and provide clarity for community and enforcement. It will also reduce the risk of damage to</w:t>
      </w:r>
      <w:r w:rsidR="002E56F6" w:rsidRPr="51F6135E">
        <w:rPr>
          <w:rFonts w:cstheme="minorBidi"/>
        </w:rPr>
        <w:t xml:space="preserve"> </w:t>
      </w:r>
      <w:r w:rsidR="28D7D15A" w:rsidRPr="51F6135E">
        <w:rPr>
          <w:rFonts w:cstheme="minorBidi"/>
        </w:rPr>
        <w:t xml:space="preserve">environmental and </w:t>
      </w:r>
      <w:r w:rsidR="002E56F6" w:rsidRPr="51F6135E">
        <w:rPr>
          <w:rFonts w:cstheme="minorBidi"/>
        </w:rPr>
        <w:t>Aboriginal Cultural Heritage values.</w:t>
      </w:r>
      <w:r w:rsidR="00123975" w:rsidRPr="51F6135E">
        <w:rPr>
          <w:rFonts w:cstheme="minorBidi"/>
        </w:rPr>
        <w:t xml:space="preserve"> The Regulations will continue to allow properly constructed fireplaces and barbeque appliances to be used, as they effective</w:t>
      </w:r>
      <w:r w:rsidR="79CDCDF5" w:rsidRPr="51F6135E">
        <w:rPr>
          <w:rFonts w:cstheme="minorBidi"/>
        </w:rPr>
        <w:t>ly</w:t>
      </w:r>
      <w:r w:rsidR="00123975" w:rsidRPr="51F6135E">
        <w:rPr>
          <w:rFonts w:cstheme="minorBidi"/>
        </w:rPr>
        <w:t xml:space="preserve"> reduc</w:t>
      </w:r>
      <w:r w:rsidR="1A1537BB" w:rsidRPr="51F6135E">
        <w:rPr>
          <w:rFonts w:cstheme="minorBidi"/>
        </w:rPr>
        <w:t>e</w:t>
      </w:r>
      <w:r w:rsidR="00123975" w:rsidRPr="51F6135E">
        <w:rPr>
          <w:rFonts w:cstheme="minorBidi"/>
        </w:rPr>
        <w:t xml:space="preserve"> fire risk </w:t>
      </w:r>
      <w:r w:rsidR="43998AFB" w:rsidRPr="51F6135E">
        <w:rPr>
          <w:rFonts w:cstheme="minorBidi"/>
        </w:rPr>
        <w:t>with minimal impact to</w:t>
      </w:r>
      <w:r w:rsidR="65A995C3" w:rsidRPr="51F6135E">
        <w:rPr>
          <w:rFonts w:cstheme="minorBidi"/>
        </w:rPr>
        <w:t xml:space="preserve"> </w:t>
      </w:r>
      <w:r w:rsidR="00123975" w:rsidRPr="51F6135E">
        <w:rPr>
          <w:rFonts w:cstheme="minorBidi"/>
        </w:rPr>
        <w:t xml:space="preserve">Aboriginal Cultural Heritage </w:t>
      </w:r>
      <w:r w:rsidR="00B8643B" w:rsidRPr="51F6135E">
        <w:rPr>
          <w:rFonts w:cstheme="minorBidi"/>
        </w:rPr>
        <w:t xml:space="preserve">and environmental </w:t>
      </w:r>
      <w:r w:rsidR="00123975" w:rsidRPr="51F6135E">
        <w:rPr>
          <w:rFonts w:cstheme="minorBidi"/>
        </w:rPr>
        <w:t>values.</w:t>
      </w:r>
      <w:r w:rsidR="00123854">
        <w:rPr>
          <w:rFonts w:cstheme="minorBidi"/>
        </w:rPr>
        <w:t xml:space="preserve"> </w:t>
      </w:r>
      <w:r w:rsidR="002E56F6">
        <w:t xml:space="preserve">There have also been some minor drafting changes to update references and improve clarity (see Appendix B). </w:t>
      </w:r>
    </w:p>
    <w:p w14:paraId="5E999F23" w14:textId="77777777" w:rsidR="002E56F6" w:rsidRDefault="002E56F6" w:rsidP="002E56F6">
      <w:pPr>
        <w:rPr>
          <w:rFonts w:ascii="Arial" w:hAnsi="Arial" w:cs="Arial"/>
          <w:szCs w:val="22"/>
        </w:rPr>
      </w:pPr>
      <w:r>
        <w:rPr>
          <w:rFonts w:ascii="Arial" w:hAnsi="Arial" w:cs="Arial"/>
          <w:szCs w:val="22"/>
        </w:rPr>
        <w:t>The proposed Regulations are made under s</w:t>
      </w:r>
      <w:r w:rsidRPr="00E34B25">
        <w:rPr>
          <w:rFonts w:ascii="Arial" w:hAnsi="Arial" w:cs="Arial"/>
          <w:szCs w:val="22"/>
        </w:rPr>
        <w:t xml:space="preserve">ection 99 of the </w:t>
      </w:r>
      <w:r w:rsidRPr="002E51FB">
        <w:rPr>
          <w:rFonts w:ascii="Arial" w:hAnsi="Arial" w:cs="Arial"/>
          <w:i/>
          <w:iCs/>
          <w:szCs w:val="22"/>
        </w:rPr>
        <w:t>Forests Act 1958</w:t>
      </w:r>
      <w:r>
        <w:rPr>
          <w:rFonts w:ascii="Arial" w:hAnsi="Arial" w:cs="Arial"/>
          <w:szCs w:val="22"/>
        </w:rPr>
        <w:t>.</w:t>
      </w:r>
    </w:p>
    <w:p w14:paraId="4E5A6299" w14:textId="0CC312A6" w:rsidR="006B00E8" w:rsidRPr="002E51FB" w:rsidRDefault="002E51FB" w:rsidP="00D233F0">
      <w:pPr>
        <w:pStyle w:val="Heading3"/>
        <w:numPr>
          <w:ilvl w:val="0"/>
          <w:numId w:val="0"/>
        </w:numPr>
      </w:pPr>
      <w:bookmarkStart w:id="13" w:name="_Toc187330510"/>
      <w:r w:rsidRPr="002E51FB">
        <w:t>Small business and competition impacts</w:t>
      </w:r>
      <w:r w:rsidR="00E72F7E">
        <w:t xml:space="preserve"> (Chapter 6.2 and 6.3)</w:t>
      </w:r>
      <w:bookmarkEnd w:id="13"/>
    </w:p>
    <w:p w14:paraId="7C8573B3" w14:textId="3E7B9316" w:rsidR="006B00E8" w:rsidRDefault="002E56F6" w:rsidP="002E56F6">
      <w:r>
        <w:t xml:space="preserve">Most of the businesses covered by the proposed Regulations would be considered small business. However, compliance with the regulations is generally straightforward, and does not require large capital outlays or onerous reporting requirements. Stakeholder consultation with small businesses subject to the regulations confirmed that the </w:t>
      </w:r>
      <w:r w:rsidR="00123975">
        <w:t xml:space="preserve">Regulations </w:t>
      </w:r>
      <w:r>
        <w:t>did not impose a disproportionate burden on them.</w:t>
      </w:r>
    </w:p>
    <w:p w14:paraId="20B2579E" w14:textId="4A77D72F" w:rsidR="002E56F6" w:rsidRDefault="002E56F6" w:rsidP="002E56F6">
      <w:pPr>
        <w:rPr>
          <w:rFonts w:ascii="Arial" w:hAnsi="Arial" w:cs="Arial"/>
          <w:szCs w:val="22"/>
        </w:rPr>
      </w:pPr>
      <w:r>
        <w:rPr>
          <w:rFonts w:ascii="Arial" w:hAnsi="Arial" w:cs="Arial"/>
          <w:szCs w:val="22"/>
        </w:rPr>
        <w:t>It is assessed</w:t>
      </w:r>
      <w:r w:rsidRPr="002E56F6">
        <w:rPr>
          <w:rFonts w:ascii="Arial" w:hAnsi="Arial" w:cs="Arial"/>
          <w:szCs w:val="22"/>
        </w:rPr>
        <w:t xml:space="preserve"> that</w:t>
      </w:r>
      <w:r w:rsidRPr="002E56F6" w:rsidDel="00123975">
        <w:rPr>
          <w:rFonts w:ascii="Arial" w:hAnsi="Arial" w:cs="Arial"/>
          <w:szCs w:val="22"/>
        </w:rPr>
        <w:t xml:space="preserve"> </w:t>
      </w:r>
      <w:r w:rsidR="00123975">
        <w:rPr>
          <w:rFonts w:ascii="Arial" w:hAnsi="Arial" w:cs="Arial"/>
          <w:szCs w:val="22"/>
        </w:rPr>
        <w:t>the</w:t>
      </w:r>
      <w:r w:rsidR="00123975" w:rsidRPr="002E56F6">
        <w:rPr>
          <w:rFonts w:ascii="Arial" w:hAnsi="Arial" w:cs="Arial"/>
          <w:szCs w:val="22"/>
        </w:rPr>
        <w:t xml:space="preserve"> </w:t>
      </w:r>
      <w:r w:rsidRPr="002E56F6">
        <w:rPr>
          <w:rFonts w:ascii="Arial" w:hAnsi="Arial" w:cs="Arial"/>
          <w:szCs w:val="22"/>
        </w:rPr>
        <w:t>competition impact</w:t>
      </w:r>
      <w:r>
        <w:rPr>
          <w:rFonts w:ascii="Arial" w:hAnsi="Arial" w:cs="Arial"/>
          <w:szCs w:val="22"/>
        </w:rPr>
        <w:t>s</w:t>
      </w:r>
      <w:r w:rsidRPr="002E56F6">
        <w:rPr>
          <w:rFonts w:ascii="Arial" w:hAnsi="Arial" w:cs="Arial"/>
          <w:szCs w:val="22"/>
        </w:rPr>
        <w:t xml:space="preserve"> of the proposed Regulations, if any, </w:t>
      </w:r>
      <w:r>
        <w:rPr>
          <w:rFonts w:ascii="Arial" w:hAnsi="Arial" w:cs="Arial"/>
          <w:szCs w:val="22"/>
        </w:rPr>
        <w:t>are</w:t>
      </w:r>
      <w:r w:rsidRPr="002E56F6">
        <w:rPr>
          <w:rFonts w:ascii="Arial" w:hAnsi="Arial" w:cs="Arial"/>
          <w:szCs w:val="22"/>
        </w:rPr>
        <w:t xml:space="preserve"> expected to be immaterial. The proposed Regulations do impose an additional cost on some activities of businesses (around 5 sawmills and 165 beekeepers), but these costs are small compared to overall business costs, and unlikely to be reflected in any competitive disadvantage.</w:t>
      </w:r>
      <w:r w:rsidR="00E72F7E">
        <w:rPr>
          <w:rFonts w:ascii="Arial" w:hAnsi="Arial" w:cs="Arial"/>
          <w:szCs w:val="22"/>
        </w:rPr>
        <w:t xml:space="preserve"> </w:t>
      </w:r>
      <w:r w:rsidRPr="002E56F6">
        <w:rPr>
          <w:rFonts w:ascii="Arial" w:hAnsi="Arial" w:cs="Arial"/>
          <w:szCs w:val="22"/>
        </w:rPr>
        <w:t>Even so, if there is any minor impact on competition, given the risks and extent of damage done by fires in forest areas, the impact on competition would be justified, given the overall small costs, as demonstrated by the analysis in this RIS.</w:t>
      </w:r>
    </w:p>
    <w:p w14:paraId="658DDDD7" w14:textId="56FA9D5E" w:rsidR="002E51FB" w:rsidRPr="002E51FB" w:rsidRDefault="002E51FB" w:rsidP="00D233F0">
      <w:pPr>
        <w:pStyle w:val="Heading3"/>
        <w:numPr>
          <w:ilvl w:val="0"/>
          <w:numId w:val="0"/>
        </w:numPr>
      </w:pPr>
      <w:bookmarkStart w:id="14" w:name="_Toc187330511"/>
      <w:r w:rsidRPr="002E51FB">
        <w:t>Consultation</w:t>
      </w:r>
      <w:r w:rsidR="00E72F7E">
        <w:t xml:space="preserve"> (Chapter 7)</w:t>
      </w:r>
      <w:bookmarkEnd w:id="14"/>
    </w:p>
    <w:p w14:paraId="6AEA9BFE" w14:textId="7369238A" w:rsidR="002E56F6" w:rsidRDefault="002E56F6" w:rsidP="006B00E8">
      <w:pPr>
        <w:rPr>
          <w:rFonts w:ascii="Arial" w:hAnsi="Arial" w:cs="Arial"/>
          <w:szCs w:val="22"/>
        </w:rPr>
      </w:pPr>
      <w:r w:rsidRPr="00537B28">
        <w:rPr>
          <w:rFonts w:cs="Calibri Light"/>
          <w:szCs w:val="22"/>
        </w:rPr>
        <w:t xml:space="preserve">During </w:t>
      </w:r>
      <w:r w:rsidRPr="00537B28">
        <w:rPr>
          <w:rFonts w:cs="Calibri Light"/>
          <w:bCs/>
          <w:szCs w:val="22"/>
          <w:lang w:val="en-US"/>
        </w:rPr>
        <w:t>the</w:t>
      </w:r>
      <w:r w:rsidRPr="00537B28">
        <w:rPr>
          <w:rFonts w:cs="Calibri Light"/>
          <w:szCs w:val="22"/>
        </w:rPr>
        <w:t xml:space="preserve"> development of this RIS</w:t>
      </w:r>
      <w:r w:rsidR="00A26ADD">
        <w:rPr>
          <w:rFonts w:cs="Calibri Light"/>
          <w:szCs w:val="22"/>
        </w:rPr>
        <w:t>,</w:t>
      </w:r>
      <w:r w:rsidRPr="00537B28">
        <w:rPr>
          <w:rFonts w:cs="Calibri Light"/>
          <w:szCs w:val="22"/>
        </w:rPr>
        <w:t xml:space="preserve"> </w:t>
      </w:r>
      <w:r w:rsidR="00365DB9">
        <w:rPr>
          <w:rFonts w:cs="Calibri Light"/>
          <w:szCs w:val="22"/>
        </w:rPr>
        <w:t>Registered Aboriginal Parties</w:t>
      </w:r>
      <w:r w:rsidR="001E73A6">
        <w:rPr>
          <w:rFonts w:cs="Calibri Light"/>
          <w:szCs w:val="22"/>
        </w:rPr>
        <w:t xml:space="preserve"> and </w:t>
      </w:r>
      <w:r w:rsidRPr="00537B28">
        <w:rPr>
          <w:rFonts w:cs="Calibri Light"/>
          <w:szCs w:val="22"/>
        </w:rPr>
        <w:t>a number of stakeholders</w:t>
      </w:r>
      <w:r w:rsidR="000604AD">
        <w:rPr>
          <w:rFonts w:cs="Calibri Light"/>
          <w:szCs w:val="22"/>
        </w:rPr>
        <w:t xml:space="preserve"> </w:t>
      </w:r>
      <w:r>
        <w:rPr>
          <w:rFonts w:cs="Calibri Light"/>
          <w:szCs w:val="22"/>
        </w:rPr>
        <w:t>including</w:t>
      </w:r>
      <w:r w:rsidR="000604AD">
        <w:rPr>
          <w:rFonts w:cs="Calibri Light"/>
          <w:szCs w:val="22"/>
        </w:rPr>
        <w:t xml:space="preserve"> beekeepers, sawmill operators</w:t>
      </w:r>
      <w:r w:rsidR="001E73A6">
        <w:rPr>
          <w:rFonts w:cs="Calibri Light"/>
          <w:szCs w:val="22"/>
        </w:rPr>
        <w:t xml:space="preserve"> and </w:t>
      </w:r>
      <w:r w:rsidR="000604AD">
        <w:rPr>
          <w:rFonts w:cs="Calibri Light"/>
          <w:szCs w:val="22"/>
        </w:rPr>
        <w:t>industry bodies,</w:t>
      </w:r>
      <w:r>
        <w:rPr>
          <w:rFonts w:cs="Calibri Light"/>
          <w:szCs w:val="22"/>
        </w:rPr>
        <w:t xml:space="preserve"> </w:t>
      </w:r>
      <w:r w:rsidRPr="00537B28">
        <w:rPr>
          <w:rFonts w:cs="Calibri Light"/>
          <w:szCs w:val="22"/>
        </w:rPr>
        <w:t>were contacted seeking preliminary views on how the current Regulations could be improved.</w:t>
      </w:r>
      <w:r>
        <w:rPr>
          <w:rFonts w:cs="Calibri Light"/>
          <w:szCs w:val="22"/>
        </w:rPr>
        <w:t xml:space="preserve"> Preliminary consultation </w:t>
      </w:r>
      <w:r w:rsidR="00A030EA">
        <w:rPr>
          <w:rFonts w:cs="Calibri Light"/>
          <w:szCs w:val="22"/>
        </w:rPr>
        <w:t xml:space="preserve">also </w:t>
      </w:r>
      <w:r>
        <w:rPr>
          <w:rFonts w:cs="Calibri Light"/>
          <w:szCs w:val="22"/>
        </w:rPr>
        <w:t xml:space="preserve">sought data and general views on the </w:t>
      </w:r>
      <w:r w:rsidR="00C41A61">
        <w:rPr>
          <w:rFonts w:cs="Calibri Light"/>
          <w:szCs w:val="22"/>
        </w:rPr>
        <w:t xml:space="preserve">effectiveness </w:t>
      </w:r>
      <w:r>
        <w:rPr>
          <w:rFonts w:cs="Calibri Light"/>
          <w:szCs w:val="22"/>
        </w:rPr>
        <w:t>of the current Regulations and how they might be improved.</w:t>
      </w:r>
    </w:p>
    <w:p w14:paraId="26B49E5A" w14:textId="594D7F2B" w:rsidR="006B00E8" w:rsidRPr="006B00E8" w:rsidRDefault="00A030EA" w:rsidP="00D233F0">
      <w:pPr>
        <w:pStyle w:val="Heading3"/>
        <w:numPr>
          <w:ilvl w:val="0"/>
          <w:numId w:val="0"/>
        </w:numPr>
      </w:pPr>
      <w:bookmarkStart w:id="15" w:name="_Toc187330512"/>
      <w:r>
        <w:t xml:space="preserve">Implementation and </w:t>
      </w:r>
      <w:r w:rsidR="006B00E8" w:rsidRPr="006B00E8">
        <w:t>Evaluation</w:t>
      </w:r>
      <w:r w:rsidR="00E72F7E">
        <w:t xml:space="preserve"> (Chapter 9)</w:t>
      </w:r>
      <w:bookmarkEnd w:id="15"/>
    </w:p>
    <w:p w14:paraId="7FC59321" w14:textId="7E71FF5A" w:rsidR="00E61F3F" w:rsidRPr="00D233F0" w:rsidRDefault="00E61F3F" w:rsidP="006B00E8">
      <w:r w:rsidRPr="00537B28">
        <w:rPr>
          <w:rFonts w:cs="Calibri Light"/>
          <w:szCs w:val="22"/>
        </w:rPr>
        <w:t xml:space="preserve">Given that the proposed Regulations are substantially similar to the current arrangements, no implementation issues are expected to arise for the proposed </w:t>
      </w:r>
      <w:r>
        <w:rPr>
          <w:rFonts w:cs="Calibri Light"/>
          <w:szCs w:val="22"/>
        </w:rPr>
        <w:t>R</w:t>
      </w:r>
      <w:r w:rsidRPr="00537B28">
        <w:rPr>
          <w:rFonts w:cs="Calibri Light"/>
          <w:szCs w:val="22"/>
        </w:rPr>
        <w:t>egulations.</w:t>
      </w:r>
      <w:r>
        <w:rPr>
          <w:rFonts w:cs="Calibri Light"/>
          <w:szCs w:val="22"/>
        </w:rPr>
        <w:t xml:space="preserve"> </w:t>
      </w:r>
      <w:r w:rsidRPr="00537B28">
        <w:rPr>
          <w:rFonts w:cs="Calibri Light"/>
          <w:szCs w:val="22"/>
        </w:rPr>
        <w:t>However, in relation to minor changes, DEECA and the Conservation Regulator will work with affected parties to communicate these changes.</w:t>
      </w:r>
    </w:p>
    <w:p w14:paraId="7A2BB424" w14:textId="6C4720E3" w:rsidR="006B00E8" w:rsidRPr="00541223" w:rsidRDefault="006B00E8" w:rsidP="006B00E8">
      <w:pPr>
        <w:rPr>
          <w:rFonts w:ascii="Arial" w:hAnsi="Arial" w:cs="Arial"/>
          <w:szCs w:val="22"/>
        </w:rPr>
      </w:pPr>
      <w:r w:rsidRPr="00541223">
        <w:rPr>
          <w:rFonts w:ascii="Arial" w:hAnsi="Arial" w:cs="Arial"/>
          <w:szCs w:val="22"/>
        </w:rPr>
        <w:t xml:space="preserve">Consistent with the Victorian Government’s commitment to better regulation and a culture of continuous improvement, agencies must evaluate all regulations. Evaluation involves improving knowledge about the problem to improve regulatory effectiveness over time. </w:t>
      </w:r>
    </w:p>
    <w:p w14:paraId="79AAB3EC" w14:textId="77777777" w:rsidR="006B00E8" w:rsidRPr="00541223" w:rsidRDefault="006B00E8" w:rsidP="006B00E8">
      <w:pPr>
        <w:rPr>
          <w:rFonts w:ascii="Arial" w:hAnsi="Arial" w:cs="Arial"/>
          <w:szCs w:val="22"/>
        </w:rPr>
      </w:pPr>
      <w:r w:rsidRPr="00541223">
        <w:rPr>
          <w:rFonts w:ascii="Arial" w:hAnsi="Arial" w:cs="Arial"/>
          <w:szCs w:val="22"/>
        </w:rPr>
        <w:t>DEECA’s evaluation of the proposed Regulations will include collecting information from compliance operations and activities, which may identify regulatory breaches that result in warnings and infringement notices being issued, and court proceedings being commenced. The effectiveness of these activities will be measured in the number of breaches against the regulations.</w:t>
      </w:r>
    </w:p>
    <w:p w14:paraId="4CA791CB" w14:textId="0194DACC" w:rsidR="0077720E" w:rsidRDefault="006B00E8" w:rsidP="00EC6CC0">
      <w:pPr>
        <w:pStyle w:val="BodyText"/>
        <w:rPr>
          <w:rFonts w:eastAsiaTheme="majorEastAsia"/>
        </w:rPr>
        <w:sectPr w:rsidR="0077720E" w:rsidSect="005C24D2">
          <w:pgSz w:w="11907" w:h="16839" w:code="9"/>
          <w:pgMar w:top="1134" w:right="1134" w:bottom="1134" w:left="1134" w:header="283" w:footer="283" w:gutter="0"/>
          <w:cols w:space="720"/>
          <w:noEndnote/>
          <w:docGrid w:linePitch="360"/>
        </w:sectPr>
      </w:pPr>
      <w:r w:rsidRPr="00541223">
        <w:rPr>
          <w:rFonts w:ascii="Arial" w:hAnsi="Arial" w:cs="Arial"/>
          <w:szCs w:val="22"/>
        </w:rPr>
        <w:t xml:space="preserve">Given that the proposed Regulations are similar to those which have been in place for more than three decades, a formal mid-term review is not considered necessary. However, DEECA will monitor the operation of new provisions and changes closely, and will evaluate the regulations in 8 or 9 years’ time prior to </w:t>
      </w:r>
      <w:r>
        <w:rPr>
          <w:rFonts w:ascii="Arial" w:hAnsi="Arial" w:cs="Arial"/>
          <w:szCs w:val="22"/>
        </w:rPr>
        <w:t xml:space="preserve">their </w:t>
      </w:r>
      <w:r w:rsidRPr="00541223">
        <w:rPr>
          <w:rFonts w:ascii="Arial" w:hAnsi="Arial" w:cs="Arial"/>
          <w:szCs w:val="22"/>
        </w:rPr>
        <w:t>sunsetting</w:t>
      </w:r>
      <w:r>
        <w:rPr>
          <w:rFonts w:ascii="Arial" w:hAnsi="Arial" w:cs="Arial"/>
          <w:szCs w:val="22"/>
        </w:rPr>
        <w:t>.</w:t>
      </w:r>
    </w:p>
    <w:p w14:paraId="326F48D2" w14:textId="5A98E189" w:rsidR="00EC6CC0" w:rsidRDefault="0077720E" w:rsidP="0077720E">
      <w:pPr>
        <w:pStyle w:val="Heading1"/>
      </w:pPr>
      <w:bookmarkStart w:id="16" w:name="_Toc187330513"/>
      <w:r>
        <w:t>Purpose of this RIS</w:t>
      </w:r>
      <w:bookmarkEnd w:id="16"/>
    </w:p>
    <w:p w14:paraId="7F591C53" w14:textId="157307EF" w:rsidR="003A3CE6" w:rsidRDefault="003A3CE6" w:rsidP="003A3CE6">
      <w:pPr>
        <w:pStyle w:val="Heading2"/>
      </w:pPr>
      <w:bookmarkStart w:id="17" w:name="_Toc187330514"/>
      <w:r>
        <w:t>Requirements for making Regulations</w:t>
      </w:r>
      <w:bookmarkEnd w:id="17"/>
    </w:p>
    <w:p w14:paraId="711F41C9" w14:textId="77777777" w:rsidR="00D9285C" w:rsidRDefault="00D9285C" w:rsidP="00D9285C">
      <w:r>
        <w:t xml:space="preserve">Before making regulations, the </w:t>
      </w:r>
      <w:r w:rsidRPr="00355D7E">
        <w:rPr>
          <w:i/>
          <w:iCs/>
        </w:rPr>
        <w:t>Subordinate Legislation Act 1994</w:t>
      </w:r>
      <w:r>
        <w:t xml:space="preserve"> (SLA) requires the preparation of a Regulatory Impact Statement (RIS).</w:t>
      </w:r>
      <w:r>
        <w:rPr>
          <w:rStyle w:val="FootnoteReference"/>
        </w:rPr>
        <w:footnoteReference w:id="5"/>
      </w:r>
      <w:r>
        <w:t xml:space="preserve"> A RIS is intended to assist in public consultation on proposed Regulations by setting out the basis on which the Government believes the proposed Regulations are necessary, likely to result in benefits that outweigh the costs, and are preferred over other means of achieving the policy objectives. A RIS provides the Government and the Victorian community with evidence and analysis about proposed regulations and opportunities for the community to provide input into their design. This improves the quality of regulations.</w:t>
      </w:r>
      <w:r>
        <w:rPr>
          <w:rStyle w:val="FootnoteReference"/>
        </w:rPr>
        <w:footnoteReference w:id="6"/>
      </w:r>
    </w:p>
    <w:p w14:paraId="572BA30B" w14:textId="77777777" w:rsidR="00D9285C" w:rsidRDefault="00D9285C" w:rsidP="00D9285C">
      <w:r>
        <w:t>Under the SLA, a RIS must include:</w:t>
      </w:r>
      <w:r>
        <w:rPr>
          <w:rStyle w:val="FootnoteReference"/>
        </w:rPr>
        <w:footnoteReference w:id="7"/>
      </w:r>
    </w:p>
    <w:p w14:paraId="401AD3E8" w14:textId="77777777" w:rsidR="00D9285C" w:rsidRPr="00353136" w:rsidRDefault="00D9285C" w:rsidP="001F32EF">
      <w:pPr>
        <w:pStyle w:val="ListBullet"/>
      </w:pPr>
      <w:r>
        <w:t xml:space="preserve">a statement of </w:t>
      </w:r>
      <w:r w:rsidRPr="00353136">
        <w:t>the objectives of the proposed regulations</w:t>
      </w:r>
    </w:p>
    <w:p w14:paraId="60404F3C" w14:textId="77777777" w:rsidR="00D9285C" w:rsidRPr="00353136" w:rsidRDefault="00D9285C" w:rsidP="001F32EF">
      <w:pPr>
        <w:pStyle w:val="ListBullet"/>
      </w:pPr>
      <w:r w:rsidRPr="00353136">
        <w:t>a statement explaining the effect of the proposed regulations</w:t>
      </w:r>
      <w:r w:rsidRPr="003861A6">
        <w:rPr>
          <w:rStyle w:val="FootnoteReference"/>
        </w:rPr>
        <w:footnoteReference w:id="8"/>
      </w:r>
    </w:p>
    <w:p w14:paraId="1E2C967A" w14:textId="77777777" w:rsidR="00D9285C" w:rsidRPr="00353136" w:rsidRDefault="00D9285C" w:rsidP="001F32EF">
      <w:pPr>
        <w:pStyle w:val="ListBullet"/>
      </w:pPr>
      <w:r w:rsidRPr="00353136">
        <w:t>a statement of other practicable means of achieving those objectives, including other regulatory as well as non-regulatory options</w:t>
      </w:r>
    </w:p>
    <w:p w14:paraId="2F958C74" w14:textId="3FF97378" w:rsidR="00D9285C" w:rsidRPr="00353136" w:rsidRDefault="00D9285C" w:rsidP="001F32EF">
      <w:pPr>
        <w:pStyle w:val="ListBullet"/>
      </w:pPr>
      <w:r w:rsidRPr="00353136">
        <w:t>an assessment of the costs and benefits of the proposed statutory rule and of any other practicable means of achieving the same objectives</w:t>
      </w:r>
      <w:r w:rsidR="00274EC7">
        <w:t xml:space="preserve"> – </w:t>
      </w:r>
      <w:r w:rsidRPr="00353136">
        <w:t xml:space="preserve">the assessment of the costs and benefits must include an assessment of the economic, </w:t>
      </w:r>
      <w:bookmarkStart w:id="18" w:name="_Int_sXyUfDsJ"/>
      <w:r w:rsidRPr="00353136">
        <w:t>environmental</w:t>
      </w:r>
      <w:bookmarkEnd w:id="18"/>
      <w:r w:rsidRPr="00353136">
        <w:t xml:space="preserve"> and social impact and the likely administration and compliance costs including resource allocation costs</w:t>
      </w:r>
    </w:p>
    <w:p w14:paraId="173A1895" w14:textId="77777777" w:rsidR="00D9285C" w:rsidRPr="00353136" w:rsidRDefault="00D9285C" w:rsidP="001F32EF">
      <w:pPr>
        <w:pStyle w:val="ListBullet"/>
      </w:pPr>
      <w:r w:rsidRPr="00353136">
        <w:t>the reasons why the other means are not appropriate</w:t>
      </w:r>
    </w:p>
    <w:p w14:paraId="2ACDC8D3" w14:textId="77777777" w:rsidR="00D9285C" w:rsidRPr="00353136" w:rsidRDefault="00D9285C" w:rsidP="001F32EF">
      <w:pPr>
        <w:pStyle w:val="ListBullet"/>
      </w:pPr>
      <w:r w:rsidRPr="00353136">
        <w:t>an assessment of the impacts on competition</w:t>
      </w:r>
      <w:r w:rsidRPr="00353136">
        <w:rPr>
          <w:rStyle w:val="FootnoteReference"/>
        </w:rPr>
        <w:footnoteReference w:id="9"/>
      </w:r>
    </w:p>
    <w:p w14:paraId="339DFF13" w14:textId="77777777" w:rsidR="00D9285C" w:rsidRPr="00353136" w:rsidRDefault="00D9285C" w:rsidP="001F32EF">
      <w:pPr>
        <w:pStyle w:val="ListBullet"/>
      </w:pPr>
      <w:r w:rsidRPr="00353136">
        <w:t>a statement on how the proposed regulations will be implemented and evaluated</w:t>
      </w:r>
      <w:r w:rsidRPr="00353136">
        <w:rPr>
          <w:rStyle w:val="FootnoteReference"/>
        </w:rPr>
        <w:footnoteReference w:id="10"/>
      </w:r>
    </w:p>
    <w:p w14:paraId="4F4F4D20" w14:textId="77777777" w:rsidR="00D9285C" w:rsidRDefault="00D9285C" w:rsidP="001F32EF">
      <w:pPr>
        <w:pStyle w:val="ListBullet"/>
      </w:pPr>
      <w:r w:rsidRPr="00353136">
        <w:t>an explanation of how the views of stakeholders consulted to date informed the impact assessm</w:t>
      </w:r>
      <w:r>
        <w:t>ent and how future consultation will be undertaken.</w:t>
      </w:r>
    </w:p>
    <w:p w14:paraId="304E9A92" w14:textId="77777777" w:rsidR="00D9285C" w:rsidRDefault="00D9285C" w:rsidP="00D9285C">
      <w:r>
        <w:t xml:space="preserve">Prior to publication of the RIS, independent advice is received from the </w:t>
      </w:r>
      <w:r w:rsidRPr="00DB0CA1">
        <w:t>Commissioner for Better Regulation</w:t>
      </w:r>
      <w:r>
        <w:t xml:space="preserve"> </w:t>
      </w:r>
      <w:r w:rsidRPr="006500A2">
        <w:t xml:space="preserve">as to the adequacy of the </w:t>
      </w:r>
      <w:r>
        <w:t>RIS</w:t>
      </w:r>
      <w:r w:rsidRPr="006500A2">
        <w:t xml:space="preserve"> and of the assessment included in the </w:t>
      </w:r>
      <w:r>
        <w:t>RIS.</w:t>
      </w:r>
      <w:r>
        <w:rPr>
          <w:rStyle w:val="FootnoteReference"/>
        </w:rPr>
        <w:footnoteReference w:id="11"/>
      </w:r>
    </w:p>
    <w:p w14:paraId="528C93A0" w14:textId="319532C7" w:rsidR="00D9285C" w:rsidRDefault="00D9285C" w:rsidP="00D9285C">
      <w:r>
        <w:t xml:space="preserve">Following publication of the RIS with the proposed Regulations, all </w:t>
      </w:r>
      <w:r w:rsidRPr="002823C3">
        <w:t xml:space="preserve">comments and submissions </w:t>
      </w:r>
      <w:r>
        <w:t>must be</w:t>
      </w:r>
      <w:r w:rsidRPr="002823C3">
        <w:t xml:space="preserve"> considered before the </w:t>
      </w:r>
      <w:r>
        <w:t>Regulations</w:t>
      </w:r>
      <w:r w:rsidRPr="002823C3">
        <w:t xml:space="preserve"> </w:t>
      </w:r>
      <w:r>
        <w:t>are</w:t>
      </w:r>
      <w:r w:rsidRPr="002823C3">
        <w:t xml:space="preserve"> made</w:t>
      </w:r>
      <w:r>
        <w:t>.</w:t>
      </w:r>
      <w:r>
        <w:rPr>
          <w:rStyle w:val="FootnoteReference"/>
        </w:rPr>
        <w:footnoteReference w:id="12"/>
      </w:r>
      <w:r>
        <w:t xml:space="preserve"> A Statement of Reasons is published following the making of the Regulations, explaining how the comments and submissions have been addressed in the final version of the Regulations.</w:t>
      </w:r>
      <w:r>
        <w:rPr>
          <w:rStyle w:val="FootnoteReference"/>
        </w:rPr>
        <w:footnoteReference w:id="13"/>
      </w:r>
    </w:p>
    <w:p w14:paraId="760850FD" w14:textId="77777777" w:rsidR="00D9285C" w:rsidRDefault="00D9285C" w:rsidP="00D9285C">
      <w:pPr>
        <w:pStyle w:val="Heading2"/>
      </w:pPr>
      <w:bookmarkStart w:id="19" w:name="_Toc187330515"/>
      <w:r>
        <w:t>The Government’s approach to regulation</w:t>
      </w:r>
      <w:bookmarkEnd w:id="19"/>
    </w:p>
    <w:p w14:paraId="38180162" w14:textId="77777777" w:rsidR="00D9285C" w:rsidRDefault="00D9285C" w:rsidP="00D9285C">
      <w:r>
        <w:t>The Victorian Government is committed to delivering better regulation. Better regulation is:</w:t>
      </w:r>
    </w:p>
    <w:p w14:paraId="0BF9CFAA" w14:textId="77777777" w:rsidR="00D9285C" w:rsidRDefault="00D9285C" w:rsidP="00DC4857">
      <w:pPr>
        <w:pStyle w:val="ListBullet"/>
      </w:pPr>
      <w:r w:rsidRPr="00F62A27">
        <w:rPr>
          <w:i/>
          <w:iCs/>
        </w:rPr>
        <w:t>effective</w:t>
      </w:r>
      <w:r>
        <w:t xml:space="preserve"> in protecting the community from harm and </w:t>
      </w:r>
      <w:r w:rsidRPr="00F62A27">
        <w:rPr>
          <w:i/>
          <w:iCs/>
        </w:rPr>
        <w:t>efficient</w:t>
      </w:r>
      <w:r>
        <w:t xml:space="preserve"> in terms of limiting burden on businesses and the community</w:t>
      </w:r>
    </w:p>
    <w:p w14:paraId="09A0760B" w14:textId="77777777" w:rsidR="00D9285C" w:rsidRDefault="00D9285C" w:rsidP="00DC4857">
      <w:pPr>
        <w:pStyle w:val="ListBullet"/>
      </w:pPr>
      <w:r w:rsidRPr="00F62A27">
        <w:rPr>
          <w:i/>
          <w:iCs/>
        </w:rPr>
        <w:t>clear</w:t>
      </w:r>
      <w:r>
        <w:t xml:space="preserve"> to stakeholders, </w:t>
      </w:r>
      <w:r w:rsidRPr="00F62A27">
        <w:rPr>
          <w:i/>
          <w:iCs/>
        </w:rPr>
        <w:t>consistent</w:t>
      </w:r>
      <w:r>
        <w:t xml:space="preserve"> with other regulatory obligations</w:t>
      </w:r>
    </w:p>
    <w:p w14:paraId="6BDD29D5" w14:textId="05ED3727" w:rsidR="00D9285C" w:rsidRDefault="00D9285C" w:rsidP="00DC4857">
      <w:pPr>
        <w:pStyle w:val="ListBullet"/>
      </w:pPr>
      <w:r w:rsidRPr="00F62A27">
        <w:rPr>
          <w:i/>
          <w:iCs/>
        </w:rPr>
        <w:t>proportionate</w:t>
      </w:r>
      <w:r>
        <w:t xml:space="preserve"> to the scale of the problem and </w:t>
      </w:r>
      <w:r w:rsidRPr="00F62A27">
        <w:rPr>
          <w:i/>
          <w:iCs/>
        </w:rPr>
        <w:t>flexible</w:t>
      </w:r>
      <w:r>
        <w:t xml:space="preserve"> to changes in technology and society.</w:t>
      </w:r>
      <w:r>
        <w:rPr>
          <w:rStyle w:val="FootnoteReference"/>
        </w:rPr>
        <w:footnoteReference w:id="14"/>
      </w:r>
    </w:p>
    <w:p w14:paraId="1E9AC62B" w14:textId="77777777" w:rsidR="00D9285C" w:rsidRDefault="00D9285C" w:rsidP="00D9285C">
      <w:r>
        <w:t>The following summary of the principles for regulation in Victoria is taken from the Victorian Guide to Regulation.</w:t>
      </w:r>
      <w:r>
        <w:rPr>
          <w:rStyle w:val="FootnoteReference"/>
        </w:rPr>
        <w:footnoteReference w:id="15"/>
      </w:r>
    </w:p>
    <w:tbl>
      <w:tblPr>
        <w:tblStyle w:val="TableGrid"/>
        <w:tblW w:w="0" w:type="auto"/>
        <w:tblBorders>
          <w:top w:val="none" w:sz="0" w:space="0" w:color="auto"/>
          <w:bottom w:val="none" w:sz="0" w:space="0" w:color="auto"/>
          <w:insideH w:val="none" w:sz="0" w:space="0" w:color="auto"/>
        </w:tblBorders>
        <w:shd w:val="clear" w:color="auto" w:fill="E3DEF5" w:themeFill="text2" w:themeFillTint="1A"/>
        <w:tblLook w:val="04A0" w:firstRow="1" w:lastRow="0" w:firstColumn="1" w:lastColumn="0" w:noHBand="0" w:noVBand="1"/>
      </w:tblPr>
      <w:tblGrid>
        <w:gridCol w:w="9639"/>
      </w:tblGrid>
      <w:tr w:rsidR="00D9285C" w:rsidRPr="003E4A8B" w14:paraId="71B4EB20" w14:textId="77777777" w:rsidTr="00F10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EFD9" w:themeFill="background2"/>
          </w:tcPr>
          <w:p w14:paraId="32B127C7" w14:textId="77777777" w:rsidR="00D9285C" w:rsidRPr="000B0ED4" w:rsidRDefault="00D9285C" w:rsidP="00BE5CCD">
            <w:pPr>
              <w:pStyle w:val="Boxtext"/>
              <w:rPr>
                <w:b/>
                <w:color w:val="auto"/>
                <w:sz w:val="20"/>
                <w:szCs w:val="22"/>
              </w:rPr>
            </w:pPr>
            <w:r w:rsidRPr="000B0ED4">
              <w:rPr>
                <w:b/>
                <w:color w:val="auto"/>
                <w:sz w:val="20"/>
                <w:szCs w:val="22"/>
              </w:rPr>
              <w:t>Principles for regulation in Victoria</w:t>
            </w:r>
          </w:p>
          <w:p w14:paraId="514FD40F" w14:textId="77777777" w:rsidR="00D9285C" w:rsidRPr="000B0ED4" w:rsidRDefault="00D9285C" w:rsidP="00BE5CCD">
            <w:pPr>
              <w:pStyle w:val="Boxtext"/>
              <w:rPr>
                <w:color w:val="auto"/>
                <w:sz w:val="20"/>
                <w:szCs w:val="22"/>
              </w:rPr>
            </w:pPr>
            <w:r w:rsidRPr="000B0ED4">
              <w:rPr>
                <w:color w:val="auto"/>
                <w:sz w:val="20"/>
                <w:szCs w:val="22"/>
              </w:rPr>
              <w:t>The Government is committed to the following best practice regulatory principles to guide the design, implementation and review of all regulatory proposals and changes to existing regulations in Victoria.</w:t>
            </w:r>
          </w:p>
          <w:p w14:paraId="7E872A53" w14:textId="77777777" w:rsidR="00D9285C" w:rsidRPr="000B0ED4" w:rsidRDefault="00D9285C" w:rsidP="00BE5CCD">
            <w:pPr>
              <w:pStyle w:val="Boxtext"/>
              <w:rPr>
                <w:color w:val="auto"/>
                <w:sz w:val="20"/>
                <w:szCs w:val="22"/>
              </w:rPr>
            </w:pPr>
            <w:r w:rsidRPr="000B0ED4">
              <w:rPr>
                <w:color w:val="auto"/>
                <w:sz w:val="20"/>
                <w:szCs w:val="22"/>
              </w:rPr>
              <w:t>The Government requires regulation to be:</w:t>
            </w:r>
          </w:p>
          <w:p w14:paraId="226F9B0E" w14:textId="77777777" w:rsidR="00D9285C" w:rsidRPr="00C56B8D" w:rsidRDefault="00D9285C" w:rsidP="00BE5CCD">
            <w:pPr>
              <w:pStyle w:val="Boxdots"/>
              <w:rPr>
                <w:color w:val="auto"/>
                <w:sz w:val="20"/>
                <w:szCs w:val="22"/>
              </w:rPr>
            </w:pPr>
            <w:r w:rsidRPr="00C56B8D">
              <w:rPr>
                <w:color w:val="auto"/>
                <w:sz w:val="20"/>
                <w:szCs w:val="22"/>
              </w:rPr>
              <w:t>effective in addressing the underlying causes of harm</w:t>
            </w:r>
          </w:p>
          <w:p w14:paraId="2E9C26F4" w14:textId="77777777" w:rsidR="00D9285C" w:rsidRPr="00C56B8D" w:rsidRDefault="00D9285C" w:rsidP="00BE5CCD">
            <w:pPr>
              <w:pStyle w:val="Boxdots"/>
              <w:rPr>
                <w:color w:val="auto"/>
                <w:sz w:val="20"/>
                <w:szCs w:val="22"/>
              </w:rPr>
            </w:pPr>
            <w:r w:rsidRPr="00C56B8D">
              <w:rPr>
                <w:color w:val="auto"/>
                <w:sz w:val="20"/>
                <w:szCs w:val="22"/>
              </w:rPr>
              <w:t>cost effective</w:t>
            </w:r>
          </w:p>
          <w:p w14:paraId="378F2154" w14:textId="77777777" w:rsidR="00D9285C" w:rsidRPr="00C56B8D" w:rsidRDefault="00D9285C" w:rsidP="00BE5CCD">
            <w:pPr>
              <w:pStyle w:val="Boxdots"/>
              <w:rPr>
                <w:color w:val="auto"/>
                <w:sz w:val="20"/>
                <w:szCs w:val="22"/>
              </w:rPr>
            </w:pPr>
            <w:r w:rsidRPr="00C56B8D">
              <w:rPr>
                <w:color w:val="auto"/>
                <w:sz w:val="20"/>
                <w:szCs w:val="22"/>
              </w:rPr>
              <w:t>proportionate to the harm or risk to the community</w:t>
            </w:r>
          </w:p>
          <w:p w14:paraId="08FE6052" w14:textId="77777777" w:rsidR="00D9285C" w:rsidRPr="00C56B8D" w:rsidRDefault="00D9285C" w:rsidP="00BE5CCD">
            <w:pPr>
              <w:pStyle w:val="Boxdots"/>
              <w:rPr>
                <w:color w:val="auto"/>
                <w:sz w:val="20"/>
                <w:szCs w:val="22"/>
              </w:rPr>
            </w:pPr>
            <w:r w:rsidRPr="00C56B8D">
              <w:rPr>
                <w:color w:val="auto"/>
                <w:sz w:val="20"/>
                <w:szCs w:val="22"/>
              </w:rPr>
              <w:t xml:space="preserve">flexible to accommodate changes in technology, markets, </w:t>
            </w:r>
            <w:bookmarkStart w:id="20" w:name="_Int_7YSWgIHU"/>
            <w:r w:rsidRPr="00C56B8D">
              <w:rPr>
                <w:color w:val="auto"/>
                <w:sz w:val="20"/>
                <w:szCs w:val="22"/>
              </w:rPr>
              <w:t>risks</w:t>
            </w:r>
            <w:bookmarkEnd w:id="20"/>
            <w:r w:rsidRPr="00C56B8D">
              <w:rPr>
                <w:color w:val="auto"/>
                <w:sz w:val="20"/>
                <w:szCs w:val="22"/>
              </w:rPr>
              <w:t xml:space="preserve"> and community views</w:t>
            </w:r>
          </w:p>
          <w:p w14:paraId="21C1E43C" w14:textId="77777777" w:rsidR="00D9285C" w:rsidRPr="00C56B8D" w:rsidRDefault="00D9285C" w:rsidP="00BE5CCD">
            <w:pPr>
              <w:pStyle w:val="Boxdots"/>
              <w:rPr>
                <w:color w:val="auto"/>
                <w:sz w:val="20"/>
                <w:szCs w:val="22"/>
              </w:rPr>
            </w:pPr>
            <w:r w:rsidRPr="00C56B8D">
              <w:rPr>
                <w:color w:val="auto"/>
                <w:sz w:val="20"/>
                <w:szCs w:val="22"/>
              </w:rPr>
              <w:t>consistent with the Government's priorities to enhance Victoria's liveability and inclusive economic growth</w:t>
            </w:r>
          </w:p>
          <w:p w14:paraId="265D9F59" w14:textId="77777777" w:rsidR="00D9285C" w:rsidRPr="00C56B8D" w:rsidRDefault="00D9285C" w:rsidP="00BE5CCD">
            <w:pPr>
              <w:pStyle w:val="Boxdots"/>
              <w:rPr>
                <w:color w:val="auto"/>
                <w:sz w:val="20"/>
                <w:szCs w:val="22"/>
              </w:rPr>
            </w:pPr>
            <w:r w:rsidRPr="00C56B8D">
              <w:rPr>
                <w:color w:val="auto"/>
                <w:sz w:val="20"/>
                <w:szCs w:val="22"/>
              </w:rPr>
              <w:t>consistent and streamlined across government to avoid unnecessary overlap and duplication</w:t>
            </w:r>
          </w:p>
          <w:p w14:paraId="70B6F318" w14:textId="77777777" w:rsidR="00D9285C" w:rsidRPr="00C56B8D" w:rsidRDefault="00D9285C" w:rsidP="00BE5CCD">
            <w:pPr>
              <w:pStyle w:val="Boxdots"/>
              <w:rPr>
                <w:color w:val="auto"/>
                <w:sz w:val="20"/>
                <w:szCs w:val="22"/>
              </w:rPr>
            </w:pPr>
            <w:r w:rsidRPr="00C56B8D">
              <w:rPr>
                <w:color w:val="auto"/>
                <w:sz w:val="20"/>
                <w:szCs w:val="22"/>
              </w:rPr>
              <w:t>clear and easily understood by businesses and the community</w:t>
            </w:r>
          </w:p>
          <w:p w14:paraId="3598D0C9" w14:textId="77777777" w:rsidR="00D9285C" w:rsidRPr="00C56B8D" w:rsidRDefault="00D9285C" w:rsidP="00BE5CCD">
            <w:pPr>
              <w:pStyle w:val="Boxdots"/>
              <w:rPr>
                <w:color w:val="auto"/>
                <w:sz w:val="20"/>
                <w:szCs w:val="22"/>
              </w:rPr>
            </w:pPr>
            <w:r w:rsidRPr="00C56B8D">
              <w:rPr>
                <w:color w:val="auto"/>
                <w:sz w:val="20"/>
                <w:szCs w:val="22"/>
              </w:rPr>
              <w:t>appropriately administered and implemented</w:t>
            </w:r>
          </w:p>
          <w:p w14:paraId="428E8C9B" w14:textId="77777777" w:rsidR="00D9285C" w:rsidRPr="003E4A8B" w:rsidRDefault="00D9285C" w:rsidP="00BE5CCD">
            <w:pPr>
              <w:pStyle w:val="Boxdots"/>
            </w:pPr>
            <w:r w:rsidRPr="00C56B8D">
              <w:rPr>
                <w:color w:val="auto"/>
                <w:sz w:val="20"/>
                <w:szCs w:val="22"/>
              </w:rPr>
              <w:t>regularly reviewed to understand changes in harms.</w:t>
            </w:r>
          </w:p>
        </w:tc>
      </w:tr>
    </w:tbl>
    <w:p w14:paraId="21893B46" w14:textId="77777777" w:rsidR="001F32EF" w:rsidRDefault="001F32EF" w:rsidP="00D9285C">
      <w:pPr>
        <w:pStyle w:val="BodyText"/>
        <w:rPr>
          <w:rFonts w:eastAsiaTheme="majorEastAsia"/>
        </w:rPr>
        <w:sectPr w:rsidR="001F32EF" w:rsidSect="005C24D2">
          <w:pgSz w:w="11907" w:h="16839" w:code="9"/>
          <w:pgMar w:top="1134" w:right="1134" w:bottom="1134" w:left="1134" w:header="283" w:footer="283" w:gutter="0"/>
          <w:cols w:space="720"/>
          <w:noEndnote/>
          <w:docGrid w:linePitch="360"/>
        </w:sectPr>
      </w:pPr>
    </w:p>
    <w:p w14:paraId="6510B18C" w14:textId="5C6E9A53" w:rsidR="00D9285C" w:rsidRDefault="001F32EF" w:rsidP="001F32EF">
      <w:pPr>
        <w:pStyle w:val="Heading1"/>
      </w:pPr>
      <w:bookmarkStart w:id="21" w:name="_Toc187330516"/>
      <w:r>
        <w:t>Problem analysis: Why is the Government considering action?</w:t>
      </w:r>
      <w:bookmarkEnd w:id="21"/>
    </w:p>
    <w:p w14:paraId="2869E5D0" w14:textId="77777777" w:rsidR="00051D77" w:rsidRDefault="00051D77" w:rsidP="00051D77">
      <w:pPr>
        <w:pStyle w:val="Heading2"/>
      </w:pPr>
      <w:bookmarkStart w:id="22" w:name="_Toc187330517"/>
      <w:r>
        <w:t>Context</w:t>
      </w:r>
      <w:bookmarkEnd w:id="22"/>
    </w:p>
    <w:p w14:paraId="01A22193" w14:textId="77777777" w:rsidR="00051D77" w:rsidRDefault="00051D77" w:rsidP="00051D77">
      <w:pPr>
        <w:pStyle w:val="Heading3"/>
      </w:pPr>
      <w:bookmarkStart w:id="23" w:name="_Toc187330518"/>
      <w:r>
        <w:t>Victoria’s forests</w:t>
      </w:r>
      <w:bookmarkEnd w:id="23"/>
    </w:p>
    <w:p w14:paraId="2EDEB6B5" w14:textId="0E8EE349" w:rsidR="00051D77" w:rsidRDefault="001B47D9" w:rsidP="00051D77">
      <w:r w:rsidRPr="001B47D9">
        <w:t xml:space="preserve">Public land in Victoria covers approximately 8 million hectares in area, which is </w:t>
      </w:r>
      <w:r>
        <w:t>about</w:t>
      </w:r>
      <w:r w:rsidRPr="001B47D9">
        <w:t xml:space="preserve"> one third of the State. It is made up of over 110,000 land parcels which form parks, reserves and areas of State forest. The 8</w:t>
      </w:r>
      <w:r w:rsidR="00C56B8D">
        <w:t> </w:t>
      </w:r>
      <w:r w:rsidRPr="001B47D9">
        <w:t xml:space="preserve">million hectares include the following: National parks and other conservation parks managed by Parks Victoria (4 million hectares); State forests, managed by </w:t>
      </w:r>
      <w:r w:rsidR="007243B4">
        <w:t>DEECA</w:t>
      </w:r>
      <w:r w:rsidRPr="001B47D9">
        <w:t xml:space="preserve"> (3.2 million hectares); and over 1,200 public land reserves with a broad range of purposes (550,000 hectares).</w:t>
      </w:r>
      <w:r>
        <w:t xml:space="preserve"> </w:t>
      </w:r>
      <w:r w:rsidR="00051D77">
        <w:t>Figure 1 below shows the public land areas in Victoria.</w:t>
      </w:r>
    </w:p>
    <w:p w14:paraId="49A814E0" w14:textId="1E11FA88" w:rsidR="00BF32D4" w:rsidRDefault="00BF32D4" w:rsidP="00BF32D4">
      <w:pPr>
        <w:pStyle w:val="Caption"/>
        <w:rPr>
          <w:rFonts w:eastAsiaTheme="majorEastAsia"/>
        </w:rPr>
      </w:pPr>
      <w:r>
        <w:rPr>
          <w:rFonts w:eastAsiaTheme="majorEastAsia"/>
        </w:rPr>
        <w:t>Figure 1: Public land in Victoria</w:t>
      </w:r>
    </w:p>
    <w:p w14:paraId="7EBC9464" w14:textId="02362D16" w:rsidR="00BF32D4" w:rsidRDefault="00524FA6" w:rsidP="00051D77">
      <w:pPr>
        <w:pStyle w:val="BodyText"/>
        <w:rPr>
          <w:rFonts w:eastAsiaTheme="majorEastAsia"/>
        </w:rPr>
      </w:pPr>
      <w:r w:rsidRPr="00524FA6">
        <w:rPr>
          <w:noProof/>
        </w:rPr>
        <w:drawing>
          <wp:inline distT="0" distB="0" distL="0" distR="0" wp14:anchorId="736C4489" wp14:editId="38CD5525">
            <wp:extent cx="5532120" cy="4119101"/>
            <wp:effectExtent l="0" t="0" r="0" b="0"/>
            <wp:docPr id="1193757180" name="Picture 1" descr="A map of Victoria displaying public land, state forest and other public land across Victoria. The map was published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7180" name="Picture 1" descr="A map of Victoria displaying public land, state forest and other public land across Victoria. The map was published in December 2024."/>
                    <pic:cNvPicPr/>
                  </pic:nvPicPr>
                  <pic:blipFill>
                    <a:blip r:embed="rId60"/>
                    <a:stretch>
                      <a:fillRect/>
                    </a:stretch>
                  </pic:blipFill>
                  <pic:spPr>
                    <a:xfrm>
                      <a:off x="0" y="0"/>
                      <a:ext cx="5546135" cy="4129536"/>
                    </a:xfrm>
                    <a:prstGeom prst="rect">
                      <a:avLst/>
                    </a:prstGeom>
                  </pic:spPr>
                </pic:pic>
              </a:graphicData>
            </a:graphic>
          </wp:inline>
        </w:drawing>
      </w:r>
    </w:p>
    <w:p w14:paraId="50A4E077" w14:textId="28149EEA" w:rsidR="003D47B1" w:rsidRDefault="003D47B1" w:rsidP="003D47B1">
      <w:r>
        <w:t xml:space="preserve">Victorian forests protect and provide </w:t>
      </w:r>
      <w:bookmarkStart w:id="24" w:name="_Int_p64oEVEX"/>
      <w:r>
        <w:t>a number of</w:t>
      </w:r>
      <w:bookmarkEnd w:id="24"/>
      <w:r>
        <w:t xml:space="preserve"> important values. These encompass protecting and conserving the natural environment, </w:t>
      </w:r>
      <w:bookmarkStart w:id="25" w:name="_Hlk184917397"/>
      <w:r>
        <w:t xml:space="preserve">the social and cultural </w:t>
      </w:r>
      <w:r w:rsidR="00D72C44">
        <w:t>benefits</w:t>
      </w:r>
      <w:r>
        <w:t xml:space="preserve"> </w:t>
      </w:r>
      <w:bookmarkEnd w:id="25"/>
      <w:r>
        <w:t xml:space="preserve">of conserving cultural heritage, providing opportunities to enjoy and understand Victoria’s environment, and providing economic </w:t>
      </w:r>
      <w:r w:rsidR="00D72C44">
        <w:t>activity</w:t>
      </w:r>
      <w:r>
        <w:t>.</w:t>
      </w:r>
    </w:p>
    <w:p w14:paraId="6044107E" w14:textId="77777777" w:rsidR="003D47B1" w:rsidRDefault="003D47B1" w:rsidP="003D47B1">
      <w:r>
        <w:t xml:space="preserve">A key benefit provided by forests is the protection of Victoria’s biodiversity. A benefit provided and protected by forests are ‘ecosystem </w:t>
      </w:r>
      <w:bookmarkStart w:id="26" w:name="_Int_b0UuHaAu"/>
      <w:r>
        <w:t>services’</w:t>
      </w:r>
      <w:bookmarkEnd w:id="26"/>
      <w:r>
        <w:t>. These services are the vital inputs for community well-being that ecosystems provide. Ecosystem services include high quality air, clean water, carbon storage, pollination, pest insect control, healthy soil and the prevention of soil erosion.</w:t>
      </w:r>
    </w:p>
    <w:p w14:paraId="2E3994C1" w14:textId="62E51A5B" w:rsidR="003D47B1" w:rsidRDefault="003D47B1" w:rsidP="003D47B1">
      <w:r>
        <w:t xml:space="preserve">Social and cultural benefits of forests include the preservation and protection of the physical cultural heritage and connection to </w:t>
      </w:r>
      <w:r w:rsidR="00815F2E">
        <w:t>C</w:t>
      </w:r>
      <w:r>
        <w:t xml:space="preserve">ountry of Traditional Owners. Parks </w:t>
      </w:r>
      <w:r w:rsidR="00B45BE2">
        <w:t xml:space="preserve">and other reserves </w:t>
      </w:r>
      <w:r>
        <w:t xml:space="preserve">provide people with the opportunity to connect with the environment, socialise in open spaces, be inspired, seek </w:t>
      </w:r>
      <w:bookmarkStart w:id="27" w:name="_Int_0TFhlvPX"/>
      <w:r>
        <w:t>solitude</w:t>
      </w:r>
      <w:bookmarkEnd w:id="27"/>
      <w:r>
        <w:t xml:space="preserve"> or participate in sporting or recreational pursuits.</w:t>
      </w:r>
    </w:p>
    <w:p w14:paraId="720C87ED" w14:textId="672F2019" w:rsidR="003D47B1" w:rsidRDefault="003D47B1" w:rsidP="003D47B1">
      <w:r>
        <w:t>Visiting parks can generate a variety of social and economic benefits. Recreational activities involving individuals, families and clubs can improve health and increase social capital. Parks also have educational value, providing opportunities for visitors to understand and experience the natural environment.</w:t>
      </w:r>
    </w:p>
    <w:p w14:paraId="65C78ACD" w14:textId="325EAEEF" w:rsidR="003D47B1" w:rsidRDefault="008C5D5D" w:rsidP="003D47B1">
      <w:r>
        <w:t>In 2022-23, there were 90.9 million visits to National, State, urban and other terrestrial parks managed by Parks Victoria.</w:t>
      </w:r>
      <w:r>
        <w:rPr>
          <w:rStyle w:val="FootnoteReference"/>
        </w:rPr>
        <w:footnoteReference w:id="16"/>
      </w:r>
      <w:r>
        <w:t xml:space="preserve"> </w:t>
      </w:r>
      <w:r w:rsidR="003D47B1" w:rsidRPr="001A1FB4">
        <w:t>Many park visitors enjoy barbeques and campfires in Victoria’s parks.</w:t>
      </w:r>
      <w:r w:rsidR="003D47B1">
        <w:rPr>
          <w:rStyle w:val="FootnoteReference"/>
        </w:rPr>
        <w:footnoteReference w:id="17"/>
      </w:r>
    </w:p>
    <w:p w14:paraId="3324D67B" w14:textId="77777777" w:rsidR="003D47B1" w:rsidRDefault="003D47B1" w:rsidP="003D47B1">
      <w:r>
        <w:t>Victoria’s parks also contribute to the economy through local industries providing goods and services, which in turn generate jobs and income. It is estimated that visitors spend $1.4 billion per year associated with their visits to parks, which generate $1 billion gross value added and 14,000 jobs in the local economies.</w:t>
      </w:r>
      <w:r>
        <w:rPr>
          <w:rStyle w:val="FootnoteReference"/>
        </w:rPr>
        <w:footnoteReference w:id="18"/>
      </w:r>
    </w:p>
    <w:p w14:paraId="2744F7C3" w14:textId="52EBA163" w:rsidR="003D47B1" w:rsidRDefault="003D47B1" w:rsidP="003D47B1">
      <w:r>
        <w:t xml:space="preserve">Over one million hectares of </w:t>
      </w:r>
      <w:bookmarkStart w:id="29" w:name="_Hlk184917338"/>
      <w:r>
        <w:t xml:space="preserve">water supply catchments </w:t>
      </w:r>
      <w:bookmarkEnd w:id="29"/>
      <w:r>
        <w:t>are located within Victoria’s parks. These catchments capture and naturally filter water and for drinking, food production and other industries. The State’s forests</w:t>
      </w:r>
      <w:r w:rsidRPr="005F723F">
        <w:t xml:space="preserve"> provide an estimated 6,432 gigalitres of water provision to</w:t>
      </w:r>
      <w:r>
        <w:t xml:space="preserve"> Victorian communities</w:t>
      </w:r>
      <w:r w:rsidRPr="005F723F">
        <w:t>.</w:t>
      </w:r>
      <w:r>
        <w:rPr>
          <w:rStyle w:val="FootnoteReference"/>
          <w:rFonts w:ascii="Calibri" w:hAnsi="Calibri" w:cs="Calibri"/>
        </w:rPr>
        <w:footnoteReference w:id="19"/>
      </w:r>
    </w:p>
    <w:p w14:paraId="1BE1CDD5" w14:textId="152949C7" w:rsidR="003D47B1" w:rsidRDefault="003D47B1" w:rsidP="003D47B1">
      <w:r>
        <w:t>In addition, forests have a significant role in improving the quality of Victoria’s waterways. In non-metropolitan areas, parks reduce soil sediment entering regulated rivers by 92 per cent compared to an alternative land use, such as cleared grazing land. The reduced sediment load from nine of the highest water yielding national and state parks is valued at $50 million per year based on the avoided costs of additional water storage required under an alternative land use.</w:t>
      </w:r>
      <w:r>
        <w:rPr>
          <w:rStyle w:val="FootnoteReference"/>
        </w:rPr>
        <w:footnoteReference w:id="20"/>
      </w:r>
    </w:p>
    <w:p w14:paraId="40A21DA0" w14:textId="38CECAEF" w:rsidR="003D47B1" w:rsidRDefault="003D47B1" w:rsidP="003D47B1">
      <w:r>
        <w:t xml:space="preserve">The Victorian parks network includes 177 places of State heritage significance such as historic buildings, </w:t>
      </w:r>
      <w:bookmarkStart w:id="30" w:name="_Int_gzMijWOu"/>
      <w:r>
        <w:t>lighthouses</w:t>
      </w:r>
      <w:bookmarkEnd w:id="30"/>
      <w:r>
        <w:t xml:space="preserve"> and gold mining sites. More than half of the Victorian population had visited a heritage place managed by Parks Victoria within the previous year. The value of heritage conservation in Victoria’s parks is</w:t>
      </w:r>
      <w:r w:rsidRPr="00507A24">
        <w:t xml:space="preserve"> estimated</w:t>
      </w:r>
      <w:r>
        <w:t xml:space="preserve"> </w:t>
      </w:r>
      <w:r w:rsidR="00D91D63">
        <w:t xml:space="preserve">to be </w:t>
      </w:r>
      <w:r>
        <w:t>up to $23 million per year.</w:t>
      </w:r>
      <w:r>
        <w:rPr>
          <w:rStyle w:val="FootnoteReference"/>
        </w:rPr>
        <w:footnoteReference w:id="21"/>
      </w:r>
      <w:r>
        <w:t xml:space="preserve"> </w:t>
      </w:r>
    </w:p>
    <w:p w14:paraId="26575446" w14:textId="3DFBB082" w:rsidR="003D47B1" w:rsidRDefault="003D47B1" w:rsidP="003D47B1">
      <w:r w:rsidRPr="001A1FB4">
        <w:t xml:space="preserve">There are also </w:t>
      </w:r>
      <w:bookmarkStart w:id="31" w:name="_Int_54gRGcAI"/>
      <w:r w:rsidRPr="001A1FB4">
        <w:t>a number of</w:t>
      </w:r>
      <w:bookmarkEnd w:id="31"/>
      <w:r w:rsidRPr="001A1FB4">
        <w:t xml:space="preserve"> businesses that operat</w:t>
      </w:r>
      <w:r>
        <w:t>e</w:t>
      </w:r>
      <w:r w:rsidRPr="001A1FB4">
        <w:t xml:space="preserve"> in or near Victoria’s national and </w:t>
      </w:r>
      <w:r w:rsidR="00577FC4">
        <w:t>S</w:t>
      </w:r>
      <w:r w:rsidRPr="001A1FB4">
        <w:t>tate parks. These activities include sawmilling, mining, quarrying, brick making, eucalyptus oil distilling or charcoal burning. The agricultural industry also engages in cropping and farm maintenance activities (</w:t>
      </w:r>
      <w:r w:rsidR="0083424B">
        <w:t>for example</w:t>
      </w:r>
      <w:r w:rsidRPr="001A1FB4">
        <w:t xml:space="preserve"> welding, grinding, soldering or gas-cutting equipment) near Victoria’s national and </w:t>
      </w:r>
      <w:r w:rsidR="002B7CDF">
        <w:t>S</w:t>
      </w:r>
      <w:r w:rsidRPr="001A1FB4">
        <w:t>tate parks.</w:t>
      </w:r>
      <w:r>
        <w:t xml:space="preserve"> </w:t>
      </w:r>
    </w:p>
    <w:p w14:paraId="4FCEEE9D" w14:textId="13DC2D08" w:rsidR="003D47B1" w:rsidRDefault="003D47B1" w:rsidP="003D47B1">
      <w:r>
        <w:t xml:space="preserve">Honey production is also permitted in some forests where honeybees access floral resources; the apiary sector attributable to parks produces honey and related products worth </w:t>
      </w:r>
      <w:bookmarkStart w:id="32" w:name="_Hlk184938995"/>
      <w:r>
        <w:t xml:space="preserve">$3.4–$4.6 million per year </w:t>
      </w:r>
      <w:bookmarkEnd w:id="32"/>
      <w:r>
        <w:t>and payments to beekeepers for pollination services are in the range of $0.6–$1 million per year.</w:t>
      </w:r>
      <w:r>
        <w:rPr>
          <w:rStyle w:val="FootnoteReference"/>
        </w:rPr>
        <w:footnoteReference w:id="22"/>
      </w:r>
    </w:p>
    <w:p w14:paraId="14662AC2" w14:textId="4217A42E" w:rsidR="00977EA0" w:rsidRPr="000212FD" w:rsidRDefault="00977EA0" w:rsidP="00977EA0">
      <w:pPr>
        <w:pStyle w:val="Caption"/>
      </w:pPr>
      <w:r>
        <w:t xml:space="preserve">Table </w:t>
      </w:r>
      <w:r w:rsidRPr="57039172">
        <w:rPr>
          <w:b w:val="0"/>
          <w:iCs/>
        </w:rPr>
        <w:fldChar w:fldCharType="begin"/>
      </w:r>
      <w:r>
        <w:instrText xml:space="preserve"> SEQ Table \* ARABIC </w:instrText>
      </w:r>
      <w:r w:rsidRPr="57039172">
        <w:rPr>
          <w:b w:val="0"/>
          <w:iCs/>
        </w:rPr>
        <w:fldChar w:fldCharType="separate"/>
      </w:r>
      <w:r w:rsidR="0013459E">
        <w:rPr>
          <w:noProof/>
        </w:rPr>
        <w:t>1</w:t>
      </w:r>
      <w:r w:rsidRPr="57039172">
        <w:rPr>
          <w:b w:val="0"/>
          <w:iCs/>
          <w:noProof/>
        </w:rPr>
        <w:fldChar w:fldCharType="end"/>
      </w:r>
      <w:r>
        <w:t>: Sawmills and other operations in Fire Protected Areas</w:t>
      </w:r>
    </w:p>
    <w:tbl>
      <w:tblPr>
        <w:tblStyle w:val="TableGrid"/>
        <w:tblW w:w="5000" w:type="pct"/>
        <w:tblLook w:val="01E0" w:firstRow="1" w:lastRow="1" w:firstColumn="1" w:lastColumn="1" w:noHBand="0" w:noVBand="0"/>
      </w:tblPr>
      <w:tblGrid>
        <w:gridCol w:w="7773"/>
        <w:gridCol w:w="1866"/>
      </w:tblGrid>
      <w:tr w:rsidR="00977EA0" w:rsidRPr="008E7D0A" w14:paraId="626C8912" w14:textId="77777777" w:rsidTr="00F03C44">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032" w:type="pct"/>
            <w:tcBorders>
              <w:bottom w:val="single" w:sz="4" w:space="0" w:color="auto"/>
            </w:tcBorders>
            <w:shd w:val="clear" w:color="auto" w:fill="E8E8E8" w:themeFill="text1" w:themeFillTint="1A"/>
          </w:tcPr>
          <w:p w14:paraId="2E83015C" w14:textId="77777777" w:rsidR="00977EA0" w:rsidRPr="008E7D0A" w:rsidRDefault="00977EA0" w:rsidP="00BE5CCD">
            <w:pPr>
              <w:pStyle w:val="Boxtext"/>
              <w:rPr>
                <w:b/>
                <w:bCs/>
                <w:sz w:val="20"/>
                <w:szCs w:val="22"/>
              </w:rPr>
            </w:pPr>
            <w:r w:rsidRPr="008E7D0A">
              <w:rPr>
                <w:b/>
                <w:bCs/>
                <w:sz w:val="20"/>
                <w:szCs w:val="22"/>
              </w:rPr>
              <w:t>Description</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4" w:space="0" w:color="auto"/>
            </w:tcBorders>
            <w:shd w:val="clear" w:color="auto" w:fill="E8E8E8" w:themeFill="text1" w:themeFillTint="1A"/>
          </w:tcPr>
          <w:p w14:paraId="72D7F8B1" w14:textId="77777777" w:rsidR="00977EA0" w:rsidRPr="008E7D0A" w:rsidRDefault="00977EA0" w:rsidP="00BE5CCD">
            <w:pPr>
              <w:pStyle w:val="Boxtext"/>
              <w:jc w:val="center"/>
              <w:rPr>
                <w:b/>
                <w:bCs/>
                <w:sz w:val="20"/>
                <w:szCs w:val="22"/>
              </w:rPr>
            </w:pPr>
            <w:r w:rsidRPr="008E7D0A">
              <w:rPr>
                <w:b/>
                <w:bCs/>
                <w:sz w:val="20"/>
                <w:szCs w:val="22"/>
              </w:rPr>
              <w:t>Number</w:t>
            </w:r>
          </w:p>
        </w:tc>
      </w:tr>
      <w:tr w:rsidR="00977EA0" w:rsidRPr="00CF426F" w14:paraId="0D78EC06" w14:textId="77777777" w:rsidTr="00F03C44">
        <w:trPr>
          <w:trHeight w:val="390"/>
        </w:trPr>
        <w:tc>
          <w:tcPr>
            <w:cnfStyle w:val="001000000000" w:firstRow="0" w:lastRow="0" w:firstColumn="1" w:lastColumn="0" w:oddVBand="0" w:evenVBand="0" w:oddHBand="0" w:evenHBand="0" w:firstRowFirstColumn="0" w:firstRowLastColumn="0" w:lastRowFirstColumn="0" w:lastRowLastColumn="0"/>
            <w:tcW w:w="4032" w:type="pct"/>
            <w:tcBorders>
              <w:top w:val="single" w:sz="4" w:space="0" w:color="auto"/>
            </w:tcBorders>
          </w:tcPr>
          <w:p w14:paraId="78D37198" w14:textId="77777777" w:rsidR="00977EA0" w:rsidRPr="00D065B9" w:rsidRDefault="00977EA0" w:rsidP="00BE5CCD">
            <w:pPr>
              <w:pStyle w:val="Boxtext"/>
              <w:rPr>
                <w:sz w:val="20"/>
                <w:szCs w:val="22"/>
              </w:rPr>
            </w:pPr>
            <w:r w:rsidRPr="00D065B9">
              <w:rPr>
                <w:sz w:val="20"/>
                <w:szCs w:val="22"/>
              </w:rPr>
              <w:t>Sawmills</w:t>
            </w:r>
            <w:r w:rsidRPr="00D065B9">
              <w:rPr>
                <w:rStyle w:val="FootnoteReference"/>
                <w:sz w:val="20"/>
                <w:szCs w:val="22"/>
              </w:rPr>
              <w:footnoteReference w:id="23"/>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auto"/>
            </w:tcBorders>
          </w:tcPr>
          <w:p w14:paraId="62B9D04C" w14:textId="77777777" w:rsidR="00977EA0" w:rsidRPr="00D065B9" w:rsidRDefault="00977EA0" w:rsidP="00BE5CCD">
            <w:pPr>
              <w:pStyle w:val="Boxtext"/>
              <w:jc w:val="center"/>
              <w:rPr>
                <w:sz w:val="20"/>
                <w:szCs w:val="22"/>
              </w:rPr>
            </w:pPr>
            <w:r w:rsidRPr="00D065B9">
              <w:rPr>
                <w:sz w:val="20"/>
                <w:szCs w:val="22"/>
              </w:rPr>
              <w:t>&lt;5</w:t>
            </w:r>
          </w:p>
        </w:tc>
      </w:tr>
      <w:tr w:rsidR="00977EA0" w:rsidRPr="00CF426F" w14:paraId="7573E9A6" w14:textId="77777777" w:rsidTr="004713EB">
        <w:trPr>
          <w:trHeight w:val="376"/>
        </w:trPr>
        <w:tc>
          <w:tcPr>
            <w:cnfStyle w:val="001000000000" w:firstRow="0" w:lastRow="0" w:firstColumn="1" w:lastColumn="0" w:oddVBand="0" w:evenVBand="0" w:oddHBand="0" w:evenHBand="0" w:firstRowFirstColumn="0" w:firstRowLastColumn="0" w:lastRowFirstColumn="0" w:lastRowLastColumn="0"/>
            <w:tcW w:w="4032" w:type="pct"/>
          </w:tcPr>
          <w:p w14:paraId="730351AE" w14:textId="77777777" w:rsidR="00977EA0" w:rsidRPr="00D065B9" w:rsidRDefault="00977EA0" w:rsidP="00BE5CCD">
            <w:pPr>
              <w:pStyle w:val="Boxtext"/>
              <w:rPr>
                <w:sz w:val="20"/>
                <w:szCs w:val="22"/>
              </w:rPr>
            </w:pPr>
            <w:r w:rsidRPr="00D065B9">
              <w:rPr>
                <w:sz w:val="20"/>
                <w:szCs w:val="22"/>
              </w:rPr>
              <w:t>Apiarists</w:t>
            </w:r>
          </w:p>
        </w:tc>
        <w:tc>
          <w:tcPr>
            <w:cnfStyle w:val="000010000000" w:firstRow="0" w:lastRow="0" w:firstColumn="0" w:lastColumn="0" w:oddVBand="1" w:evenVBand="0" w:oddHBand="0" w:evenHBand="0" w:firstRowFirstColumn="0" w:firstRowLastColumn="0" w:lastRowFirstColumn="0" w:lastRowLastColumn="0"/>
            <w:tcW w:w="968" w:type="pct"/>
          </w:tcPr>
          <w:p w14:paraId="6161868E" w14:textId="77777777" w:rsidR="00977EA0" w:rsidRPr="00D065B9" w:rsidRDefault="00977EA0" w:rsidP="00BE5CCD">
            <w:pPr>
              <w:pStyle w:val="Boxtext"/>
              <w:jc w:val="center"/>
              <w:rPr>
                <w:sz w:val="20"/>
                <w:szCs w:val="22"/>
              </w:rPr>
            </w:pPr>
            <w:r w:rsidRPr="00D065B9">
              <w:rPr>
                <w:sz w:val="20"/>
                <w:szCs w:val="22"/>
              </w:rPr>
              <w:t>265</w:t>
            </w:r>
          </w:p>
        </w:tc>
      </w:tr>
      <w:tr w:rsidR="00977EA0" w:rsidRPr="00CF426F" w14:paraId="30AA17C6" w14:textId="77777777" w:rsidTr="004713EB">
        <w:trPr>
          <w:trHeight w:val="390"/>
        </w:trPr>
        <w:tc>
          <w:tcPr>
            <w:cnfStyle w:val="001000000000" w:firstRow="0" w:lastRow="0" w:firstColumn="1" w:lastColumn="0" w:oddVBand="0" w:evenVBand="0" w:oddHBand="0" w:evenHBand="0" w:firstRowFirstColumn="0" w:firstRowLastColumn="0" w:lastRowFirstColumn="0" w:lastRowLastColumn="0"/>
            <w:tcW w:w="4032" w:type="pct"/>
          </w:tcPr>
          <w:p w14:paraId="7AD76D01" w14:textId="77777777" w:rsidR="00977EA0" w:rsidRPr="00D065B9" w:rsidRDefault="00977EA0" w:rsidP="00BE5CCD">
            <w:pPr>
              <w:pStyle w:val="Boxtext"/>
              <w:rPr>
                <w:sz w:val="20"/>
                <w:szCs w:val="22"/>
              </w:rPr>
            </w:pPr>
            <w:r w:rsidRPr="00D065B9">
              <w:rPr>
                <w:sz w:val="20"/>
                <w:szCs w:val="22"/>
              </w:rPr>
              <w:t>Extractive licences (mining, quarrying)</w:t>
            </w:r>
          </w:p>
        </w:tc>
        <w:tc>
          <w:tcPr>
            <w:cnfStyle w:val="000010000000" w:firstRow="0" w:lastRow="0" w:firstColumn="0" w:lastColumn="0" w:oddVBand="1" w:evenVBand="0" w:oddHBand="0" w:evenHBand="0" w:firstRowFirstColumn="0" w:firstRowLastColumn="0" w:lastRowFirstColumn="0" w:lastRowLastColumn="0"/>
            <w:tcW w:w="968" w:type="pct"/>
          </w:tcPr>
          <w:p w14:paraId="357DA830" w14:textId="77777777" w:rsidR="00977EA0" w:rsidRPr="00D065B9" w:rsidRDefault="00977EA0" w:rsidP="00BE5CCD">
            <w:pPr>
              <w:pStyle w:val="Boxtext"/>
              <w:jc w:val="center"/>
              <w:rPr>
                <w:sz w:val="20"/>
                <w:szCs w:val="22"/>
              </w:rPr>
            </w:pPr>
            <w:r w:rsidRPr="00D065B9">
              <w:rPr>
                <w:sz w:val="20"/>
                <w:szCs w:val="22"/>
              </w:rPr>
              <w:t>80</w:t>
            </w:r>
          </w:p>
        </w:tc>
      </w:tr>
      <w:tr w:rsidR="00977EA0" w:rsidRPr="00CF426F" w14:paraId="25F6E028" w14:textId="77777777" w:rsidTr="004713EB">
        <w:trPr>
          <w:trHeight w:val="390"/>
        </w:trPr>
        <w:tc>
          <w:tcPr>
            <w:cnfStyle w:val="001000000000" w:firstRow="0" w:lastRow="0" w:firstColumn="1" w:lastColumn="0" w:oddVBand="0" w:evenVBand="0" w:oddHBand="0" w:evenHBand="0" w:firstRowFirstColumn="0" w:firstRowLastColumn="0" w:lastRowFirstColumn="0" w:lastRowLastColumn="0"/>
            <w:tcW w:w="4032" w:type="pct"/>
          </w:tcPr>
          <w:p w14:paraId="085ED4B5" w14:textId="77777777" w:rsidR="00977EA0" w:rsidRPr="00D065B9" w:rsidRDefault="00977EA0" w:rsidP="00BE5CCD">
            <w:pPr>
              <w:pStyle w:val="Boxtext"/>
              <w:rPr>
                <w:sz w:val="20"/>
                <w:szCs w:val="22"/>
              </w:rPr>
            </w:pPr>
            <w:r w:rsidRPr="00D065B9">
              <w:rPr>
                <w:sz w:val="20"/>
                <w:szCs w:val="22"/>
              </w:rPr>
              <w:t>Eucalypt distillers</w:t>
            </w:r>
          </w:p>
        </w:tc>
        <w:tc>
          <w:tcPr>
            <w:cnfStyle w:val="000010000000" w:firstRow="0" w:lastRow="0" w:firstColumn="0" w:lastColumn="0" w:oddVBand="1" w:evenVBand="0" w:oddHBand="0" w:evenHBand="0" w:firstRowFirstColumn="0" w:firstRowLastColumn="0" w:lastRowFirstColumn="0" w:lastRowLastColumn="0"/>
            <w:tcW w:w="968" w:type="pct"/>
          </w:tcPr>
          <w:p w14:paraId="3912EC0F" w14:textId="77777777" w:rsidR="00977EA0" w:rsidRPr="00D065B9" w:rsidRDefault="00977EA0" w:rsidP="00BE5CCD">
            <w:pPr>
              <w:pStyle w:val="Boxtext"/>
              <w:jc w:val="center"/>
              <w:rPr>
                <w:sz w:val="20"/>
                <w:szCs w:val="22"/>
              </w:rPr>
            </w:pPr>
            <w:r w:rsidRPr="00D065B9">
              <w:rPr>
                <w:sz w:val="20"/>
                <w:szCs w:val="22"/>
              </w:rPr>
              <w:t>4</w:t>
            </w:r>
          </w:p>
        </w:tc>
      </w:tr>
    </w:tbl>
    <w:p w14:paraId="6A31A01F" w14:textId="5807EB1D" w:rsidR="00977EA0" w:rsidRDefault="00977EA0" w:rsidP="00977EA0">
      <w:r>
        <w:t>The dollar values of the benefits from the various activities that occur in or near forest areas are not necessarily additive, given that allowing some activities to occur may displace other benefits or values that might be obtained from the same area, although often different values can exist together. Some benefits, such as quantifying the protection of biodiversity, are extremely difficult to estimate (many benefits are in the non-market sector). Nevertheless, the magnitude of these benefits of forests to Victorians are significant.</w:t>
      </w:r>
    </w:p>
    <w:p w14:paraId="0CD8A373" w14:textId="60EE1F80" w:rsidR="00977EA0" w:rsidRDefault="00977EA0" w:rsidP="00977EA0">
      <w:pPr>
        <w:pStyle w:val="Heading3"/>
      </w:pPr>
      <w:bookmarkStart w:id="33" w:name="_Toc187330519"/>
      <w:r>
        <w:t>Forests Act</w:t>
      </w:r>
      <w:bookmarkEnd w:id="33"/>
    </w:p>
    <w:p w14:paraId="6E03329D" w14:textId="77777777" w:rsidR="00977EA0" w:rsidRDefault="00977EA0" w:rsidP="00977EA0">
      <w:r>
        <w:t xml:space="preserve">The </w:t>
      </w:r>
      <w:r w:rsidRPr="1DD441A6">
        <w:rPr>
          <w:i/>
          <w:iCs/>
        </w:rPr>
        <w:t>Forests Act 1958</w:t>
      </w:r>
      <w:r>
        <w:t xml:space="preserve"> (the Act) is the primary piece of legislation that regulates activities in forests in Victoria.</w:t>
      </w:r>
    </w:p>
    <w:p w14:paraId="0BB9A7F3" w14:textId="1E88074B" w:rsidR="00977EA0" w:rsidRDefault="00977EA0" w:rsidP="00977EA0">
      <w:r w:rsidRPr="00AD59AA">
        <w:t>The</w:t>
      </w:r>
      <w:r w:rsidRPr="00AD59AA" w:rsidDel="00607EAB">
        <w:t xml:space="preserve"> </w:t>
      </w:r>
      <w:r w:rsidRPr="00AD59AA">
        <w:t xml:space="preserve">Act </w:t>
      </w:r>
      <w:r>
        <w:t xml:space="preserve">aims to </w:t>
      </w:r>
      <w:r w:rsidRPr="00AD59AA">
        <w:t xml:space="preserve">protect public land from </w:t>
      </w:r>
      <w:r w:rsidR="009D7D17" w:rsidRPr="00AD59AA">
        <w:t>fire and</w:t>
      </w:r>
      <w:r w:rsidRPr="00AD59AA">
        <w:t xml:space="preserve"> maintain and improve </w:t>
      </w:r>
      <w:r>
        <w:t>S</w:t>
      </w:r>
      <w:r w:rsidRPr="00AD59AA">
        <w:t xml:space="preserve">tate forests. </w:t>
      </w:r>
      <w:r>
        <w:t>It a</w:t>
      </w:r>
      <w:r w:rsidRPr="00AD59AA">
        <w:t xml:space="preserve">lso </w:t>
      </w:r>
      <w:r>
        <w:t>provides for</w:t>
      </w:r>
      <w:r w:rsidRPr="00AD59AA">
        <w:t xml:space="preserve"> licensed occupations including grazing, beekeeping and the sale of forest produce.</w:t>
      </w:r>
      <w:r>
        <w:t xml:space="preserve"> </w:t>
      </w:r>
      <w:r w:rsidRPr="00AD59AA">
        <w:t xml:space="preserve">It establishes the compliance and enforcement framework for managing offences related to the </w:t>
      </w:r>
      <w:r>
        <w:t>taking</w:t>
      </w:r>
      <w:r w:rsidRPr="00AD59AA">
        <w:t xml:space="preserve"> of timber from State </w:t>
      </w:r>
      <w:r>
        <w:t>f</w:t>
      </w:r>
      <w:r w:rsidRPr="00AD59AA">
        <w:t>orests.</w:t>
      </w:r>
    </w:p>
    <w:p w14:paraId="6C6CD2F1" w14:textId="77777777" w:rsidR="00977EA0" w:rsidRDefault="00977EA0" w:rsidP="00977EA0">
      <w:r>
        <w:t xml:space="preserve">In relation to fire prevention and protection, the Act defines </w:t>
      </w:r>
      <w:bookmarkStart w:id="34" w:name="_Int_syVTym7S"/>
      <w:r>
        <w:t>a number of</w:t>
      </w:r>
      <w:bookmarkEnd w:id="34"/>
      <w:r>
        <w:t xml:space="preserve"> areas:</w:t>
      </w:r>
    </w:p>
    <w:p w14:paraId="25E55433" w14:textId="6720D085" w:rsidR="00977EA0" w:rsidRDefault="00977EA0" w:rsidP="00977EA0">
      <w:pPr>
        <w:pStyle w:val="Caption"/>
      </w:pPr>
      <w:r>
        <w:t xml:space="preserve">Table </w:t>
      </w:r>
      <w:r w:rsidR="00A31A50">
        <w:fldChar w:fldCharType="begin"/>
      </w:r>
      <w:r w:rsidR="00A31A50">
        <w:instrText xml:space="preserve"> SEQ Table \* ARABIC </w:instrText>
      </w:r>
      <w:r w:rsidR="00A31A50">
        <w:fldChar w:fldCharType="separate"/>
      </w:r>
      <w:r w:rsidR="0013459E">
        <w:rPr>
          <w:noProof/>
        </w:rPr>
        <w:t>2</w:t>
      </w:r>
      <w:r w:rsidR="00A31A50">
        <w:rPr>
          <w:noProof/>
        </w:rPr>
        <w:fldChar w:fldCharType="end"/>
      </w:r>
      <w:r>
        <w:t xml:space="preserve">: Areas covered by the </w:t>
      </w:r>
      <w:r w:rsidR="000E46CA">
        <w:t>Forests Act</w:t>
      </w:r>
      <w:r>
        <w:t xml:space="preserve"> </w:t>
      </w:r>
    </w:p>
    <w:tbl>
      <w:tblPr>
        <w:tblStyle w:val="TableGrid"/>
        <w:tblW w:w="0" w:type="auto"/>
        <w:tblLook w:val="04A0" w:firstRow="1" w:lastRow="0" w:firstColumn="1" w:lastColumn="0" w:noHBand="0" w:noVBand="1"/>
      </w:tblPr>
      <w:tblGrid>
        <w:gridCol w:w="1351"/>
        <w:gridCol w:w="8288"/>
      </w:tblGrid>
      <w:tr w:rsidR="00CB4FC6" w:rsidRPr="008E7D0A" w14:paraId="5C89193A" w14:textId="77777777" w:rsidTr="00CB4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E8E8E8" w:themeFill="text1" w:themeFillTint="1A"/>
          </w:tcPr>
          <w:p w14:paraId="69DBEAB0" w14:textId="77777777" w:rsidR="00977EA0" w:rsidRPr="008E7D0A" w:rsidRDefault="00977EA0" w:rsidP="00BE5CCD">
            <w:pPr>
              <w:pStyle w:val="Boxtext"/>
              <w:rPr>
                <w:b/>
                <w:bCs/>
                <w:color w:val="auto"/>
                <w:sz w:val="20"/>
                <w:szCs w:val="22"/>
              </w:rPr>
            </w:pPr>
            <w:r w:rsidRPr="008E7D0A">
              <w:rPr>
                <w:b/>
                <w:bCs/>
                <w:color w:val="auto"/>
                <w:sz w:val="20"/>
                <w:szCs w:val="22"/>
              </w:rPr>
              <w:t>Area</w:t>
            </w:r>
          </w:p>
        </w:tc>
        <w:tc>
          <w:tcPr>
            <w:tcW w:w="0" w:type="auto"/>
            <w:tcBorders>
              <w:bottom w:val="single" w:sz="4" w:space="0" w:color="auto"/>
            </w:tcBorders>
            <w:shd w:val="clear" w:color="auto" w:fill="E8E8E8" w:themeFill="text1" w:themeFillTint="1A"/>
          </w:tcPr>
          <w:p w14:paraId="34C74AB0" w14:textId="77777777" w:rsidR="00977EA0" w:rsidRPr="008E7D0A" w:rsidRDefault="00977EA0"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2"/>
              </w:rPr>
            </w:pPr>
            <w:r w:rsidRPr="008E7D0A">
              <w:rPr>
                <w:b/>
                <w:bCs/>
                <w:color w:val="auto"/>
                <w:sz w:val="20"/>
                <w:szCs w:val="22"/>
              </w:rPr>
              <w:t>Definition</w:t>
            </w:r>
          </w:p>
        </w:tc>
      </w:tr>
      <w:tr w:rsidR="00977EA0" w14:paraId="035DED6C" w14:textId="77777777" w:rsidTr="00CB4F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299B75D" w14:textId="77777777" w:rsidR="00977EA0" w:rsidRPr="00D065B9" w:rsidRDefault="00977EA0" w:rsidP="00BE5CCD">
            <w:pPr>
              <w:pStyle w:val="Boxtext"/>
              <w:rPr>
                <w:sz w:val="20"/>
                <w:szCs w:val="22"/>
              </w:rPr>
            </w:pPr>
            <w:r w:rsidRPr="00D065B9">
              <w:rPr>
                <w:sz w:val="20"/>
                <w:szCs w:val="22"/>
              </w:rPr>
              <w:t>State forest</w:t>
            </w:r>
          </w:p>
        </w:tc>
        <w:tc>
          <w:tcPr>
            <w:tcW w:w="0" w:type="auto"/>
            <w:tcBorders>
              <w:top w:val="single" w:sz="4" w:space="0" w:color="auto"/>
            </w:tcBorders>
          </w:tcPr>
          <w:p w14:paraId="64414262" w14:textId="406A2559" w:rsidR="00CB4FC6"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i/>
                <w:sz w:val="20"/>
                <w:szCs w:val="22"/>
              </w:rPr>
            </w:pPr>
            <w:r w:rsidRPr="00D065B9">
              <w:rPr>
                <w:sz w:val="20"/>
                <w:szCs w:val="22"/>
              </w:rPr>
              <w:t>States forests include all ‘reserved forests’ and ‘protected forests’ under the Forests Act.</w:t>
            </w:r>
            <w:r w:rsidR="00CB4FC6">
              <w:rPr>
                <w:sz w:val="20"/>
                <w:szCs w:val="22"/>
              </w:rPr>
              <w:t xml:space="preserve"> </w:t>
            </w:r>
          </w:p>
          <w:p w14:paraId="0B709799" w14:textId="77777777"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Reserved forests are any unoccupied Crown land within the areas listed in the Act as reserved forests areas (in Schedule 2), all land regarded as permanent forests or as timber reserves under any legislation prior to 1962, and any land declared to be a reserved forest under section 45 of the Forests Act.</w:t>
            </w:r>
          </w:p>
          <w:p w14:paraId="7974729D" w14:textId="77777777"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 xml:space="preserve">Protected forests are all unoccupied Crown land proclaimed as a protected forest under the Forests Act or any corresponding previous enactment and every unused road and every water frontage as defined in the </w:t>
            </w:r>
            <w:r w:rsidRPr="00D065B9">
              <w:rPr>
                <w:i/>
                <w:sz w:val="20"/>
                <w:szCs w:val="22"/>
              </w:rPr>
              <w:t>Land Act 1958</w:t>
            </w:r>
            <w:r w:rsidRPr="00D065B9">
              <w:rPr>
                <w:sz w:val="20"/>
                <w:szCs w:val="22"/>
              </w:rPr>
              <w:t>.</w:t>
            </w:r>
          </w:p>
        </w:tc>
      </w:tr>
      <w:tr w:rsidR="00977EA0" w14:paraId="548D9F73"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4569E96D" w14:textId="77777777" w:rsidR="00977EA0" w:rsidRPr="00D065B9" w:rsidRDefault="00977EA0" w:rsidP="00BE5CCD">
            <w:pPr>
              <w:pStyle w:val="Boxtext"/>
              <w:rPr>
                <w:sz w:val="20"/>
                <w:szCs w:val="22"/>
              </w:rPr>
            </w:pPr>
            <w:r w:rsidRPr="00D065B9">
              <w:rPr>
                <w:sz w:val="20"/>
                <w:szCs w:val="22"/>
              </w:rPr>
              <w:t>National park</w:t>
            </w:r>
          </w:p>
        </w:tc>
        <w:tc>
          <w:tcPr>
            <w:tcW w:w="0" w:type="auto"/>
          </w:tcPr>
          <w:p w14:paraId="0B2CE659" w14:textId="77777777"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 xml:space="preserve">Land that is or is part of a park within the meaning of the </w:t>
            </w:r>
            <w:r w:rsidRPr="00D065B9">
              <w:rPr>
                <w:i/>
                <w:sz w:val="20"/>
                <w:szCs w:val="22"/>
              </w:rPr>
              <w:t>National Parks Act 1975.</w:t>
            </w:r>
          </w:p>
        </w:tc>
      </w:tr>
      <w:tr w:rsidR="00977EA0" w14:paraId="3F8FDF53"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582AE4AE" w14:textId="77777777" w:rsidR="00977EA0" w:rsidRPr="00D065B9" w:rsidRDefault="00977EA0" w:rsidP="00BE5CCD">
            <w:pPr>
              <w:pStyle w:val="Boxtext"/>
              <w:rPr>
                <w:sz w:val="20"/>
                <w:szCs w:val="22"/>
              </w:rPr>
            </w:pPr>
            <w:r w:rsidRPr="00D065B9">
              <w:rPr>
                <w:sz w:val="20"/>
                <w:szCs w:val="22"/>
              </w:rPr>
              <w:t>Protected public land</w:t>
            </w:r>
          </w:p>
        </w:tc>
        <w:tc>
          <w:tcPr>
            <w:tcW w:w="0" w:type="auto"/>
          </w:tcPr>
          <w:p w14:paraId="0093C241" w14:textId="60E62F9D"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 xml:space="preserve">Any lands of the Crown (other than a State forest or a national park) declared or deemed to be protected public land under section 62 of the Forests Act. Deemed protected public land includes land managed by Parks Victoria, the Great Ocean Road Coast and Parks Authority, </w:t>
            </w:r>
            <w:r w:rsidR="00CB4FC6">
              <w:rPr>
                <w:sz w:val="20"/>
                <w:szCs w:val="22"/>
              </w:rPr>
              <w:t xml:space="preserve">and </w:t>
            </w:r>
            <w:r w:rsidRPr="00D065B9">
              <w:rPr>
                <w:sz w:val="20"/>
                <w:szCs w:val="22"/>
              </w:rPr>
              <w:t>Alpine Resorts Victoria.</w:t>
            </w:r>
          </w:p>
        </w:tc>
      </w:tr>
      <w:tr w:rsidR="00977EA0" w14:paraId="5786676D"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0D775756" w14:textId="77777777" w:rsidR="00977EA0" w:rsidRPr="00D065B9" w:rsidRDefault="00977EA0" w:rsidP="00BE5CCD">
            <w:pPr>
              <w:pStyle w:val="Boxtext"/>
              <w:rPr>
                <w:sz w:val="20"/>
                <w:szCs w:val="22"/>
              </w:rPr>
            </w:pPr>
            <w:r w:rsidRPr="00D065B9">
              <w:rPr>
                <w:sz w:val="20"/>
                <w:szCs w:val="22"/>
              </w:rPr>
              <w:t>Fire protected area</w:t>
            </w:r>
          </w:p>
        </w:tc>
        <w:tc>
          <w:tcPr>
            <w:tcW w:w="0" w:type="auto"/>
          </w:tcPr>
          <w:p w14:paraId="365E3790" w14:textId="77777777"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Any land that is within a State forest, national park, protected public land, and any other land that is within 1.5 kilometres of a reserved forest, protected forest, national park or protected public land.</w:t>
            </w:r>
            <w:r w:rsidRPr="00D065B9">
              <w:rPr>
                <w:rStyle w:val="FootnoteReference"/>
                <w:sz w:val="20"/>
                <w:szCs w:val="22"/>
              </w:rPr>
              <w:footnoteReference w:id="24"/>
            </w:r>
          </w:p>
        </w:tc>
      </w:tr>
    </w:tbl>
    <w:p w14:paraId="18C46403" w14:textId="5A992F5F" w:rsidR="00977EA0" w:rsidRDefault="00977EA0" w:rsidP="00977EA0">
      <w:r>
        <w:t xml:space="preserve">The Forests Act works with other legislation, including the </w:t>
      </w:r>
      <w:r w:rsidRPr="000A3BDC">
        <w:rPr>
          <w:i/>
        </w:rPr>
        <w:t>Land Act</w:t>
      </w:r>
      <w:r w:rsidR="00E61F3F" w:rsidRPr="000A3BDC">
        <w:rPr>
          <w:i/>
        </w:rPr>
        <w:t xml:space="preserve"> 1958</w:t>
      </w:r>
      <w:r>
        <w:t xml:space="preserve">, the </w:t>
      </w:r>
      <w:r w:rsidRPr="000A3BDC">
        <w:rPr>
          <w:i/>
        </w:rPr>
        <w:t>National Parks Act</w:t>
      </w:r>
      <w:r w:rsidR="00E61F3F" w:rsidRPr="000A3BDC">
        <w:rPr>
          <w:i/>
        </w:rPr>
        <w:t xml:space="preserve"> 1975</w:t>
      </w:r>
      <w:r>
        <w:t xml:space="preserve">, the </w:t>
      </w:r>
      <w:r w:rsidRPr="000A3BDC">
        <w:rPr>
          <w:i/>
        </w:rPr>
        <w:t>Crown Land (Reserves) Act</w:t>
      </w:r>
      <w:r w:rsidR="00E61F3F" w:rsidRPr="000A3BDC">
        <w:rPr>
          <w:i/>
        </w:rPr>
        <w:t xml:space="preserve"> 1978</w:t>
      </w:r>
      <w:r>
        <w:t xml:space="preserve">, </w:t>
      </w:r>
      <w:r w:rsidRPr="00854649">
        <w:rPr>
          <w:i/>
          <w:iCs/>
        </w:rPr>
        <w:t>Safety on Public Land Act 2004</w:t>
      </w:r>
      <w:r>
        <w:t xml:space="preserve"> and the </w:t>
      </w:r>
      <w:r w:rsidRPr="00854649">
        <w:rPr>
          <w:i/>
          <w:iCs/>
        </w:rPr>
        <w:t>Traditional Owner Settlement Act 2010</w:t>
      </w:r>
      <w:r>
        <w:t>. These other Acts are relevant for defining certain land types, and also for where some specific provisions of the Forests Act apply. For example, relevant to this RIS, the Forests Act does not authorise the use of fire in any forest that would be prohibited under another Act</w:t>
      </w:r>
      <w:r w:rsidRPr="000470E6">
        <w:t xml:space="preserve">. </w:t>
      </w:r>
      <w:r>
        <w:t>The table below illustrates how this legislation interacts with the Forests Act.</w:t>
      </w:r>
    </w:p>
    <w:p w14:paraId="413D8CB3" w14:textId="048048EB" w:rsidR="00977EA0" w:rsidRDefault="00977EA0" w:rsidP="00977EA0">
      <w:pPr>
        <w:pStyle w:val="Caption"/>
      </w:pPr>
      <w:r>
        <w:t xml:space="preserve">Table </w:t>
      </w:r>
      <w:r w:rsidR="00A31A50">
        <w:fldChar w:fldCharType="begin"/>
      </w:r>
      <w:r w:rsidR="00A31A50">
        <w:instrText xml:space="preserve"> SEQ Table \* ARABIC </w:instrText>
      </w:r>
      <w:r w:rsidR="00A31A50">
        <w:fldChar w:fldCharType="separate"/>
      </w:r>
      <w:r w:rsidR="0013459E">
        <w:rPr>
          <w:noProof/>
        </w:rPr>
        <w:t>3</w:t>
      </w:r>
      <w:r w:rsidR="00A31A50">
        <w:rPr>
          <w:noProof/>
        </w:rPr>
        <w:fldChar w:fldCharType="end"/>
      </w:r>
      <w:r>
        <w:t>: Other legislation managing fire risk</w:t>
      </w:r>
    </w:p>
    <w:tbl>
      <w:tblPr>
        <w:tblStyle w:val="TableGrid"/>
        <w:tblW w:w="0" w:type="auto"/>
        <w:tblLook w:val="04A0" w:firstRow="1" w:lastRow="0" w:firstColumn="1" w:lastColumn="0" w:noHBand="0" w:noVBand="1"/>
      </w:tblPr>
      <w:tblGrid>
        <w:gridCol w:w="2268"/>
        <w:gridCol w:w="7371"/>
      </w:tblGrid>
      <w:tr w:rsidR="00CB4FC6" w:rsidRPr="008E7D0A" w14:paraId="13C8B994" w14:textId="77777777" w:rsidTr="00CB4F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shd w:val="clear" w:color="auto" w:fill="E8E8E8" w:themeFill="text1" w:themeFillTint="1A"/>
          </w:tcPr>
          <w:p w14:paraId="714B7F0C" w14:textId="77777777" w:rsidR="00977EA0" w:rsidRPr="008E7D0A" w:rsidRDefault="00977EA0" w:rsidP="00BE5CCD">
            <w:pPr>
              <w:pStyle w:val="Boxtext"/>
              <w:rPr>
                <w:b/>
                <w:bCs/>
                <w:color w:val="auto"/>
                <w:sz w:val="20"/>
                <w:szCs w:val="22"/>
              </w:rPr>
            </w:pPr>
            <w:r w:rsidRPr="008E7D0A">
              <w:rPr>
                <w:b/>
                <w:bCs/>
                <w:color w:val="auto"/>
                <w:sz w:val="20"/>
                <w:szCs w:val="22"/>
              </w:rPr>
              <w:t>Other legislation</w:t>
            </w:r>
          </w:p>
        </w:tc>
        <w:tc>
          <w:tcPr>
            <w:tcW w:w="7371" w:type="dxa"/>
            <w:tcBorders>
              <w:bottom w:val="single" w:sz="4" w:space="0" w:color="auto"/>
            </w:tcBorders>
            <w:shd w:val="clear" w:color="auto" w:fill="E8E8E8" w:themeFill="text1" w:themeFillTint="1A"/>
          </w:tcPr>
          <w:p w14:paraId="7855EF42" w14:textId="77777777" w:rsidR="00977EA0" w:rsidRPr="008E7D0A" w:rsidRDefault="00977EA0"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2"/>
              </w:rPr>
            </w:pPr>
            <w:r w:rsidRPr="008E7D0A">
              <w:rPr>
                <w:b/>
                <w:bCs/>
                <w:color w:val="auto"/>
                <w:sz w:val="20"/>
                <w:szCs w:val="22"/>
              </w:rPr>
              <w:t>Interaction with the Forests Act</w:t>
            </w:r>
          </w:p>
        </w:tc>
      </w:tr>
      <w:tr w:rsidR="00977EA0" w14:paraId="02EF2FE2" w14:textId="77777777" w:rsidTr="00CB4FC6">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16842D52" w14:textId="77777777" w:rsidR="00977EA0" w:rsidRPr="00D065B9" w:rsidRDefault="00977EA0" w:rsidP="00BE5CCD">
            <w:pPr>
              <w:pStyle w:val="Boxtext"/>
              <w:rPr>
                <w:i/>
                <w:sz w:val="20"/>
                <w:szCs w:val="22"/>
              </w:rPr>
            </w:pPr>
            <w:r w:rsidRPr="00D065B9">
              <w:rPr>
                <w:i/>
                <w:sz w:val="20"/>
                <w:szCs w:val="22"/>
              </w:rPr>
              <w:t>Land Act 1958</w:t>
            </w:r>
          </w:p>
        </w:tc>
        <w:tc>
          <w:tcPr>
            <w:tcW w:w="7371" w:type="dxa"/>
            <w:tcBorders>
              <w:top w:val="single" w:sz="4" w:space="0" w:color="auto"/>
            </w:tcBorders>
          </w:tcPr>
          <w:p w14:paraId="67CB725C" w14:textId="77777777"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Section 413 provides a regulatory making power to make statutory rules with respect to the management of campfires on regulated watercourse land, except in relation to matters covered by sections 66A, 66B and 66C of the Forests Act</w:t>
            </w:r>
          </w:p>
        </w:tc>
      </w:tr>
      <w:tr w:rsidR="00977EA0" w14:paraId="2D26AA97" w14:textId="77777777" w:rsidTr="00CB4FC6">
        <w:tc>
          <w:tcPr>
            <w:cnfStyle w:val="001000000000" w:firstRow="0" w:lastRow="0" w:firstColumn="1" w:lastColumn="0" w:oddVBand="0" w:evenVBand="0" w:oddHBand="0" w:evenHBand="0" w:firstRowFirstColumn="0" w:firstRowLastColumn="0" w:lastRowFirstColumn="0" w:lastRowLastColumn="0"/>
            <w:tcW w:w="2268" w:type="dxa"/>
          </w:tcPr>
          <w:p w14:paraId="2D0C9944" w14:textId="77777777" w:rsidR="00977EA0" w:rsidRPr="00D065B9" w:rsidRDefault="00977EA0" w:rsidP="00BE5CCD">
            <w:pPr>
              <w:pStyle w:val="Boxtext"/>
              <w:rPr>
                <w:i/>
                <w:sz w:val="20"/>
                <w:szCs w:val="22"/>
              </w:rPr>
            </w:pPr>
            <w:r w:rsidRPr="00D065B9">
              <w:rPr>
                <w:i/>
                <w:sz w:val="20"/>
                <w:szCs w:val="22"/>
              </w:rPr>
              <w:t>National Parks Act 1975</w:t>
            </w:r>
          </w:p>
        </w:tc>
        <w:tc>
          <w:tcPr>
            <w:tcW w:w="7371" w:type="dxa"/>
          </w:tcPr>
          <w:p w14:paraId="576086F8" w14:textId="0A80602C"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Contains a number of provisions related to fire protection, including s</w:t>
            </w:r>
            <w:r w:rsidR="00C34BCD">
              <w:rPr>
                <w:sz w:val="20"/>
                <w:szCs w:val="22"/>
              </w:rPr>
              <w:t>ection</w:t>
            </w:r>
            <w:r w:rsidR="00C34BCD" w:rsidRPr="00D065B9">
              <w:rPr>
                <w:sz w:val="20"/>
                <w:szCs w:val="22"/>
              </w:rPr>
              <w:t xml:space="preserve"> </w:t>
            </w:r>
            <w:r w:rsidRPr="00D065B9">
              <w:rPr>
                <w:sz w:val="20"/>
                <w:szCs w:val="22"/>
              </w:rPr>
              <w:t>21D(4A), which permits the Secretary to do ‘anything which the Secretary considers necessary for the prevention and control of fire’. The National Parks Regulations 2024 also regulate campfires</w:t>
            </w:r>
          </w:p>
        </w:tc>
      </w:tr>
      <w:tr w:rsidR="00977EA0" w14:paraId="0BB7B967" w14:textId="77777777" w:rsidTr="00CB4FC6">
        <w:tc>
          <w:tcPr>
            <w:cnfStyle w:val="001000000000" w:firstRow="0" w:lastRow="0" w:firstColumn="1" w:lastColumn="0" w:oddVBand="0" w:evenVBand="0" w:oddHBand="0" w:evenHBand="0" w:firstRowFirstColumn="0" w:firstRowLastColumn="0" w:lastRowFirstColumn="0" w:lastRowLastColumn="0"/>
            <w:tcW w:w="2268" w:type="dxa"/>
          </w:tcPr>
          <w:p w14:paraId="3F6B3C2C" w14:textId="434267CD" w:rsidR="00977EA0" w:rsidRPr="00D065B9" w:rsidRDefault="00977EA0" w:rsidP="00BE5CCD">
            <w:pPr>
              <w:pStyle w:val="Boxtext"/>
              <w:rPr>
                <w:i/>
                <w:sz w:val="20"/>
                <w:szCs w:val="22"/>
              </w:rPr>
            </w:pPr>
            <w:r w:rsidRPr="00D065B9">
              <w:rPr>
                <w:i/>
                <w:sz w:val="20"/>
                <w:szCs w:val="22"/>
              </w:rPr>
              <w:t>Crown</w:t>
            </w:r>
            <w:r w:rsidR="001C35A4">
              <w:rPr>
                <w:i/>
                <w:sz w:val="20"/>
                <w:szCs w:val="22"/>
              </w:rPr>
              <w:t xml:space="preserve"> Land</w:t>
            </w:r>
            <w:r w:rsidRPr="00D065B9">
              <w:rPr>
                <w:i/>
                <w:sz w:val="20"/>
                <w:szCs w:val="22"/>
              </w:rPr>
              <w:t xml:space="preserve"> (Reserves) Act 1978</w:t>
            </w:r>
          </w:p>
        </w:tc>
        <w:tc>
          <w:tcPr>
            <w:tcW w:w="7371" w:type="dxa"/>
          </w:tcPr>
          <w:p w14:paraId="0FF02B3F" w14:textId="4D6B3E8F"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Principally deals with firewood collection, but also permits the Secretary to vary the firewood collection season in times of fire danger</w:t>
            </w:r>
            <w:r w:rsidR="0067297B">
              <w:rPr>
                <w:sz w:val="20"/>
                <w:szCs w:val="22"/>
              </w:rPr>
              <w:t xml:space="preserve"> </w:t>
            </w:r>
            <w:r w:rsidR="009476BD">
              <w:rPr>
                <w:sz w:val="20"/>
                <w:szCs w:val="22"/>
              </w:rPr>
              <w:t xml:space="preserve">in accordance with </w:t>
            </w:r>
            <w:r w:rsidRPr="00D065B9">
              <w:rPr>
                <w:sz w:val="20"/>
                <w:szCs w:val="22"/>
              </w:rPr>
              <w:t>s</w:t>
            </w:r>
            <w:r w:rsidR="00F55EB4">
              <w:rPr>
                <w:sz w:val="20"/>
                <w:szCs w:val="22"/>
              </w:rPr>
              <w:t>ection</w:t>
            </w:r>
            <w:r w:rsidRPr="00D065B9">
              <w:rPr>
                <w:sz w:val="20"/>
                <w:szCs w:val="22"/>
              </w:rPr>
              <w:t xml:space="preserve"> </w:t>
            </w:r>
            <w:r w:rsidR="0067297B">
              <w:rPr>
                <w:sz w:val="20"/>
                <w:szCs w:val="22"/>
              </w:rPr>
              <w:t>21</w:t>
            </w:r>
            <w:r w:rsidR="004978F7">
              <w:rPr>
                <w:sz w:val="20"/>
                <w:szCs w:val="22"/>
              </w:rPr>
              <w:t>O</w:t>
            </w:r>
            <w:r w:rsidR="009476BD">
              <w:rPr>
                <w:sz w:val="20"/>
                <w:szCs w:val="22"/>
              </w:rPr>
              <w:t>.</w:t>
            </w:r>
          </w:p>
        </w:tc>
      </w:tr>
      <w:tr w:rsidR="00977EA0" w14:paraId="4C660973" w14:textId="77777777" w:rsidTr="00CB4FC6">
        <w:tc>
          <w:tcPr>
            <w:cnfStyle w:val="001000000000" w:firstRow="0" w:lastRow="0" w:firstColumn="1" w:lastColumn="0" w:oddVBand="0" w:evenVBand="0" w:oddHBand="0" w:evenHBand="0" w:firstRowFirstColumn="0" w:firstRowLastColumn="0" w:lastRowFirstColumn="0" w:lastRowLastColumn="0"/>
            <w:tcW w:w="2268" w:type="dxa"/>
          </w:tcPr>
          <w:p w14:paraId="225049A9" w14:textId="77777777" w:rsidR="00977EA0" w:rsidRPr="00D065B9" w:rsidRDefault="00977EA0" w:rsidP="00BE5CCD">
            <w:pPr>
              <w:pStyle w:val="Boxtext"/>
              <w:rPr>
                <w:sz w:val="20"/>
                <w:szCs w:val="22"/>
              </w:rPr>
            </w:pPr>
            <w:r w:rsidRPr="00D065B9">
              <w:rPr>
                <w:i/>
                <w:sz w:val="20"/>
                <w:szCs w:val="22"/>
              </w:rPr>
              <w:t>Safety on Public Land Act 2004</w:t>
            </w:r>
          </w:p>
        </w:tc>
        <w:tc>
          <w:tcPr>
            <w:tcW w:w="7371" w:type="dxa"/>
          </w:tcPr>
          <w:p w14:paraId="7D26966F" w14:textId="79BD8F25"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 xml:space="preserve">Is primarily responsible for public safety and permits the Secretary to declare an area of </w:t>
            </w:r>
            <w:r w:rsidR="00653733">
              <w:rPr>
                <w:sz w:val="20"/>
                <w:szCs w:val="22"/>
              </w:rPr>
              <w:t>S</w:t>
            </w:r>
            <w:r w:rsidR="00653733" w:rsidRPr="00D065B9">
              <w:rPr>
                <w:sz w:val="20"/>
                <w:szCs w:val="22"/>
              </w:rPr>
              <w:t xml:space="preserve">tate </w:t>
            </w:r>
            <w:r w:rsidRPr="00D065B9">
              <w:rPr>
                <w:sz w:val="20"/>
                <w:szCs w:val="22"/>
              </w:rPr>
              <w:t>forest to be a public safety zone during fire operations</w:t>
            </w:r>
          </w:p>
        </w:tc>
      </w:tr>
      <w:tr w:rsidR="00977EA0" w14:paraId="375041AD" w14:textId="77777777" w:rsidTr="00CB4FC6">
        <w:tc>
          <w:tcPr>
            <w:cnfStyle w:val="001000000000" w:firstRow="0" w:lastRow="0" w:firstColumn="1" w:lastColumn="0" w:oddVBand="0" w:evenVBand="0" w:oddHBand="0" w:evenHBand="0" w:firstRowFirstColumn="0" w:firstRowLastColumn="0" w:lastRowFirstColumn="0" w:lastRowLastColumn="0"/>
            <w:tcW w:w="2268" w:type="dxa"/>
          </w:tcPr>
          <w:p w14:paraId="018554A0" w14:textId="77777777" w:rsidR="00977EA0" w:rsidRPr="00D065B9" w:rsidRDefault="00977EA0" w:rsidP="00BE5CCD">
            <w:pPr>
              <w:pStyle w:val="Boxtext"/>
              <w:rPr>
                <w:i/>
                <w:sz w:val="20"/>
                <w:szCs w:val="22"/>
              </w:rPr>
            </w:pPr>
            <w:r w:rsidRPr="00D065B9">
              <w:rPr>
                <w:i/>
                <w:sz w:val="20"/>
                <w:szCs w:val="22"/>
              </w:rPr>
              <w:t>Traditional Owner Settlement Act 2010</w:t>
            </w:r>
          </w:p>
        </w:tc>
        <w:tc>
          <w:tcPr>
            <w:tcW w:w="7371" w:type="dxa"/>
          </w:tcPr>
          <w:p w14:paraId="730C3B6A" w14:textId="0ECDEB41" w:rsidR="00977EA0" w:rsidRPr="00D065B9"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D065B9">
              <w:rPr>
                <w:sz w:val="20"/>
                <w:szCs w:val="22"/>
              </w:rPr>
              <w:t>Recognises traditional owner groups based on their traditional and cultural associations to certain land in Victoria. This legislation provides for recognition and settlement agreement</w:t>
            </w:r>
            <w:r w:rsidR="0062363D">
              <w:rPr>
                <w:sz w:val="20"/>
                <w:szCs w:val="22"/>
              </w:rPr>
              <w:t>s</w:t>
            </w:r>
            <w:r w:rsidRPr="00D065B9">
              <w:rPr>
                <w:sz w:val="20"/>
                <w:szCs w:val="22"/>
              </w:rPr>
              <w:t xml:space="preserve"> which may include a land use activity agreement with the traditional owner group entity in relation to land that is the subject of the agreement. Such activities may include cultural fire.</w:t>
            </w:r>
          </w:p>
        </w:tc>
      </w:tr>
    </w:tbl>
    <w:p w14:paraId="67E31A1F" w14:textId="77777777" w:rsidR="00977EA0" w:rsidRDefault="00977EA0" w:rsidP="00977EA0">
      <w:r>
        <w:t xml:space="preserve">The </w:t>
      </w:r>
      <w:r w:rsidRPr="55AB4168">
        <w:rPr>
          <w:i/>
          <w:iCs/>
        </w:rPr>
        <w:t>Conservation, Forests and Lands Act 1987</w:t>
      </w:r>
      <w:r>
        <w:t xml:space="preserve"> includes overarching provisions relating to the conservation and productive use of the State’s lands, waters, </w:t>
      </w:r>
      <w:bookmarkStart w:id="35" w:name="_Int_U6ZJeaOu"/>
      <w:r>
        <w:t>flora</w:t>
      </w:r>
      <w:bookmarkEnd w:id="35"/>
      <w:r>
        <w:t xml:space="preserve"> and fauna. This Act also specifically sets out a number of enforcement arrangements that also apply to the Forests Act, including the appointment and powers of authorised officers and the issuing of infringement notices for offences.</w:t>
      </w:r>
    </w:p>
    <w:p w14:paraId="0E6E15D2" w14:textId="46459C06" w:rsidR="00977EA0" w:rsidRDefault="00977EA0" w:rsidP="00977EA0">
      <w:r>
        <w:t xml:space="preserve">The </w:t>
      </w:r>
      <w:r w:rsidRPr="07C7D008">
        <w:rPr>
          <w:i/>
          <w:iCs/>
        </w:rPr>
        <w:t>Country Fire Authority Act 1958</w:t>
      </w:r>
      <w:r>
        <w:t xml:space="preserve"> and regulations contains provisions to prevent fire on all Victorian land outside the fire protected area, including for the agricultural, forestry (</w:t>
      </w:r>
      <w:r w:rsidR="0083424B">
        <w:t>for example</w:t>
      </w:r>
      <w:r>
        <w:t xml:space="preserve"> requirements for Forestry Industry Brigades), and other industries by regulating the use of activities and engines that can cause fires. The Country Fire Authority (CFA) also has a volunteer force of more than 50,000 persons trained and equipped with fire suppression resources.</w:t>
      </w:r>
    </w:p>
    <w:p w14:paraId="3047C4C0" w14:textId="77777777" w:rsidR="00977EA0" w:rsidRPr="00C56EC4" w:rsidRDefault="00977EA0" w:rsidP="00977EA0">
      <w:r>
        <w:t xml:space="preserve">The </w:t>
      </w:r>
      <w:r w:rsidRPr="00C56EC4">
        <w:rPr>
          <w:i/>
          <w:iCs/>
        </w:rPr>
        <w:t>Fire Rescue Victoria Act 1958</w:t>
      </w:r>
      <w:r>
        <w:t xml:space="preserve"> establishes Fire Rescue Victoria, whose purpose includes </w:t>
      </w:r>
      <w:r w:rsidRPr="00C56EC4">
        <w:t>to provide for fire safety, fire suppression and fire prevention services and emergency response services in the Fire Rescue Victoria fire district</w:t>
      </w:r>
      <w:r>
        <w:t>. Under the Act, it is an offence to cause fire in the Fire Rescue Victoria fire district in extreme conditions of weather or with the intent to cause damage.</w:t>
      </w:r>
    </w:p>
    <w:p w14:paraId="4C53BAB6" w14:textId="77777777" w:rsidR="00977EA0" w:rsidRDefault="00977EA0" w:rsidP="00977EA0">
      <w:r>
        <w:t xml:space="preserve">Deliberately lit fires (arson) are not covered by the Forests Act but are covered under section 201A of the </w:t>
      </w:r>
      <w:r w:rsidRPr="000825BA">
        <w:rPr>
          <w:i/>
          <w:iCs/>
        </w:rPr>
        <w:t>Crimes Act 1958</w:t>
      </w:r>
      <w:r>
        <w:t>, which makes it is an offence to intentionally or recklessly cause a bushfire anywhere in the state (including within forests).</w:t>
      </w:r>
    </w:p>
    <w:p w14:paraId="432EC477" w14:textId="77777777" w:rsidR="00977EA0" w:rsidRDefault="00977EA0" w:rsidP="00977EA0">
      <w:pPr>
        <w:pStyle w:val="Heading2"/>
      </w:pPr>
      <w:bookmarkStart w:id="36" w:name="_Toc187330520"/>
      <w:r>
        <w:t>Problem</w:t>
      </w:r>
      <w:bookmarkEnd w:id="36"/>
    </w:p>
    <w:p w14:paraId="7433D5BB" w14:textId="77777777" w:rsidR="00977EA0" w:rsidRDefault="00977EA0" w:rsidP="00977EA0">
      <w:pPr>
        <w:pStyle w:val="Heading3"/>
      </w:pPr>
      <w:bookmarkStart w:id="37" w:name="_Toc187330521"/>
      <w:r>
        <w:t>Potential harms and risks from unregulated fires and fire hazards in forests</w:t>
      </w:r>
      <w:bookmarkEnd w:id="37"/>
    </w:p>
    <w:p w14:paraId="039B523C" w14:textId="4D8B9E66" w:rsidR="00977EA0" w:rsidRDefault="00977EA0" w:rsidP="00977EA0">
      <w:r w:rsidRPr="00E30A20">
        <w:t>Victoria is one of the world’s most fire-prone regions.</w:t>
      </w:r>
      <w:r>
        <w:rPr>
          <w:rStyle w:val="FootnoteReference"/>
        </w:rPr>
        <w:footnoteReference w:id="25"/>
      </w:r>
      <w:r w:rsidRPr="00E30A20">
        <w:t xml:space="preserve"> The effects of fire are far-reaching and have consequences across many spheres of Victorian</w:t>
      </w:r>
      <w:r>
        <w:t>s</w:t>
      </w:r>
      <w:r w:rsidRPr="00E30A20">
        <w:t xml:space="preserve">’ lives. </w:t>
      </w:r>
      <w:r>
        <w:t>While periodic fire is essential to biodiversity health in Victoria, fire frequency beyond ‘tolerable fire intervals’</w:t>
      </w:r>
      <w:r>
        <w:rPr>
          <w:rStyle w:val="FootnoteReference"/>
        </w:rPr>
        <w:footnoteReference w:id="26"/>
      </w:r>
      <w:r>
        <w:t xml:space="preserve"> of the state’s varied ecosystems can result in serious negative impacts.</w:t>
      </w:r>
    </w:p>
    <w:p w14:paraId="78AE7F77" w14:textId="77777777" w:rsidR="00977EA0" w:rsidRDefault="00977EA0" w:rsidP="00977EA0">
      <w:r>
        <w:t xml:space="preserve">Fires can destroy the values of those forests, as well as causing risk to life. </w:t>
      </w:r>
      <w:r w:rsidRPr="001A01B9">
        <w:t xml:space="preserve">Fire affects the quality of air, water and soil. It can destroy habitats, food sources and </w:t>
      </w:r>
      <w:r>
        <w:t xml:space="preserve">threaten the sustainability </w:t>
      </w:r>
      <w:r w:rsidRPr="001A01B9">
        <w:t xml:space="preserve">of wildlife </w:t>
      </w:r>
      <w:r>
        <w:t>and plants</w:t>
      </w:r>
      <w:r w:rsidRPr="001A01B9">
        <w:t>. Plant communities that have not adapted to fire, like alpine or rainforest areas, can take hundreds of years to recover.</w:t>
      </w:r>
      <w:r w:rsidRPr="00AC3DBE">
        <w:t xml:space="preserve"> </w:t>
      </w:r>
      <w:r w:rsidRPr="009903E0">
        <w:t>Many of Victoria's native species are vulnerable to increasing extinction risk and severe impacts of bushfire.</w:t>
      </w:r>
      <w:r>
        <w:rPr>
          <w:rStyle w:val="FootnoteReference"/>
        </w:rPr>
        <w:footnoteReference w:id="27"/>
      </w:r>
    </w:p>
    <w:p w14:paraId="595CF6DC" w14:textId="77777777" w:rsidR="00977EA0" w:rsidRDefault="00977EA0" w:rsidP="00977EA0">
      <w:r w:rsidRPr="000065A6">
        <w:t xml:space="preserve">Economically, fire can </w:t>
      </w:r>
      <w:r>
        <w:t>impose significant costs</w:t>
      </w:r>
      <w:r w:rsidRPr="000065A6">
        <w:t xml:space="preserve"> to individuals, to communities and to the state. It can affect people’s health, their assets, </w:t>
      </w:r>
      <w:r>
        <w:t xml:space="preserve">and </w:t>
      </w:r>
      <w:r w:rsidRPr="000065A6">
        <w:t>their ability to work. It can have broad impacts to regional and international tourism and hospitality as well as local businesses.</w:t>
      </w:r>
    </w:p>
    <w:p w14:paraId="5E772EDC" w14:textId="3921D7C8" w:rsidR="00977EA0" w:rsidRDefault="003D25B6" w:rsidP="00D91500">
      <w:r>
        <w:t xml:space="preserve">The Insurance Council of Australia </w:t>
      </w:r>
      <w:r w:rsidR="00D91500">
        <w:t>estimates that the incurred losses from the Black Summer Bushfires to be $5.47 billion and reported</w:t>
      </w:r>
      <w:r>
        <w:t xml:space="preserve"> that t</w:t>
      </w:r>
      <w:r w:rsidRPr="003D25B6">
        <w:t xml:space="preserve">he total insurance damage </w:t>
      </w:r>
      <w:r w:rsidR="00F24A62">
        <w:t xml:space="preserve">from </w:t>
      </w:r>
      <w:r w:rsidR="00D91500">
        <w:t>these fires</w:t>
      </w:r>
      <w:r w:rsidRPr="003D25B6">
        <w:t xml:space="preserve"> totalled $2.32 billion with close to 39,000 claims lodged</w:t>
      </w:r>
      <w:r w:rsidR="00D91500">
        <w:t xml:space="preserve"> (average claims were $60,000)</w:t>
      </w:r>
      <w:r w:rsidRPr="003D25B6">
        <w:t>.</w:t>
      </w:r>
      <w:r w:rsidR="00D91500">
        <w:t xml:space="preserve"> Of the claims, around one third by value were from commercial customers, and two thirds from residential customers.</w:t>
      </w:r>
      <w:r w:rsidR="00D91500">
        <w:rPr>
          <w:rStyle w:val="FootnoteReference"/>
        </w:rPr>
        <w:footnoteReference w:id="28"/>
      </w:r>
      <w:r>
        <w:t xml:space="preserve"> </w:t>
      </w:r>
      <w:r w:rsidR="00977EA0" w:rsidRPr="00502D4C">
        <w:t>The economic cost of bushfires is expected to double by 2050.</w:t>
      </w:r>
      <w:r w:rsidR="00977EA0">
        <w:rPr>
          <w:rStyle w:val="FootnoteReference"/>
        </w:rPr>
        <w:footnoteReference w:id="29"/>
      </w:r>
    </w:p>
    <w:p w14:paraId="1D4D9F11" w14:textId="59625B3D" w:rsidR="00977EA0" w:rsidRDefault="00977EA0" w:rsidP="00977EA0">
      <w:r>
        <w:t>Socially, the impacts of fire can be even more devastating, with people losing their homes, their lives or their loved ones. The effects of bushfire smoke on human health are still being researched but are significant.</w:t>
      </w:r>
      <w:r>
        <w:rPr>
          <w:rStyle w:val="FootnoteReference"/>
        </w:rPr>
        <w:footnoteReference w:id="30"/>
      </w:r>
      <w:r>
        <w:t xml:space="preserve"> One study from the University of Tasmania estimated that the smoke-related health costs for Victorians from the Black Summer </w:t>
      </w:r>
      <w:r w:rsidR="00F24A62">
        <w:t>B</w:t>
      </w:r>
      <w:r>
        <w:t>ushfires were $492 million alone.</w:t>
      </w:r>
      <w:r>
        <w:rPr>
          <w:rStyle w:val="FootnoteReference"/>
        </w:rPr>
        <w:footnoteReference w:id="31"/>
      </w:r>
      <w:r>
        <w:t xml:space="preserve"> There are also potential long-term mental health impacts of bushfires.</w:t>
      </w:r>
    </w:p>
    <w:p w14:paraId="45DC0D4B" w14:textId="77777777" w:rsidR="00977EA0" w:rsidRDefault="00977EA0" w:rsidP="00977EA0">
      <w:pPr>
        <w:pStyle w:val="Heading3"/>
      </w:pPr>
      <w:bookmarkStart w:id="38" w:name="_Toc187330522"/>
      <w:r>
        <w:t>Causes of fires in Victoria’s forests</w:t>
      </w:r>
      <w:bookmarkEnd w:id="38"/>
    </w:p>
    <w:p w14:paraId="1D89D0B0" w14:textId="6F87FB51" w:rsidR="00816F21" w:rsidRDefault="00816F21" w:rsidP="00816F21">
      <w:r>
        <w:t>Eucalypt forest</w:t>
      </w:r>
      <w:r w:rsidDel="003647DC">
        <w:t xml:space="preserve"> types </w:t>
      </w:r>
      <w:r>
        <w:t>account for 93 per cent of Victoria’s total native forest area. Eucalypt forests are often highly flammable and can present a fire hazard. Research indicates</w:t>
      </w:r>
      <w:r>
        <w:rPr>
          <w:rStyle w:val="FootnoteReference"/>
        </w:rPr>
        <w:footnoteReference w:id="32"/>
      </w:r>
      <w:r>
        <w:t xml:space="preserve"> the severity, extent, frequency and duration of bushfires are all largely increasing alongside Victoria’s changing climate. Long-term changes in fire weather conditions are now apparent in Victoria. There is a clear trend toward more dangerous fire weather conditions during spring and summer. There is an increased frequency and magnitude of extremes, as well as an earlier start to the fire season. The 2019–20 bushfires occurred during Australia’s hottest year on record. December 2019 was also the hottest of any December.</w:t>
      </w:r>
    </w:p>
    <w:p w14:paraId="4B17A18A" w14:textId="2E45E20A" w:rsidR="00816F21" w:rsidRDefault="00816F21" w:rsidP="00816F21">
      <w:r>
        <w:t>The Forest Fire Danger Index (FFDI) uses rainfall, evaporation, wind speed, temperature and humidity data to determine fire danger. Over the past three decades</w:t>
      </w:r>
      <w:r w:rsidR="00660F7C">
        <w:t>,</w:t>
      </w:r>
      <w:r>
        <w:t xml:space="preserve"> scientists have predicted increases to the FFDI.</w:t>
      </w:r>
      <w:r>
        <w:rPr>
          <w:rStyle w:val="FootnoteReference"/>
        </w:rPr>
        <w:footnoteReference w:id="33"/>
      </w:r>
      <w:r>
        <w:t xml:space="preserve"> The Commonwealth Scientific and Industrial Research Organisation (CSIRO) and the Bureau of Meteorology (BoM) predicted severe fire days would increase from between 160 per cent and 190 per cent by 2090 compared to 2020.</w:t>
      </w:r>
    </w:p>
    <w:p w14:paraId="25F6BFFA" w14:textId="285F121E" w:rsidR="00977EA0" w:rsidRDefault="00977EA0" w:rsidP="00977EA0">
      <w:r>
        <w:t>Unplanned fire ignitions occur annually in Victoria’s forests, with many being traced to human activity. DEECA collects information on the ignition source of bushfires which affect State forest</w:t>
      </w:r>
      <w:r w:rsidR="00F24A62">
        <w:t>s</w:t>
      </w:r>
      <w:r>
        <w:t>, national park</w:t>
      </w:r>
      <w:r w:rsidR="00F24A62">
        <w:t>s</w:t>
      </w:r>
      <w:r>
        <w:t xml:space="preserve">, protected public land and other fire protected areas. </w:t>
      </w:r>
      <w:r w:rsidR="00816F21">
        <w:t>While the underlying hazard of bushfires will largely remain in Victoria, the risks of bushfires and their frequency can be managed (see section 2.2.3).</w:t>
      </w:r>
    </w:p>
    <w:p w14:paraId="0419E3E9" w14:textId="77777777" w:rsidR="0013459E" w:rsidRDefault="00977EA0">
      <w:pPr>
        <w:rPr>
          <w:b/>
          <w:sz w:val="18"/>
          <w14:numSpacing w14:val="tabular"/>
        </w:rPr>
      </w:pPr>
      <w:r>
        <w:t xml:space="preserve">It is not always possible to determine the ignition source of a bushfire, so in many cases the cause of these fires is listed as ‘unknown’. </w:t>
      </w:r>
      <w:r w:rsidR="00CE495F">
        <w:fldChar w:fldCharType="begin"/>
      </w:r>
      <w:r w:rsidR="00CE495F">
        <w:instrText xml:space="preserve"> REF _Ref182192504 </w:instrText>
      </w:r>
      <w:r w:rsidR="00CE495F">
        <w:fldChar w:fldCharType="separate"/>
      </w:r>
      <w:r w:rsidR="0013459E">
        <w:br w:type="page"/>
      </w:r>
    </w:p>
    <w:p w14:paraId="062FA979" w14:textId="40430658" w:rsidR="00977EA0" w:rsidRDefault="0013459E" w:rsidP="00977EA0">
      <w:r w:rsidRPr="004B0549">
        <w:rPr>
          <w:rFonts w:cstheme="minorHAnsi"/>
        </w:rPr>
        <w:t xml:space="preserve">Table </w:t>
      </w:r>
      <w:r>
        <w:rPr>
          <w:rFonts w:cstheme="minorHAnsi"/>
          <w:noProof/>
        </w:rPr>
        <w:t>4</w:t>
      </w:r>
      <w:r w:rsidR="00CE495F">
        <w:rPr>
          <w:noProof/>
        </w:rPr>
        <w:fldChar w:fldCharType="end"/>
      </w:r>
      <w:r w:rsidR="00977EA0">
        <w:t xml:space="preserve"> below shows identified ignition sources of bushfires in Victoria between </w:t>
      </w:r>
      <w:r w:rsidR="00977EA0" w:rsidRPr="007F34E4">
        <w:t>June 2014 to November 2024</w:t>
      </w:r>
      <w:r w:rsidR="00977EA0">
        <w:t xml:space="preserve">. </w:t>
      </w:r>
    </w:p>
    <w:p w14:paraId="0C122537" w14:textId="77777777" w:rsidR="00751FB7" w:rsidRDefault="00751FB7">
      <w:pPr>
        <w:rPr>
          <w:b/>
          <w:sz w:val="18"/>
          <w14:numSpacing w14:val="tabular"/>
        </w:rPr>
      </w:pPr>
      <w:bookmarkStart w:id="39" w:name="_Ref182192504"/>
      <w:r>
        <w:br w:type="page"/>
      </w:r>
    </w:p>
    <w:p w14:paraId="6D853DA7" w14:textId="0F568CD4" w:rsidR="00977EA0" w:rsidRPr="004B0549" w:rsidRDefault="00977EA0" w:rsidP="00977EA0">
      <w:pPr>
        <w:pStyle w:val="Caption"/>
        <w:rPr>
          <w:rFonts w:cstheme="minorHAnsi"/>
        </w:rPr>
      </w:pPr>
      <w:r w:rsidRPr="004B0549">
        <w:rPr>
          <w:rFonts w:cstheme="minorHAnsi"/>
        </w:rPr>
        <w:t xml:space="preserve">Table </w:t>
      </w:r>
      <w:r w:rsidR="00A31A50" w:rsidRPr="004B0549">
        <w:rPr>
          <w:rFonts w:cstheme="minorHAnsi"/>
        </w:rPr>
        <w:fldChar w:fldCharType="begin"/>
      </w:r>
      <w:r w:rsidR="00A31A50" w:rsidRPr="004B0549">
        <w:rPr>
          <w:rFonts w:cstheme="minorHAnsi"/>
        </w:rPr>
        <w:instrText xml:space="preserve"> SEQ Table \* ARABIC </w:instrText>
      </w:r>
      <w:r w:rsidR="00A31A50" w:rsidRPr="004B0549">
        <w:rPr>
          <w:rFonts w:cstheme="minorHAnsi"/>
        </w:rPr>
        <w:fldChar w:fldCharType="separate"/>
      </w:r>
      <w:r w:rsidR="0013459E">
        <w:rPr>
          <w:rFonts w:cstheme="minorHAnsi"/>
          <w:noProof/>
        </w:rPr>
        <w:t>4</w:t>
      </w:r>
      <w:r w:rsidR="00A31A50" w:rsidRPr="004B0549">
        <w:rPr>
          <w:rFonts w:cstheme="minorHAnsi"/>
          <w:noProof/>
        </w:rPr>
        <w:fldChar w:fldCharType="end"/>
      </w:r>
      <w:bookmarkEnd w:id="39"/>
      <w:r w:rsidRPr="004B0549">
        <w:rPr>
          <w:rFonts w:cstheme="minorHAnsi"/>
        </w:rPr>
        <w:t>: Selected bushfire events and causes in Victoria, 2014–2024</w:t>
      </w:r>
      <w:r w:rsidRPr="004B0549">
        <w:rPr>
          <w:rStyle w:val="FootnoteReference"/>
          <w:rFonts w:cstheme="minorHAnsi"/>
        </w:rPr>
        <w:footnoteReference w:id="34"/>
      </w:r>
    </w:p>
    <w:tbl>
      <w:tblPr>
        <w:tblStyle w:val="TableGrid"/>
        <w:tblW w:w="5000" w:type="pct"/>
        <w:tblLook w:val="01E0" w:firstRow="1" w:lastRow="1" w:firstColumn="1" w:lastColumn="1" w:noHBand="0" w:noVBand="0"/>
      </w:tblPr>
      <w:tblGrid>
        <w:gridCol w:w="5454"/>
        <w:gridCol w:w="2367"/>
        <w:gridCol w:w="1818"/>
      </w:tblGrid>
      <w:tr w:rsidR="009A108D" w:rsidRPr="004B0549" w14:paraId="1D464314" w14:textId="77777777" w:rsidTr="0033644E">
        <w:trPr>
          <w:cnfStyle w:val="100000000000" w:firstRow="1" w:lastRow="0" w:firstColumn="0" w:lastColumn="0" w:oddVBand="0" w:evenVBand="0" w:oddHBand="0" w:evenHBand="0" w:firstRowFirstColumn="0" w:firstRowLastColumn="0" w:lastRowFirstColumn="0" w:lastRowLastColumn="0"/>
          <w:trHeight w:val="376"/>
          <w:tblHeader/>
        </w:trPr>
        <w:tc>
          <w:tcPr>
            <w:cnfStyle w:val="001000000000" w:firstRow="0" w:lastRow="0" w:firstColumn="1" w:lastColumn="0" w:oddVBand="0" w:evenVBand="0" w:oddHBand="0" w:evenHBand="0" w:firstRowFirstColumn="0" w:firstRowLastColumn="0" w:lastRowFirstColumn="0" w:lastRowLastColumn="0"/>
            <w:tcW w:w="2829" w:type="pct"/>
            <w:tcBorders>
              <w:bottom w:val="single" w:sz="4" w:space="0" w:color="auto"/>
            </w:tcBorders>
            <w:shd w:val="clear" w:color="auto" w:fill="E8E8E8" w:themeFill="text1" w:themeFillTint="1A"/>
          </w:tcPr>
          <w:p w14:paraId="2B9B2070" w14:textId="77777777" w:rsidR="00977EA0" w:rsidRPr="004B0549" w:rsidRDefault="00977EA0" w:rsidP="00BE5CCD">
            <w:pPr>
              <w:pStyle w:val="Boxtext"/>
              <w:rPr>
                <w:rFonts w:cstheme="minorHAnsi"/>
                <w:b/>
                <w:bCs/>
                <w:color w:val="auto"/>
                <w:sz w:val="20"/>
                <w:szCs w:val="20"/>
              </w:rPr>
            </w:pPr>
            <w:r w:rsidRPr="004B0549">
              <w:rPr>
                <w:rFonts w:cstheme="minorHAnsi"/>
                <w:b/>
                <w:bCs/>
                <w:color w:val="auto"/>
                <w:sz w:val="20"/>
                <w:szCs w:val="20"/>
              </w:rPr>
              <w:t>Victorian bushfire types of causes relevant to the proposed Regulations</w:t>
            </w:r>
          </w:p>
        </w:tc>
        <w:tc>
          <w:tcPr>
            <w:cnfStyle w:val="000010000000" w:firstRow="0" w:lastRow="0" w:firstColumn="0" w:lastColumn="0" w:oddVBand="1" w:evenVBand="0" w:oddHBand="0" w:evenHBand="0" w:firstRowFirstColumn="0" w:firstRowLastColumn="0" w:lastRowFirstColumn="0" w:lastRowLastColumn="0"/>
            <w:tcW w:w="1228" w:type="pct"/>
            <w:tcBorders>
              <w:bottom w:val="single" w:sz="4" w:space="0" w:color="auto"/>
            </w:tcBorders>
            <w:shd w:val="clear" w:color="auto" w:fill="E8E8E8" w:themeFill="text1" w:themeFillTint="1A"/>
          </w:tcPr>
          <w:p w14:paraId="79382A65" w14:textId="77777777" w:rsidR="00977EA0" w:rsidRPr="004B0549" w:rsidRDefault="00977EA0" w:rsidP="00BE5CCD">
            <w:pPr>
              <w:pStyle w:val="Boxtext"/>
              <w:jc w:val="center"/>
              <w:rPr>
                <w:rFonts w:cstheme="minorHAnsi"/>
                <w:b/>
                <w:bCs/>
                <w:color w:val="auto"/>
                <w:sz w:val="20"/>
                <w:szCs w:val="20"/>
              </w:rPr>
            </w:pPr>
            <w:r w:rsidRPr="004B0549">
              <w:rPr>
                <w:rFonts w:cstheme="minorHAnsi"/>
                <w:b/>
                <w:bCs/>
                <w:color w:val="auto"/>
                <w:sz w:val="20"/>
                <w:szCs w:val="20"/>
              </w:rPr>
              <w:t>Number</w:t>
            </w:r>
          </w:p>
        </w:tc>
        <w:tc>
          <w:tcPr>
            <w:tcW w:w="944" w:type="pct"/>
            <w:tcBorders>
              <w:bottom w:val="single" w:sz="4" w:space="0" w:color="auto"/>
            </w:tcBorders>
            <w:shd w:val="clear" w:color="auto" w:fill="E8E8E8" w:themeFill="text1" w:themeFillTint="1A"/>
          </w:tcPr>
          <w:p w14:paraId="7ABF705B" w14:textId="77777777" w:rsidR="00977EA0" w:rsidRPr="004B0549" w:rsidRDefault="00977EA0" w:rsidP="00BE5CCD">
            <w:pPr>
              <w:pStyle w:val="Boxtext"/>
              <w:jc w:val="center"/>
              <w:cnfStyle w:val="100000000000" w:firstRow="1" w:lastRow="0" w:firstColumn="0" w:lastColumn="0" w:oddVBand="0" w:evenVBand="0" w:oddHBand="0" w:evenHBand="0" w:firstRowFirstColumn="0" w:firstRowLastColumn="0" w:lastRowFirstColumn="0" w:lastRowLastColumn="0"/>
              <w:rPr>
                <w:rFonts w:cstheme="minorHAnsi"/>
                <w:b/>
                <w:bCs/>
                <w:color w:val="auto"/>
                <w:sz w:val="20"/>
                <w:szCs w:val="20"/>
              </w:rPr>
            </w:pPr>
            <w:r w:rsidRPr="004B0549">
              <w:rPr>
                <w:rFonts w:cstheme="minorHAnsi"/>
                <w:b/>
                <w:bCs/>
                <w:color w:val="auto"/>
                <w:sz w:val="20"/>
                <w:szCs w:val="20"/>
              </w:rPr>
              <w:t>Hectares burnt</w:t>
            </w:r>
          </w:p>
        </w:tc>
      </w:tr>
      <w:tr w:rsidR="009A108D" w:rsidRPr="004B0549" w14:paraId="0FB4D5E6" w14:textId="77777777" w:rsidTr="0033644E">
        <w:trPr>
          <w:trHeight w:val="361"/>
        </w:trPr>
        <w:tc>
          <w:tcPr>
            <w:cnfStyle w:val="001000000000" w:firstRow="0" w:lastRow="0" w:firstColumn="1" w:lastColumn="0" w:oddVBand="0" w:evenVBand="0" w:oddHBand="0" w:evenHBand="0" w:firstRowFirstColumn="0" w:firstRowLastColumn="0" w:lastRowFirstColumn="0" w:lastRowLastColumn="0"/>
            <w:tcW w:w="2829" w:type="pct"/>
            <w:tcBorders>
              <w:top w:val="single" w:sz="4" w:space="0" w:color="auto"/>
            </w:tcBorders>
          </w:tcPr>
          <w:p w14:paraId="2B881F06" w14:textId="05EBC776" w:rsidR="00977EA0" w:rsidRPr="004B0549" w:rsidRDefault="00977EA0" w:rsidP="00BE5CCD">
            <w:pPr>
              <w:pStyle w:val="Boxtext"/>
              <w:rPr>
                <w:rFonts w:cstheme="minorHAnsi"/>
                <w:sz w:val="20"/>
                <w:szCs w:val="20"/>
              </w:rPr>
            </w:pPr>
            <w:r w:rsidRPr="004B0549">
              <w:rPr>
                <w:rFonts w:cstheme="minorHAnsi"/>
                <w:sz w:val="20"/>
                <w:szCs w:val="20"/>
              </w:rPr>
              <w:t>Campfire, Barbeque</w:t>
            </w:r>
          </w:p>
        </w:tc>
        <w:tc>
          <w:tcPr>
            <w:cnfStyle w:val="000010000000" w:firstRow="0" w:lastRow="0" w:firstColumn="0" w:lastColumn="0" w:oddVBand="1" w:evenVBand="0" w:oddHBand="0" w:evenHBand="0" w:firstRowFirstColumn="0" w:firstRowLastColumn="0" w:lastRowFirstColumn="0" w:lastRowLastColumn="0"/>
            <w:tcW w:w="1228" w:type="pct"/>
            <w:tcBorders>
              <w:top w:val="single" w:sz="4" w:space="0" w:color="auto"/>
            </w:tcBorders>
          </w:tcPr>
          <w:p w14:paraId="201AEAF8" w14:textId="679554B6" w:rsidR="00977EA0" w:rsidRPr="004B0549" w:rsidRDefault="00977EA0" w:rsidP="00BE5CCD">
            <w:pPr>
              <w:pStyle w:val="Boxtext"/>
              <w:ind w:right="244"/>
              <w:jc w:val="right"/>
              <w:rPr>
                <w:rFonts w:cstheme="minorHAnsi"/>
                <w:sz w:val="20"/>
                <w:szCs w:val="20"/>
              </w:rPr>
            </w:pPr>
            <w:r w:rsidRPr="004B0549">
              <w:rPr>
                <w:rFonts w:eastAsia="Times New Roman" w:cstheme="minorHAnsi"/>
                <w:color w:val="000000"/>
                <w:kern w:val="0"/>
                <w:sz w:val="20"/>
                <w:szCs w:val="20"/>
                <w:lang w:eastAsia="en-AU"/>
                <w14:ligatures w14:val="none"/>
              </w:rPr>
              <w:t>2,048</w:t>
            </w:r>
          </w:p>
        </w:tc>
        <w:tc>
          <w:tcPr>
            <w:tcW w:w="944" w:type="pct"/>
            <w:tcBorders>
              <w:top w:val="single" w:sz="4" w:space="0" w:color="auto"/>
            </w:tcBorders>
          </w:tcPr>
          <w:p w14:paraId="43B4F200" w14:textId="480FEF56"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15,54</w:t>
            </w:r>
            <w:r w:rsidR="00B470F0">
              <w:rPr>
                <w:rFonts w:eastAsia="Times New Roman" w:cstheme="minorHAnsi"/>
                <w:color w:val="000000"/>
                <w:kern w:val="0"/>
                <w:sz w:val="20"/>
                <w:szCs w:val="20"/>
                <w:lang w:eastAsia="en-AU"/>
                <w14:ligatures w14:val="none"/>
              </w:rPr>
              <w:t>3</w:t>
            </w:r>
          </w:p>
        </w:tc>
      </w:tr>
      <w:tr w:rsidR="009A108D" w:rsidRPr="004B0549" w14:paraId="797E7226" w14:textId="77777777" w:rsidTr="0033644E">
        <w:trPr>
          <w:trHeight w:val="361"/>
        </w:trPr>
        <w:tc>
          <w:tcPr>
            <w:cnfStyle w:val="001000000000" w:firstRow="0" w:lastRow="0" w:firstColumn="1" w:lastColumn="0" w:oddVBand="0" w:evenVBand="0" w:oddHBand="0" w:evenHBand="0" w:firstRowFirstColumn="0" w:firstRowLastColumn="0" w:lastRowFirstColumn="0" w:lastRowLastColumn="0"/>
            <w:tcW w:w="2829" w:type="pct"/>
          </w:tcPr>
          <w:p w14:paraId="277EA19D" w14:textId="2A3B4C2A" w:rsidR="00977EA0" w:rsidRPr="004B0549" w:rsidRDefault="00977EA0" w:rsidP="00BE5CCD">
            <w:pPr>
              <w:pStyle w:val="Boxtext"/>
              <w:rPr>
                <w:rFonts w:cstheme="minorHAnsi"/>
                <w:sz w:val="20"/>
                <w:szCs w:val="20"/>
              </w:rPr>
            </w:pPr>
            <w:r w:rsidRPr="004B0549">
              <w:rPr>
                <w:rFonts w:eastAsia="Times New Roman" w:cstheme="minorHAnsi"/>
                <w:color w:val="000000"/>
                <w:kern w:val="0"/>
                <w:sz w:val="20"/>
                <w:szCs w:val="20"/>
                <w:lang w:eastAsia="en-AU"/>
                <w14:ligatures w14:val="none"/>
              </w:rPr>
              <w:t>Burning Vehicle, Machine</w:t>
            </w:r>
          </w:p>
        </w:tc>
        <w:tc>
          <w:tcPr>
            <w:cnfStyle w:val="000010000000" w:firstRow="0" w:lastRow="0" w:firstColumn="0" w:lastColumn="0" w:oddVBand="1" w:evenVBand="0" w:oddHBand="0" w:evenHBand="0" w:firstRowFirstColumn="0" w:firstRowLastColumn="0" w:lastRowFirstColumn="0" w:lastRowLastColumn="0"/>
            <w:tcW w:w="1228" w:type="pct"/>
          </w:tcPr>
          <w:p w14:paraId="400ABB55" w14:textId="77777777" w:rsidR="00977EA0" w:rsidRPr="004B0549" w:rsidRDefault="00977EA0" w:rsidP="00BE5CCD">
            <w:pPr>
              <w:pStyle w:val="Boxtext"/>
              <w:ind w:right="244"/>
              <w:jc w:val="right"/>
              <w:rPr>
                <w:rFonts w:cstheme="minorHAnsi"/>
                <w:sz w:val="20"/>
                <w:szCs w:val="20"/>
              </w:rPr>
            </w:pPr>
            <w:r w:rsidRPr="004B0549">
              <w:rPr>
                <w:rFonts w:eastAsia="Times New Roman" w:cstheme="minorHAnsi"/>
                <w:color w:val="000000"/>
                <w:kern w:val="0"/>
                <w:sz w:val="20"/>
                <w:szCs w:val="20"/>
                <w:lang w:eastAsia="en-AU"/>
                <w14:ligatures w14:val="none"/>
              </w:rPr>
              <w:t>540</w:t>
            </w:r>
          </w:p>
        </w:tc>
        <w:tc>
          <w:tcPr>
            <w:tcW w:w="944" w:type="pct"/>
            <w:vAlign w:val="bottom"/>
          </w:tcPr>
          <w:p w14:paraId="76C187AA" w14:textId="77777777"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B0549">
              <w:rPr>
                <w:rFonts w:eastAsia="Times New Roman" w:cstheme="minorHAnsi"/>
                <w:color w:val="000000"/>
                <w:kern w:val="0"/>
                <w:sz w:val="20"/>
                <w:szCs w:val="20"/>
                <w:lang w:eastAsia="en-AU"/>
                <w14:ligatures w14:val="none"/>
              </w:rPr>
              <w:t>14,989</w:t>
            </w:r>
          </w:p>
        </w:tc>
      </w:tr>
      <w:tr w:rsidR="009A108D" w:rsidRPr="004B0549" w14:paraId="50712CCD"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Pr>
          <w:p w14:paraId="02EE2381" w14:textId="77777777" w:rsidR="00977EA0" w:rsidRPr="004B0549" w:rsidRDefault="00977EA0" w:rsidP="00BE5CCD">
            <w:pPr>
              <w:pStyle w:val="Boxtext"/>
              <w:rPr>
                <w:rFonts w:cstheme="minorHAnsi"/>
                <w:sz w:val="20"/>
                <w:szCs w:val="20"/>
              </w:rPr>
            </w:pPr>
            <w:r w:rsidRPr="004B0549">
              <w:rPr>
                <w:rFonts w:cstheme="minorHAnsi"/>
                <w:color w:val="000000"/>
                <w:kern w:val="0"/>
                <w:sz w:val="20"/>
                <w:szCs w:val="20"/>
                <w14:ligatures w14:val="none"/>
              </w:rPr>
              <w:t xml:space="preserve">Exhaust, </w:t>
            </w:r>
            <w:r w:rsidRPr="004B0549">
              <w:rPr>
                <w:rFonts w:eastAsia="Times New Roman" w:cstheme="minorHAnsi"/>
                <w:color w:val="000000"/>
                <w:kern w:val="0"/>
                <w:sz w:val="20"/>
                <w:szCs w:val="20"/>
                <w:lang w:eastAsia="en-AU"/>
                <w14:ligatures w14:val="none"/>
              </w:rPr>
              <w:t>Other</w:t>
            </w:r>
          </w:p>
        </w:tc>
        <w:tc>
          <w:tcPr>
            <w:cnfStyle w:val="000010000000" w:firstRow="0" w:lastRow="0" w:firstColumn="0" w:lastColumn="0" w:oddVBand="1" w:evenVBand="0" w:oddHBand="0" w:evenHBand="0" w:firstRowFirstColumn="0" w:firstRowLastColumn="0" w:lastRowFirstColumn="0" w:lastRowLastColumn="0"/>
            <w:tcW w:w="1228" w:type="pct"/>
          </w:tcPr>
          <w:p w14:paraId="04D4BD8B" w14:textId="77777777" w:rsidR="00977EA0" w:rsidRPr="004B0549" w:rsidRDefault="00977EA0" w:rsidP="00BE5CCD">
            <w:pPr>
              <w:pStyle w:val="Boxtext"/>
              <w:ind w:right="244"/>
              <w:jc w:val="right"/>
              <w:rPr>
                <w:rFonts w:cstheme="minorHAnsi"/>
                <w:sz w:val="20"/>
                <w:szCs w:val="20"/>
              </w:rPr>
            </w:pPr>
            <w:r w:rsidRPr="004B0549">
              <w:rPr>
                <w:rFonts w:eastAsia="Times New Roman" w:cstheme="minorHAnsi"/>
                <w:color w:val="000000"/>
                <w:kern w:val="0"/>
                <w:sz w:val="20"/>
                <w:szCs w:val="20"/>
                <w:lang w:eastAsia="en-AU"/>
                <w14:ligatures w14:val="none"/>
              </w:rPr>
              <w:t>87</w:t>
            </w:r>
          </w:p>
        </w:tc>
        <w:tc>
          <w:tcPr>
            <w:tcW w:w="944" w:type="pct"/>
          </w:tcPr>
          <w:p w14:paraId="70784161" w14:textId="532AA293"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2</w:t>
            </w:r>
            <w:r w:rsidR="008E7D0A" w:rsidRPr="004B0549">
              <w:rPr>
                <w:rFonts w:eastAsia="Times New Roman" w:cstheme="minorHAnsi"/>
                <w:color w:val="000000"/>
                <w:kern w:val="0"/>
                <w:sz w:val="20"/>
                <w:szCs w:val="20"/>
                <w:lang w:eastAsia="en-AU"/>
                <w14:ligatures w14:val="none"/>
              </w:rPr>
              <w:t>,</w:t>
            </w:r>
            <w:r w:rsidRPr="004B0549">
              <w:rPr>
                <w:rFonts w:eastAsia="Times New Roman" w:cstheme="minorHAnsi"/>
                <w:color w:val="000000"/>
                <w:kern w:val="0"/>
                <w:sz w:val="20"/>
                <w:szCs w:val="20"/>
                <w:lang w:eastAsia="en-AU"/>
                <w14:ligatures w14:val="none"/>
              </w:rPr>
              <w:t>514</w:t>
            </w:r>
          </w:p>
        </w:tc>
      </w:tr>
      <w:tr w:rsidR="009A108D" w:rsidRPr="004B0549" w14:paraId="59BB91CC"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Borders>
              <w:bottom w:val="single" w:sz="4" w:space="0" w:color="auto"/>
            </w:tcBorders>
          </w:tcPr>
          <w:p w14:paraId="20D087DF" w14:textId="77777777" w:rsidR="00977EA0" w:rsidRPr="004B0549" w:rsidRDefault="00977EA0" w:rsidP="00BE5CCD">
            <w:pPr>
              <w:pStyle w:val="Boxtext"/>
              <w:rPr>
                <w:rFonts w:cstheme="minorHAnsi"/>
                <w:sz w:val="20"/>
                <w:szCs w:val="20"/>
              </w:rPr>
            </w:pPr>
            <w:r w:rsidRPr="004B0549">
              <w:rPr>
                <w:rFonts w:cstheme="minorHAnsi"/>
                <w:color w:val="000000"/>
                <w:kern w:val="0"/>
                <w:sz w:val="20"/>
                <w:szCs w:val="20"/>
                <w14:ligatures w14:val="none"/>
              </w:rPr>
              <w:t xml:space="preserve">Exhaust, </w:t>
            </w:r>
            <w:r w:rsidRPr="004B0549">
              <w:rPr>
                <w:rFonts w:eastAsia="Times New Roman" w:cstheme="minorHAnsi"/>
                <w:color w:val="000000"/>
                <w:kern w:val="0"/>
                <w:sz w:val="20"/>
                <w:szCs w:val="20"/>
                <w:lang w:eastAsia="en-AU"/>
                <w14:ligatures w14:val="none"/>
              </w:rPr>
              <w:t>Chainsaw</w:t>
            </w:r>
          </w:p>
        </w:tc>
        <w:tc>
          <w:tcPr>
            <w:cnfStyle w:val="000010000000" w:firstRow="0" w:lastRow="0" w:firstColumn="0" w:lastColumn="0" w:oddVBand="1" w:evenVBand="0" w:oddHBand="0" w:evenHBand="0" w:firstRowFirstColumn="0" w:firstRowLastColumn="0" w:lastRowFirstColumn="0" w:lastRowLastColumn="0"/>
            <w:tcW w:w="1228" w:type="pct"/>
            <w:tcBorders>
              <w:bottom w:val="single" w:sz="4" w:space="0" w:color="auto"/>
            </w:tcBorders>
          </w:tcPr>
          <w:p w14:paraId="7AF92FDA" w14:textId="77777777" w:rsidR="00977EA0" w:rsidRPr="004B0549" w:rsidRDefault="00977EA0" w:rsidP="00BE5CCD">
            <w:pPr>
              <w:pStyle w:val="Boxtext"/>
              <w:ind w:right="244"/>
              <w:jc w:val="right"/>
              <w:rPr>
                <w:rFonts w:cstheme="minorHAnsi"/>
                <w:sz w:val="20"/>
                <w:szCs w:val="20"/>
              </w:rPr>
            </w:pPr>
            <w:r w:rsidRPr="004B0549">
              <w:rPr>
                <w:rFonts w:eastAsia="Times New Roman" w:cstheme="minorHAnsi"/>
                <w:color w:val="000000"/>
                <w:kern w:val="0"/>
                <w:sz w:val="20"/>
                <w:szCs w:val="20"/>
                <w:lang w:eastAsia="en-AU"/>
                <w14:ligatures w14:val="none"/>
              </w:rPr>
              <w:t>29</w:t>
            </w:r>
          </w:p>
        </w:tc>
        <w:tc>
          <w:tcPr>
            <w:tcW w:w="944" w:type="pct"/>
            <w:tcBorders>
              <w:bottom w:val="single" w:sz="4" w:space="0" w:color="auto"/>
            </w:tcBorders>
          </w:tcPr>
          <w:p w14:paraId="44ADC717" w14:textId="77777777"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29</w:t>
            </w:r>
          </w:p>
        </w:tc>
      </w:tr>
      <w:tr w:rsidR="009A108D" w:rsidRPr="004B0549" w14:paraId="2E5349F4"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shd w:val="clear" w:color="auto" w:fill="E8E8E8" w:themeFill="text1" w:themeFillTint="1A"/>
          </w:tcPr>
          <w:p w14:paraId="0BD53427" w14:textId="77777777" w:rsidR="00977EA0" w:rsidRPr="004B0549" w:rsidRDefault="00977EA0" w:rsidP="00BE5CCD">
            <w:pPr>
              <w:pStyle w:val="Boxtext"/>
              <w:rPr>
                <w:rFonts w:cstheme="minorHAnsi"/>
                <w:b/>
                <w:i/>
                <w:sz w:val="20"/>
                <w:szCs w:val="20"/>
              </w:rPr>
            </w:pPr>
            <w:r w:rsidRPr="004B0549">
              <w:rPr>
                <w:rFonts w:eastAsia="Times New Roman" w:cstheme="minorHAnsi"/>
                <w:b/>
                <w:i/>
                <w:color w:val="000000"/>
                <w:kern w:val="0"/>
                <w:sz w:val="20"/>
                <w:szCs w:val="20"/>
                <w:lang w:eastAsia="en-AU"/>
                <w14:ligatures w14:val="none"/>
              </w:rPr>
              <w:t>Total bushfires subject to the regulations</w:t>
            </w:r>
          </w:p>
        </w:tc>
        <w:tc>
          <w:tcPr>
            <w:cnfStyle w:val="000010000000" w:firstRow="0" w:lastRow="0" w:firstColumn="0" w:lastColumn="0" w:oddVBand="1" w:evenVBand="0" w:oddHBand="0" w:evenHBand="0" w:firstRowFirstColumn="0" w:firstRowLastColumn="0" w:lastRowFirstColumn="0" w:lastRowLastColumn="0"/>
            <w:tcW w:w="1228" w:type="pct"/>
            <w:shd w:val="clear" w:color="auto" w:fill="E8E8E8" w:themeFill="text1" w:themeFillTint="1A"/>
          </w:tcPr>
          <w:p w14:paraId="0D3E6502" w14:textId="265D8FC9" w:rsidR="00977EA0" w:rsidRPr="004B0549" w:rsidRDefault="00977EA0" w:rsidP="00BE5CCD">
            <w:pPr>
              <w:pStyle w:val="Boxtext"/>
              <w:ind w:right="244"/>
              <w:jc w:val="right"/>
              <w:rPr>
                <w:rFonts w:cstheme="minorHAnsi"/>
                <w:b/>
                <w:iCs/>
                <w:sz w:val="20"/>
                <w:szCs w:val="20"/>
              </w:rPr>
            </w:pPr>
            <w:r w:rsidRPr="004B0549">
              <w:rPr>
                <w:rFonts w:eastAsia="Times New Roman" w:cstheme="minorHAnsi"/>
                <w:b/>
                <w:iCs/>
                <w:color w:val="000000"/>
                <w:kern w:val="0"/>
                <w:sz w:val="20"/>
                <w:szCs w:val="20"/>
                <w:lang w:eastAsia="en-AU"/>
                <w14:ligatures w14:val="none"/>
              </w:rPr>
              <w:t>2,</w:t>
            </w:r>
            <w:r w:rsidR="00D055CC">
              <w:rPr>
                <w:rFonts w:eastAsia="Times New Roman" w:cstheme="minorHAnsi"/>
                <w:b/>
                <w:iCs/>
                <w:color w:val="000000"/>
                <w:kern w:val="0"/>
                <w:sz w:val="20"/>
                <w:szCs w:val="20"/>
                <w:lang w:eastAsia="en-AU"/>
                <w14:ligatures w14:val="none"/>
              </w:rPr>
              <w:t>704</w:t>
            </w:r>
          </w:p>
        </w:tc>
        <w:tc>
          <w:tcPr>
            <w:tcW w:w="944" w:type="pct"/>
            <w:shd w:val="clear" w:color="auto" w:fill="E8E8E8" w:themeFill="text1" w:themeFillTint="1A"/>
          </w:tcPr>
          <w:p w14:paraId="2DB5B0FB" w14:textId="6E61C7D1"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iCs/>
                <w:color w:val="000000"/>
                <w:kern w:val="0"/>
                <w:sz w:val="20"/>
                <w:szCs w:val="20"/>
                <w:lang w:eastAsia="en-AU"/>
                <w14:ligatures w14:val="none"/>
              </w:rPr>
            </w:pPr>
            <w:r w:rsidRPr="004B0549">
              <w:rPr>
                <w:rFonts w:eastAsia="Times New Roman" w:cstheme="minorHAnsi"/>
                <w:b/>
                <w:iCs/>
                <w:color w:val="000000"/>
                <w:kern w:val="0"/>
                <w:sz w:val="20"/>
                <w:szCs w:val="20"/>
                <w:lang w:eastAsia="en-AU"/>
                <w14:ligatures w14:val="none"/>
              </w:rPr>
              <w:t>33,0</w:t>
            </w:r>
            <w:r w:rsidR="00D055CC">
              <w:rPr>
                <w:rFonts w:eastAsia="Times New Roman" w:cstheme="minorHAnsi"/>
                <w:b/>
                <w:iCs/>
                <w:color w:val="000000"/>
                <w:kern w:val="0"/>
                <w:sz w:val="20"/>
                <w:szCs w:val="20"/>
                <w:lang w:eastAsia="en-AU"/>
                <w14:ligatures w14:val="none"/>
              </w:rPr>
              <w:t>75</w:t>
            </w:r>
          </w:p>
        </w:tc>
      </w:tr>
      <w:tr w:rsidR="009A108D" w:rsidRPr="004B0549" w14:paraId="68D8696C"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Pr>
          <w:p w14:paraId="4C48D508" w14:textId="77777777" w:rsidR="00977EA0" w:rsidRPr="004B0549" w:rsidRDefault="00977EA0" w:rsidP="00BE5CCD">
            <w:pPr>
              <w:pStyle w:val="Boxtext"/>
              <w:rPr>
                <w:rFonts w:cstheme="minorHAnsi"/>
                <w:color w:val="000000"/>
                <w:kern w:val="0"/>
                <w:sz w:val="20"/>
                <w:szCs w:val="20"/>
                <w14:ligatures w14:val="none"/>
              </w:rPr>
            </w:pPr>
            <w:r w:rsidRPr="004B0549">
              <w:rPr>
                <w:rFonts w:eastAsia="Times New Roman" w:cstheme="minorHAnsi"/>
                <w:color w:val="000000"/>
                <w:kern w:val="0"/>
                <w:sz w:val="20"/>
                <w:szCs w:val="20"/>
                <w:lang w:eastAsia="en-AU"/>
                <w14:ligatures w14:val="none"/>
              </w:rPr>
              <w:t>Lightning</w:t>
            </w:r>
          </w:p>
        </w:tc>
        <w:tc>
          <w:tcPr>
            <w:cnfStyle w:val="000010000000" w:firstRow="0" w:lastRow="0" w:firstColumn="0" w:lastColumn="0" w:oddVBand="1" w:evenVBand="0" w:oddHBand="0" w:evenHBand="0" w:firstRowFirstColumn="0" w:firstRowLastColumn="0" w:lastRowFirstColumn="0" w:lastRowLastColumn="0"/>
            <w:tcW w:w="1228" w:type="pct"/>
          </w:tcPr>
          <w:p w14:paraId="21216102" w14:textId="77777777" w:rsidR="00977EA0" w:rsidRPr="004B0549" w:rsidRDefault="00977EA0" w:rsidP="00BE5CCD">
            <w:pPr>
              <w:pStyle w:val="Boxtext"/>
              <w:ind w:right="244"/>
              <w:jc w:val="right"/>
              <w:rPr>
                <w:rFonts w:cstheme="minorHAnsi"/>
                <w:color w:val="000000"/>
                <w:kern w:val="0"/>
                <w:sz w:val="20"/>
                <w:szCs w:val="20"/>
                <w14:ligatures w14:val="none"/>
              </w:rPr>
            </w:pPr>
            <w:r w:rsidRPr="004B0549">
              <w:rPr>
                <w:rFonts w:eastAsia="Times New Roman" w:cstheme="minorHAnsi"/>
                <w:color w:val="000000"/>
                <w:kern w:val="0"/>
                <w:sz w:val="20"/>
                <w:szCs w:val="20"/>
                <w:lang w:eastAsia="en-AU"/>
                <w14:ligatures w14:val="none"/>
              </w:rPr>
              <w:t>2,064</w:t>
            </w:r>
          </w:p>
        </w:tc>
        <w:tc>
          <w:tcPr>
            <w:tcW w:w="944" w:type="pct"/>
          </w:tcPr>
          <w:p w14:paraId="1893600C" w14:textId="77777777"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1,790,387</w:t>
            </w:r>
          </w:p>
        </w:tc>
      </w:tr>
      <w:tr w:rsidR="009A108D" w:rsidRPr="004B0549" w14:paraId="0DB555A5"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Pr>
          <w:p w14:paraId="515155DC" w14:textId="77777777" w:rsidR="00977EA0" w:rsidRPr="004B0549" w:rsidRDefault="00977EA0" w:rsidP="00BE5CCD">
            <w:pPr>
              <w:pStyle w:val="Boxtext"/>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Deliberate Lighting (Malicious)</w:t>
            </w:r>
          </w:p>
        </w:tc>
        <w:tc>
          <w:tcPr>
            <w:cnfStyle w:val="000010000000" w:firstRow="0" w:lastRow="0" w:firstColumn="0" w:lastColumn="0" w:oddVBand="1" w:evenVBand="0" w:oddHBand="0" w:evenHBand="0" w:firstRowFirstColumn="0" w:firstRowLastColumn="0" w:lastRowFirstColumn="0" w:lastRowLastColumn="0"/>
            <w:tcW w:w="1228" w:type="pct"/>
          </w:tcPr>
          <w:p w14:paraId="3857BBE7" w14:textId="77777777" w:rsidR="00977EA0" w:rsidRPr="004B0549" w:rsidRDefault="00977EA0" w:rsidP="00BE5CCD">
            <w:pPr>
              <w:pStyle w:val="Boxtext"/>
              <w:ind w:right="244"/>
              <w:jc w:val="right"/>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705</w:t>
            </w:r>
          </w:p>
        </w:tc>
        <w:tc>
          <w:tcPr>
            <w:tcW w:w="944" w:type="pct"/>
          </w:tcPr>
          <w:p w14:paraId="18D064BD" w14:textId="77777777"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9,162</w:t>
            </w:r>
          </w:p>
        </w:tc>
      </w:tr>
      <w:tr w:rsidR="00FA35DD" w:rsidRPr="004B0549" w14:paraId="6EF2C4B3"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Pr>
          <w:p w14:paraId="6E855BBD" w14:textId="0B1698AA" w:rsidR="00527F06" w:rsidRPr="004B0549" w:rsidRDefault="00527F06" w:rsidP="00BE5CCD">
            <w:pPr>
              <w:pStyle w:val="Boxtext"/>
              <w:rPr>
                <w:rFonts w:eastAsia="Times New Roman" w:cstheme="minorHAnsi"/>
                <w:color w:val="000000"/>
                <w:kern w:val="0"/>
                <w:sz w:val="20"/>
                <w:szCs w:val="20"/>
                <w:lang w:eastAsia="en-AU"/>
                <w14:ligatures w14:val="none"/>
              </w:rPr>
            </w:pPr>
            <w:r>
              <w:rPr>
                <w:rFonts w:eastAsia="Times New Roman" w:cstheme="minorHAnsi"/>
                <w:color w:val="000000"/>
                <w:kern w:val="0"/>
                <w:sz w:val="20"/>
                <w:szCs w:val="20"/>
                <w:lang w:eastAsia="en-AU"/>
                <w14:ligatures w14:val="none"/>
              </w:rPr>
              <w:t>Other</w:t>
            </w:r>
            <w:r w:rsidR="00074ABB">
              <w:rPr>
                <w:rFonts w:eastAsia="Times New Roman" w:cstheme="minorHAnsi"/>
                <w:color w:val="000000"/>
                <w:kern w:val="0"/>
                <w:sz w:val="20"/>
                <w:szCs w:val="20"/>
                <w:lang w:eastAsia="en-AU"/>
                <w14:ligatures w14:val="none"/>
              </w:rPr>
              <w:t xml:space="preserve"> categories</w:t>
            </w:r>
          </w:p>
        </w:tc>
        <w:tc>
          <w:tcPr>
            <w:cnfStyle w:val="000010000000" w:firstRow="0" w:lastRow="0" w:firstColumn="0" w:lastColumn="0" w:oddVBand="1" w:evenVBand="0" w:oddHBand="0" w:evenHBand="0" w:firstRowFirstColumn="0" w:firstRowLastColumn="0" w:lastRowFirstColumn="0" w:lastRowLastColumn="0"/>
            <w:tcW w:w="1228" w:type="pct"/>
          </w:tcPr>
          <w:p w14:paraId="0D1D6191" w14:textId="25C859E9" w:rsidR="00527F06" w:rsidRPr="004B0549" w:rsidRDefault="006173B0" w:rsidP="00BE5CCD">
            <w:pPr>
              <w:pStyle w:val="Boxtext"/>
              <w:ind w:right="244"/>
              <w:jc w:val="right"/>
              <w:rPr>
                <w:rFonts w:eastAsia="Times New Roman" w:cstheme="minorHAnsi"/>
                <w:color w:val="000000"/>
                <w:kern w:val="0"/>
                <w:sz w:val="20"/>
                <w:szCs w:val="20"/>
                <w:lang w:eastAsia="en-AU"/>
                <w14:ligatures w14:val="none"/>
              </w:rPr>
            </w:pPr>
            <w:r>
              <w:rPr>
                <w:rFonts w:eastAsia="Times New Roman" w:cstheme="minorHAnsi"/>
                <w:color w:val="000000"/>
                <w:kern w:val="0"/>
                <w:sz w:val="20"/>
                <w:szCs w:val="20"/>
                <w:lang w:eastAsia="en-AU"/>
                <w14:ligatures w14:val="none"/>
              </w:rPr>
              <w:t>6,287</w:t>
            </w:r>
          </w:p>
        </w:tc>
        <w:tc>
          <w:tcPr>
            <w:tcW w:w="944" w:type="pct"/>
          </w:tcPr>
          <w:p w14:paraId="3B34AD8D" w14:textId="142509E1" w:rsidR="00527F06" w:rsidRPr="004B0549" w:rsidRDefault="00074ABB"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Pr>
                <w:rFonts w:eastAsia="Times New Roman" w:cstheme="minorHAnsi"/>
                <w:color w:val="000000"/>
                <w:kern w:val="0"/>
                <w:sz w:val="20"/>
                <w:szCs w:val="20"/>
                <w:lang w:eastAsia="en-AU"/>
                <w14:ligatures w14:val="none"/>
              </w:rPr>
              <w:t>7</w:t>
            </w:r>
            <w:r w:rsidR="00F74058">
              <w:rPr>
                <w:rFonts w:eastAsia="Times New Roman" w:cstheme="minorHAnsi"/>
                <w:color w:val="000000"/>
                <w:kern w:val="0"/>
                <w:sz w:val="20"/>
                <w:szCs w:val="20"/>
                <w:lang w:eastAsia="en-AU"/>
                <w14:ligatures w14:val="none"/>
              </w:rPr>
              <w:t>2,579</w:t>
            </w:r>
          </w:p>
        </w:tc>
      </w:tr>
      <w:tr w:rsidR="009A108D" w:rsidRPr="004B0549" w14:paraId="58D48BA2"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Pr>
          <w:p w14:paraId="00A34A27" w14:textId="77777777" w:rsidR="00977EA0" w:rsidRPr="004B0549" w:rsidRDefault="00977EA0" w:rsidP="00BE5CCD">
            <w:pPr>
              <w:pStyle w:val="Boxtext"/>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Unknown</w:t>
            </w:r>
          </w:p>
        </w:tc>
        <w:tc>
          <w:tcPr>
            <w:cnfStyle w:val="000010000000" w:firstRow="0" w:lastRow="0" w:firstColumn="0" w:lastColumn="0" w:oddVBand="1" w:evenVBand="0" w:oddHBand="0" w:evenHBand="0" w:firstRowFirstColumn="0" w:firstRowLastColumn="0" w:lastRowFirstColumn="0" w:lastRowLastColumn="0"/>
            <w:tcW w:w="1228" w:type="pct"/>
          </w:tcPr>
          <w:p w14:paraId="136057EB" w14:textId="77777777" w:rsidR="00977EA0" w:rsidRPr="004B0549" w:rsidRDefault="00977EA0" w:rsidP="00BE5CCD">
            <w:pPr>
              <w:pStyle w:val="Boxtext"/>
              <w:ind w:right="244"/>
              <w:jc w:val="right"/>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1,144</w:t>
            </w:r>
          </w:p>
        </w:tc>
        <w:tc>
          <w:tcPr>
            <w:tcW w:w="944" w:type="pct"/>
          </w:tcPr>
          <w:p w14:paraId="72198A1E" w14:textId="77777777"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en-AU"/>
                <w14:ligatures w14:val="none"/>
              </w:rPr>
            </w:pPr>
            <w:r w:rsidRPr="004B0549">
              <w:rPr>
                <w:rFonts w:eastAsia="Times New Roman" w:cstheme="minorHAnsi"/>
                <w:color w:val="000000"/>
                <w:kern w:val="0"/>
                <w:sz w:val="20"/>
                <w:szCs w:val="20"/>
                <w:lang w:eastAsia="en-AU"/>
                <w14:ligatures w14:val="none"/>
              </w:rPr>
              <w:t>56,374</w:t>
            </w:r>
          </w:p>
        </w:tc>
      </w:tr>
      <w:tr w:rsidR="009A108D" w:rsidRPr="004B0549" w14:paraId="2CF47BC1" w14:textId="77777777" w:rsidTr="0033644E">
        <w:trPr>
          <w:trHeight w:val="376"/>
        </w:trPr>
        <w:tc>
          <w:tcPr>
            <w:cnfStyle w:val="001000000000" w:firstRow="0" w:lastRow="0" w:firstColumn="1" w:lastColumn="0" w:oddVBand="0" w:evenVBand="0" w:oddHBand="0" w:evenHBand="0" w:firstRowFirstColumn="0" w:firstRowLastColumn="0" w:lastRowFirstColumn="0" w:lastRowLastColumn="0"/>
            <w:tcW w:w="2829" w:type="pct"/>
          </w:tcPr>
          <w:p w14:paraId="6CFDA947" w14:textId="77777777" w:rsidR="00977EA0" w:rsidRPr="004B0549" w:rsidRDefault="00977EA0" w:rsidP="00BE5CCD">
            <w:pPr>
              <w:pStyle w:val="Boxtext"/>
              <w:rPr>
                <w:rFonts w:eastAsia="Times New Roman" w:cstheme="minorHAnsi"/>
                <w:b/>
                <w:i/>
                <w:color w:val="000000"/>
                <w:kern w:val="0"/>
                <w:sz w:val="20"/>
                <w:szCs w:val="20"/>
                <w:lang w:eastAsia="en-AU"/>
                <w14:ligatures w14:val="none"/>
              </w:rPr>
            </w:pPr>
            <w:r w:rsidRPr="004B0549">
              <w:rPr>
                <w:rFonts w:eastAsia="Times New Roman" w:cstheme="minorHAnsi"/>
                <w:b/>
                <w:i/>
                <w:color w:val="000000"/>
                <w:kern w:val="0"/>
                <w:sz w:val="20"/>
                <w:szCs w:val="20"/>
                <w:lang w:eastAsia="en-AU"/>
                <w14:ligatures w14:val="none"/>
              </w:rPr>
              <w:t>Total − All bushfires in Victoria</w:t>
            </w:r>
          </w:p>
        </w:tc>
        <w:tc>
          <w:tcPr>
            <w:cnfStyle w:val="000010000000" w:firstRow="0" w:lastRow="0" w:firstColumn="0" w:lastColumn="0" w:oddVBand="1" w:evenVBand="0" w:oddHBand="0" w:evenHBand="0" w:firstRowFirstColumn="0" w:firstRowLastColumn="0" w:lastRowFirstColumn="0" w:lastRowLastColumn="0"/>
            <w:tcW w:w="1228" w:type="pct"/>
          </w:tcPr>
          <w:p w14:paraId="5A540A6B" w14:textId="77777777" w:rsidR="00977EA0" w:rsidRPr="004B0549" w:rsidRDefault="00977EA0" w:rsidP="00BE5CCD">
            <w:pPr>
              <w:pStyle w:val="Boxtext"/>
              <w:ind w:right="244"/>
              <w:jc w:val="right"/>
              <w:rPr>
                <w:rFonts w:eastAsia="Times New Roman" w:cstheme="minorHAnsi"/>
                <w:b/>
                <w:bCs/>
                <w:iCs/>
                <w:color w:val="000000"/>
                <w:kern w:val="0"/>
                <w:sz w:val="20"/>
                <w:szCs w:val="20"/>
                <w:lang w:eastAsia="en-AU"/>
                <w14:ligatures w14:val="none"/>
              </w:rPr>
            </w:pPr>
            <w:r w:rsidRPr="004B0549">
              <w:rPr>
                <w:rFonts w:eastAsia="Times New Roman" w:cstheme="minorHAnsi"/>
                <w:b/>
                <w:bCs/>
                <w:iCs/>
                <w:color w:val="000000"/>
                <w:kern w:val="0"/>
                <w:sz w:val="20"/>
                <w:szCs w:val="20"/>
                <w:lang w:eastAsia="en-AU"/>
                <w14:ligatures w14:val="none"/>
              </w:rPr>
              <w:t>12,904</w:t>
            </w:r>
          </w:p>
        </w:tc>
        <w:tc>
          <w:tcPr>
            <w:tcW w:w="944" w:type="pct"/>
          </w:tcPr>
          <w:p w14:paraId="65208E00" w14:textId="77777777" w:rsidR="00977EA0" w:rsidRPr="004B0549" w:rsidRDefault="00977EA0" w:rsidP="00BE5CCD">
            <w:pPr>
              <w:pStyle w:val="Boxtext"/>
              <w:ind w:right="244"/>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Cs/>
                <w:color w:val="000000"/>
                <w:kern w:val="0"/>
                <w:sz w:val="20"/>
                <w:szCs w:val="20"/>
                <w:lang w:eastAsia="en-AU"/>
                <w14:ligatures w14:val="none"/>
              </w:rPr>
            </w:pPr>
            <w:r w:rsidRPr="004B0549">
              <w:rPr>
                <w:rFonts w:eastAsia="Times New Roman" w:cstheme="minorHAnsi"/>
                <w:b/>
                <w:bCs/>
                <w:iCs/>
                <w:color w:val="000000"/>
                <w:kern w:val="0"/>
                <w:sz w:val="20"/>
                <w:szCs w:val="20"/>
                <w:lang w:eastAsia="en-AU"/>
                <w14:ligatures w14:val="none"/>
              </w:rPr>
              <w:t>1,961,577</w:t>
            </w:r>
          </w:p>
        </w:tc>
      </w:tr>
    </w:tbl>
    <w:p w14:paraId="3A3C6837" w14:textId="0DAA7598" w:rsidR="00977EA0" w:rsidRPr="004B0549" w:rsidRDefault="00977EA0" w:rsidP="008E7D0A">
      <w:pPr>
        <w:spacing w:before="0"/>
        <w:rPr>
          <w:rFonts w:cstheme="minorHAnsi"/>
          <w:sz w:val="18"/>
          <w:szCs w:val="18"/>
        </w:rPr>
      </w:pPr>
      <w:r w:rsidRPr="00F32D75">
        <w:rPr>
          <w:rFonts w:cstheme="minorHAnsi"/>
          <w:color w:val="000000"/>
          <w:sz w:val="18"/>
          <w:szCs w:val="18"/>
        </w:rPr>
        <w:t>Source: DEEC</w:t>
      </w:r>
      <w:r w:rsidR="008E7D0A" w:rsidRPr="00F32D75">
        <w:rPr>
          <w:rFonts w:cstheme="minorHAnsi"/>
          <w:color w:val="000000"/>
          <w:sz w:val="18"/>
          <w:szCs w:val="18"/>
        </w:rPr>
        <w:t>A</w:t>
      </w:r>
    </w:p>
    <w:p w14:paraId="28DD196F" w14:textId="77777777" w:rsidR="003322ED" w:rsidRDefault="004F7753" w:rsidP="004F7753">
      <w:r>
        <w:t>A useful model for understanding the incidence of landscape fire is the four switch model.</w:t>
      </w:r>
      <w:r>
        <w:rPr>
          <w:rStyle w:val="FootnoteReference"/>
        </w:rPr>
        <w:footnoteReference w:id="35"/>
      </w:r>
      <w:r>
        <w:t xml:space="preserve"> The four ‘switches’ are: </w:t>
      </w:r>
    </w:p>
    <w:p w14:paraId="3A259129" w14:textId="4DC9B9D0" w:rsidR="003322ED" w:rsidRDefault="004F7753" w:rsidP="00F32D75">
      <w:pPr>
        <w:pStyle w:val="ListNumber"/>
        <w:spacing w:before="0" w:after="0"/>
      </w:pPr>
      <w:r>
        <w:t>sufficient fuel that is</w:t>
      </w:r>
    </w:p>
    <w:p w14:paraId="0513286E" w14:textId="0BD2FFF1" w:rsidR="003322ED" w:rsidRDefault="004F7753" w:rsidP="00F32D75">
      <w:pPr>
        <w:pStyle w:val="ListNumber"/>
        <w:spacing w:before="0" w:after="0"/>
      </w:pPr>
      <w:r>
        <w:t>dry enough to burn with</w:t>
      </w:r>
    </w:p>
    <w:p w14:paraId="6A498EF8" w14:textId="33226E33" w:rsidR="003322ED" w:rsidRDefault="004F7753" w:rsidP="00F32D75">
      <w:pPr>
        <w:pStyle w:val="ListNumber"/>
        <w:spacing w:before="0" w:after="0"/>
      </w:pPr>
      <w:r>
        <w:t>weather conducive to fire-spread, and</w:t>
      </w:r>
    </w:p>
    <w:p w14:paraId="23774115" w14:textId="5BA58DAF" w:rsidR="003322ED" w:rsidRDefault="004F7753" w:rsidP="00F32D75">
      <w:pPr>
        <w:pStyle w:val="ListNumber"/>
        <w:spacing w:before="0"/>
      </w:pPr>
      <w:r>
        <w:t>an ignition source.</w:t>
      </w:r>
    </w:p>
    <w:p w14:paraId="2FBE6DD7" w14:textId="1E01884B" w:rsidR="004F7753" w:rsidRDefault="004F7753" w:rsidP="004F7753">
      <w:r w:rsidRPr="001205D2">
        <w:t xml:space="preserve">Any non-regulatory or regulatory proposal should seek to manage the risks of unintended fires </w:t>
      </w:r>
      <w:r>
        <w:t>by managing</w:t>
      </w:r>
      <w:r w:rsidRPr="001205D2">
        <w:t xml:space="preserve"> </w:t>
      </w:r>
      <w:r>
        <w:t>these ‘switches’, i.e., the ignition source</w:t>
      </w:r>
      <w:r w:rsidRPr="001205D2">
        <w:t xml:space="preserve"> (</w:t>
      </w:r>
      <w:r w:rsidR="0083424B">
        <w:t>for example</w:t>
      </w:r>
      <w:r w:rsidRPr="001205D2">
        <w:t xml:space="preserve"> sparking from exhausts, welders, bee smokers, etc) and </w:t>
      </w:r>
      <w:r>
        <w:t xml:space="preserve">sufficient </w:t>
      </w:r>
      <w:r w:rsidRPr="001205D2">
        <w:t>fuel source (</w:t>
      </w:r>
      <w:r w:rsidR="0083424B">
        <w:t>for example</w:t>
      </w:r>
      <w:r w:rsidRPr="001205D2">
        <w:t xml:space="preserve"> inflammable material such as leaves, twigs, dry grass, forest litter, etc).</w:t>
      </w:r>
    </w:p>
    <w:p w14:paraId="37888DE0" w14:textId="77F4662A" w:rsidR="004F7753" w:rsidRPr="001205D2" w:rsidRDefault="004F7753" w:rsidP="004F7753">
      <w:r w:rsidRPr="001205D2">
        <w:t>If a fire does occur, then a person should be able to apply basic fire suppression measure</w:t>
      </w:r>
      <w:r w:rsidR="008E7D0A">
        <w:t>s</w:t>
      </w:r>
      <w:r w:rsidRPr="001205D2">
        <w:t xml:space="preserve"> </w:t>
      </w:r>
      <w:r>
        <w:t xml:space="preserve">to prevent </w:t>
      </w:r>
      <w:r w:rsidR="008E7D0A">
        <w:t xml:space="preserve">its </w:t>
      </w:r>
      <w:r>
        <w:t xml:space="preserve">spread </w:t>
      </w:r>
      <w:r w:rsidRPr="001205D2">
        <w:t>(</w:t>
      </w:r>
      <w:r w:rsidR="0083424B">
        <w:t>for example</w:t>
      </w:r>
      <w:r w:rsidRPr="001205D2">
        <w:t xml:space="preserve"> have a water source</w:t>
      </w:r>
      <w:r>
        <w:t xml:space="preserve"> available</w:t>
      </w:r>
      <w:r w:rsidRPr="001205D2">
        <w:t>, extinguisher, etc). For intentional fires, such as campfires</w:t>
      </w:r>
      <w:r>
        <w:t>,</w:t>
      </w:r>
      <w:r w:rsidRPr="001205D2">
        <w:t xml:space="preserve"> barbeques,</w:t>
      </w:r>
      <w:r>
        <w:t xml:space="preserve"> and</w:t>
      </w:r>
      <w:r w:rsidRPr="001205D2">
        <w:t xml:space="preserve"> burning off, a person needs to ensure that the fire does not spread. These risks can be mitigated by clearing fuel, using appropriate equipment, or using a properly constructed fireplace.</w:t>
      </w:r>
    </w:p>
    <w:p w14:paraId="7CEE3309" w14:textId="583C12E9" w:rsidR="00977EA0" w:rsidRDefault="00977EA0" w:rsidP="00977EA0">
      <w:r>
        <w:t xml:space="preserve">There are common </w:t>
      </w:r>
      <w:r w:rsidRPr="00CF63CB">
        <w:t xml:space="preserve">types of </w:t>
      </w:r>
      <w:r>
        <w:t>fire risks in relation to forest areas.</w:t>
      </w:r>
      <w:r w:rsidR="007D1002">
        <w:t xml:space="preserve"> </w:t>
      </w:r>
      <w:r>
        <w:t>Firstly, there are fires associated with camping and barbeques, where a fire may escape and spread if not properly managed.</w:t>
      </w:r>
    </w:p>
    <w:p w14:paraId="5928E1E5" w14:textId="77777777" w:rsidR="00977EA0" w:rsidRDefault="00977EA0" w:rsidP="00977EA0">
      <w:r>
        <w:t xml:space="preserve">Secondly, the is a risk of fires associated with business activities in or adjacent to forest areas. There are two types of fire risks with respect to business </w:t>
      </w:r>
      <w:r w:rsidRPr="00CF63CB">
        <w:t>activities</w:t>
      </w:r>
      <w:r>
        <w:t>:</w:t>
      </w:r>
    </w:p>
    <w:p w14:paraId="106EF153" w14:textId="71B6CEE7" w:rsidR="00977EA0" w:rsidRPr="00CF63CB" w:rsidRDefault="00977EA0" w:rsidP="008177CF">
      <w:pPr>
        <w:pStyle w:val="ListBullet"/>
      </w:pPr>
      <w:r>
        <w:t>some businesses deliberately use fire as part of their activities; for example, burners</w:t>
      </w:r>
      <w:r w:rsidRPr="00CF63CB">
        <w:t xml:space="preserve"> at sawmills</w:t>
      </w:r>
      <w:r>
        <w:t xml:space="preserve">, smokers used in bee </w:t>
      </w:r>
      <w:r w:rsidR="00522D91">
        <w:t>farming and</w:t>
      </w:r>
      <w:r>
        <w:t xml:space="preserve"> burning-off. Deliberate use of fire needs to be safely managed so that it does not spread.</w:t>
      </w:r>
    </w:p>
    <w:p w14:paraId="0B2CBC8C" w14:textId="5459C510" w:rsidR="00977EA0" w:rsidRPr="007075BB" w:rsidRDefault="00977EA0" w:rsidP="008177CF">
      <w:pPr>
        <w:pStyle w:val="ListBullet"/>
      </w:pPr>
      <w:r>
        <w:t>in other cases, a business may use certain equipment that can inadvertently cause a fire; for example, sparking from chainsaws, welders, grinders, and combustion engines.</w:t>
      </w:r>
    </w:p>
    <w:p w14:paraId="4E49ED99" w14:textId="6D947C2B" w:rsidR="00977EA0" w:rsidRDefault="00977EA0" w:rsidP="00977EA0">
      <w:r>
        <w:t>Sawmills produce significant amounts of offcuts and sawdust. Up to 50 per cent of timber milled can result in waste product. While some of this material can be sold (</w:t>
      </w:r>
      <w:r w:rsidR="0083424B">
        <w:t>for example</w:t>
      </w:r>
      <w:r>
        <w:t xml:space="preserve"> sawdust, wood chips, garden products) a sawmill is often required to store and burn this material. I</w:t>
      </w:r>
      <w:r w:rsidRPr="007102F4">
        <w:t xml:space="preserve">f not properly stored, </w:t>
      </w:r>
      <w:r>
        <w:t xml:space="preserve">sawdust </w:t>
      </w:r>
      <w:r w:rsidRPr="007102F4">
        <w:t xml:space="preserve">can spontaneously combust and cause a fire. </w:t>
      </w:r>
      <w:r>
        <w:t>In addition, m</w:t>
      </w:r>
      <w:r w:rsidRPr="007102F4">
        <w:t xml:space="preserve">ost sawmills use burners to dispose of the sawdust and offcuts. </w:t>
      </w:r>
      <w:r>
        <w:t>Burning this material in or near forests poses inherent risks from sparks and embers and needs to be managed.</w:t>
      </w:r>
    </w:p>
    <w:p w14:paraId="052CDCE7" w14:textId="77777777" w:rsidR="00977EA0" w:rsidRPr="00CF63CB" w:rsidRDefault="00977EA0" w:rsidP="00977EA0">
      <w:r>
        <w:t>Beekeepers use ‘smokers’ to pacify bees when they are working around bees. A smoker contains smouldering leaves, straw, pellets or cardboard to create smoke. While smokers have been known to spark, greater risk occurs if a smoker in knocked over and the smouldering material falls on dried grass, leaves or other forest litter.</w:t>
      </w:r>
    </w:p>
    <w:p w14:paraId="252346FD" w14:textId="77777777" w:rsidR="00977EA0" w:rsidRDefault="00977EA0" w:rsidP="00977EA0">
      <w:r>
        <w:t>Types of mobile equipment such as chainsaws and vehicles are most likely to be used on private land which falls within the fire protected area, directly adjacent to forest areas.</w:t>
      </w:r>
    </w:p>
    <w:tbl>
      <w:tblPr>
        <w:tblStyle w:val="TableGrid"/>
        <w:tblW w:w="5000" w:type="pct"/>
        <w:tblBorders>
          <w:top w:val="none" w:sz="0" w:space="0" w:color="auto"/>
          <w:bottom w:val="none" w:sz="0" w:space="0" w:color="auto"/>
          <w:insideH w:val="none" w:sz="0" w:space="0" w:color="auto"/>
        </w:tblBorders>
        <w:shd w:val="clear" w:color="auto" w:fill="E8E8E8" w:themeFill="text1" w:themeFillTint="1A"/>
        <w:tblLook w:val="04A0" w:firstRow="1" w:lastRow="0" w:firstColumn="1" w:lastColumn="0" w:noHBand="0" w:noVBand="1"/>
      </w:tblPr>
      <w:tblGrid>
        <w:gridCol w:w="9639"/>
      </w:tblGrid>
      <w:tr w:rsidR="008E7D0A" w:rsidRPr="008E7D0A" w14:paraId="32340472" w14:textId="77777777" w:rsidTr="008E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8E8E8" w:themeFill="text1" w:themeFillTint="1A"/>
          </w:tcPr>
          <w:p w14:paraId="318E24B8" w14:textId="77777777" w:rsidR="008D1722" w:rsidRPr="008E7D0A" w:rsidRDefault="008D1722" w:rsidP="008D1722">
            <w:pPr>
              <w:rPr>
                <w:b/>
                <w:bCs/>
                <w:color w:val="auto"/>
              </w:rPr>
            </w:pPr>
            <w:r w:rsidRPr="008E7D0A">
              <w:rPr>
                <w:b/>
                <w:bCs/>
                <w:color w:val="auto"/>
              </w:rPr>
              <w:t>Case study: Fire started by angle grinder</w:t>
            </w:r>
          </w:p>
          <w:p w14:paraId="35237033" w14:textId="3A285A12" w:rsidR="008D1722" w:rsidRPr="008E7D0A" w:rsidRDefault="008D1722" w:rsidP="008D1722">
            <w:pPr>
              <w:rPr>
                <w:color w:val="auto"/>
              </w:rPr>
            </w:pPr>
            <w:r w:rsidRPr="008E7D0A">
              <w:rPr>
                <w:color w:val="auto"/>
              </w:rPr>
              <w:t>A major fire during the 2022-23 summer occurred in Flowerdale. Hundreds of firefighters from across the state battled the aggressive grass and bushfire for 13 days in February</w:t>
            </w:r>
            <w:r w:rsidR="00855DDC">
              <w:rPr>
                <w:color w:val="auto"/>
              </w:rPr>
              <w:t xml:space="preserve"> 2023</w:t>
            </w:r>
            <w:r w:rsidRPr="008E7D0A">
              <w:rPr>
                <w:color w:val="auto"/>
              </w:rPr>
              <w:t>. The fire, which burnt more than 1,000 hectares (700 hectares of private land and 300 hectares of state parks), was believed to have been started by sparks from an angle grinder. The fire started in open farmland and quickly spread into inaccessible terrain making initial containment for responding crews extremely difficult. Firefighting aircraft were deployed to support ground operations.</w:t>
            </w:r>
          </w:p>
          <w:p w14:paraId="33E6A426" w14:textId="2D7280A9" w:rsidR="008D1722" w:rsidRPr="008E7D0A" w:rsidRDefault="008D1722" w:rsidP="008D1722">
            <w:pPr>
              <w:jc w:val="right"/>
              <w:rPr>
                <w:i/>
                <w:color w:val="auto"/>
              </w:rPr>
            </w:pPr>
            <w:r w:rsidRPr="008E7D0A">
              <w:rPr>
                <w:i/>
                <w:color w:val="auto"/>
              </w:rPr>
              <w:t>Source: CFA Annual Report 2022-23, p. 40</w:t>
            </w:r>
          </w:p>
        </w:tc>
      </w:tr>
    </w:tbl>
    <w:p w14:paraId="59FF2AE1" w14:textId="77777777" w:rsidR="00977EA0" w:rsidRDefault="00977EA0" w:rsidP="00977EA0">
      <w:pPr>
        <w:pStyle w:val="Heading3"/>
      </w:pPr>
      <w:bookmarkStart w:id="40" w:name="_Toc187330523"/>
      <w:r>
        <w:t>Existing risk mitigation controls</w:t>
      </w:r>
      <w:bookmarkEnd w:id="40"/>
    </w:p>
    <w:p w14:paraId="2D1CD7DA" w14:textId="09A9CB4B" w:rsidR="00977EA0" w:rsidRDefault="00977EA0" w:rsidP="00977EA0">
      <w:r>
        <w:t xml:space="preserve">Outside the current Forests (Fire Protection) Regulations 2014, there are a range of controls in place to reduce the likelihood of fires </w:t>
      </w:r>
      <w:r w:rsidR="00FB04F9">
        <w:t>occurring or</w:t>
      </w:r>
      <w:r>
        <w:t xml:space="preserve"> reduce the extent of damage should a fire occur. Some of these are outlined below.</w:t>
      </w:r>
    </w:p>
    <w:p w14:paraId="46917F11" w14:textId="50CF0507" w:rsidR="00977EA0" w:rsidRDefault="00977EA0" w:rsidP="00977EA0">
      <w:pPr>
        <w:pStyle w:val="Caption"/>
      </w:pPr>
      <w:r>
        <w:t xml:space="preserve">Table </w:t>
      </w:r>
      <w:r w:rsidR="00A31A50">
        <w:fldChar w:fldCharType="begin"/>
      </w:r>
      <w:r w:rsidR="00A31A50">
        <w:instrText xml:space="preserve"> SEQ Table \* ARABIC </w:instrText>
      </w:r>
      <w:r w:rsidR="00A31A50">
        <w:fldChar w:fldCharType="separate"/>
      </w:r>
      <w:r w:rsidR="0013459E">
        <w:rPr>
          <w:noProof/>
        </w:rPr>
        <w:t>5</w:t>
      </w:r>
      <w:r w:rsidR="00A31A50">
        <w:rPr>
          <w:noProof/>
        </w:rPr>
        <w:fldChar w:fldCharType="end"/>
      </w:r>
      <w:r>
        <w:t>: Mitigation of fire risks under other legislation and policy instruments</w:t>
      </w:r>
    </w:p>
    <w:tbl>
      <w:tblPr>
        <w:tblStyle w:val="TableGrid"/>
        <w:tblW w:w="9639" w:type="dxa"/>
        <w:tblLook w:val="04A0" w:firstRow="1" w:lastRow="0" w:firstColumn="1" w:lastColumn="0" w:noHBand="0" w:noVBand="1"/>
      </w:tblPr>
      <w:tblGrid>
        <w:gridCol w:w="1817"/>
        <w:gridCol w:w="7822"/>
      </w:tblGrid>
      <w:tr w:rsidR="008E7D0A" w:rsidRPr="008E7D0A" w14:paraId="244D8A90" w14:textId="77777777" w:rsidTr="008E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Borders>
              <w:bottom w:val="single" w:sz="4" w:space="0" w:color="auto"/>
            </w:tcBorders>
            <w:shd w:val="clear" w:color="auto" w:fill="E8E8E8" w:themeFill="text1" w:themeFillTint="1A"/>
          </w:tcPr>
          <w:p w14:paraId="56C483D8" w14:textId="77777777" w:rsidR="00977EA0" w:rsidRPr="008E7D0A" w:rsidRDefault="00977EA0" w:rsidP="00BE5CCD">
            <w:pPr>
              <w:pStyle w:val="Boxtext"/>
              <w:rPr>
                <w:b/>
                <w:bCs/>
                <w:color w:val="auto"/>
                <w:sz w:val="20"/>
                <w:szCs w:val="20"/>
              </w:rPr>
            </w:pPr>
            <w:r w:rsidRPr="008E7D0A">
              <w:rPr>
                <w:b/>
                <w:bCs/>
                <w:color w:val="auto"/>
                <w:sz w:val="20"/>
                <w:szCs w:val="20"/>
              </w:rPr>
              <w:t>Control</w:t>
            </w:r>
          </w:p>
        </w:tc>
        <w:tc>
          <w:tcPr>
            <w:tcW w:w="7822" w:type="dxa"/>
            <w:tcBorders>
              <w:bottom w:val="single" w:sz="4" w:space="0" w:color="auto"/>
            </w:tcBorders>
            <w:shd w:val="clear" w:color="auto" w:fill="E8E8E8" w:themeFill="text1" w:themeFillTint="1A"/>
          </w:tcPr>
          <w:p w14:paraId="4C02D90C" w14:textId="77777777" w:rsidR="00977EA0" w:rsidRPr="008E7D0A" w:rsidRDefault="00977EA0"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8E7D0A">
              <w:rPr>
                <w:b/>
                <w:bCs/>
                <w:color w:val="auto"/>
                <w:sz w:val="20"/>
                <w:szCs w:val="20"/>
              </w:rPr>
              <w:t>Description</w:t>
            </w:r>
          </w:p>
        </w:tc>
      </w:tr>
      <w:tr w:rsidR="00977EA0" w14:paraId="2715B52A"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4DC96AB0" w14:textId="77777777" w:rsidR="00977EA0" w:rsidRPr="003F540F" w:rsidRDefault="00977EA0" w:rsidP="00BE5CCD">
            <w:pPr>
              <w:pStyle w:val="Boxtext"/>
              <w:rPr>
                <w:sz w:val="20"/>
                <w:szCs w:val="20"/>
              </w:rPr>
            </w:pPr>
            <w:r w:rsidRPr="003F540F">
              <w:rPr>
                <w:sz w:val="20"/>
                <w:szCs w:val="20"/>
              </w:rPr>
              <w:t>State-wide offence to create bushfire</w:t>
            </w:r>
          </w:p>
        </w:tc>
        <w:tc>
          <w:tcPr>
            <w:tcW w:w="7822" w:type="dxa"/>
          </w:tcPr>
          <w:p w14:paraId="430EBA81" w14:textId="67F1A5D1"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Under section 201A of the </w:t>
            </w:r>
            <w:r w:rsidRPr="008E7D0A">
              <w:rPr>
                <w:i/>
                <w:iCs/>
                <w:sz w:val="20"/>
                <w:szCs w:val="20"/>
              </w:rPr>
              <w:t>Crimes Act 1958</w:t>
            </w:r>
            <w:r w:rsidRPr="003F540F">
              <w:rPr>
                <w:sz w:val="20"/>
                <w:szCs w:val="20"/>
              </w:rPr>
              <w:t>, it is an offence to intentionally or recklessness cause a bushfire</w:t>
            </w:r>
            <w:r w:rsidR="00B454DF">
              <w:rPr>
                <w:sz w:val="20"/>
                <w:szCs w:val="20"/>
              </w:rPr>
              <w:t>.</w:t>
            </w:r>
          </w:p>
        </w:tc>
      </w:tr>
      <w:tr w:rsidR="00977EA0" w14:paraId="609A5FE3"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06D3DEFC" w14:textId="77777777" w:rsidR="00977EA0" w:rsidRPr="003F540F" w:rsidRDefault="00977EA0" w:rsidP="00BE5CCD">
            <w:pPr>
              <w:pStyle w:val="Boxtext"/>
              <w:rPr>
                <w:sz w:val="20"/>
                <w:szCs w:val="20"/>
              </w:rPr>
            </w:pPr>
            <w:r w:rsidRPr="003F540F">
              <w:rPr>
                <w:sz w:val="20"/>
                <w:szCs w:val="20"/>
              </w:rPr>
              <w:t>In national parks</w:t>
            </w:r>
          </w:p>
        </w:tc>
        <w:tc>
          <w:tcPr>
            <w:tcW w:w="7822" w:type="dxa"/>
          </w:tcPr>
          <w:p w14:paraId="091E0B0B" w14:textId="33BA1B50"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Under the National Parks Regulations </w:t>
            </w:r>
            <w:r w:rsidR="00390530" w:rsidRPr="003F540F">
              <w:rPr>
                <w:sz w:val="20"/>
                <w:szCs w:val="20"/>
              </w:rPr>
              <w:t>20</w:t>
            </w:r>
            <w:r w:rsidR="00390530">
              <w:rPr>
                <w:sz w:val="20"/>
                <w:szCs w:val="20"/>
              </w:rPr>
              <w:t>24</w:t>
            </w:r>
            <w:r w:rsidRPr="003F540F">
              <w:rPr>
                <w:sz w:val="20"/>
                <w:szCs w:val="20"/>
              </w:rPr>
              <w:t>, a person must not light or maintain a fire in a park except in a public fireplace or an area set aside.</w:t>
            </w:r>
          </w:p>
        </w:tc>
      </w:tr>
      <w:tr w:rsidR="00977EA0" w14:paraId="2C8D820A"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1D5D7ED4" w14:textId="77777777" w:rsidR="00977EA0" w:rsidRPr="003F540F" w:rsidRDefault="00977EA0" w:rsidP="00BE5CCD">
            <w:pPr>
              <w:pStyle w:val="Boxtext"/>
              <w:rPr>
                <w:sz w:val="20"/>
                <w:szCs w:val="20"/>
              </w:rPr>
            </w:pPr>
            <w:r w:rsidRPr="003F540F">
              <w:rPr>
                <w:sz w:val="20"/>
                <w:szCs w:val="20"/>
              </w:rPr>
              <w:t>In alpine resorts</w:t>
            </w:r>
          </w:p>
        </w:tc>
        <w:tc>
          <w:tcPr>
            <w:tcW w:w="7822" w:type="dxa"/>
          </w:tcPr>
          <w:p w14:paraId="26D74C0E" w14:textId="0E6EBFC2"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Under the Alpine Resorts (Management) Regulations 2020, </w:t>
            </w:r>
            <w:r w:rsidR="008E7D0A">
              <w:rPr>
                <w:sz w:val="20"/>
                <w:szCs w:val="20"/>
              </w:rPr>
              <w:t>a</w:t>
            </w:r>
            <w:r w:rsidRPr="003F540F">
              <w:rPr>
                <w:sz w:val="20"/>
                <w:szCs w:val="20"/>
              </w:rPr>
              <w:t xml:space="preserve"> person must not light, kindle or maintain a fire in the open air in an alpine resort. Alpine Resorts Victoria may set aside areas for where fires are </w:t>
            </w:r>
            <w:r w:rsidR="00FB04F9" w:rsidRPr="003F540F">
              <w:rPr>
                <w:sz w:val="20"/>
                <w:szCs w:val="20"/>
              </w:rPr>
              <w:t>allowed or</w:t>
            </w:r>
            <w:r w:rsidRPr="003F540F">
              <w:rPr>
                <w:sz w:val="20"/>
                <w:szCs w:val="20"/>
              </w:rPr>
              <w:t xml:space="preserve"> provide public fireplaces. Where fires are allowed, the regulations control the size of fire, distance from other flammable material, and requirements for the fires to be observed and properly extinguished.</w:t>
            </w:r>
          </w:p>
        </w:tc>
      </w:tr>
      <w:tr w:rsidR="00854358" w14:paraId="2BC2731E"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6B46B926" w14:textId="68B3725D" w:rsidR="00854358" w:rsidRPr="003F540F" w:rsidRDefault="00E12D03">
            <w:pPr>
              <w:pStyle w:val="Boxtext"/>
              <w:rPr>
                <w:sz w:val="20"/>
                <w:szCs w:val="20"/>
              </w:rPr>
            </w:pPr>
            <w:r w:rsidRPr="00CA62B3">
              <w:rPr>
                <w:sz w:val="20"/>
                <w:szCs w:val="20"/>
              </w:rPr>
              <w:t>In forest reserves</w:t>
            </w:r>
          </w:p>
        </w:tc>
        <w:tc>
          <w:tcPr>
            <w:tcW w:w="7822" w:type="dxa"/>
          </w:tcPr>
          <w:p w14:paraId="1339CEE2" w14:textId="47373B1E" w:rsidR="00854358" w:rsidRPr="003F540F" w:rsidRDefault="00E12D03">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CA62B3">
              <w:rPr>
                <w:sz w:val="20"/>
                <w:szCs w:val="20"/>
              </w:rPr>
              <w:t>Campfires are only allowed in fireplaces provided by the land manager.</w:t>
            </w:r>
          </w:p>
        </w:tc>
      </w:tr>
      <w:tr w:rsidR="00977EA0" w14:paraId="7EAB4B5A"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4BC28203" w14:textId="77777777" w:rsidR="00977EA0" w:rsidRPr="003F540F" w:rsidRDefault="00977EA0" w:rsidP="00BE5CCD">
            <w:pPr>
              <w:pStyle w:val="Boxtext"/>
              <w:rPr>
                <w:sz w:val="20"/>
                <w:szCs w:val="20"/>
              </w:rPr>
            </w:pPr>
            <w:r w:rsidRPr="003F540F">
              <w:rPr>
                <w:sz w:val="20"/>
                <w:szCs w:val="20"/>
              </w:rPr>
              <w:t xml:space="preserve">In State Game Reserves </w:t>
            </w:r>
          </w:p>
        </w:tc>
        <w:tc>
          <w:tcPr>
            <w:tcW w:w="7822" w:type="dxa"/>
          </w:tcPr>
          <w:p w14:paraId="000298C4" w14:textId="7777777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The Wildlife (State Game Reserves) Regulations 2024 provide for prohibiting fires in any part of the reserves. Where fires are allowed, the regulations control the size of fire, distance from other flammable material, and requirements for the fires to be observed and properly extinguished.</w:t>
            </w:r>
          </w:p>
        </w:tc>
      </w:tr>
      <w:tr w:rsidR="00977EA0" w14:paraId="770A3AE5"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0C76A5B9" w14:textId="77777777" w:rsidR="00977EA0" w:rsidRPr="003F540F" w:rsidRDefault="00977EA0" w:rsidP="00BE5CCD">
            <w:pPr>
              <w:pStyle w:val="Boxtext"/>
              <w:rPr>
                <w:sz w:val="20"/>
                <w:szCs w:val="20"/>
              </w:rPr>
            </w:pPr>
            <w:r w:rsidRPr="003F540F">
              <w:rPr>
                <w:sz w:val="20"/>
                <w:szCs w:val="20"/>
              </w:rPr>
              <w:t>Fuel reduction/planned burns</w:t>
            </w:r>
          </w:p>
        </w:tc>
        <w:tc>
          <w:tcPr>
            <w:tcW w:w="7822" w:type="dxa"/>
          </w:tcPr>
          <w:p w14:paraId="3EC06C5E" w14:textId="7777777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Planned burns are the controlled use of fire under carefully managed conditions to reduce fuel such as dead wood, leaf litter, bark and shrubs. DEECA uses planned burns as a strategic tool to reduce bushfire risk and lessen the spread and intensity of bushfires when they occur. DEECA’s fuel management program aims to keep bushfire risk at, or below, 70 per cent of Victoria’s potential maximum bushfire risk.</w:t>
            </w:r>
          </w:p>
        </w:tc>
      </w:tr>
      <w:tr w:rsidR="00977EA0" w14:paraId="32C2D792"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5E8260D8" w14:textId="77777777" w:rsidR="00977EA0" w:rsidRPr="003F540F" w:rsidRDefault="00977EA0" w:rsidP="00BE5CCD">
            <w:pPr>
              <w:pStyle w:val="Boxtext"/>
              <w:rPr>
                <w:sz w:val="20"/>
                <w:szCs w:val="20"/>
              </w:rPr>
            </w:pPr>
            <w:r w:rsidRPr="003F540F">
              <w:rPr>
                <w:sz w:val="20"/>
                <w:szCs w:val="20"/>
              </w:rPr>
              <w:t>Other management activities</w:t>
            </w:r>
          </w:p>
        </w:tc>
        <w:tc>
          <w:tcPr>
            <w:tcW w:w="7822" w:type="dxa"/>
          </w:tcPr>
          <w:p w14:paraId="4ACA2FD6" w14:textId="7777777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Victoria’s Bushfire Management Strategy (2023) provides a strategic framework to reduce bushfire impacts in Victoria. It is accompanied by an Implementation Plan that outlines actions to be delivered under each strategic outcome. In addition, the Code of Practice for Management of Bushfire Management on Public Land (2022), published under the </w:t>
            </w:r>
            <w:r w:rsidRPr="003F540F">
              <w:rPr>
                <w:i/>
                <w:sz w:val="20"/>
                <w:szCs w:val="20"/>
              </w:rPr>
              <w:t>Conservation Forests and Lands Act 1987</w:t>
            </w:r>
            <w:r w:rsidRPr="003F540F">
              <w:rPr>
                <w:sz w:val="20"/>
                <w:szCs w:val="20"/>
              </w:rPr>
              <w:t>, among other things, sets the objectives for bushfire management on public land, and strategies and actions across the prevention, preparedness, fuel management (including planned burning), response and recovery spectrum to achieve those objectives.</w:t>
            </w:r>
          </w:p>
          <w:p w14:paraId="4999F7C3" w14:textId="58D45713" w:rsidR="00977EA0" w:rsidRPr="003F540F" w:rsidRDefault="004036B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00977EA0" w:rsidRPr="003F540F">
              <w:rPr>
                <w:sz w:val="20"/>
                <w:szCs w:val="20"/>
              </w:rPr>
              <w:t>Code of Practice for Timber Production 2014, which includes sawmills, also contains fire prevention requirements.</w:t>
            </w:r>
          </w:p>
        </w:tc>
      </w:tr>
      <w:tr w:rsidR="00977EA0" w14:paraId="666E8AD6" w14:textId="77777777" w:rsidTr="00B762E5">
        <w:tc>
          <w:tcPr>
            <w:cnfStyle w:val="001000000000" w:firstRow="0" w:lastRow="0" w:firstColumn="1" w:lastColumn="0" w:oddVBand="0" w:evenVBand="0" w:oddHBand="0" w:evenHBand="0" w:firstRowFirstColumn="0" w:firstRowLastColumn="0" w:lastRowFirstColumn="0" w:lastRowLastColumn="0"/>
            <w:tcW w:w="1817" w:type="dxa"/>
          </w:tcPr>
          <w:p w14:paraId="77D4CCCF" w14:textId="77777777" w:rsidR="00977EA0" w:rsidRPr="003F540F" w:rsidRDefault="00977EA0" w:rsidP="00BE5CCD">
            <w:pPr>
              <w:pStyle w:val="Boxtext"/>
              <w:rPr>
                <w:sz w:val="20"/>
                <w:szCs w:val="20"/>
              </w:rPr>
            </w:pPr>
            <w:r w:rsidRPr="003F540F">
              <w:rPr>
                <w:sz w:val="20"/>
                <w:szCs w:val="20"/>
              </w:rPr>
              <w:t>Codes and guidance notes</w:t>
            </w:r>
          </w:p>
        </w:tc>
        <w:tc>
          <w:tcPr>
            <w:tcW w:w="7822" w:type="dxa"/>
          </w:tcPr>
          <w:p w14:paraId="39C21A0F" w14:textId="17722653"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Parks Victoria, Forest Management Victoria, and the Country Fire Authority all publish information</w:t>
            </w:r>
            <w:r w:rsidR="006E4854">
              <w:rPr>
                <w:sz w:val="20"/>
                <w:szCs w:val="20"/>
              </w:rPr>
              <w:t xml:space="preserve"> and </w:t>
            </w:r>
            <w:r w:rsidRPr="003F540F">
              <w:rPr>
                <w:sz w:val="20"/>
                <w:szCs w:val="20"/>
              </w:rPr>
              <w:t>guidance notes on campfire and barbeque safety. A number of recreational organisations (</w:t>
            </w:r>
            <w:r w:rsidR="0083424B">
              <w:rPr>
                <w:sz w:val="20"/>
                <w:szCs w:val="20"/>
              </w:rPr>
              <w:t>for example</w:t>
            </w:r>
            <w:r w:rsidRPr="003F540F">
              <w:rPr>
                <w:sz w:val="20"/>
                <w:szCs w:val="20"/>
              </w:rPr>
              <w:t xml:space="preserve"> camping, fishing) also publish information on campfire safety.</w:t>
            </w:r>
          </w:p>
        </w:tc>
      </w:tr>
    </w:tbl>
    <w:p w14:paraId="39D12855" w14:textId="77777777" w:rsidR="00977EA0" w:rsidRPr="001C7511" w:rsidRDefault="00977EA0" w:rsidP="00977EA0">
      <w:pPr>
        <w:rPr>
          <w:sz w:val="16"/>
          <w:szCs w:val="18"/>
        </w:rPr>
      </w:pPr>
    </w:p>
    <w:p w14:paraId="280510A2" w14:textId="14F18040" w:rsidR="00977EA0" w:rsidRDefault="00977EA0" w:rsidP="00977EA0">
      <w:r>
        <w:t xml:space="preserve">The Forests Act includes a number of provisions specific to reducing the risk of fires in forest areas. </w:t>
      </w:r>
      <w:r w:rsidR="00D72678">
        <w:t xml:space="preserve">The State Emergency Management Plan, made under the </w:t>
      </w:r>
      <w:r w:rsidR="00D72678" w:rsidRPr="00D72678">
        <w:rPr>
          <w:i/>
          <w:iCs/>
        </w:rPr>
        <w:t>Emergency Management Act 2013</w:t>
      </w:r>
      <w:r w:rsidR="00D72678">
        <w:t xml:space="preserve">, </w:t>
      </w:r>
      <w:r w:rsidR="00D72678" w:rsidRPr="00D72678">
        <w:t>contains provisions providing for the mitigation of, response to and recovery from emergencies</w:t>
      </w:r>
      <w:r w:rsidR="00D72678">
        <w:t xml:space="preserve">. An important aspect of the Plan is the </w:t>
      </w:r>
      <w:r w:rsidR="00D72678" w:rsidRPr="00D72678">
        <w:t>principle of shared responsibility in the context of risk management</w:t>
      </w:r>
      <w:r w:rsidR="009439A0">
        <w:t>:</w:t>
      </w:r>
      <w:r w:rsidR="00D72678">
        <w:t xml:space="preserve"> the current Regulation</w:t>
      </w:r>
      <w:r w:rsidR="00FE24BD">
        <w:t>s</w:t>
      </w:r>
      <w:r w:rsidR="00D72678">
        <w:t xml:space="preserve"> operate in support of that principle.</w:t>
      </w:r>
    </w:p>
    <w:p w14:paraId="655BE2D4" w14:textId="5161EB1D" w:rsidR="00977EA0" w:rsidRDefault="00977EA0" w:rsidP="00977EA0">
      <w:pPr>
        <w:pStyle w:val="Caption"/>
      </w:pPr>
      <w:r>
        <w:t xml:space="preserve">Table </w:t>
      </w:r>
      <w:r w:rsidR="00A31A50">
        <w:fldChar w:fldCharType="begin"/>
      </w:r>
      <w:r w:rsidR="00A31A50">
        <w:instrText xml:space="preserve"> SEQ Table \* ARABIC </w:instrText>
      </w:r>
      <w:r w:rsidR="00A31A50">
        <w:fldChar w:fldCharType="separate"/>
      </w:r>
      <w:r w:rsidR="0013459E">
        <w:rPr>
          <w:noProof/>
        </w:rPr>
        <w:t>6</w:t>
      </w:r>
      <w:r w:rsidR="00A31A50">
        <w:rPr>
          <w:noProof/>
        </w:rPr>
        <w:fldChar w:fldCharType="end"/>
      </w:r>
      <w:r>
        <w:t>: Sections of the Forests Act aimed at fire prevention</w:t>
      </w:r>
    </w:p>
    <w:tbl>
      <w:tblPr>
        <w:tblStyle w:val="TableGrid"/>
        <w:tblW w:w="0" w:type="auto"/>
        <w:tblLook w:val="04A0" w:firstRow="1" w:lastRow="0" w:firstColumn="1" w:lastColumn="0" w:noHBand="0" w:noVBand="1"/>
      </w:tblPr>
      <w:tblGrid>
        <w:gridCol w:w="1048"/>
        <w:gridCol w:w="8591"/>
      </w:tblGrid>
      <w:tr w:rsidR="009439A0" w:rsidRPr="009439A0" w14:paraId="70C0418B" w14:textId="77777777" w:rsidTr="0094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E8E8E8" w:themeFill="text1" w:themeFillTint="1A"/>
          </w:tcPr>
          <w:p w14:paraId="1119BFE7" w14:textId="77777777" w:rsidR="00977EA0" w:rsidRPr="009439A0" w:rsidRDefault="00977EA0" w:rsidP="00BE5CCD">
            <w:pPr>
              <w:pStyle w:val="Boxtext"/>
              <w:rPr>
                <w:b/>
                <w:bCs/>
                <w:color w:val="auto"/>
                <w:sz w:val="20"/>
                <w:szCs w:val="22"/>
              </w:rPr>
            </w:pPr>
            <w:r w:rsidRPr="009439A0">
              <w:rPr>
                <w:b/>
                <w:bCs/>
                <w:color w:val="auto"/>
                <w:sz w:val="20"/>
                <w:szCs w:val="22"/>
              </w:rPr>
              <w:t>Section</w:t>
            </w:r>
          </w:p>
        </w:tc>
        <w:tc>
          <w:tcPr>
            <w:tcW w:w="0" w:type="auto"/>
            <w:tcBorders>
              <w:bottom w:val="single" w:sz="4" w:space="0" w:color="auto"/>
            </w:tcBorders>
            <w:shd w:val="clear" w:color="auto" w:fill="E8E8E8" w:themeFill="text1" w:themeFillTint="1A"/>
          </w:tcPr>
          <w:p w14:paraId="23E3AF13" w14:textId="77777777" w:rsidR="00977EA0" w:rsidRPr="009439A0" w:rsidRDefault="00977EA0"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2"/>
              </w:rPr>
            </w:pPr>
            <w:r w:rsidRPr="009439A0">
              <w:rPr>
                <w:b/>
                <w:bCs/>
                <w:color w:val="auto"/>
                <w:sz w:val="20"/>
                <w:szCs w:val="22"/>
              </w:rPr>
              <w:t>Control</w:t>
            </w:r>
          </w:p>
        </w:tc>
      </w:tr>
      <w:tr w:rsidR="00977EA0" w14:paraId="56794468" w14:textId="77777777" w:rsidTr="009439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A9F62F1" w14:textId="36E7917C" w:rsidR="00977EA0" w:rsidRPr="003F540F" w:rsidRDefault="00977EA0" w:rsidP="00BE5CCD">
            <w:pPr>
              <w:pStyle w:val="Boxtext"/>
              <w:rPr>
                <w:sz w:val="20"/>
                <w:szCs w:val="22"/>
              </w:rPr>
            </w:pPr>
            <w:r w:rsidRPr="003F540F">
              <w:rPr>
                <w:sz w:val="20"/>
                <w:szCs w:val="22"/>
              </w:rPr>
              <w:t xml:space="preserve">63(1) </w:t>
            </w:r>
            <w:r w:rsidR="00F80BE7">
              <w:rPr>
                <w:sz w:val="20"/>
                <w:szCs w:val="22"/>
              </w:rPr>
              <w:t>and</w:t>
            </w:r>
            <w:r w:rsidR="00F80BE7" w:rsidRPr="003F540F">
              <w:rPr>
                <w:sz w:val="20"/>
                <w:szCs w:val="22"/>
              </w:rPr>
              <w:t xml:space="preserve"> </w:t>
            </w:r>
            <w:r w:rsidRPr="003F540F">
              <w:rPr>
                <w:sz w:val="20"/>
                <w:szCs w:val="22"/>
              </w:rPr>
              <w:t>(2)</w:t>
            </w:r>
          </w:p>
        </w:tc>
        <w:tc>
          <w:tcPr>
            <w:tcW w:w="0" w:type="auto"/>
            <w:tcBorders>
              <w:top w:val="single" w:sz="4" w:space="0" w:color="auto"/>
            </w:tcBorders>
          </w:tcPr>
          <w:p w14:paraId="6FA36B53" w14:textId="7777777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color w:val="232222" w:themeColor="text1"/>
                <w:sz w:val="20"/>
                <w:szCs w:val="22"/>
              </w:rPr>
            </w:pPr>
            <w:r w:rsidRPr="003F540F">
              <w:rPr>
                <w:color w:val="232222" w:themeColor="text1"/>
                <w:sz w:val="20"/>
                <w:szCs w:val="22"/>
              </w:rPr>
              <w:t>A person in any State forest, national park, protected public land, or any fire protected area (other than a State forest, national park or protected public land) commits an offence if they:</w:t>
            </w:r>
          </w:p>
          <w:p w14:paraId="6B593CB2" w14:textId="77777777" w:rsidR="00977EA0" w:rsidRPr="003F540F" w:rsidRDefault="00977EA0" w:rsidP="00BE5CCD">
            <w:pPr>
              <w:pStyle w:val="Boxdots"/>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light, kindle or maintain any fire in the open air without authority, where the regulations require an authority to be obtained, during the prohibited period</w:t>
            </w:r>
            <w:r w:rsidRPr="003F540F">
              <w:rPr>
                <w:rStyle w:val="FootnoteReference"/>
                <w:sz w:val="20"/>
                <w:szCs w:val="22"/>
              </w:rPr>
              <w:footnoteReference w:id="36"/>
            </w:r>
          </w:p>
          <w:p w14:paraId="597A6815" w14:textId="77777777" w:rsidR="00977EA0" w:rsidRPr="003F540F" w:rsidRDefault="00977EA0" w:rsidP="00BE5CCD">
            <w:pPr>
              <w:pStyle w:val="Boxdots"/>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fail to comply with any relevant regulation in relation to lighting, kindling, maintaining or extinguishing any fire in the open air</w:t>
            </w:r>
          </w:p>
          <w:p w14:paraId="47F7CB5D" w14:textId="77777777" w:rsidR="00977EA0" w:rsidRPr="003F540F" w:rsidRDefault="00977EA0" w:rsidP="00BE5CCD">
            <w:pPr>
              <w:pStyle w:val="Boxdots"/>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do not observe all reasonable precautions to prevent the spread of and damage by any fire they light, kindle or maintain</w:t>
            </w:r>
          </w:p>
          <w:p w14:paraId="0841918B" w14:textId="77777777" w:rsidR="00977EA0" w:rsidRPr="003F540F" w:rsidRDefault="00977EA0" w:rsidP="00BE5CCD">
            <w:pPr>
              <w:pStyle w:val="Boxdots"/>
              <w:cnfStyle w:val="000000000000" w:firstRow="0" w:lastRow="0" w:firstColumn="0" w:lastColumn="0" w:oddVBand="0" w:evenVBand="0" w:oddHBand="0" w:evenHBand="0" w:firstRowFirstColumn="0" w:firstRowLastColumn="0" w:lastRowFirstColumn="0" w:lastRowLastColumn="0"/>
              <w:rPr>
                <w:i/>
                <w:sz w:val="20"/>
                <w:szCs w:val="22"/>
              </w:rPr>
            </w:pPr>
            <w:r w:rsidRPr="003F540F">
              <w:rPr>
                <w:sz w:val="20"/>
                <w:szCs w:val="22"/>
              </w:rPr>
              <w:t>leave any fire lit, kindled or maintained without taking all reasonable precautions to prevent it spreading or causing injury.</w:t>
            </w:r>
          </w:p>
        </w:tc>
      </w:tr>
      <w:tr w:rsidR="00977EA0" w14:paraId="3491563C"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05422B7E" w14:textId="3AE2D4A8" w:rsidR="00977EA0" w:rsidRPr="003F540F" w:rsidRDefault="00977EA0" w:rsidP="00BE5CCD">
            <w:pPr>
              <w:pStyle w:val="Boxtext"/>
              <w:rPr>
                <w:sz w:val="20"/>
                <w:szCs w:val="22"/>
              </w:rPr>
            </w:pPr>
            <w:r w:rsidRPr="003F540F">
              <w:rPr>
                <w:sz w:val="20"/>
                <w:szCs w:val="22"/>
              </w:rPr>
              <w:t xml:space="preserve">63(3) </w:t>
            </w:r>
            <w:r w:rsidR="00F80BE7">
              <w:rPr>
                <w:sz w:val="20"/>
                <w:szCs w:val="22"/>
              </w:rPr>
              <w:t>and</w:t>
            </w:r>
            <w:r w:rsidR="00F80BE7" w:rsidRPr="003F540F">
              <w:rPr>
                <w:sz w:val="20"/>
                <w:szCs w:val="22"/>
              </w:rPr>
              <w:t xml:space="preserve"> </w:t>
            </w:r>
            <w:r w:rsidRPr="003F540F">
              <w:rPr>
                <w:sz w:val="20"/>
                <w:szCs w:val="22"/>
              </w:rPr>
              <w:t>(4)</w:t>
            </w:r>
          </w:p>
        </w:tc>
        <w:tc>
          <w:tcPr>
            <w:tcW w:w="0" w:type="auto"/>
          </w:tcPr>
          <w:p w14:paraId="568B2EDA" w14:textId="7777777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Any person that owns, occupies, resides on, or has charge or control of any private land within 3 kilometres of the boundary of any State forest, national park or protected public land must extinguish any fire on the land or otherwise take reasonable steps to extinguish the fire as directed by an authorised officer or police officer.</w:t>
            </w:r>
          </w:p>
        </w:tc>
      </w:tr>
      <w:tr w:rsidR="00977EA0" w14:paraId="14C32462"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46A60AFF" w14:textId="77777777" w:rsidR="00977EA0" w:rsidRPr="003F540F" w:rsidRDefault="00977EA0" w:rsidP="00BE5CCD">
            <w:pPr>
              <w:pStyle w:val="Boxtext"/>
              <w:rPr>
                <w:sz w:val="20"/>
                <w:szCs w:val="22"/>
              </w:rPr>
            </w:pPr>
            <w:r w:rsidRPr="003F540F">
              <w:rPr>
                <w:sz w:val="20"/>
                <w:szCs w:val="22"/>
              </w:rPr>
              <w:t>64</w:t>
            </w:r>
          </w:p>
        </w:tc>
        <w:tc>
          <w:tcPr>
            <w:tcW w:w="0" w:type="auto"/>
          </w:tcPr>
          <w:p w14:paraId="6B00B240" w14:textId="7777777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No person may light a fire in the open air in any fire protected area in relation to which the Minister has, by notice, prohibited the use of fire in the open air for that area. Such notices may be issued where the Secretary reports to the Minister that a condition of acute fire danger exists or is likely to exist in that area.</w:t>
            </w:r>
          </w:p>
        </w:tc>
      </w:tr>
      <w:tr w:rsidR="00977EA0" w14:paraId="1A58FE16"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1D578311" w14:textId="77777777" w:rsidR="00977EA0" w:rsidRPr="003F540F" w:rsidRDefault="00977EA0" w:rsidP="00BE5CCD">
            <w:pPr>
              <w:pStyle w:val="Boxtext"/>
              <w:rPr>
                <w:sz w:val="20"/>
                <w:szCs w:val="22"/>
              </w:rPr>
            </w:pPr>
            <w:r w:rsidRPr="003F540F">
              <w:rPr>
                <w:sz w:val="20"/>
                <w:szCs w:val="22"/>
              </w:rPr>
              <w:t>66A</w:t>
            </w:r>
          </w:p>
        </w:tc>
        <w:tc>
          <w:tcPr>
            <w:tcW w:w="0" w:type="auto"/>
          </w:tcPr>
          <w:p w14:paraId="414BF73F" w14:textId="36523265"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 xml:space="preserve">A person in charge of a campfire or </w:t>
            </w:r>
            <w:r w:rsidR="00953038">
              <w:rPr>
                <w:sz w:val="20"/>
                <w:szCs w:val="22"/>
              </w:rPr>
              <w:t>barbeque</w:t>
            </w:r>
            <w:r w:rsidRPr="003F540F">
              <w:rPr>
                <w:sz w:val="20"/>
                <w:szCs w:val="22"/>
              </w:rPr>
              <w:t xml:space="preserve"> using solid fuel in the open air in any State forest, national park, protected public land, or licensed water frontage</w:t>
            </w:r>
            <w:r w:rsidR="00574DB5">
              <w:rPr>
                <w:sz w:val="20"/>
                <w:szCs w:val="22"/>
              </w:rPr>
              <w:t xml:space="preserve"> that is not State forest</w:t>
            </w:r>
            <w:r w:rsidRPr="003F540F">
              <w:rPr>
                <w:rStyle w:val="FootnoteReference"/>
                <w:sz w:val="20"/>
                <w:szCs w:val="22"/>
              </w:rPr>
              <w:footnoteReference w:id="37"/>
            </w:r>
            <w:r w:rsidRPr="003F540F">
              <w:rPr>
                <w:sz w:val="20"/>
                <w:szCs w:val="22"/>
              </w:rPr>
              <w:t xml:space="preserve">, must not be outside the line of sight, or be more than 50 metres from, the campfire or </w:t>
            </w:r>
            <w:r w:rsidR="00953038">
              <w:rPr>
                <w:sz w:val="20"/>
                <w:szCs w:val="22"/>
              </w:rPr>
              <w:t>barbeque</w:t>
            </w:r>
            <w:r w:rsidRPr="003F540F">
              <w:rPr>
                <w:sz w:val="20"/>
                <w:szCs w:val="22"/>
              </w:rPr>
              <w:t xml:space="preserve">. </w:t>
            </w:r>
          </w:p>
        </w:tc>
      </w:tr>
      <w:tr w:rsidR="00977EA0" w14:paraId="547A01E9"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63184F6E" w14:textId="77777777" w:rsidR="00977EA0" w:rsidRPr="003F540F" w:rsidRDefault="00977EA0" w:rsidP="00BE5CCD">
            <w:pPr>
              <w:pStyle w:val="Boxtext"/>
              <w:rPr>
                <w:sz w:val="20"/>
                <w:szCs w:val="22"/>
              </w:rPr>
            </w:pPr>
            <w:r w:rsidRPr="003F540F">
              <w:rPr>
                <w:sz w:val="20"/>
                <w:szCs w:val="22"/>
              </w:rPr>
              <w:t>66B</w:t>
            </w:r>
          </w:p>
        </w:tc>
        <w:tc>
          <w:tcPr>
            <w:tcW w:w="0" w:type="auto"/>
          </w:tcPr>
          <w:p w14:paraId="36AC2D11" w14:textId="6642B2FA"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 xml:space="preserve">A person in charge of a campfire or </w:t>
            </w:r>
            <w:r w:rsidR="00953038">
              <w:rPr>
                <w:sz w:val="20"/>
                <w:szCs w:val="22"/>
              </w:rPr>
              <w:t>barbeque</w:t>
            </w:r>
            <w:r w:rsidRPr="003F540F">
              <w:rPr>
                <w:sz w:val="20"/>
                <w:szCs w:val="22"/>
              </w:rPr>
              <w:t xml:space="preserve"> using solid fuel in the open air in any State forest, national park, protected public land, or licensed water frontage</w:t>
            </w:r>
            <w:r w:rsidR="00574DB5">
              <w:rPr>
                <w:sz w:val="20"/>
                <w:szCs w:val="22"/>
              </w:rPr>
              <w:t xml:space="preserve"> that is not State forest</w:t>
            </w:r>
            <w:r w:rsidRPr="003F540F">
              <w:rPr>
                <w:sz w:val="20"/>
                <w:szCs w:val="22"/>
              </w:rPr>
              <w:t xml:space="preserve">, must not light the campfire or </w:t>
            </w:r>
            <w:r w:rsidR="00953038">
              <w:rPr>
                <w:sz w:val="20"/>
                <w:szCs w:val="22"/>
              </w:rPr>
              <w:t>barbeque</w:t>
            </w:r>
            <w:r w:rsidRPr="003F540F">
              <w:rPr>
                <w:sz w:val="20"/>
                <w:szCs w:val="22"/>
              </w:rPr>
              <w:t xml:space="preserve"> unless the ground and airspace within 3 metres are clear of flammable material.</w:t>
            </w:r>
          </w:p>
          <w:p w14:paraId="0649B38E" w14:textId="6EA7CD1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 xml:space="preserve">For campfires or </w:t>
            </w:r>
            <w:r w:rsidR="00953038">
              <w:rPr>
                <w:sz w:val="20"/>
                <w:szCs w:val="22"/>
              </w:rPr>
              <w:t>barbeque</w:t>
            </w:r>
            <w:r w:rsidRPr="003F540F">
              <w:rPr>
                <w:sz w:val="20"/>
                <w:szCs w:val="22"/>
              </w:rPr>
              <w:t>s that use liquid fuel, gaseous fuel or chemical solid fuel, flammable material must be cleared within 1.5 metres.</w:t>
            </w:r>
          </w:p>
        </w:tc>
      </w:tr>
      <w:tr w:rsidR="00977EA0" w14:paraId="3AC32582"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67A831BE" w14:textId="77777777" w:rsidR="00977EA0" w:rsidRPr="003F540F" w:rsidRDefault="00977EA0" w:rsidP="00BE5CCD">
            <w:pPr>
              <w:pStyle w:val="Boxtext"/>
              <w:rPr>
                <w:sz w:val="20"/>
                <w:szCs w:val="22"/>
              </w:rPr>
            </w:pPr>
            <w:r w:rsidRPr="003F540F">
              <w:rPr>
                <w:sz w:val="20"/>
                <w:szCs w:val="22"/>
              </w:rPr>
              <w:t>66C</w:t>
            </w:r>
          </w:p>
        </w:tc>
        <w:tc>
          <w:tcPr>
            <w:tcW w:w="0" w:type="auto"/>
          </w:tcPr>
          <w:p w14:paraId="3A8927A8" w14:textId="102C9567" w:rsidR="00977EA0" w:rsidRPr="003F540F" w:rsidRDefault="00977EA0" w:rsidP="00BE5CCD">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 xml:space="preserve">A person in charge of a campfire or </w:t>
            </w:r>
            <w:r w:rsidR="00953038">
              <w:rPr>
                <w:sz w:val="20"/>
                <w:szCs w:val="22"/>
              </w:rPr>
              <w:t>barbeque</w:t>
            </w:r>
            <w:r w:rsidRPr="003F540F">
              <w:rPr>
                <w:sz w:val="20"/>
                <w:szCs w:val="22"/>
              </w:rPr>
              <w:t xml:space="preserve"> using solid fuel in the open air in any State forest, national park, protected public land, or licensed water frontage</w:t>
            </w:r>
            <w:r w:rsidR="00574DB5">
              <w:rPr>
                <w:sz w:val="20"/>
                <w:szCs w:val="22"/>
              </w:rPr>
              <w:t xml:space="preserve"> that is not State forest</w:t>
            </w:r>
            <w:r w:rsidRPr="003F540F">
              <w:rPr>
                <w:sz w:val="20"/>
                <w:szCs w:val="22"/>
              </w:rPr>
              <w:t xml:space="preserve">, must not light the campfire or </w:t>
            </w:r>
            <w:r w:rsidR="00953038">
              <w:rPr>
                <w:sz w:val="20"/>
                <w:szCs w:val="22"/>
              </w:rPr>
              <w:t>barbeque</w:t>
            </w:r>
            <w:r w:rsidRPr="003F540F">
              <w:rPr>
                <w:sz w:val="20"/>
                <w:szCs w:val="22"/>
              </w:rPr>
              <w:t xml:space="preserve"> if the area of the campfire or </w:t>
            </w:r>
            <w:r w:rsidR="00953038">
              <w:rPr>
                <w:sz w:val="20"/>
                <w:szCs w:val="22"/>
              </w:rPr>
              <w:t>barbeque</w:t>
            </w:r>
            <w:r w:rsidRPr="003F540F">
              <w:rPr>
                <w:sz w:val="20"/>
                <w:szCs w:val="22"/>
              </w:rPr>
              <w:t xml:space="preserve"> is more than 1 square metre in any direction or any dimension of any piece of solid fuel is more than 1 metre, unless authorised by an authorised officer</w:t>
            </w:r>
            <w:r w:rsidR="00496967">
              <w:rPr>
                <w:sz w:val="20"/>
                <w:szCs w:val="22"/>
              </w:rPr>
              <w:t xml:space="preserve"> in writing</w:t>
            </w:r>
            <w:r w:rsidRPr="003F540F">
              <w:rPr>
                <w:sz w:val="20"/>
                <w:szCs w:val="22"/>
              </w:rPr>
              <w:t>.</w:t>
            </w:r>
          </w:p>
        </w:tc>
      </w:tr>
      <w:tr w:rsidR="00977EA0" w14:paraId="7075EEDF" w14:textId="77777777" w:rsidTr="004713EB">
        <w:tc>
          <w:tcPr>
            <w:cnfStyle w:val="001000000000" w:firstRow="0" w:lastRow="0" w:firstColumn="1" w:lastColumn="0" w:oddVBand="0" w:evenVBand="0" w:oddHBand="0" w:evenHBand="0" w:firstRowFirstColumn="0" w:firstRowLastColumn="0" w:lastRowFirstColumn="0" w:lastRowLastColumn="0"/>
            <w:tcW w:w="0" w:type="auto"/>
          </w:tcPr>
          <w:p w14:paraId="6B82BF05" w14:textId="77777777" w:rsidR="00977EA0" w:rsidRPr="003F540F" w:rsidRDefault="00977EA0" w:rsidP="00BE5CCD">
            <w:pPr>
              <w:pStyle w:val="Boxtext"/>
              <w:rPr>
                <w:sz w:val="20"/>
                <w:szCs w:val="22"/>
              </w:rPr>
            </w:pPr>
            <w:r w:rsidRPr="003F540F">
              <w:rPr>
                <w:sz w:val="20"/>
                <w:szCs w:val="22"/>
              </w:rPr>
              <w:t>67</w:t>
            </w:r>
          </w:p>
        </w:tc>
        <w:tc>
          <w:tcPr>
            <w:tcW w:w="0" w:type="auto"/>
          </w:tcPr>
          <w:p w14:paraId="23516C72" w14:textId="264BE40B" w:rsidR="00977EA0" w:rsidRPr="003F540F" w:rsidRDefault="00977EA0">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Every person who finds any fire burning in any State forest, national park or protected public land or in any other fire protected area (during any period when there is a danger of spread of fire), must take all reasonable steps to prevent the spread of the fire and must report the fire to an authorised officer or police officer.</w:t>
            </w:r>
          </w:p>
          <w:p w14:paraId="16097A11" w14:textId="77777777" w:rsidR="00977EA0" w:rsidRPr="00E7305A" w:rsidRDefault="00977EA0">
            <w:pPr>
              <w:pStyle w:val="Boxtext"/>
              <w:cnfStyle w:val="000000000000" w:firstRow="0" w:lastRow="0" w:firstColumn="0" w:lastColumn="0" w:oddVBand="0" w:evenVBand="0" w:oddHBand="0" w:evenHBand="0" w:firstRowFirstColumn="0" w:firstRowLastColumn="0" w:lastRowFirstColumn="0" w:lastRowLastColumn="0"/>
              <w:rPr>
                <w:sz w:val="20"/>
                <w:szCs w:val="22"/>
              </w:rPr>
            </w:pPr>
            <w:r w:rsidRPr="003F540F">
              <w:rPr>
                <w:sz w:val="20"/>
                <w:szCs w:val="22"/>
              </w:rPr>
              <w:t>When an unauthorised fire is burning in any fire protected area during the prohibited period, the occupier of that land must take all reasonable measures to extinguish the fire and report it to an authorised officer or police officer.</w:t>
            </w:r>
          </w:p>
        </w:tc>
      </w:tr>
    </w:tbl>
    <w:p w14:paraId="7759C4E3" w14:textId="77777777" w:rsidR="00977EA0" w:rsidRPr="009D4D24" w:rsidRDefault="00977EA0" w:rsidP="00977EA0">
      <w:pPr>
        <w:spacing w:line="278" w:lineRule="auto"/>
        <w:rPr>
          <w:sz w:val="2"/>
          <w:szCs w:val="4"/>
        </w:rPr>
      </w:pPr>
    </w:p>
    <w:p w14:paraId="49E33D9D" w14:textId="49AE1C01" w:rsidR="00977EA0" w:rsidRDefault="00977EA0" w:rsidP="00977EA0">
      <w:r>
        <w:t xml:space="preserve">Note that the effect of section 63(1) and (2) is that, while a person must take reasonable precautions to prevent the spread of fire, they are still able to light fires in these areas (subject to any other </w:t>
      </w:r>
      <w:r w:rsidR="00EC1518">
        <w:t xml:space="preserve">provisions set out in the Act </w:t>
      </w:r>
      <w:r>
        <w:t>or other legislation</w:t>
      </w:r>
      <w:r w:rsidR="00EC1518">
        <w:t xml:space="preserve"> permitting the lighting of fire</w:t>
      </w:r>
      <w:r>
        <w:t xml:space="preserve">), unless regulations are made to regulate the lighting of fires, and specifying the situations where prior </w:t>
      </w:r>
      <w:r w:rsidR="00E44D88">
        <w:t xml:space="preserve">authorisation </w:t>
      </w:r>
      <w:r>
        <w:t>to light a fire is required.</w:t>
      </w:r>
    </w:p>
    <w:p w14:paraId="52E7D93D" w14:textId="3FC203AC" w:rsidR="00FF749D" w:rsidRDefault="00FF749D" w:rsidP="00FF749D">
      <w:r w:rsidRPr="00B0767B">
        <w:t>The Government also engage</w:t>
      </w:r>
      <w:r>
        <w:t>s</w:t>
      </w:r>
      <w:r w:rsidRPr="00B0767B">
        <w:t xml:space="preserve"> in </w:t>
      </w:r>
      <w:r>
        <w:t xml:space="preserve">a complex array of </w:t>
      </w:r>
      <w:r w:rsidRPr="00B0767B">
        <w:t xml:space="preserve">bushfire prevention measures, including providing firebreaks (see </w:t>
      </w:r>
      <w:r w:rsidR="003A3EB2">
        <w:t>sections</w:t>
      </w:r>
      <w:r w:rsidRPr="00B0767B">
        <w:t xml:space="preserve"> 65 and 66 of the </w:t>
      </w:r>
      <w:r w:rsidR="000E46CA">
        <w:t>Forests</w:t>
      </w:r>
      <w:r w:rsidRPr="00B0767B">
        <w:t xml:space="preserve"> Act, removal of vegetation)</w:t>
      </w:r>
      <w:r>
        <w:t xml:space="preserve">, hazard reduction burns, mechanical fuel treatments, education, and scientific research. </w:t>
      </w:r>
      <w:r w:rsidRPr="00B0767B">
        <w:t>If an uncontrolled fire does</w:t>
      </w:r>
      <w:r>
        <w:t xml:space="preserve"> occur on public land, FFMVic </w:t>
      </w:r>
      <w:r w:rsidR="006B7D33">
        <w:t>has</w:t>
      </w:r>
      <w:r>
        <w:t xml:space="preserve"> </w:t>
      </w:r>
      <w:r w:rsidR="009439A0">
        <w:t xml:space="preserve">a </w:t>
      </w:r>
      <w:r w:rsidR="00361ED3">
        <w:t>duty to supress</w:t>
      </w:r>
      <w:r>
        <w:t xml:space="preserve"> it in line with their responsibilities in the Forests Act and State Emergency Management Plan. </w:t>
      </w:r>
      <w:r w:rsidR="00361ED3">
        <w:t>DEECA may be supported by other agencies, including the CFA and FRV.</w:t>
      </w:r>
    </w:p>
    <w:p w14:paraId="4CC70636" w14:textId="77777777" w:rsidR="00977EA0" w:rsidRDefault="00977EA0" w:rsidP="00977EA0">
      <w:pPr>
        <w:pStyle w:val="Heading3"/>
      </w:pPr>
      <w:bookmarkStart w:id="41" w:name="_Toc187330524"/>
      <w:r>
        <w:t>Residual risk</w:t>
      </w:r>
      <w:bookmarkEnd w:id="41"/>
    </w:p>
    <w:p w14:paraId="0A4635DD" w14:textId="77777777" w:rsidR="00977EA0" w:rsidRDefault="00977EA0" w:rsidP="00977EA0">
      <w:r>
        <w:t xml:space="preserve">The preceding sections discuss the physical impacts and risks arising from human behaviour that may result in damage from fire. Despite existing regulatory and non-regulatory controls, the following problems would exist in the absence of further specific regulations aimed at these activities: </w:t>
      </w:r>
    </w:p>
    <w:p w14:paraId="428D1682" w14:textId="37751CC5" w:rsidR="00977EA0" w:rsidRDefault="00977EA0" w:rsidP="00FF749D">
      <w:pPr>
        <w:pStyle w:val="ListBullet"/>
      </w:pPr>
      <w:r>
        <w:t>As noted above, because of how section</w:t>
      </w:r>
      <w:r w:rsidR="00BE03FB">
        <w:t>s</w:t>
      </w:r>
      <w:r>
        <w:t xml:space="preserve"> 63</w:t>
      </w:r>
      <w:r w:rsidR="00BE03FB">
        <w:t>(1)(a) and (aa) and 63(2)(a) and (aa)</w:t>
      </w:r>
      <w:r>
        <w:t xml:space="preserve"> of the Act </w:t>
      </w:r>
      <w:r w:rsidR="00BE03FB">
        <w:t xml:space="preserve">are </w:t>
      </w:r>
      <w:r>
        <w:t xml:space="preserve">written, in the absence of regulations that specify when written authority is required to start a fire in forest areas, there is no specific ability to prevent people lighting any type of fire in forest areas, unless there is a specific prohibition under another Act (which do not cover all forest areas in the state). Allowing more fires to be started in forest areas inherently increases the risk that a fire will escape into surrounding forest and spread. Further, while the Act sets out some requirements for some types of fires in forest areas (such as campfires and </w:t>
      </w:r>
      <w:r w:rsidR="00953038">
        <w:t>barbeque</w:t>
      </w:r>
      <w:r>
        <w:t>s), it does not specify any requirements for other types of fires, instead anticipating that these would be subject to the processes to be established in regulations.</w:t>
      </w:r>
    </w:p>
    <w:p w14:paraId="39A54E0C" w14:textId="25E9565E" w:rsidR="00977EA0" w:rsidRDefault="00977EA0" w:rsidP="00FF749D">
      <w:pPr>
        <w:pStyle w:val="ListBullet"/>
      </w:pPr>
      <w:r>
        <w:t xml:space="preserve">Risks from campfires and </w:t>
      </w:r>
      <w:r w:rsidR="00953038">
        <w:t>barbeque</w:t>
      </w:r>
      <w:r>
        <w:t>s are not well understood</w:t>
      </w:r>
      <w:r w:rsidR="00D72678">
        <w:t xml:space="preserve"> by the general public</w:t>
      </w:r>
      <w:r>
        <w:t>, leading to unsafe practices, which remains an issue given high usage rates and increased risk of fire in forests owing to climate change. DEECA data shows that the vast majority of offences are for campfires and barbeques</w:t>
      </w:r>
      <w:r w:rsidR="00A85F2B">
        <w:t>, and 16 per cent of forest fires are caused by campfires</w:t>
      </w:r>
      <w:r>
        <w:t>. Visitors to forests may only occasionally light fires in a domestic setting and may not fully understand the characteristic of forest fires (</w:t>
      </w:r>
      <w:r w:rsidR="0083424B">
        <w:t>for example</w:t>
      </w:r>
      <w:r>
        <w:t xml:space="preserve"> how quickly it can spread, the combustible nature of eucalypts or other forest matter, etc.)</w:t>
      </w:r>
      <w:r w:rsidR="00306624">
        <w:t xml:space="preserve">, and may </w:t>
      </w:r>
      <w:r w:rsidR="00FD009E">
        <w:t xml:space="preserve">inadvertently spark fires </w:t>
      </w:r>
      <w:r w:rsidR="006E37D1">
        <w:t xml:space="preserve">if their campfire </w:t>
      </w:r>
      <w:r w:rsidR="009F379E">
        <w:t xml:space="preserve">or barbeque </w:t>
      </w:r>
      <w:r>
        <w:t>is not safe or properly maintained.</w:t>
      </w:r>
    </w:p>
    <w:p w14:paraId="15AFED84" w14:textId="7187CAF2" w:rsidR="00977EA0" w:rsidRPr="00EA0279" w:rsidRDefault="00977EA0" w:rsidP="00FF749D">
      <w:pPr>
        <w:pStyle w:val="ListBullet"/>
      </w:pPr>
      <w:r>
        <w:t xml:space="preserve">Some activities from sawmills and other operations are inherently risky, owing to the machinery and processes used. Sawmills </w:t>
      </w:r>
      <w:r w:rsidRPr="009F4E36">
        <w:t xml:space="preserve">produce a </w:t>
      </w:r>
      <w:r>
        <w:t>significant amount</w:t>
      </w:r>
      <w:r w:rsidRPr="009F4E36">
        <w:t xml:space="preserve"> of waste timber owing to the need to square timber and because some timber has defects which cannot be used. The milling process itself produces sawdust. Sawdust, if not properly stored, can spontaneously combust and cause a fire. Most sawmills </w:t>
      </w:r>
      <w:r>
        <w:t xml:space="preserve">use </w:t>
      </w:r>
      <w:r w:rsidRPr="009F4E36">
        <w:t xml:space="preserve">burners to dispose of the sawdust and offcuts. </w:t>
      </w:r>
      <w:r>
        <w:t>The use of other equipment (</w:t>
      </w:r>
      <w:r w:rsidR="0083424B">
        <w:t>for example</w:t>
      </w:r>
      <w:r>
        <w:t xml:space="preserve"> vehicles, engines, grinders) have also started fires (see table 4).</w:t>
      </w:r>
    </w:p>
    <w:p w14:paraId="19379B8D" w14:textId="507B288F" w:rsidR="00977EA0" w:rsidRDefault="00977EA0" w:rsidP="00FF749D">
      <w:pPr>
        <w:pStyle w:val="ListBullet"/>
      </w:pPr>
      <w:r>
        <w:t>There are insufficient incentives to modify behaviour towards fires. Lighting fires in a forest is generally unobserved and combined with a lack of understanding of fire characteristics</w:t>
      </w:r>
      <w:r w:rsidR="005A4A15">
        <w:t>. T</w:t>
      </w:r>
      <w:r>
        <w:t>his can result in a complacent attitude towards fire risks.</w:t>
      </w:r>
    </w:p>
    <w:p w14:paraId="0557255A" w14:textId="63740338" w:rsidR="00977EA0" w:rsidRDefault="00977EA0" w:rsidP="00977EA0">
      <w:r>
        <w:t xml:space="preserve">Further, sections 66A, 66B and 66C of the Act only apply to fires in a </w:t>
      </w:r>
      <w:r w:rsidRPr="00C954C4">
        <w:t>State forest, national park, protected public land, or licensed water frontage</w:t>
      </w:r>
      <w:r w:rsidR="000C2867">
        <w:t xml:space="preserve"> that is not State forest</w:t>
      </w:r>
      <w:r>
        <w:t>; these sections do not apply to the additional adjacent land within 1.5 kilometres of those areas, which is included in the wider fire protected area.</w:t>
      </w:r>
    </w:p>
    <w:p w14:paraId="7B4098DA" w14:textId="507033FF" w:rsidR="00977EA0" w:rsidRDefault="00977EA0" w:rsidP="00977EA0">
      <w:r>
        <w:t>The consequences of not managing the residual risks are that the harms from fires (</w:t>
      </w:r>
      <w:r w:rsidR="0083424B">
        <w:t>for example</w:t>
      </w:r>
      <w:r>
        <w:t xml:space="preserve"> diminished environmental, economic, and social values) would be much greater.</w:t>
      </w:r>
    </w:p>
    <w:p w14:paraId="7834D502" w14:textId="6111AFDF" w:rsidR="00977EA0" w:rsidRDefault="00977EA0" w:rsidP="00977EA0">
      <w:r>
        <w:t xml:space="preserve">As noted earlier, according to the </w:t>
      </w:r>
      <w:r w:rsidRPr="00995FB1">
        <w:t>Forest Fire Danger Index</w:t>
      </w:r>
      <w:r>
        <w:t xml:space="preserve"> (FFDI) climatic conditions have changed since the 1990s. They are forecast to increase in the coming decades resulting in a greater fire risk for Victoria’s forests – this includes the period since the regulations were last remade in 2014. Climate science indicates that Victoria is likely to become drier, especially across the winter months, and high-impact climate hazards including bushfires are projected to continue exacerbating under a warming climate.</w:t>
      </w:r>
      <w:r>
        <w:rPr>
          <w:rStyle w:val="FootnoteReference"/>
        </w:rPr>
        <w:footnoteReference w:id="38"/>
      </w:r>
    </w:p>
    <w:p w14:paraId="1DDCAAA2" w14:textId="54BB9CD9" w:rsidR="00977EA0" w:rsidRDefault="00977EA0" w:rsidP="00977EA0">
      <w:r>
        <w:t>In June 2024</w:t>
      </w:r>
      <w:r w:rsidR="009C28A2">
        <w:t>,</w:t>
      </w:r>
      <w:r>
        <w:t xml:space="preserve"> the </w:t>
      </w:r>
      <w:r w:rsidRPr="46B3191F">
        <w:rPr>
          <w:i/>
          <w:iCs/>
        </w:rPr>
        <w:t>Sustainable Forests (Timber) Act 2004</w:t>
      </w:r>
      <w:r>
        <w:t xml:space="preserve"> was repealed to end commercial native timber harvesting in </w:t>
      </w:r>
      <w:r w:rsidR="00C67105">
        <w:t>S</w:t>
      </w:r>
      <w:r>
        <w:t xml:space="preserve">tate forests. This legislation removed the framework authorising commercial native timber harvesting under the </w:t>
      </w:r>
      <w:r w:rsidR="008E7AF7">
        <w:t xml:space="preserve">Act </w:t>
      </w:r>
      <w:r>
        <w:t>and abolished VicForests</w:t>
      </w:r>
      <w:r w:rsidR="00A2325F">
        <w:t>. It also</w:t>
      </w:r>
      <w:r>
        <w:t xml:space="preserve"> made relevant amendments to the </w:t>
      </w:r>
      <w:r w:rsidRPr="00F32D75">
        <w:rPr>
          <w:i/>
          <w:iCs/>
        </w:rPr>
        <w:t>Forests Act</w:t>
      </w:r>
      <w:r>
        <w:t xml:space="preserve"> and the </w:t>
      </w:r>
      <w:r w:rsidRPr="00F32D75">
        <w:rPr>
          <w:i/>
          <w:iCs/>
        </w:rPr>
        <w:t>Conservation, Forests and Lands Act</w:t>
      </w:r>
      <w:r>
        <w:t xml:space="preserve"> to preserve key tools that support regulation and forest management. As a consequence, the number of sawmills subject to the regulations in regional Victoria has declined significantly. The minimal number of sawmills will reduce the risk of fires from these sources.</w:t>
      </w:r>
    </w:p>
    <w:p w14:paraId="358ADAE6" w14:textId="7A501AE5" w:rsidR="00977EA0" w:rsidRPr="001E5BF0" w:rsidRDefault="00977EA0" w:rsidP="00977EA0">
      <w:r w:rsidRPr="001E5BF0">
        <w:t>In addition, over the past 10 years there has been increasing recognition of First Peoples’ culture and right to self-determination, including to enable cultural connections and obligations to land, water and fire. The Victorian Aboriginal Affairs Framework provides the strategic policy framework for Government to undertake systemic, structural and institutional change to enable self-determination</w:t>
      </w:r>
      <w:r w:rsidRPr="00CF63CB">
        <w:t>. This recognises that it is the role of Government to change and remove systemic and institutional barriers.</w:t>
      </w:r>
    </w:p>
    <w:p w14:paraId="2AFC7F6D" w14:textId="22DD7335" w:rsidR="00977EA0" w:rsidRDefault="00977EA0" w:rsidP="00977EA0">
      <w:r w:rsidRPr="001E5BF0">
        <w:t>In 2022–23, six Traditional Owner groups led the delivery of 23 cultural burns on Country.</w:t>
      </w:r>
      <w:r w:rsidRPr="00461CE0">
        <w:rPr>
          <w:vertAlign w:val="superscript"/>
        </w:rPr>
        <w:footnoteReference w:id="39"/>
      </w:r>
      <w:r w:rsidRPr="001E5BF0">
        <w:t xml:space="preserve"> FFMVic supported Traditional Owners to deliver 20 cultural burns covering 369 hectares, and the CFA supported the delivery of </w:t>
      </w:r>
      <w:r w:rsidR="00D92BF2">
        <w:t>three</w:t>
      </w:r>
      <w:r w:rsidRPr="001E5BF0">
        <w:t>.</w:t>
      </w:r>
    </w:p>
    <w:p w14:paraId="33B13238" w14:textId="77777777" w:rsidR="00977EA0" w:rsidRDefault="00977EA0" w:rsidP="00977EA0">
      <w:pPr>
        <w:pStyle w:val="Heading3"/>
      </w:pPr>
      <w:bookmarkStart w:id="42" w:name="_Toc187330525"/>
      <w:r>
        <w:t>Have</w:t>
      </w:r>
      <w:r w:rsidRPr="005D3DFF">
        <w:t xml:space="preserve"> the current Regulations been effective in addressing the problem?</w:t>
      </w:r>
      <w:bookmarkEnd w:id="42"/>
      <w:r w:rsidRPr="005D3DFF">
        <w:t xml:space="preserve"> </w:t>
      </w:r>
    </w:p>
    <w:p w14:paraId="2FE05BF9" w14:textId="579F760F" w:rsidR="00977EA0" w:rsidRDefault="00977EA0" w:rsidP="00977EA0">
      <w:r w:rsidRPr="00271B59">
        <w:t xml:space="preserve">DEECA </w:t>
      </w:r>
      <w:r>
        <w:t>considers that the current Regulations have been effective in addressing fire risks in Victorian forest. In the 2014</w:t>
      </w:r>
      <w:r w:rsidR="00A2325F">
        <w:rPr>
          <w:rFonts w:cstheme="minorHAnsi"/>
        </w:rPr>
        <w:t>−</w:t>
      </w:r>
      <w:r>
        <w:t>2024 period, DEECA recorded 4</w:t>
      </w:r>
      <w:r w:rsidR="00A2325F">
        <w:t>,</w:t>
      </w:r>
      <w:r>
        <w:t>983 unattended campfires in the fire protected area that had not spread to bushfire status. In light of this, regulations regarding campfire safety measures are deemed both necessary and effective at preventing non-malicious ignitions.</w:t>
      </w:r>
    </w:p>
    <w:p w14:paraId="092CA09A" w14:textId="2499703A" w:rsidR="00977EA0" w:rsidRDefault="00977EA0" w:rsidP="00977EA0">
      <w:r>
        <w:t>In light of this ongoing behaviour, DEECA has identified a small number of changes to be included in the proposed Regulations. This includes introducing an offence to leave a fire unattended for the parts of the fire protected area not already covered in the Forests Act.</w:t>
      </w:r>
      <w:r w:rsidR="00A159AA">
        <w:t xml:space="preserve"> This change was suggested by DEECA to make it consistent with the </w:t>
      </w:r>
      <w:r w:rsidR="00A159AA" w:rsidRPr="00035661">
        <w:t>Forest</w:t>
      </w:r>
      <w:r w:rsidR="006F15FE" w:rsidRPr="00035661">
        <w:t>s</w:t>
      </w:r>
      <w:r w:rsidR="00A159AA" w:rsidRPr="00035661">
        <w:t xml:space="preserve"> </w:t>
      </w:r>
      <w:r w:rsidR="00A20541" w:rsidRPr="00035661">
        <w:t>Act</w:t>
      </w:r>
      <w:r w:rsidR="00A159AA" w:rsidRPr="00035661">
        <w:t>,</w:t>
      </w:r>
      <w:r w:rsidR="00A159AA">
        <w:t xml:space="preserve"> which contains these requirements. At </w:t>
      </w:r>
      <w:r w:rsidR="00D72C44">
        <w:t xml:space="preserve">a </w:t>
      </w:r>
      <w:r w:rsidR="00A159AA">
        <w:t>minimum</w:t>
      </w:r>
      <w:r w:rsidR="00D72C44">
        <w:t>,</w:t>
      </w:r>
      <w:r w:rsidR="00A159AA">
        <w:t xml:space="preserve"> </w:t>
      </w:r>
      <w:r w:rsidR="00D72C44">
        <w:t xml:space="preserve">it will locate this requirement for more convenient access in one instrument for stakeholders. </w:t>
      </w:r>
      <w:r>
        <w:t xml:space="preserve">Stakeholder feedback also indicated that the current Regulations may risk </w:t>
      </w:r>
      <w:r w:rsidR="00156E57">
        <w:t xml:space="preserve">damage to </w:t>
      </w:r>
      <w:r>
        <w:t xml:space="preserve">cultural heritage and environmental values by allowing the digging of trenches for campfires on public land. To help balance the need to protect these values alongside public safety, the proposed new Regulations </w:t>
      </w:r>
      <w:r w:rsidR="00716368">
        <w:t xml:space="preserve">no longer </w:t>
      </w:r>
      <w:r w:rsidR="00CB1B46">
        <w:t>reference</w:t>
      </w:r>
      <w:r w:rsidR="00716368">
        <w:t xml:space="preserve"> </w:t>
      </w:r>
      <w:r>
        <w:t xml:space="preserve">campfires in trenches </w:t>
      </w:r>
      <w:r w:rsidR="00E63CDD">
        <w:t xml:space="preserve">but retain the ability </w:t>
      </w:r>
      <w:r w:rsidR="00EF132C">
        <w:t>to use</w:t>
      </w:r>
      <w:r w:rsidR="00E63CDD">
        <w:t xml:space="preserve"> campfires and barbeques within the existing requirements</w:t>
      </w:r>
      <w:r w:rsidR="00E97987" w:rsidRPr="00E97987">
        <w:t>.</w:t>
      </w:r>
      <w:r w:rsidR="00E63CDD">
        <w:t xml:space="preserve"> Practically speaking, this </w:t>
      </w:r>
      <w:r w:rsidR="00ED667A">
        <w:t xml:space="preserve">should not impact established campsites with existing </w:t>
      </w:r>
      <w:r w:rsidR="0083771E">
        <w:t xml:space="preserve">properly </w:t>
      </w:r>
      <w:r w:rsidR="00ED667A">
        <w:t xml:space="preserve">constructed </w:t>
      </w:r>
      <w:r w:rsidR="00176527">
        <w:t xml:space="preserve">fireplaces, </w:t>
      </w:r>
      <w:r w:rsidR="0054386F">
        <w:t xml:space="preserve">or </w:t>
      </w:r>
      <w:r w:rsidR="00DE12F4">
        <w:t>the use of barbeque appliances</w:t>
      </w:r>
      <w:r w:rsidR="00ED667A">
        <w:t>.</w:t>
      </w:r>
    </w:p>
    <w:p w14:paraId="1019EB78" w14:textId="49DC4255" w:rsidR="00977EA0" w:rsidRDefault="00977EA0" w:rsidP="00977EA0">
      <w:r>
        <w:t xml:space="preserve">DEECA also considers that the regulations concerning beekeeping have been effective. Over the life of the </w:t>
      </w:r>
      <w:r w:rsidR="008A5520">
        <w:t xml:space="preserve">Regulations, </w:t>
      </w:r>
      <w:r>
        <w:t>there have been no recorded incidents of bushfire caused by beekeeping on public land.</w:t>
      </w:r>
    </w:p>
    <w:p w14:paraId="4D6B24EC" w14:textId="77777777" w:rsidR="00977EA0" w:rsidRDefault="00977EA0" w:rsidP="00977EA0">
      <w:pPr>
        <w:pStyle w:val="Heading3"/>
      </w:pPr>
      <w:bookmarkStart w:id="43" w:name="_Toc187330526"/>
      <w:r>
        <w:t>Stakeholder views</w:t>
      </w:r>
      <w:bookmarkEnd w:id="43"/>
    </w:p>
    <w:p w14:paraId="227452C5" w14:textId="36D90324" w:rsidR="00977EA0" w:rsidRDefault="00977EA0" w:rsidP="00977EA0">
      <w:r>
        <w:t>As part of this RIS process stakeholders from sawmills, quarries, and beekeepers were consulted. Meetings were also held with DEECA’s operational staff. The</w:t>
      </w:r>
      <w:r w:rsidR="00A2325F">
        <w:t>re</w:t>
      </w:r>
      <w:r>
        <w:t xml:space="preserve"> was general agreement that the current Regulations have worked </w:t>
      </w:r>
      <w:r w:rsidR="004978BF">
        <w:t>effectively,</w:t>
      </w:r>
      <w:r>
        <w:t xml:space="preserve"> and </w:t>
      </w:r>
      <w:r w:rsidR="004978BF">
        <w:t xml:space="preserve">that </w:t>
      </w:r>
      <w:r>
        <w:t>they are easy to comply with. Stakeholders also agreed that the Regulations address the risks outlined above and that government intervention to address the residual risks is required. Nevertheless, some suggestions were made that may improve the effective</w:t>
      </w:r>
      <w:r w:rsidR="62826E1E">
        <w:t>ness</w:t>
      </w:r>
      <w:r>
        <w:t xml:space="preserve"> and compliance with the </w:t>
      </w:r>
      <w:r w:rsidR="008A1E32">
        <w:t>Regulations</w:t>
      </w:r>
      <w:r>
        <w:t>:</w:t>
      </w:r>
    </w:p>
    <w:p w14:paraId="63980BA8" w14:textId="77777777" w:rsidR="00977EA0" w:rsidRDefault="00977EA0" w:rsidP="0057567B">
      <w:pPr>
        <w:pStyle w:val="ListParagraph"/>
        <w:numPr>
          <w:ilvl w:val="0"/>
          <w:numId w:val="17"/>
        </w:numPr>
        <w:spacing w:before="0" w:line="240" w:lineRule="auto"/>
        <w:contextualSpacing w:val="0"/>
      </w:pPr>
      <w:r>
        <w:t>That beekeepers be provided with the option of a fire extinguisher in the prescribed fire suppression equipment</w:t>
      </w:r>
    </w:p>
    <w:p w14:paraId="5B041FCB" w14:textId="23C3A99B" w:rsidR="00977EA0" w:rsidRDefault="00977EA0" w:rsidP="0057567B">
      <w:pPr>
        <w:pStyle w:val="ListParagraph"/>
        <w:numPr>
          <w:ilvl w:val="0"/>
          <w:numId w:val="17"/>
        </w:numPr>
        <w:spacing w:before="0" w:line="240" w:lineRule="auto"/>
        <w:contextualSpacing w:val="0"/>
      </w:pPr>
      <w:r>
        <w:t>That forest produce licences</w:t>
      </w:r>
      <w:r w:rsidR="003D7F7C">
        <w:t xml:space="preserve"> and </w:t>
      </w:r>
      <w:r w:rsidR="008F57CC">
        <w:t>beekeeper site licences</w:t>
      </w:r>
      <w:r>
        <w:t xml:space="preserve"> print the regulatory requirement on the licence itself so that licensees have ready reference to the requirements (technically out of scope of the</w:t>
      </w:r>
      <w:r w:rsidR="55ECC07C">
        <w:t>se</w:t>
      </w:r>
      <w:r>
        <w:t xml:space="preserve"> regulations)</w:t>
      </w:r>
    </w:p>
    <w:p w14:paraId="4844A0F0" w14:textId="77777777" w:rsidR="00977EA0" w:rsidRDefault="00977EA0" w:rsidP="00091ED4">
      <w:pPr>
        <w:pStyle w:val="ListParagraph"/>
        <w:numPr>
          <w:ilvl w:val="0"/>
          <w:numId w:val="17"/>
        </w:numPr>
        <w:spacing w:before="0" w:line="240" w:lineRule="auto"/>
        <w:contextualSpacing w:val="0"/>
      </w:pPr>
      <w:r>
        <w:t>That the wording be changed in relation to safety fuses and fuse lighters to reflect changing climate conditions.</w:t>
      </w:r>
      <w:r>
        <w:br w:type="page"/>
      </w:r>
    </w:p>
    <w:p w14:paraId="2193CD45" w14:textId="77777777" w:rsidR="008F5BDC" w:rsidRDefault="008F5BDC" w:rsidP="008F5BDC">
      <w:pPr>
        <w:pStyle w:val="Heading1"/>
        <w:sectPr w:rsidR="008F5BDC" w:rsidSect="005C24D2">
          <w:pgSz w:w="11907" w:h="16839" w:code="9"/>
          <w:pgMar w:top="1134" w:right="1134" w:bottom="1134" w:left="1134" w:header="283" w:footer="283" w:gutter="0"/>
          <w:cols w:space="720"/>
          <w:noEndnote/>
          <w:docGrid w:linePitch="360"/>
        </w:sectPr>
      </w:pPr>
    </w:p>
    <w:p w14:paraId="42B27FD6" w14:textId="7AF2DC7F" w:rsidR="008F5BDC" w:rsidRDefault="008F5BDC" w:rsidP="008F5BDC">
      <w:pPr>
        <w:pStyle w:val="Heading1"/>
      </w:pPr>
      <w:bookmarkStart w:id="44" w:name="_Toc187330527"/>
      <w:r>
        <w:t xml:space="preserve">Objectives: </w:t>
      </w:r>
      <w:r w:rsidRPr="00E85356">
        <w:t>What outcome is the Government aiming to achieve?</w:t>
      </w:r>
      <w:bookmarkEnd w:id="44"/>
    </w:p>
    <w:p w14:paraId="54DF04FD" w14:textId="77777777" w:rsidR="008F5BDC" w:rsidRDefault="008F5BDC" w:rsidP="008F5BDC">
      <w:pPr>
        <w:pStyle w:val="Heading2"/>
      </w:pPr>
      <w:bookmarkStart w:id="45" w:name="_Toc187330528"/>
      <w:r>
        <w:t>Setting objectives</w:t>
      </w:r>
      <w:bookmarkEnd w:id="45"/>
    </w:p>
    <w:p w14:paraId="0ACF4C5C" w14:textId="77777777" w:rsidR="008F5BDC" w:rsidRDefault="008F5BDC" w:rsidP="008F5BDC">
      <w:r>
        <w:t xml:space="preserve">The </w:t>
      </w:r>
      <w:r w:rsidRPr="00091ED4">
        <w:rPr>
          <w:i/>
          <w:iCs/>
        </w:rPr>
        <w:t>Subordinate Legislation Act</w:t>
      </w:r>
      <w:r w:rsidRPr="00B520EF">
        <w:rPr>
          <w:i/>
          <w:iCs/>
        </w:rPr>
        <w:t xml:space="preserve"> </w:t>
      </w:r>
      <w:r>
        <w:t>requires</w:t>
      </w:r>
      <w:r w:rsidRPr="00B62884">
        <w:t xml:space="preserve"> </w:t>
      </w:r>
      <w:r>
        <w:t>a RIS to include a statement of the objectives of the proposed regulations.</w:t>
      </w:r>
      <w:r>
        <w:rPr>
          <w:rStyle w:val="FootnoteReference"/>
        </w:rPr>
        <w:footnoteReference w:id="40"/>
      </w:r>
      <w:r>
        <w:t xml:space="preserve"> The SLA Guidelines require</w:t>
      </w:r>
      <w:r w:rsidRPr="00856D92">
        <w:t xml:space="preserve"> </w:t>
      </w:r>
      <w:r>
        <w:t>that agencies should clearly define the intended objectives and the reasons for those objectives, to ensure that:</w:t>
      </w:r>
    </w:p>
    <w:p w14:paraId="4DB10EDB" w14:textId="77777777" w:rsidR="008F5BDC" w:rsidRDefault="008F5BDC" w:rsidP="008F5BDC">
      <w:pPr>
        <w:pStyle w:val="ListBullet"/>
      </w:pPr>
      <w:r>
        <w:t>they are reasonable and appropriate for the intended level of regulation</w:t>
      </w:r>
    </w:p>
    <w:p w14:paraId="1C93D28F" w14:textId="77777777" w:rsidR="008F5BDC" w:rsidRDefault="008F5BDC" w:rsidP="008F5BDC">
      <w:pPr>
        <w:pStyle w:val="ListBullet"/>
      </w:pPr>
      <w:r>
        <w:t>they can be clearly and succinctly set out</w:t>
      </w:r>
    </w:p>
    <w:p w14:paraId="6E017A1C" w14:textId="22E4E09A" w:rsidR="008F5BDC" w:rsidRDefault="008F5BDC" w:rsidP="008F5BDC">
      <w:pPr>
        <w:pStyle w:val="ListBullet"/>
      </w:pPr>
      <w:r>
        <w:t>they conform with the objectives, principles, spirit and intent of the authorising Act</w:t>
      </w:r>
      <w:r w:rsidR="00D56020">
        <w:t>, and</w:t>
      </w:r>
    </w:p>
    <w:p w14:paraId="49B66CEC" w14:textId="77777777" w:rsidR="008F5BDC" w:rsidRDefault="008F5BDC" w:rsidP="008F5BDC">
      <w:pPr>
        <w:pStyle w:val="ListBullet"/>
      </w:pPr>
      <w:r>
        <w:t>they are not inconsistent with the objectives of other legislation, subordinate legislation and stated government policies.</w:t>
      </w:r>
    </w:p>
    <w:p w14:paraId="767D712C" w14:textId="1532F0AC" w:rsidR="008F5BDC" w:rsidRDefault="008F5BDC" w:rsidP="008F5BDC">
      <w:r>
        <w:t>Subordinate legislation, such as regulations, can only cover matters permitted by the authorising Act, and must be consistent with the principles and objectives of the policy issue</w:t>
      </w:r>
      <w:r w:rsidR="005658C5">
        <w:t xml:space="preserve"> (or issues)</w:t>
      </w:r>
      <w:r>
        <w:t xml:space="preserve"> that the primary legislation addresses.</w:t>
      </w:r>
    </w:p>
    <w:p w14:paraId="456BA436" w14:textId="5590881E" w:rsidR="008F5BDC" w:rsidRPr="00CA41AD" w:rsidRDefault="008F5BDC" w:rsidP="008F5BDC">
      <w:r>
        <w:t xml:space="preserve">The Victorian Government has explicit principles for regulation in Victoria (see </w:t>
      </w:r>
      <w:r w:rsidDel="007A4631">
        <w:t xml:space="preserve">Chapter </w:t>
      </w:r>
      <w:r>
        <w:t>1), to ensure that regulations are effective, efficient, clear, consistent with other regulatory obligations, proportionate to the scale of the problem, and flexible.</w:t>
      </w:r>
      <w:r>
        <w:rPr>
          <w:rStyle w:val="FootnoteReference"/>
        </w:rPr>
        <w:footnoteReference w:id="41"/>
      </w:r>
    </w:p>
    <w:p w14:paraId="3037E2BD" w14:textId="77777777" w:rsidR="00D40555" w:rsidRDefault="00D40555" w:rsidP="00D40555">
      <w:pPr>
        <w:pStyle w:val="Heading2"/>
      </w:pPr>
      <w:bookmarkStart w:id="46" w:name="_Toc187330529"/>
      <w:r>
        <w:t>Principles and objectives of the primary legislation</w:t>
      </w:r>
      <w:bookmarkEnd w:id="46"/>
    </w:p>
    <w:p w14:paraId="6B023A5C" w14:textId="77777777" w:rsidR="00D40555" w:rsidRDefault="00D40555" w:rsidP="00D40555">
      <w:r w:rsidRPr="00327333">
        <w:t xml:space="preserve">There are no stated objectives or principles in the </w:t>
      </w:r>
      <w:r w:rsidRPr="0076029B">
        <w:t>Forests Act</w:t>
      </w:r>
      <w:r w:rsidRPr="00327333">
        <w:t>, however from the nature of the provisions in the Act, it is clear that the purpose of the Act is to protect Victoria’s forests from misuse and damage, including by preventing damage from fire.</w:t>
      </w:r>
    </w:p>
    <w:p w14:paraId="6DD62AD1" w14:textId="1F7A5F58" w:rsidR="00B57C14" w:rsidRDefault="00D40555" w:rsidP="00D40555">
      <w:r w:rsidRPr="00FE15E6">
        <w:t>The Act includes a number of provisions that are aimed at protecting Victorian forests from fire. For example, there are specific provision</w:t>
      </w:r>
      <w:r>
        <w:t>s</w:t>
      </w:r>
      <w:r w:rsidRPr="00FE15E6">
        <w:t xml:space="preserve"> in the Act dealing with ‘the prevention of and protection from fire’. In particular s</w:t>
      </w:r>
      <w:r>
        <w:t>ections</w:t>
      </w:r>
      <w:r w:rsidRPr="00FE15E6">
        <w:t xml:space="preserve"> 63</w:t>
      </w:r>
      <w:r w:rsidR="00A95329">
        <w:t xml:space="preserve"> to </w:t>
      </w:r>
      <w:r w:rsidRPr="00FE15E6">
        <w:t>67 deal with, among other things</w:t>
      </w:r>
      <w:r w:rsidR="00B57C14">
        <w:t>:</w:t>
      </w:r>
    </w:p>
    <w:p w14:paraId="1EFB4F86" w14:textId="77777777" w:rsidR="00B57C14" w:rsidRDefault="00D40555" w:rsidP="00091ED4">
      <w:pPr>
        <w:pStyle w:val="ListBullet"/>
        <w:spacing w:before="0" w:after="0"/>
      </w:pPr>
      <w:r w:rsidRPr="00FE15E6">
        <w:t>restrictions as to lighting fires in certain areas,</w:t>
      </w:r>
    </w:p>
    <w:p w14:paraId="32353C53" w14:textId="0952CE74" w:rsidR="00B57C14" w:rsidRDefault="00D40555" w:rsidP="00091ED4">
      <w:pPr>
        <w:pStyle w:val="ListBullet"/>
        <w:spacing w:before="0" w:after="0"/>
      </w:pPr>
      <w:r w:rsidRPr="00FE15E6">
        <w:t>prohibition of use of fire when acute fire danger exists,</w:t>
      </w:r>
    </w:p>
    <w:p w14:paraId="76E18117" w14:textId="2FCFF4A3" w:rsidR="00B57C14" w:rsidRDefault="00D40555" w:rsidP="00091ED4">
      <w:pPr>
        <w:pStyle w:val="ListBullet"/>
        <w:spacing w:before="0" w:after="0"/>
      </w:pPr>
      <w:r w:rsidRPr="00FE15E6">
        <w:t>enforcement of burning off near State forest or national park,</w:t>
      </w:r>
    </w:p>
    <w:p w14:paraId="66251725" w14:textId="1CC233F3" w:rsidR="00B57C14" w:rsidRDefault="00D40555" w:rsidP="00091ED4">
      <w:pPr>
        <w:pStyle w:val="ListBullet"/>
        <w:spacing w:before="0" w:after="0"/>
      </w:pPr>
      <w:r w:rsidRPr="00FE15E6">
        <w:t>placing inflammable material for the purpose of causing fire etc,</w:t>
      </w:r>
    </w:p>
    <w:p w14:paraId="5431C560" w14:textId="5458BB45" w:rsidR="00B57C14" w:rsidRDefault="00D40555" w:rsidP="00091ED4">
      <w:pPr>
        <w:pStyle w:val="ListBullet"/>
        <w:spacing w:before="0" w:after="0"/>
      </w:pPr>
      <w:r w:rsidRPr="00FE15E6">
        <w:t>offences relating to leaving campfires or barbeques unattended,</w:t>
      </w:r>
    </w:p>
    <w:p w14:paraId="7DDAB4A9" w14:textId="64D92E4D" w:rsidR="00B57C14" w:rsidRDefault="00D40555" w:rsidP="00091ED4">
      <w:pPr>
        <w:pStyle w:val="ListBullet"/>
        <w:spacing w:before="0" w:after="0"/>
      </w:pPr>
      <w:r w:rsidRPr="00FE15E6">
        <w:t>requirement</w:t>
      </w:r>
      <w:r w:rsidR="00B57C14">
        <w:t>s</w:t>
      </w:r>
      <w:r w:rsidRPr="00FE15E6">
        <w:t xml:space="preserve"> to hav</w:t>
      </w:r>
      <w:r w:rsidR="00F03A5D">
        <w:t>e</w:t>
      </w:r>
      <w:r w:rsidRPr="00FE15E6">
        <w:t xml:space="preserve"> clear areas around certain campfires or barbeques, and</w:t>
      </w:r>
    </w:p>
    <w:p w14:paraId="6B3E830D" w14:textId="1F6B493B" w:rsidR="00B57C14" w:rsidRDefault="00D40555" w:rsidP="00091ED4">
      <w:pPr>
        <w:pStyle w:val="ListBullet"/>
        <w:spacing w:before="0" w:after="0"/>
      </w:pPr>
      <w:r w:rsidRPr="00FE15E6">
        <w:t>restrictions on campfires or barbeques above a certain size.</w:t>
      </w:r>
    </w:p>
    <w:p w14:paraId="4F85C31F" w14:textId="6DB26CA6" w:rsidR="00D40555" w:rsidRDefault="00D40555" w:rsidP="00B57C14">
      <w:r w:rsidRPr="00FE15E6">
        <w:t>There is also a general duty to prevent spread of fire.</w:t>
      </w:r>
    </w:p>
    <w:p w14:paraId="599B6516" w14:textId="77777777" w:rsidR="00D40555" w:rsidRPr="00327333" w:rsidRDefault="00D40555" w:rsidP="00D40555">
      <w:r>
        <w:t xml:space="preserve">The Act specifically leaves some detail of its offences to be given effect through the making of regulations. In particular, the Act anticipates that regulations will specify the situations in which written authority will be required to light a fire during a prohibited period. </w:t>
      </w:r>
    </w:p>
    <w:p w14:paraId="3981DB41" w14:textId="77777777" w:rsidR="00D40555" w:rsidRDefault="00D40555" w:rsidP="00D40555">
      <w:pPr>
        <w:pStyle w:val="Heading2"/>
      </w:pPr>
      <w:bookmarkStart w:id="47" w:name="_Toc187330530"/>
      <w:r>
        <w:t>Authorising provisions</w:t>
      </w:r>
      <w:bookmarkEnd w:id="47"/>
    </w:p>
    <w:p w14:paraId="45C5136C" w14:textId="77777777" w:rsidR="00D40555" w:rsidRDefault="00D40555" w:rsidP="00D40555">
      <w:r w:rsidRPr="000623D3">
        <w:t>Section 99 of</w:t>
      </w:r>
      <w:r>
        <w:t xml:space="preserve"> the </w:t>
      </w:r>
      <w:r w:rsidRPr="00035661">
        <w:t>Forests Act</w:t>
      </w:r>
      <w:r>
        <w:t xml:space="preserve"> allows for the making of regulations with respect to (among other things):</w:t>
      </w:r>
    </w:p>
    <w:p w14:paraId="3486E2AA" w14:textId="77777777" w:rsidR="00D40555" w:rsidRDefault="00D40555" w:rsidP="00D40555">
      <w:pPr>
        <w:pStyle w:val="ListBullet"/>
      </w:pPr>
      <w:r>
        <w:t>regulating the burning off of inflammable material and the lighting and use of fires and the use of any engine, boiler or other device or equipment which is capable, in the course of its ordinary use, of igniting a fire, within any fire protected area or any specified portion thereof</w:t>
      </w:r>
    </w:p>
    <w:p w14:paraId="35B251B9" w14:textId="77777777" w:rsidR="00D40555" w:rsidRDefault="00D40555" w:rsidP="00D40555">
      <w:pPr>
        <w:pStyle w:val="ListBullet"/>
      </w:pPr>
      <w:r>
        <w:t>providing for and regulating the giving by authorised officers of written authority to light fires in any fire protected area or any part thereof and prescribing the circumstances in which such authority may be given</w:t>
      </w:r>
    </w:p>
    <w:p w14:paraId="14F6085E" w14:textId="330AE996" w:rsidR="00D40555" w:rsidRDefault="00D40555" w:rsidP="00D40555">
      <w:pPr>
        <w:pStyle w:val="ListBullet"/>
      </w:pPr>
      <w:r>
        <w:t xml:space="preserve">prescribing conditions to be specified in any written authority to light a fire and </w:t>
      </w:r>
      <w:r w:rsidR="004B39B6">
        <w:t xml:space="preserve">authorising </w:t>
      </w:r>
      <w:r>
        <w:t xml:space="preserve">authorised officers to specify </w:t>
      </w:r>
      <w:r w:rsidR="00C171C7">
        <w:t xml:space="preserve">reasonable </w:t>
      </w:r>
      <w:r>
        <w:t>conditions at their discretion</w:t>
      </w:r>
    </w:p>
    <w:p w14:paraId="3DABAFAD" w14:textId="77777777" w:rsidR="00D40555" w:rsidRDefault="00D40555" w:rsidP="00D40555">
      <w:pPr>
        <w:pStyle w:val="ListBullet"/>
      </w:pPr>
      <w:r>
        <w:t>prohibiting the lighting or maintaining of fires in any fire protected area or any part thereof without the written authority of an authorised officer</w:t>
      </w:r>
    </w:p>
    <w:p w14:paraId="7E7F5C28" w14:textId="6C1D6683" w:rsidR="00D40555" w:rsidRDefault="00D40555" w:rsidP="00D40555">
      <w:pPr>
        <w:pStyle w:val="ListBullet"/>
      </w:pPr>
      <w:r>
        <w:t>the extinguishment of fires lit</w:t>
      </w:r>
      <w:r w:rsidR="0025342A">
        <w:t>,</w:t>
      </w:r>
      <w:r>
        <w:t xml:space="preserve"> kindled</w:t>
      </w:r>
      <w:r w:rsidR="0025342A">
        <w:t>,</w:t>
      </w:r>
      <w:r>
        <w:t xml:space="preserve"> maintained or used in a fire protected area</w:t>
      </w:r>
    </w:p>
    <w:p w14:paraId="76FF6257" w14:textId="730E6D94" w:rsidR="00D40555" w:rsidRDefault="00D40555" w:rsidP="00D40555">
      <w:pPr>
        <w:pStyle w:val="ListBullet"/>
      </w:pPr>
      <w:r w:rsidRPr="00100138">
        <w:t>the facilities</w:t>
      </w:r>
      <w:r w:rsidR="0030230F">
        <w:t xml:space="preserve">, </w:t>
      </w:r>
      <w:r w:rsidRPr="00100138">
        <w:t>equipment</w:t>
      </w:r>
      <w:r w:rsidR="0030230F">
        <w:t xml:space="preserve">, </w:t>
      </w:r>
      <w:r w:rsidRPr="00100138">
        <w:t>apparatus or other things to be provided in fire protected areas for the prevention and suppression of fir</w:t>
      </w:r>
      <w:r w:rsidR="0030230F">
        <w:t xml:space="preserve">e, </w:t>
      </w:r>
      <w:r w:rsidRPr="00100138">
        <w:t>or the protection of life and property from fire</w:t>
      </w:r>
    </w:p>
    <w:p w14:paraId="3E6C8E87" w14:textId="01AABB5C" w:rsidR="00D40555" w:rsidRDefault="00D40555" w:rsidP="00D40555">
      <w:pPr>
        <w:pStyle w:val="ListBullet"/>
      </w:pPr>
      <w:r>
        <w:t>p</w:t>
      </w:r>
      <w:r w:rsidRPr="00523195">
        <w:t xml:space="preserve">rescribing any matters required or permitted or necessary or expedient to be prescribed for carrying </w:t>
      </w:r>
      <w:r w:rsidR="006D006F">
        <w:t>the</w:t>
      </w:r>
      <w:r w:rsidR="006D006F" w:rsidRPr="00523195">
        <w:t xml:space="preserve"> </w:t>
      </w:r>
      <w:r w:rsidRPr="00523195">
        <w:t xml:space="preserve">Act into effect, and generally for carrying into effect the objects of </w:t>
      </w:r>
      <w:r w:rsidR="006D006F">
        <w:t>the</w:t>
      </w:r>
      <w:r w:rsidR="006D006F" w:rsidRPr="00523195">
        <w:t xml:space="preserve"> </w:t>
      </w:r>
      <w:r w:rsidRPr="00523195">
        <w:t>Act.</w:t>
      </w:r>
    </w:p>
    <w:p w14:paraId="65A4B2AC" w14:textId="77777777" w:rsidR="00D40555" w:rsidRDefault="00D40555" w:rsidP="00D40555">
      <w:pPr>
        <w:pStyle w:val="Heading2"/>
      </w:pPr>
      <w:bookmarkStart w:id="48" w:name="_Toc187330531"/>
      <w:r>
        <w:t>Other policy objectives</w:t>
      </w:r>
      <w:bookmarkEnd w:id="48"/>
    </w:p>
    <w:p w14:paraId="7A676452" w14:textId="2EB8D48C" w:rsidR="00D40555" w:rsidRDefault="00D40555" w:rsidP="00D40555">
      <w:r>
        <w:t>Victoria’s Bushfire Management Strategy (202</w:t>
      </w:r>
      <w:r w:rsidR="0035653E">
        <w:t>4</w:t>
      </w:r>
      <w:r>
        <w:t>)</w:t>
      </w:r>
      <w:r>
        <w:rPr>
          <w:rStyle w:val="FootnoteReference"/>
        </w:rPr>
        <w:footnoteReference w:id="42"/>
      </w:r>
      <w:r>
        <w:t xml:space="preserve"> provides a framework to improve outcomes for bushfire management, including to aid decision-making on where resources will have the greatest impact. It is accompanied by an Implementation Plan that outlines actions to be delivered under each strategic outcome, along with Victoria’s Bushfire Monitoring, Evaluation and Reporting Framework that will enable regular progress reporting on the outcomes and strategic directions from December 2025. In addition, the Code of Practice for Bushfire Management on Public Land (2022), published under the </w:t>
      </w:r>
      <w:r w:rsidRPr="00091ED4">
        <w:rPr>
          <w:i/>
          <w:iCs/>
        </w:rPr>
        <w:t>Conservation</w:t>
      </w:r>
      <w:r w:rsidR="000C086F">
        <w:rPr>
          <w:i/>
          <w:iCs/>
        </w:rPr>
        <w:t>,</w:t>
      </w:r>
      <w:r w:rsidRPr="00091ED4">
        <w:rPr>
          <w:i/>
          <w:iCs/>
        </w:rPr>
        <w:t xml:space="preserve"> Forests and Lands Act</w:t>
      </w:r>
      <w:r>
        <w:t>, among other things, sets the objectives for bushfire management on public land, and strategies and actions across the prevention, preparedness, fuel management (including planned burning), response and recovery spectrum to achieve those objectives.</w:t>
      </w:r>
    </w:p>
    <w:p w14:paraId="6B8096F2" w14:textId="6356E877" w:rsidR="00D40555" w:rsidRDefault="00D40555" w:rsidP="00D40555">
      <w:r>
        <w:t>The government also has economic objectives in fostering the ‘visitor economy’, especially since the global pandemic and Black Summer bushfires.</w:t>
      </w:r>
      <w:r w:rsidR="002C79FA">
        <w:rPr>
          <w:rStyle w:val="FootnoteReference"/>
        </w:rPr>
        <w:footnoteReference w:id="43"/>
      </w:r>
      <w:r>
        <w:t xml:space="preserve"> The Visitor Economy Recovery and Reform Plan sets out this strategy and highlights Victoria’s unique attraction, especially its parks and forests.</w:t>
      </w:r>
    </w:p>
    <w:p w14:paraId="41566625" w14:textId="6CB9AF21" w:rsidR="0050711D" w:rsidRDefault="00D40555" w:rsidP="00D40555">
      <w:r w:rsidRPr="00D40555">
        <w:t xml:space="preserve">The Victorian Aboriginal Affairs Framework provides the strategic policy framework for </w:t>
      </w:r>
      <w:r w:rsidR="00D94C96">
        <w:t>g</w:t>
      </w:r>
      <w:r w:rsidRPr="00D40555">
        <w:t xml:space="preserve">overnment to undertake systemic, structural and institutional change to enable self-determination. This recognises that it is the role of </w:t>
      </w:r>
      <w:r w:rsidR="003A05A4">
        <w:t>g</w:t>
      </w:r>
      <w:r w:rsidRPr="00D40555">
        <w:t>overnment to change and remove systemic and institutional barriers.</w:t>
      </w:r>
    </w:p>
    <w:p w14:paraId="6DCDFAC9" w14:textId="490B81A7" w:rsidR="0050711D" w:rsidRDefault="0050711D" w:rsidP="00D40555">
      <w:r w:rsidRPr="0050711D">
        <w:t xml:space="preserve">In December 2024, the Victorian Government released its Economic Growth Statement, </w:t>
      </w:r>
      <w:r w:rsidRPr="00FC6CA2">
        <w:rPr>
          <w:i/>
          <w:iCs/>
        </w:rPr>
        <w:t>Victoria: Open for Business</w:t>
      </w:r>
      <w:r w:rsidRPr="0050711D">
        <w:t>. The Government has committed to reduce the regulatory burden for Victorian businesses by $500</w:t>
      </w:r>
      <w:r w:rsidR="00FC6CA2">
        <w:t> </w:t>
      </w:r>
      <w:r w:rsidRPr="0050711D">
        <w:t>million by 2030. This includes reducing regulatory duplication, speeding up and digitising application processes, removing unnecessary permits, and updating regulations to be smarter and simpler.</w:t>
      </w:r>
    </w:p>
    <w:p w14:paraId="0B1F1D88" w14:textId="77777777" w:rsidR="00D40555" w:rsidRDefault="00D40555" w:rsidP="00D40555">
      <w:pPr>
        <w:pStyle w:val="Heading2"/>
      </w:pPr>
      <w:bookmarkStart w:id="49" w:name="_Toc187330532"/>
      <w:r>
        <w:t>The objectives of the proposed Regulations</w:t>
      </w:r>
      <w:bookmarkEnd w:id="49"/>
    </w:p>
    <w:p w14:paraId="1C2419A3" w14:textId="66059055" w:rsidR="00D40555" w:rsidRDefault="00D40555" w:rsidP="00D40555">
      <w:r w:rsidRPr="00374556">
        <w:t xml:space="preserve">Given the intent of the </w:t>
      </w:r>
      <w:r w:rsidR="001B7EB1" w:rsidRPr="0076029B">
        <w:t>Forests Act</w:t>
      </w:r>
      <w:r w:rsidRPr="00374556">
        <w:t xml:space="preserve"> and other policy objectives</w:t>
      </w:r>
      <w:r>
        <w:t>, and in response to the nature and extent of the problem discussed in the previous chapter, the specific objectives of government intervention are to minimise</w:t>
      </w:r>
      <w:r w:rsidRPr="006D6328">
        <w:t xml:space="preserve"> non-malicious ignitions of fire on public land</w:t>
      </w:r>
      <w:r>
        <w:t xml:space="preserve"> in order to:</w:t>
      </w:r>
    </w:p>
    <w:p w14:paraId="2FF83C23" w14:textId="77777777" w:rsidR="00D40555" w:rsidRDefault="00D40555" w:rsidP="00D40555">
      <w:pPr>
        <w:pStyle w:val="ListBullet"/>
      </w:pPr>
      <w:bookmarkStart w:id="50" w:name="_Hlk183515597"/>
      <w:r>
        <w:t>protect the safety of Victorians</w:t>
      </w:r>
    </w:p>
    <w:p w14:paraId="6127CDD9" w14:textId="77777777" w:rsidR="00D40555" w:rsidRDefault="00D40555" w:rsidP="00D40555">
      <w:pPr>
        <w:pStyle w:val="ListBullet"/>
      </w:pPr>
      <w:r>
        <w:t>prevent loss of private and public property</w:t>
      </w:r>
    </w:p>
    <w:p w14:paraId="4F10F471" w14:textId="5979B7F6" w:rsidR="00D40555" w:rsidRDefault="00D40555" w:rsidP="00D40555">
      <w:pPr>
        <w:pStyle w:val="ListBullet"/>
      </w:pPr>
      <w:r>
        <w:t>support resilience of Victorian ecosystems</w:t>
      </w:r>
    </w:p>
    <w:p w14:paraId="083AB4F0" w14:textId="2D933F78" w:rsidR="00D40555" w:rsidRDefault="00D40555" w:rsidP="00D40555">
      <w:pPr>
        <w:pStyle w:val="ListBullet"/>
      </w:pPr>
      <w:r>
        <w:t>provide assurance that commercial activities are conducted in a safe manner</w:t>
      </w:r>
      <w:r w:rsidR="00FC6CA2">
        <w:t>.</w:t>
      </w:r>
    </w:p>
    <w:bookmarkEnd w:id="50"/>
    <w:p w14:paraId="7D2A1466" w14:textId="77777777" w:rsidR="00466DA8" w:rsidRDefault="00466DA8" w:rsidP="00D40555">
      <w:pPr>
        <w:spacing w:line="278" w:lineRule="auto"/>
      </w:pPr>
    </w:p>
    <w:p w14:paraId="71972260" w14:textId="77777777" w:rsidR="00466DA8" w:rsidRDefault="00466DA8" w:rsidP="00466DA8">
      <w:pPr>
        <w:pStyle w:val="Heading1"/>
        <w:sectPr w:rsidR="00466DA8" w:rsidSect="005C24D2">
          <w:pgSz w:w="11907" w:h="16839" w:code="9"/>
          <w:pgMar w:top="1134" w:right="1134" w:bottom="1134" w:left="1134" w:header="283" w:footer="283" w:gutter="0"/>
          <w:cols w:space="720"/>
          <w:noEndnote/>
          <w:docGrid w:linePitch="360"/>
        </w:sectPr>
      </w:pPr>
    </w:p>
    <w:p w14:paraId="525D99B2" w14:textId="77777777" w:rsidR="00466DA8" w:rsidRDefault="00466DA8" w:rsidP="00466DA8">
      <w:pPr>
        <w:pStyle w:val="Heading1"/>
      </w:pPr>
      <w:bookmarkStart w:id="51" w:name="_Toc187330533"/>
      <w:r>
        <w:t>Options: What possible different courses of action could be taken?</w:t>
      </w:r>
      <w:bookmarkEnd w:id="51"/>
      <w:r>
        <w:t xml:space="preserve"> </w:t>
      </w:r>
    </w:p>
    <w:p w14:paraId="0DFD2FC8" w14:textId="41D25EAB" w:rsidR="00466DA8" w:rsidRDefault="00466DA8" w:rsidP="00466DA8">
      <w:bookmarkStart w:id="52" w:name="_Hlk186587335"/>
      <w:r w:rsidRPr="00B629E2">
        <w:t>Under the SLA</w:t>
      </w:r>
      <w:r w:rsidR="00EB407C">
        <w:t>,</w:t>
      </w:r>
      <w:r w:rsidRPr="00B629E2">
        <w:t xml:space="preserve"> a RIS must consider other practicable means of achieving the regulatory objectives, including other regulatory </w:t>
      </w:r>
      <w:r w:rsidR="000E254E">
        <w:t xml:space="preserve">options </w:t>
      </w:r>
      <w:r w:rsidRPr="00B629E2">
        <w:t>as well as non-regulatory options.</w:t>
      </w:r>
      <w:r w:rsidRPr="00FF55A0">
        <w:rPr>
          <w:vertAlign w:val="superscript"/>
        </w:rPr>
        <w:footnoteReference w:id="44"/>
      </w:r>
      <w:r>
        <w:t xml:space="preserve"> </w:t>
      </w:r>
      <w:r w:rsidRPr="00B629E2">
        <w:t>This section considers which approaches could achieve the policy objectives, and why other options were considered and rejected.</w:t>
      </w:r>
    </w:p>
    <w:p w14:paraId="451EBF22" w14:textId="77777777" w:rsidR="00466DA8" w:rsidRDefault="00466DA8" w:rsidP="00466DA8">
      <w:pPr>
        <w:pStyle w:val="Heading2"/>
      </w:pPr>
      <w:bookmarkStart w:id="53" w:name="_Toc187330534"/>
      <w:r>
        <w:t>Options considered in this RIS</w:t>
      </w:r>
      <w:bookmarkEnd w:id="53"/>
    </w:p>
    <w:p w14:paraId="47974D06" w14:textId="77777777" w:rsidR="00466DA8" w:rsidRDefault="00466DA8" w:rsidP="00466DA8">
      <w:r>
        <w:t>Non-regulatory and regulatory options considered in this RIS include:</w:t>
      </w:r>
    </w:p>
    <w:p w14:paraId="1272B892" w14:textId="76F74494" w:rsidR="00466DA8" w:rsidRDefault="00466DA8" w:rsidP="00466DA8">
      <w:pPr>
        <w:pStyle w:val="ListParagraph"/>
        <w:ind w:left="360" w:hanging="360"/>
        <w:contextualSpacing w:val="0"/>
      </w:pPr>
      <w:r w:rsidRPr="00935835">
        <w:rPr>
          <w:b/>
          <w:bCs/>
        </w:rPr>
        <w:t>Option 1</w:t>
      </w:r>
      <w:r>
        <w:t xml:space="preserve">: remake the current Regulations with </w:t>
      </w:r>
      <w:r w:rsidR="006C22C2">
        <w:t>minor amendments</w:t>
      </w:r>
      <w:r>
        <w:t xml:space="preserve"> (</w:t>
      </w:r>
      <w:r w:rsidRPr="0010269E">
        <w:rPr>
          <w:i/>
          <w:iCs/>
        </w:rPr>
        <w:t>the proposed Regulations</w:t>
      </w:r>
      <w:r>
        <w:t>)</w:t>
      </w:r>
    </w:p>
    <w:p w14:paraId="561F8743" w14:textId="77777777" w:rsidR="00466DA8" w:rsidRDefault="00466DA8" w:rsidP="00466DA8">
      <w:pPr>
        <w:pStyle w:val="ListParagraph"/>
        <w:ind w:left="360" w:hanging="360"/>
        <w:contextualSpacing w:val="0"/>
      </w:pPr>
      <w:r w:rsidRPr="00CC653D">
        <w:rPr>
          <w:b/>
          <w:bCs/>
        </w:rPr>
        <w:t>Option 2</w:t>
      </w:r>
      <w:r w:rsidRPr="009A5368">
        <w:t>:</w:t>
      </w:r>
      <w:r>
        <w:t xml:space="preserve"> less prescriptive, more performance-based or principles-based regulations</w:t>
      </w:r>
    </w:p>
    <w:p w14:paraId="12950775" w14:textId="77777777" w:rsidR="00466DA8" w:rsidRDefault="00466DA8" w:rsidP="00466DA8">
      <w:pPr>
        <w:pStyle w:val="ListParagraph"/>
        <w:ind w:left="360" w:hanging="360"/>
        <w:contextualSpacing w:val="0"/>
      </w:pPr>
      <w:r w:rsidRPr="00CC653D">
        <w:rPr>
          <w:b/>
          <w:bCs/>
        </w:rPr>
        <w:t>Option 3</w:t>
      </w:r>
      <w:r>
        <w:t xml:space="preserve">: </w:t>
      </w:r>
      <w:bookmarkStart w:id="54" w:name="_Hlk183327348"/>
      <w:r>
        <w:t>non-regulatory option involving providing education and information about fire use and safety, guidance notes, more reliance on markets and other permit conditions.</w:t>
      </w:r>
    </w:p>
    <w:bookmarkEnd w:id="52"/>
    <w:p w14:paraId="7A4BDF7A" w14:textId="32943F86" w:rsidR="00466DA8" w:rsidRDefault="00466DA8" w:rsidP="00466DA8">
      <w:r>
        <w:t xml:space="preserve">It should be noted that under </w:t>
      </w:r>
      <w:r w:rsidR="00A256AB">
        <w:t xml:space="preserve">all of </w:t>
      </w:r>
      <w:r>
        <w:t>these options</w:t>
      </w:r>
      <w:r w:rsidR="000F3461">
        <w:t xml:space="preserve">, </w:t>
      </w:r>
      <w:r>
        <w:t xml:space="preserve">some form of a statutory rule would still be required. This is because elements of the regulations operationalise key elements of the </w:t>
      </w:r>
      <w:r w:rsidR="000906FE">
        <w:t>A</w:t>
      </w:r>
      <w:r>
        <w:t xml:space="preserve">ct. </w:t>
      </w:r>
    </w:p>
    <w:p w14:paraId="4BC95291" w14:textId="77777777" w:rsidR="00466DA8" w:rsidRPr="00452D9F" w:rsidRDefault="00466DA8" w:rsidP="00466DA8">
      <w:pPr>
        <w:pStyle w:val="Heading3"/>
        <w:rPr>
          <w:sz w:val="22"/>
        </w:rPr>
      </w:pPr>
      <w:bookmarkStart w:id="55" w:name="_Toc187330535"/>
      <w:bookmarkEnd w:id="54"/>
      <w:r>
        <w:t>Option 1: Remake the current Regulations with minor amendments</w:t>
      </w:r>
      <w:bookmarkEnd w:id="55"/>
    </w:p>
    <w:p w14:paraId="05715946" w14:textId="4FE845EE" w:rsidR="00466DA8" w:rsidRDefault="00466DA8" w:rsidP="00466DA8">
      <w:pPr>
        <w:autoSpaceDE w:val="0"/>
        <w:autoSpaceDN w:val="0"/>
        <w:adjustRightInd w:val="0"/>
        <w:rPr>
          <w:rFonts w:cs="Arial"/>
          <w:szCs w:val="22"/>
        </w:rPr>
      </w:pPr>
      <w:r w:rsidRPr="007667BC">
        <w:rPr>
          <w:rFonts w:cs="Arial"/>
          <w:szCs w:val="22"/>
        </w:rPr>
        <w:t xml:space="preserve">Regulation may take the form of </w:t>
      </w:r>
      <w:r w:rsidRPr="007667BC">
        <w:rPr>
          <w:rFonts w:cs="Arial"/>
          <w:bCs/>
          <w:iCs/>
          <w:szCs w:val="22"/>
        </w:rPr>
        <w:t>prescriptive</w:t>
      </w:r>
      <w:r w:rsidRPr="007667BC">
        <w:rPr>
          <w:rFonts w:cs="Arial"/>
          <w:b/>
          <w:bCs/>
          <w:i/>
          <w:iCs/>
          <w:szCs w:val="22"/>
        </w:rPr>
        <w:t xml:space="preserve"> </w:t>
      </w:r>
      <w:r w:rsidRPr="007667BC">
        <w:rPr>
          <w:rFonts w:cs="Arial"/>
          <w:szCs w:val="22"/>
        </w:rPr>
        <w:t>rules, which focus on the inputs, processes and procedures of a particular activity. One of the main advantages of prescriptive regulation is that it provides certainty and clarity. By setting out requirements in detail, it provides standardised solutions and facilitates straight-forward enforcement.</w:t>
      </w:r>
    </w:p>
    <w:p w14:paraId="687A88AD" w14:textId="4DAAC025" w:rsidR="00466DA8" w:rsidRPr="00452D9F" w:rsidRDefault="00466DA8" w:rsidP="00466DA8">
      <w:pPr>
        <w:autoSpaceDE w:val="0"/>
        <w:autoSpaceDN w:val="0"/>
        <w:adjustRightInd w:val="0"/>
        <w:rPr>
          <w:szCs w:val="22"/>
        </w:rPr>
      </w:pPr>
      <w:r>
        <w:rPr>
          <w:rFonts w:cs="Arial"/>
          <w:szCs w:val="22"/>
        </w:rPr>
        <w:t xml:space="preserve">While the </w:t>
      </w:r>
      <w:r w:rsidR="00092333">
        <w:rPr>
          <w:rFonts w:cs="Arial"/>
          <w:szCs w:val="22"/>
        </w:rPr>
        <w:t xml:space="preserve">Regulations </w:t>
      </w:r>
      <w:r>
        <w:rPr>
          <w:rFonts w:cs="Arial"/>
          <w:szCs w:val="22"/>
        </w:rPr>
        <w:t xml:space="preserve">are mostly prescriptive, they do contain elements of performance-based regulation. For example, the provision that deals with burning of inflammable material at a sawmill: it requires that such burning </w:t>
      </w:r>
      <w:r w:rsidR="008A01AE">
        <w:rPr>
          <w:rFonts w:cs="Arial"/>
          <w:szCs w:val="22"/>
        </w:rPr>
        <w:t>be</w:t>
      </w:r>
      <w:r>
        <w:rPr>
          <w:rFonts w:cs="Arial"/>
          <w:szCs w:val="22"/>
        </w:rPr>
        <w:t xml:space="preserve"> permitted “</w:t>
      </w:r>
      <w:r w:rsidRPr="0055109F">
        <w:rPr>
          <w:rFonts w:cs="Arial"/>
          <w:szCs w:val="22"/>
        </w:rPr>
        <w:t>if the fire is effectively contained in a pit or structure</w:t>
      </w:r>
      <w:r>
        <w:rPr>
          <w:rFonts w:cs="Arial"/>
          <w:szCs w:val="22"/>
        </w:rPr>
        <w:t>”. If an authorised officer considers that a sawmill</w:t>
      </w:r>
      <w:r w:rsidR="00FE66D6">
        <w:rPr>
          <w:rFonts w:cs="Arial"/>
          <w:szCs w:val="22"/>
        </w:rPr>
        <w:t>’</w:t>
      </w:r>
      <w:r>
        <w:rPr>
          <w:rFonts w:cs="Arial"/>
          <w:szCs w:val="22"/>
        </w:rPr>
        <w:t xml:space="preserve">s arrangements are unsafe, then they may </w:t>
      </w:r>
      <w:r w:rsidRPr="0055109F">
        <w:rPr>
          <w:rFonts w:cs="Arial"/>
          <w:szCs w:val="22"/>
        </w:rPr>
        <w:t>specify the dimensions and specifications of any pit or structure</w:t>
      </w:r>
      <w:r>
        <w:rPr>
          <w:rFonts w:cs="Arial"/>
          <w:szCs w:val="22"/>
        </w:rPr>
        <w:t xml:space="preserve"> by a notice in writing.</w:t>
      </w:r>
    </w:p>
    <w:p w14:paraId="3FDA422B" w14:textId="2517EC54" w:rsidR="00466DA8" w:rsidRPr="00CF63CB" w:rsidRDefault="00466DA8" w:rsidP="00466DA8">
      <w:pPr>
        <w:pStyle w:val="Caption"/>
      </w:pPr>
      <w:r>
        <w:t xml:space="preserve">Table </w:t>
      </w:r>
      <w:r w:rsidR="0053364C">
        <w:t>7</w:t>
      </w:r>
      <w:r>
        <w:t>: Option 1—</w:t>
      </w:r>
      <w:r>
        <w:rPr>
          <w:bCs/>
        </w:rPr>
        <w:t>C</w:t>
      </w:r>
      <w:r w:rsidRPr="004B27B4">
        <w:rPr>
          <w:bCs/>
        </w:rPr>
        <w:t xml:space="preserve">urrent Regulations with some </w:t>
      </w:r>
      <w:r>
        <w:rPr>
          <w:bCs/>
        </w:rPr>
        <w:t>amendments</w:t>
      </w:r>
    </w:p>
    <w:tbl>
      <w:tblPr>
        <w:tblStyle w:val="TableGrid"/>
        <w:tblW w:w="0" w:type="auto"/>
        <w:tblLook w:val="04A0" w:firstRow="1" w:lastRow="0" w:firstColumn="1" w:lastColumn="0" w:noHBand="0" w:noVBand="1"/>
      </w:tblPr>
      <w:tblGrid>
        <w:gridCol w:w="2410"/>
        <w:gridCol w:w="7229"/>
      </w:tblGrid>
      <w:tr w:rsidR="000906FE" w:rsidRPr="000906FE" w14:paraId="1E7B19C2" w14:textId="77777777" w:rsidTr="000906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shd w:val="clear" w:color="auto" w:fill="E8E8E8" w:themeFill="text1" w:themeFillTint="1A"/>
          </w:tcPr>
          <w:p w14:paraId="332945FC" w14:textId="77777777" w:rsidR="00466DA8" w:rsidRPr="000906FE" w:rsidRDefault="00466DA8" w:rsidP="00BE5CCD">
            <w:pPr>
              <w:pStyle w:val="Boxtext"/>
              <w:rPr>
                <w:b/>
                <w:bCs/>
                <w:color w:val="auto"/>
                <w:sz w:val="20"/>
                <w:szCs w:val="20"/>
              </w:rPr>
            </w:pPr>
            <w:r w:rsidRPr="000906FE">
              <w:rPr>
                <w:b/>
                <w:bCs/>
                <w:color w:val="auto"/>
                <w:sz w:val="20"/>
                <w:szCs w:val="20"/>
              </w:rPr>
              <w:t>Area of regulation</w:t>
            </w:r>
          </w:p>
        </w:tc>
        <w:tc>
          <w:tcPr>
            <w:tcW w:w="7229" w:type="dxa"/>
            <w:tcBorders>
              <w:bottom w:val="single" w:sz="4" w:space="0" w:color="auto"/>
            </w:tcBorders>
            <w:shd w:val="clear" w:color="auto" w:fill="E8E8E8" w:themeFill="text1" w:themeFillTint="1A"/>
          </w:tcPr>
          <w:p w14:paraId="516EB0A2" w14:textId="77777777" w:rsidR="00466DA8" w:rsidRPr="000906FE" w:rsidRDefault="00466DA8"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0906FE">
              <w:rPr>
                <w:b/>
                <w:bCs/>
                <w:color w:val="auto"/>
                <w:sz w:val="20"/>
                <w:szCs w:val="20"/>
              </w:rPr>
              <w:t>Content of regulation</w:t>
            </w:r>
          </w:p>
        </w:tc>
      </w:tr>
      <w:tr w:rsidR="00466DA8" w14:paraId="3093BFBE" w14:textId="77777777" w:rsidTr="000906F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tcPr>
          <w:p w14:paraId="7397F852" w14:textId="77777777" w:rsidR="00466DA8" w:rsidRPr="003F540F" w:rsidRDefault="00466DA8" w:rsidP="00BE5CCD">
            <w:pPr>
              <w:pStyle w:val="Boxtext"/>
              <w:rPr>
                <w:sz w:val="20"/>
                <w:szCs w:val="20"/>
              </w:rPr>
            </w:pPr>
            <w:r w:rsidRPr="003F540F">
              <w:rPr>
                <w:sz w:val="20"/>
                <w:szCs w:val="20"/>
              </w:rPr>
              <w:t>Circumstances in which a written authority is required to light a fire in the open air in a fire protected area</w:t>
            </w:r>
          </w:p>
        </w:tc>
        <w:tc>
          <w:tcPr>
            <w:tcW w:w="7229" w:type="dxa"/>
            <w:tcBorders>
              <w:top w:val="single" w:sz="4" w:space="0" w:color="auto"/>
            </w:tcBorders>
          </w:tcPr>
          <w:p w14:paraId="281E619E" w14:textId="10F6B5D1"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must have the written authority of an authorised officer in any State forest, protected public land or national park at any time during the prohibited period (except in the relation to barbeques and campfires, burning inflammable material from a sawmill, or bee farming if these activities are conducted </w:t>
            </w:r>
            <w:r w:rsidR="4D70EFF4" w:rsidRPr="44FB43A7">
              <w:rPr>
                <w:sz w:val="20"/>
                <w:szCs w:val="20"/>
              </w:rPr>
              <w:t xml:space="preserve">in accordance with the </w:t>
            </w:r>
            <w:r w:rsidR="00092333">
              <w:rPr>
                <w:sz w:val="20"/>
                <w:szCs w:val="20"/>
              </w:rPr>
              <w:t>R</w:t>
            </w:r>
            <w:r w:rsidR="00092333" w:rsidRPr="44FB43A7">
              <w:rPr>
                <w:sz w:val="20"/>
                <w:szCs w:val="20"/>
              </w:rPr>
              <w:t>egulations</w:t>
            </w:r>
            <w:r w:rsidR="00E64646">
              <w:rPr>
                <w:sz w:val="20"/>
                <w:szCs w:val="20"/>
              </w:rPr>
              <w:t>)</w:t>
            </w:r>
            <w:r w:rsidR="4D70EFF4" w:rsidRPr="44FB43A7">
              <w:rPr>
                <w:sz w:val="20"/>
                <w:szCs w:val="20"/>
              </w:rPr>
              <w:t>.</w:t>
            </w:r>
          </w:p>
        </w:tc>
      </w:tr>
      <w:tr w:rsidR="00466DA8" w14:paraId="0EC3ECA1"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2F2FB198" w14:textId="77777777" w:rsidR="00466DA8" w:rsidRPr="003F540F" w:rsidRDefault="00466DA8" w:rsidP="00BE5CCD">
            <w:pPr>
              <w:pStyle w:val="Boxtext"/>
              <w:rPr>
                <w:sz w:val="20"/>
                <w:szCs w:val="20"/>
              </w:rPr>
            </w:pPr>
            <w:r w:rsidRPr="003F540F">
              <w:rPr>
                <w:sz w:val="20"/>
                <w:szCs w:val="20"/>
              </w:rPr>
              <w:t>Safety fuse, fuse lighters</w:t>
            </w:r>
          </w:p>
        </w:tc>
        <w:tc>
          <w:tcPr>
            <w:tcW w:w="7229" w:type="dxa"/>
          </w:tcPr>
          <w:p w14:paraId="53BCD854" w14:textId="094360BC"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must not use a safety fuse or fuse lighter in a fire protected area before sunrise or </w:t>
            </w:r>
            <w:r w:rsidR="00E94B53">
              <w:rPr>
                <w:sz w:val="20"/>
                <w:szCs w:val="20"/>
              </w:rPr>
              <w:t>between</w:t>
            </w:r>
            <w:r w:rsidR="00E94B53" w:rsidRPr="003F540F">
              <w:rPr>
                <w:sz w:val="20"/>
                <w:szCs w:val="20"/>
              </w:rPr>
              <w:t xml:space="preserve"> </w:t>
            </w:r>
            <w:r w:rsidR="00461DAF">
              <w:rPr>
                <w:sz w:val="20"/>
                <w:szCs w:val="20"/>
              </w:rPr>
              <w:t>9:30am</w:t>
            </w:r>
            <w:r w:rsidR="00E94B53">
              <w:rPr>
                <w:sz w:val="20"/>
                <w:szCs w:val="20"/>
              </w:rPr>
              <w:t xml:space="preserve"> and midnight</w:t>
            </w:r>
            <w:r w:rsidRPr="003F540F">
              <w:rPr>
                <w:sz w:val="20"/>
                <w:szCs w:val="20"/>
              </w:rPr>
              <w:t xml:space="preserve"> on any day in January, February, March, April, November or December of any year.</w:t>
            </w:r>
          </w:p>
        </w:tc>
      </w:tr>
      <w:tr w:rsidR="00466DA8" w14:paraId="6CA471EF" w14:textId="77777777" w:rsidTr="005F0B28">
        <w:tc>
          <w:tcPr>
            <w:cnfStyle w:val="001000000000" w:firstRow="0" w:lastRow="0" w:firstColumn="1" w:lastColumn="0" w:oddVBand="0" w:evenVBand="0" w:oddHBand="0" w:evenHBand="0" w:firstRowFirstColumn="0" w:firstRowLastColumn="0" w:lastRowFirstColumn="0" w:lastRowLastColumn="0"/>
            <w:tcW w:w="2410" w:type="dxa"/>
          </w:tcPr>
          <w:p w14:paraId="0D59955D" w14:textId="42A94C33" w:rsidR="00466DA8" w:rsidRPr="003F540F" w:rsidRDefault="00466DA8" w:rsidP="00BE5CCD">
            <w:pPr>
              <w:pStyle w:val="Boxtext"/>
              <w:rPr>
                <w:sz w:val="20"/>
                <w:szCs w:val="20"/>
              </w:rPr>
            </w:pPr>
            <w:r w:rsidRPr="003F540F">
              <w:rPr>
                <w:sz w:val="20"/>
                <w:szCs w:val="20"/>
              </w:rPr>
              <w:t xml:space="preserve">Campfires and </w:t>
            </w:r>
            <w:r w:rsidR="00953038">
              <w:rPr>
                <w:sz w:val="20"/>
                <w:szCs w:val="20"/>
              </w:rPr>
              <w:t>barbeque</w:t>
            </w:r>
            <w:r w:rsidRPr="003F540F">
              <w:rPr>
                <w:sz w:val="20"/>
                <w:szCs w:val="20"/>
              </w:rPr>
              <w:t>s without written authority (</w:t>
            </w:r>
            <w:r w:rsidRPr="000F01C4">
              <w:rPr>
                <w:b/>
                <w:sz w:val="20"/>
                <w:szCs w:val="20"/>
              </w:rPr>
              <w:t>solid fuel</w:t>
            </w:r>
            <w:r w:rsidRPr="003F540F">
              <w:rPr>
                <w:sz w:val="20"/>
                <w:szCs w:val="20"/>
              </w:rPr>
              <w:t>)</w:t>
            </w:r>
            <w:r w:rsidRPr="003F540F">
              <w:rPr>
                <w:rStyle w:val="FootnoteReference"/>
                <w:sz w:val="20"/>
                <w:szCs w:val="20"/>
              </w:rPr>
              <w:footnoteReference w:id="45"/>
            </w:r>
          </w:p>
        </w:tc>
        <w:tc>
          <w:tcPr>
            <w:tcW w:w="7229" w:type="dxa"/>
          </w:tcPr>
          <w:p w14:paraId="13673E71" w14:textId="6E98B58B" w:rsidR="00CA5323" w:rsidRDefault="00CA5323" w:rsidP="00AE4D24">
            <w:pPr>
              <w:pStyle w:val="Boxdots"/>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AF70E7">
              <w:rPr>
                <w:sz w:val="20"/>
                <w:szCs w:val="20"/>
              </w:rPr>
              <w:t xml:space="preserve">If </w:t>
            </w:r>
            <w:r w:rsidRPr="00AF70E7">
              <w:rPr>
                <w:b/>
                <w:sz w:val="20"/>
                <w:szCs w:val="20"/>
              </w:rPr>
              <w:t>in</w:t>
            </w:r>
            <w:r w:rsidR="00AE7FD4">
              <w:rPr>
                <w:b/>
                <w:sz w:val="20"/>
                <w:szCs w:val="20"/>
              </w:rPr>
              <w:t xml:space="preserve"> or within 1.5 </w:t>
            </w:r>
            <w:r w:rsidR="008C4FCA">
              <w:rPr>
                <w:b/>
                <w:sz w:val="20"/>
                <w:szCs w:val="20"/>
              </w:rPr>
              <w:t>kilometres</w:t>
            </w:r>
            <w:r w:rsidRPr="00AF70E7">
              <w:rPr>
                <w:sz w:val="20"/>
                <w:szCs w:val="20"/>
              </w:rPr>
              <w:t xml:space="preserve"> State forest, protected public land, national park or a licensed water frontage</w:t>
            </w:r>
            <w:r w:rsidR="000174F4" w:rsidRPr="00AF70E7">
              <w:rPr>
                <w:sz w:val="20"/>
                <w:szCs w:val="20"/>
              </w:rPr>
              <w:t xml:space="preserve">, </w:t>
            </w:r>
            <w:r w:rsidR="00586951" w:rsidRPr="00AF70E7">
              <w:rPr>
                <w:sz w:val="20"/>
                <w:szCs w:val="20"/>
              </w:rPr>
              <w:t>a</w:t>
            </w:r>
            <w:r w:rsidRPr="00AF70E7">
              <w:rPr>
                <w:sz w:val="20"/>
                <w:szCs w:val="20"/>
              </w:rPr>
              <w:t xml:space="preserve"> campfire or </w:t>
            </w:r>
            <w:r w:rsidR="00953038" w:rsidRPr="00AF70E7">
              <w:rPr>
                <w:sz w:val="20"/>
                <w:szCs w:val="20"/>
              </w:rPr>
              <w:t>barbeque</w:t>
            </w:r>
            <w:r w:rsidRPr="00AF70E7">
              <w:rPr>
                <w:sz w:val="20"/>
                <w:szCs w:val="20"/>
              </w:rPr>
              <w:t xml:space="preserve"> must be</w:t>
            </w:r>
            <w:r w:rsidR="00B7483B" w:rsidRPr="00AF70E7">
              <w:rPr>
                <w:sz w:val="20"/>
                <w:szCs w:val="20"/>
              </w:rPr>
              <w:t xml:space="preserve"> </w:t>
            </w:r>
            <w:r w:rsidR="005E7CC0" w:rsidRPr="00AF70E7">
              <w:rPr>
                <w:sz w:val="20"/>
                <w:szCs w:val="20"/>
              </w:rPr>
              <w:t>i</w:t>
            </w:r>
            <w:r w:rsidRPr="00AF70E7">
              <w:rPr>
                <w:sz w:val="20"/>
                <w:szCs w:val="20"/>
              </w:rPr>
              <w:t>n a properly constructed</w:t>
            </w:r>
            <w:r>
              <w:rPr>
                <w:sz w:val="20"/>
                <w:szCs w:val="20"/>
              </w:rPr>
              <w:t xml:space="preserve"> fireplace</w:t>
            </w:r>
            <w:r w:rsidR="00AC2AED">
              <w:rPr>
                <w:sz w:val="20"/>
                <w:szCs w:val="20"/>
              </w:rPr>
              <w:t>.</w:t>
            </w:r>
          </w:p>
          <w:p w14:paraId="67B9FD8F" w14:textId="6B8A71BE" w:rsidR="006A5288" w:rsidRPr="00AE4D24" w:rsidRDefault="00B7483B" w:rsidP="000F01C4">
            <w:pPr>
              <w:pStyle w:val="Boxdots"/>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6A5288" w:rsidRPr="00AE4D24">
              <w:rPr>
                <w:sz w:val="20"/>
                <w:szCs w:val="20"/>
              </w:rPr>
              <w:t xml:space="preserve">Note: </w:t>
            </w:r>
            <w:r w:rsidR="006A5288" w:rsidRPr="00455757">
              <w:rPr>
                <w:sz w:val="20"/>
                <w:szCs w:val="20"/>
              </w:rPr>
              <w:t xml:space="preserve">The </w:t>
            </w:r>
            <w:r w:rsidR="006A5288" w:rsidRPr="0076029B">
              <w:rPr>
                <w:sz w:val="20"/>
                <w:szCs w:val="20"/>
              </w:rPr>
              <w:t>Forests Act</w:t>
            </w:r>
            <w:r w:rsidR="006A5288" w:rsidRPr="00455757">
              <w:rPr>
                <w:sz w:val="20"/>
                <w:szCs w:val="20"/>
              </w:rPr>
              <w:t xml:space="preserve"> requires</w:t>
            </w:r>
            <w:r w:rsidR="006A5288" w:rsidRPr="00AE4D24">
              <w:rPr>
                <w:sz w:val="20"/>
                <w:szCs w:val="20"/>
              </w:rPr>
              <w:t xml:space="preserve"> a person to be </w:t>
            </w:r>
            <w:r w:rsidR="00A730A2" w:rsidRPr="00AE4D24">
              <w:rPr>
                <w:sz w:val="20"/>
                <w:szCs w:val="20"/>
              </w:rPr>
              <w:t xml:space="preserve">within 50 metres and also </w:t>
            </w:r>
            <w:r w:rsidR="006A5288" w:rsidRPr="00AE4D24">
              <w:rPr>
                <w:sz w:val="20"/>
                <w:szCs w:val="20"/>
              </w:rPr>
              <w:t xml:space="preserve">within </w:t>
            </w:r>
            <w:r w:rsidR="00A730A2" w:rsidRPr="00AE4D24">
              <w:rPr>
                <w:sz w:val="20"/>
                <w:szCs w:val="20"/>
              </w:rPr>
              <w:t>line of sight of a campfire or barbeque</w:t>
            </w:r>
            <w:r w:rsidR="009D77CA" w:rsidRPr="00AE4D24">
              <w:rPr>
                <w:sz w:val="20"/>
                <w:szCs w:val="20"/>
              </w:rPr>
              <w:t>.</w:t>
            </w:r>
            <w:r>
              <w:rPr>
                <w:sz w:val="20"/>
                <w:szCs w:val="20"/>
              </w:rPr>
              <w:t>)</w:t>
            </w:r>
          </w:p>
          <w:p w14:paraId="38EF73F8" w14:textId="3B24DDE1" w:rsidR="00CA5323" w:rsidRDefault="00CA5323" w:rsidP="0080730F">
            <w:pPr>
              <w:pStyle w:val="Boxtext"/>
              <w:cnfStyle w:val="000000000000" w:firstRow="0" w:lastRow="0" w:firstColumn="0" w:lastColumn="0" w:oddVBand="0" w:evenVBand="0" w:oddHBand="0" w:evenHBand="0" w:firstRowFirstColumn="0" w:firstRowLastColumn="0" w:lastRowFirstColumn="0" w:lastRowLastColumn="0"/>
              <w:rPr>
                <w:sz w:val="20"/>
                <w:szCs w:val="20"/>
              </w:rPr>
            </w:pPr>
          </w:p>
          <w:p w14:paraId="4AAA5540" w14:textId="118AE16D" w:rsidR="00A43A53" w:rsidRPr="00AE4D24" w:rsidRDefault="00A67D79" w:rsidP="00A67D79">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AE4D24">
              <w:rPr>
                <w:sz w:val="20"/>
                <w:szCs w:val="20"/>
              </w:rPr>
              <w:t xml:space="preserve">If </w:t>
            </w:r>
            <w:r w:rsidR="006D6DC8" w:rsidRPr="00AE4D24">
              <w:rPr>
                <w:b/>
                <w:sz w:val="20"/>
                <w:szCs w:val="20"/>
              </w:rPr>
              <w:t>within 1.5 kilometres</w:t>
            </w:r>
            <w:r w:rsidR="00D141E2" w:rsidRPr="00AE4D24">
              <w:rPr>
                <w:b/>
                <w:sz w:val="20"/>
                <w:szCs w:val="20"/>
              </w:rPr>
              <w:t xml:space="preserve"> </w:t>
            </w:r>
            <w:r w:rsidR="00E2576B" w:rsidRPr="00AE4D24">
              <w:rPr>
                <w:sz w:val="20"/>
                <w:szCs w:val="20"/>
              </w:rPr>
              <w:t>of</w:t>
            </w:r>
            <w:r w:rsidRPr="00AE4D24">
              <w:rPr>
                <w:sz w:val="20"/>
                <w:szCs w:val="20"/>
              </w:rPr>
              <w:t xml:space="preserve"> State forest, protected public land</w:t>
            </w:r>
            <w:r w:rsidR="007E20E8" w:rsidRPr="00AE4D24">
              <w:rPr>
                <w:sz w:val="20"/>
                <w:szCs w:val="20"/>
              </w:rPr>
              <w:t>,</w:t>
            </w:r>
            <w:r w:rsidRPr="00AE4D24">
              <w:rPr>
                <w:sz w:val="20"/>
                <w:szCs w:val="20"/>
              </w:rPr>
              <w:t xml:space="preserve"> national park</w:t>
            </w:r>
            <w:r w:rsidR="00F94A57" w:rsidRPr="00AE4D24">
              <w:rPr>
                <w:sz w:val="20"/>
                <w:szCs w:val="20"/>
              </w:rPr>
              <w:t xml:space="preserve"> or a licensed water frontage</w:t>
            </w:r>
            <w:r w:rsidR="00EB6D81" w:rsidRPr="00AE4D24">
              <w:rPr>
                <w:sz w:val="20"/>
                <w:szCs w:val="20"/>
              </w:rPr>
              <w:t xml:space="preserve"> </w:t>
            </w:r>
            <w:r w:rsidR="00767BF0" w:rsidRPr="00AE4D24">
              <w:rPr>
                <w:sz w:val="20"/>
                <w:szCs w:val="20"/>
              </w:rPr>
              <w:t>during the prohibited period</w:t>
            </w:r>
            <w:r w:rsidRPr="00AE4D24">
              <w:rPr>
                <w:sz w:val="20"/>
                <w:szCs w:val="20"/>
              </w:rPr>
              <w:t>:</w:t>
            </w:r>
          </w:p>
          <w:p w14:paraId="4BEBF3D9" w14:textId="518B8CC5" w:rsidR="00466DA8" w:rsidRPr="000F01C4" w:rsidRDefault="00E459F4" w:rsidP="000F01C4">
            <w:pPr>
              <w:pStyle w:val="Boxdo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Pr="00B7483B">
              <w:rPr>
                <w:sz w:val="20"/>
                <w:szCs w:val="20"/>
              </w:rPr>
              <w:t xml:space="preserve"> </w:t>
            </w:r>
            <w:r w:rsidR="00466DA8" w:rsidRPr="000F01C4">
              <w:rPr>
                <w:sz w:val="20"/>
                <w:szCs w:val="20"/>
              </w:rPr>
              <w:t xml:space="preserve">campfire or </w:t>
            </w:r>
            <w:r w:rsidR="00953038" w:rsidRPr="001C19A8">
              <w:rPr>
                <w:sz w:val="20"/>
                <w:szCs w:val="20"/>
              </w:rPr>
              <w:t>barbeque</w:t>
            </w:r>
            <w:r w:rsidR="00466DA8" w:rsidRPr="000F01C4">
              <w:rPr>
                <w:sz w:val="20"/>
                <w:szCs w:val="20"/>
              </w:rPr>
              <w:t xml:space="preserve"> must be:</w:t>
            </w:r>
          </w:p>
          <w:p w14:paraId="35F6A466" w14:textId="0A3E8899" w:rsidR="00466DA8" w:rsidRPr="003F540F" w:rsidRDefault="00677544" w:rsidP="0057567B">
            <w:pPr>
              <w:pStyle w:val="Boxdots"/>
              <w:numPr>
                <w:ilvl w:val="1"/>
                <w:numId w:val="16"/>
              </w:numPr>
              <w:ind w:left="74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FE07D0" w:rsidRPr="003A1808">
              <w:rPr>
                <w:sz w:val="20"/>
                <w:szCs w:val="20"/>
              </w:rPr>
              <w:t>lear</w:t>
            </w:r>
            <w:r w:rsidR="00FE07D0">
              <w:rPr>
                <w:sz w:val="20"/>
                <w:szCs w:val="20"/>
              </w:rPr>
              <w:t xml:space="preserve"> of inflammable material </w:t>
            </w:r>
            <w:r w:rsidR="00975AA1">
              <w:rPr>
                <w:sz w:val="20"/>
                <w:szCs w:val="20"/>
              </w:rPr>
              <w:t>within 3 metres of the ground and air</w:t>
            </w:r>
            <w:r w:rsidR="009E49FA">
              <w:rPr>
                <w:sz w:val="20"/>
                <w:szCs w:val="20"/>
              </w:rPr>
              <w:t xml:space="preserve">space </w:t>
            </w:r>
            <w:r w:rsidR="005A0A82">
              <w:rPr>
                <w:sz w:val="20"/>
                <w:szCs w:val="20"/>
              </w:rPr>
              <w:t xml:space="preserve">of the </w:t>
            </w:r>
            <w:r w:rsidR="00B43EF8">
              <w:rPr>
                <w:sz w:val="20"/>
                <w:szCs w:val="20"/>
              </w:rPr>
              <w:t xml:space="preserve">outer </w:t>
            </w:r>
            <w:r w:rsidR="005A0A82">
              <w:rPr>
                <w:sz w:val="20"/>
                <w:szCs w:val="20"/>
              </w:rPr>
              <w:t xml:space="preserve">perimeter </w:t>
            </w:r>
            <w:r w:rsidR="00063BA8">
              <w:rPr>
                <w:sz w:val="20"/>
                <w:szCs w:val="20"/>
              </w:rPr>
              <w:t xml:space="preserve">and uppermost point of the </w:t>
            </w:r>
            <w:r w:rsidR="00063BA8" w:rsidRPr="61D9AD4A">
              <w:rPr>
                <w:sz w:val="20"/>
                <w:szCs w:val="20"/>
              </w:rPr>
              <w:t>fire</w:t>
            </w:r>
            <w:r w:rsidR="00063BA8">
              <w:rPr>
                <w:sz w:val="20"/>
                <w:szCs w:val="20"/>
              </w:rPr>
              <w:t>;</w:t>
            </w:r>
          </w:p>
          <w:p w14:paraId="520DAB5B" w14:textId="10A60B36" w:rsidR="00466DA8" w:rsidRPr="003F540F" w:rsidRDefault="00E05048" w:rsidP="0057567B">
            <w:pPr>
              <w:pStyle w:val="Boxdots"/>
              <w:numPr>
                <w:ilvl w:val="1"/>
                <w:numId w:val="16"/>
              </w:numPr>
              <w:ind w:left="741"/>
              <w:cnfStyle w:val="000000000000" w:firstRow="0" w:lastRow="0" w:firstColumn="0" w:lastColumn="0" w:oddVBand="0" w:evenVBand="0" w:oddHBand="0" w:evenHBand="0" w:firstRowFirstColumn="0" w:firstRowLastColumn="0" w:lastRowFirstColumn="0" w:lastRowLastColumn="0"/>
              <w:rPr>
                <w:sz w:val="20"/>
                <w:szCs w:val="20"/>
              </w:rPr>
            </w:pPr>
            <w:r w:rsidRPr="61D9AD4A">
              <w:rPr>
                <w:sz w:val="20"/>
                <w:szCs w:val="20"/>
              </w:rPr>
              <w:t>not larger than one square metre; and</w:t>
            </w:r>
          </w:p>
          <w:p w14:paraId="55D3481D" w14:textId="69482BF6" w:rsidR="00E05048" w:rsidRPr="003F540F" w:rsidRDefault="00E05048" w:rsidP="0057567B">
            <w:pPr>
              <w:pStyle w:val="Boxdots"/>
              <w:numPr>
                <w:ilvl w:val="1"/>
                <w:numId w:val="16"/>
              </w:numPr>
              <w:ind w:left="74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dimensions of any piece of solid fuel being used must be smaller than one metre.</w:t>
            </w:r>
          </w:p>
          <w:p w14:paraId="00825C82" w14:textId="2854159E" w:rsidR="00F94C40" w:rsidRDefault="00466DA8" w:rsidP="00D30B21">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3A1808">
              <w:rPr>
                <w:sz w:val="20"/>
                <w:szCs w:val="20"/>
              </w:rPr>
              <w:t xml:space="preserve">The person in charge of </w:t>
            </w:r>
            <w:r w:rsidR="00953038">
              <w:rPr>
                <w:sz w:val="20"/>
                <w:szCs w:val="20"/>
              </w:rPr>
              <w:t>a</w:t>
            </w:r>
            <w:r w:rsidR="00953038" w:rsidRPr="001E7DD4">
              <w:rPr>
                <w:sz w:val="20"/>
                <w:szCs w:val="20"/>
              </w:rPr>
              <w:t xml:space="preserve"> </w:t>
            </w:r>
            <w:r w:rsidRPr="003A1808">
              <w:rPr>
                <w:sz w:val="20"/>
                <w:szCs w:val="20"/>
              </w:rPr>
              <w:t xml:space="preserve">campfire or barbeque must not be outside the line of sight of the campfire or </w:t>
            </w:r>
            <w:r w:rsidRPr="001C19A8">
              <w:rPr>
                <w:sz w:val="20"/>
                <w:szCs w:val="20"/>
              </w:rPr>
              <w:t>barbe</w:t>
            </w:r>
            <w:r w:rsidR="00953038" w:rsidRPr="001C19A8">
              <w:rPr>
                <w:sz w:val="20"/>
                <w:szCs w:val="20"/>
              </w:rPr>
              <w:t>q</w:t>
            </w:r>
            <w:r w:rsidRPr="001C19A8">
              <w:rPr>
                <w:sz w:val="20"/>
                <w:szCs w:val="20"/>
              </w:rPr>
              <w:t>ue</w:t>
            </w:r>
            <w:r w:rsidRPr="003A1808">
              <w:rPr>
                <w:sz w:val="20"/>
                <w:szCs w:val="20"/>
              </w:rPr>
              <w:t>;</w:t>
            </w:r>
          </w:p>
          <w:p w14:paraId="049C9913" w14:textId="7B5012D6" w:rsidR="00466DA8" w:rsidRPr="003A1808" w:rsidRDefault="00F94C40" w:rsidP="000F01C4">
            <w:pPr>
              <w:pStyle w:val="Boxdo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person in charge of </w:t>
            </w:r>
            <w:r w:rsidR="00953038">
              <w:rPr>
                <w:sz w:val="20"/>
                <w:szCs w:val="20"/>
              </w:rPr>
              <w:t>a</w:t>
            </w:r>
            <w:r w:rsidR="00953038" w:rsidRPr="001E7DD4">
              <w:rPr>
                <w:sz w:val="20"/>
                <w:szCs w:val="20"/>
              </w:rPr>
              <w:t xml:space="preserve"> </w:t>
            </w:r>
            <w:r>
              <w:rPr>
                <w:sz w:val="20"/>
                <w:szCs w:val="20"/>
              </w:rPr>
              <w:t xml:space="preserve">campfire or </w:t>
            </w:r>
            <w:r w:rsidRPr="001C19A8">
              <w:rPr>
                <w:sz w:val="20"/>
                <w:szCs w:val="20"/>
              </w:rPr>
              <w:t>barbe</w:t>
            </w:r>
            <w:r w:rsidR="00AE4D24">
              <w:rPr>
                <w:sz w:val="20"/>
                <w:szCs w:val="20"/>
              </w:rPr>
              <w:t>q</w:t>
            </w:r>
            <w:r w:rsidRPr="001C19A8">
              <w:rPr>
                <w:sz w:val="20"/>
                <w:szCs w:val="20"/>
              </w:rPr>
              <w:t>ue</w:t>
            </w:r>
            <w:r>
              <w:rPr>
                <w:sz w:val="20"/>
                <w:szCs w:val="20"/>
              </w:rPr>
              <w:t xml:space="preserve"> must not be </w:t>
            </w:r>
            <w:r w:rsidRPr="003A1808">
              <w:rPr>
                <w:sz w:val="20"/>
                <w:szCs w:val="20"/>
              </w:rPr>
              <w:t xml:space="preserve">more than 50 metres from the perimeter of the campfire or </w:t>
            </w:r>
            <w:r w:rsidRPr="001C19A8">
              <w:rPr>
                <w:sz w:val="20"/>
                <w:szCs w:val="20"/>
              </w:rPr>
              <w:t>barbe</w:t>
            </w:r>
            <w:r w:rsidR="00953038" w:rsidRPr="001C19A8">
              <w:rPr>
                <w:sz w:val="20"/>
                <w:szCs w:val="20"/>
              </w:rPr>
              <w:t>q</w:t>
            </w:r>
            <w:r w:rsidRPr="001C19A8">
              <w:rPr>
                <w:sz w:val="20"/>
                <w:szCs w:val="20"/>
              </w:rPr>
              <w:t>ue</w:t>
            </w:r>
            <w:r w:rsidRPr="003A1808">
              <w:rPr>
                <w:sz w:val="20"/>
                <w:szCs w:val="20"/>
              </w:rPr>
              <w:t>.</w:t>
            </w:r>
          </w:p>
        </w:tc>
      </w:tr>
      <w:tr w:rsidR="00466DA8" w14:paraId="34D93828"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7BB3D27C" w14:textId="5FC2CD46" w:rsidR="00466DA8" w:rsidRPr="003F540F" w:rsidRDefault="00466DA8" w:rsidP="00BE5CCD">
            <w:pPr>
              <w:pStyle w:val="Boxtext"/>
              <w:rPr>
                <w:sz w:val="20"/>
                <w:szCs w:val="20"/>
              </w:rPr>
            </w:pPr>
            <w:r w:rsidRPr="003F540F">
              <w:rPr>
                <w:sz w:val="20"/>
                <w:szCs w:val="20"/>
              </w:rPr>
              <w:t xml:space="preserve">Campfires and </w:t>
            </w:r>
            <w:r w:rsidR="00953038">
              <w:rPr>
                <w:sz w:val="20"/>
                <w:szCs w:val="20"/>
              </w:rPr>
              <w:t>barbeque</w:t>
            </w:r>
            <w:r w:rsidRPr="003F540F">
              <w:rPr>
                <w:sz w:val="20"/>
                <w:szCs w:val="20"/>
              </w:rPr>
              <w:t>s without written authority (</w:t>
            </w:r>
            <w:r w:rsidRPr="004838FB">
              <w:rPr>
                <w:b/>
                <w:sz w:val="20"/>
                <w:szCs w:val="20"/>
              </w:rPr>
              <w:t>liquid fuel, gaseous</w:t>
            </w:r>
            <w:r>
              <w:rPr>
                <w:b/>
                <w:sz w:val="20"/>
                <w:szCs w:val="20"/>
              </w:rPr>
              <w:t xml:space="preserve"> </w:t>
            </w:r>
            <w:r w:rsidR="006260CF">
              <w:rPr>
                <w:b/>
                <w:bCs/>
                <w:sz w:val="20"/>
                <w:szCs w:val="20"/>
              </w:rPr>
              <w:t>or chemical</w:t>
            </w:r>
            <w:r w:rsidRPr="004838FB">
              <w:rPr>
                <w:b/>
                <w:sz w:val="20"/>
                <w:szCs w:val="20"/>
              </w:rPr>
              <w:t xml:space="preserve"> </w:t>
            </w:r>
            <w:r w:rsidR="000A72C4">
              <w:rPr>
                <w:b/>
                <w:bCs/>
                <w:sz w:val="20"/>
                <w:szCs w:val="20"/>
              </w:rPr>
              <w:t xml:space="preserve">solid </w:t>
            </w:r>
            <w:r w:rsidRPr="004838FB">
              <w:rPr>
                <w:b/>
                <w:sz w:val="20"/>
                <w:szCs w:val="20"/>
              </w:rPr>
              <w:t>fuel</w:t>
            </w:r>
            <w:r w:rsidRPr="004838FB" w:rsidDel="00466DA8">
              <w:rPr>
                <w:sz w:val="20"/>
                <w:szCs w:val="20"/>
              </w:rPr>
              <w:t>)</w:t>
            </w:r>
          </w:p>
        </w:tc>
        <w:tc>
          <w:tcPr>
            <w:tcW w:w="7229" w:type="dxa"/>
          </w:tcPr>
          <w:p w14:paraId="39F7D401" w14:textId="008C72A4" w:rsidR="00091F73" w:rsidRPr="00FD3BAF" w:rsidRDefault="00091F73" w:rsidP="00AE4D24">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AE4D24">
              <w:rPr>
                <w:sz w:val="20"/>
                <w:szCs w:val="20"/>
              </w:rPr>
              <w:t xml:space="preserve">If </w:t>
            </w:r>
            <w:r w:rsidRPr="00EA27D2">
              <w:rPr>
                <w:sz w:val="20"/>
                <w:szCs w:val="20"/>
              </w:rPr>
              <w:t xml:space="preserve">in </w:t>
            </w:r>
            <w:r w:rsidR="000D719B">
              <w:rPr>
                <w:sz w:val="20"/>
                <w:szCs w:val="20"/>
              </w:rPr>
              <w:t>or within 1.5</w:t>
            </w:r>
            <w:r w:rsidR="000906FE">
              <w:rPr>
                <w:sz w:val="20"/>
                <w:szCs w:val="20"/>
              </w:rPr>
              <w:t xml:space="preserve"> </w:t>
            </w:r>
            <w:r w:rsidR="000906FE" w:rsidRPr="000906FE">
              <w:rPr>
                <w:bCs/>
                <w:sz w:val="20"/>
                <w:szCs w:val="20"/>
              </w:rPr>
              <w:t>kilometres</w:t>
            </w:r>
            <w:r w:rsidR="000D719B">
              <w:rPr>
                <w:sz w:val="20"/>
                <w:szCs w:val="20"/>
              </w:rPr>
              <w:t xml:space="preserve"> of a</w:t>
            </w:r>
            <w:r>
              <w:rPr>
                <w:sz w:val="20"/>
                <w:szCs w:val="20"/>
              </w:rPr>
              <w:t xml:space="preserve"> </w:t>
            </w:r>
            <w:r w:rsidRPr="00C07DF4">
              <w:rPr>
                <w:sz w:val="20"/>
                <w:szCs w:val="20"/>
              </w:rPr>
              <w:t xml:space="preserve">State forest, protected public land, national park or a licensed water frontage, </w:t>
            </w:r>
            <w:r w:rsidR="00953038" w:rsidRPr="00CA721B">
              <w:rPr>
                <w:iCs/>
                <w:sz w:val="20"/>
                <w:szCs w:val="20"/>
              </w:rPr>
              <w:t>a</w:t>
            </w:r>
            <w:r w:rsidRPr="00FD3BAF">
              <w:rPr>
                <w:sz w:val="20"/>
                <w:szCs w:val="20"/>
              </w:rPr>
              <w:t xml:space="preserve"> campfire or </w:t>
            </w:r>
            <w:r w:rsidR="00953038" w:rsidRPr="00CA721B">
              <w:rPr>
                <w:iCs/>
                <w:sz w:val="20"/>
                <w:szCs w:val="20"/>
              </w:rPr>
              <w:t>barbeque</w:t>
            </w:r>
            <w:r w:rsidRPr="00FD3BAF">
              <w:rPr>
                <w:sz w:val="20"/>
                <w:szCs w:val="20"/>
              </w:rPr>
              <w:t xml:space="preserve"> must be:</w:t>
            </w:r>
          </w:p>
          <w:p w14:paraId="14DDDDD9" w14:textId="3CFB6257" w:rsidR="00091F73" w:rsidRPr="00B7483B" w:rsidRDefault="00C4341C" w:rsidP="0057567B">
            <w:pPr>
              <w:pStyle w:val="Boxtext"/>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DC71D4">
              <w:rPr>
                <w:sz w:val="20"/>
                <w:szCs w:val="20"/>
              </w:rPr>
              <w:t xml:space="preserve">contained in an appliance designed and </w:t>
            </w:r>
            <w:r w:rsidRPr="001C19A8">
              <w:rPr>
                <w:iCs/>
                <w:sz w:val="20"/>
                <w:szCs w:val="20"/>
              </w:rPr>
              <w:t xml:space="preserve">commercially </w:t>
            </w:r>
            <w:r w:rsidRPr="00DC71D4">
              <w:rPr>
                <w:sz w:val="20"/>
                <w:szCs w:val="20"/>
              </w:rPr>
              <w:t>manufactured to use that fuel</w:t>
            </w:r>
            <w:r>
              <w:rPr>
                <w:sz w:val="20"/>
                <w:szCs w:val="20"/>
              </w:rPr>
              <w:t xml:space="preserve">; </w:t>
            </w:r>
            <w:r w:rsidRPr="00DC71D4">
              <w:rPr>
                <w:sz w:val="20"/>
                <w:szCs w:val="20"/>
              </w:rPr>
              <w:t>and</w:t>
            </w:r>
          </w:p>
          <w:p w14:paraId="627CED11" w14:textId="60E39D2E" w:rsidR="00CA721B" w:rsidRPr="00CA721B" w:rsidRDefault="00C4341C" w:rsidP="0057567B">
            <w:pPr>
              <w:pStyle w:val="Boxtext"/>
              <w:numPr>
                <w:ilvl w:val="0"/>
                <w:numId w:val="26"/>
              </w:numPr>
              <w:cnfStyle w:val="000000000000" w:firstRow="0" w:lastRow="0" w:firstColumn="0" w:lastColumn="0" w:oddVBand="0" w:evenVBand="0" w:oddHBand="0" w:evenHBand="0" w:firstRowFirstColumn="0" w:firstRowLastColumn="0" w:lastRowFirstColumn="0" w:lastRowLastColumn="0"/>
              <w:rPr>
                <w:iCs/>
                <w:sz w:val="20"/>
                <w:szCs w:val="20"/>
              </w:rPr>
            </w:pPr>
            <w:r w:rsidRPr="00DC71D4">
              <w:rPr>
                <w:sz w:val="20"/>
                <w:szCs w:val="20"/>
              </w:rPr>
              <w:t xml:space="preserve">the appliance when alight </w:t>
            </w:r>
            <w:r w:rsidR="001428B5">
              <w:rPr>
                <w:sz w:val="20"/>
                <w:szCs w:val="20"/>
              </w:rPr>
              <w:t>must be</w:t>
            </w:r>
            <w:r w:rsidR="001428B5" w:rsidRPr="00DC71D4">
              <w:rPr>
                <w:sz w:val="20"/>
                <w:szCs w:val="20"/>
              </w:rPr>
              <w:t xml:space="preserve"> </w:t>
            </w:r>
            <w:r w:rsidRPr="00DC71D4">
              <w:rPr>
                <w:sz w:val="20"/>
                <w:szCs w:val="20"/>
              </w:rPr>
              <w:t>placed in a stable position</w:t>
            </w:r>
            <w:r>
              <w:rPr>
                <w:sz w:val="20"/>
                <w:szCs w:val="20"/>
              </w:rPr>
              <w:t>.</w:t>
            </w:r>
          </w:p>
          <w:p w14:paraId="29A59566" w14:textId="7D27A05F" w:rsidR="00CA7431" w:rsidRDefault="00CA721B" w:rsidP="00CA721B">
            <w:pPr>
              <w:pStyle w:val="Boxtext"/>
              <w:cnfStyle w:val="000000000000" w:firstRow="0" w:lastRow="0" w:firstColumn="0" w:lastColumn="0" w:oddVBand="0" w:evenVBand="0" w:oddHBand="0" w:evenHBand="0" w:firstRowFirstColumn="0" w:firstRowLastColumn="0" w:lastRowFirstColumn="0" w:lastRowLastColumn="0"/>
              <w:rPr>
                <w:iCs/>
                <w:sz w:val="20"/>
                <w:szCs w:val="20"/>
              </w:rPr>
            </w:pPr>
            <w:r w:rsidRPr="00CA721B">
              <w:rPr>
                <w:iCs/>
                <w:sz w:val="20"/>
                <w:szCs w:val="20"/>
              </w:rPr>
              <w:t>The ground and airspace within a distance of 1.5 metres of the appliance must be clear of inflammable material</w:t>
            </w:r>
            <w:r>
              <w:rPr>
                <w:iCs/>
                <w:sz w:val="20"/>
                <w:szCs w:val="20"/>
              </w:rPr>
              <w:t>.</w:t>
            </w:r>
          </w:p>
          <w:p w14:paraId="4E6A831B" w14:textId="77777777" w:rsidR="00CA7431" w:rsidRDefault="00CA7431" w:rsidP="00CA721B">
            <w:pPr>
              <w:pStyle w:val="Boxtext"/>
              <w:cnfStyle w:val="000000000000" w:firstRow="0" w:lastRow="0" w:firstColumn="0" w:lastColumn="0" w:oddVBand="0" w:evenVBand="0" w:oddHBand="0" w:evenHBand="0" w:firstRowFirstColumn="0" w:firstRowLastColumn="0" w:lastRowFirstColumn="0" w:lastRowLastColumn="0"/>
              <w:rPr>
                <w:iCs/>
                <w:sz w:val="20"/>
                <w:szCs w:val="20"/>
              </w:rPr>
            </w:pPr>
          </w:p>
          <w:p w14:paraId="3C9ED835" w14:textId="014C1DB4" w:rsidR="00466DA8" w:rsidRPr="00B762E5" w:rsidRDefault="00BF327F" w:rsidP="00CA721B">
            <w:pPr>
              <w:pStyle w:val="Boxtext"/>
              <w:cnfStyle w:val="000000000000" w:firstRow="0" w:lastRow="0" w:firstColumn="0" w:lastColumn="0" w:oddVBand="0" w:evenVBand="0" w:oddHBand="0" w:evenHBand="0" w:firstRowFirstColumn="0" w:firstRowLastColumn="0" w:lastRowFirstColumn="0" w:lastRowLastColumn="0"/>
              <w:rPr>
                <w:sz w:val="20"/>
                <w:szCs w:val="20"/>
              </w:rPr>
            </w:pPr>
            <w:r>
              <w:rPr>
                <w:iCs/>
                <w:sz w:val="20"/>
                <w:szCs w:val="20"/>
              </w:rPr>
              <w:t xml:space="preserve">(Note: </w:t>
            </w:r>
            <w:r w:rsidR="00F93AD1">
              <w:rPr>
                <w:iCs/>
                <w:sz w:val="20"/>
                <w:szCs w:val="20"/>
              </w:rPr>
              <w:t>the content</w:t>
            </w:r>
            <w:r>
              <w:rPr>
                <w:iCs/>
                <w:sz w:val="20"/>
                <w:szCs w:val="20"/>
              </w:rPr>
              <w:t xml:space="preserve"> of </w:t>
            </w:r>
            <w:r w:rsidR="00F93AD1">
              <w:rPr>
                <w:iCs/>
                <w:sz w:val="20"/>
                <w:szCs w:val="20"/>
              </w:rPr>
              <w:t xml:space="preserve">this regulation </w:t>
            </w:r>
            <w:r w:rsidR="005958CD">
              <w:rPr>
                <w:iCs/>
                <w:sz w:val="20"/>
                <w:szCs w:val="20"/>
              </w:rPr>
              <w:t>partly stems</w:t>
            </w:r>
            <w:r w:rsidR="007B04CD">
              <w:rPr>
                <w:iCs/>
                <w:sz w:val="20"/>
                <w:szCs w:val="20"/>
              </w:rPr>
              <w:t xml:space="preserve"> </w:t>
            </w:r>
            <w:r w:rsidR="0041228E">
              <w:rPr>
                <w:iCs/>
                <w:sz w:val="20"/>
                <w:szCs w:val="20"/>
              </w:rPr>
              <w:t xml:space="preserve">directly from </w:t>
            </w:r>
            <w:r w:rsidR="0041228E" w:rsidRPr="00455757">
              <w:rPr>
                <w:iCs/>
                <w:sz w:val="20"/>
                <w:szCs w:val="20"/>
              </w:rPr>
              <w:t xml:space="preserve">the </w:t>
            </w:r>
            <w:r w:rsidR="0041228E" w:rsidRPr="0076029B">
              <w:rPr>
                <w:sz w:val="20"/>
                <w:szCs w:val="20"/>
              </w:rPr>
              <w:t xml:space="preserve">Forests </w:t>
            </w:r>
            <w:r w:rsidR="00F571AE" w:rsidRPr="0076029B">
              <w:rPr>
                <w:sz w:val="20"/>
                <w:szCs w:val="20"/>
              </w:rPr>
              <w:t>Act</w:t>
            </w:r>
            <w:r w:rsidR="00F571AE">
              <w:rPr>
                <w:iCs/>
                <w:sz w:val="20"/>
                <w:szCs w:val="20"/>
              </w:rPr>
              <w:t xml:space="preserve"> but</w:t>
            </w:r>
            <w:r w:rsidR="0041228E">
              <w:rPr>
                <w:iCs/>
                <w:sz w:val="20"/>
                <w:szCs w:val="20"/>
              </w:rPr>
              <w:t xml:space="preserve"> ha</w:t>
            </w:r>
            <w:r w:rsidR="005958CD">
              <w:rPr>
                <w:iCs/>
                <w:sz w:val="20"/>
                <w:szCs w:val="20"/>
              </w:rPr>
              <w:t>s</w:t>
            </w:r>
            <w:r w:rsidR="0041228E">
              <w:rPr>
                <w:iCs/>
                <w:sz w:val="20"/>
                <w:szCs w:val="20"/>
              </w:rPr>
              <w:t xml:space="preserve"> been </w:t>
            </w:r>
            <w:r w:rsidR="005958CD">
              <w:rPr>
                <w:iCs/>
                <w:sz w:val="20"/>
                <w:szCs w:val="20"/>
              </w:rPr>
              <w:t>represente</w:t>
            </w:r>
            <w:r w:rsidR="00CC1B94">
              <w:rPr>
                <w:iCs/>
                <w:sz w:val="20"/>
                <w:szCs w:val="20"/>
              </w:rPr>
              <w:t>d</w:t>
            </w:r>
            <w:r w:rsidR="00684F7A">
              <w:rPr>
                <w:iCs/>
                <w:sz w:val="20"/>
                <w:szCs w:val="20"/>
              </w:rPr>
              <w:t xml:space="preserve"> </w:t>
            </w:r>
            <w:r w:rsidR="006B6910">
              <w:rPr>
                <w:iCs/>
                <w:sz w:val="20"/>
                <w:szCs w:val="20"/>
              </w:rPr>
              <w:t xml:space="preserve">together </w:t>
            </w:r>
            <w:r w:rsidR="00684F7A">
              <w:rPr>
                <w:iCs/>
                <w:sz w:val="20"/>
                <w:szCs w:val="20"/>
              </w:rPr>
              <w:t>here for simplicity</w:t>
            </w:r>
            <w:r w:rsidR="006B6910">
              <w:rPr>
                <w:iCs/>
                <w:sz w:val="20"/>
                <w:szCs w:val="20"/>
              </w:rPr>
              <w:t>.</w:t>
            </w:r>
            <w:r w:rsidR="00684F7A">
              <w:rPr>
                <w:iCs/>
                <w:sz w:val="20"/>
                <w:szCs w:val="20"/>
              </w:rPr>
              <w:t>)</w:t>
            </w:r>
          </w:p>
        </w:tc>
      </w:tr>
      <w:tr w:rsidR="00466DA8" w14:paraId="26188D78"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0C4C1447" w14:textId="77777777" w:rsidR="00466DA8" w:rsidRPr="003F540F" w:rsidRDefault="00466DA8" w:rsidP="00BE5CCD">
            <w:pPr>
              <w:pStyle w:val="Boxtext"/>
              <w:rPr>
                <w:sz w:val="20"/>
                <w:szCs w:val="20"/>
              </w:rPr>
            </w:pPr>
            <w:r w:rsidRPr="003F540F">
              <w:rPr>
                <w:sz w:val="20"/>
                <w:szCs w:val="20"/>
              </w:rPr>
              <w:t xml:space="preserve">Burning inflammable material of a sawmill without written authority </w:t>
            </w:r>
          </w:p>
        </w:tc>
        <w:tc>
          <w:tcPr>
            <w:tcW w:w="7229" w:type="dxa"/>
          </w:tcPr>
          <w:p w14:paraId="5D5FCD50" w14:textId="3FDB79F4" w:rsidR="0065441C" w:rsidRDefault="00E43A37"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Pr>
                <w:iCs/>
                <w:sz w:val="20"/>
                <w:szCs w:val="20"/>
              </w:rPr>
              <w:t>A</w:t>
            </w:r>
            <w:r w:rsidR="00466DA8" w:rsidRPr="003F540F">
              <w:rPr>
                <w:sz w:val="20"/>
                <w:szCs w:val="20"/>
              </w:rPr>
              <w:t xml:space="preserve"> fire must be effectively contained in a pit or structure.</w:t>
            </w:r>
          </w:p>
          <w:p w14:paraId="5DB28EAE" w14:textId="5174F830" w:rsidR="00A937E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An authorised officer may specify the dimensions and specifications of any pit or structure to be used to burn inflammable material.</w:t>
            </w:r>
          </w:p>
        </w:tc>
      </w:tr>
      <w:tr w:rsidR="00466DA8" w14:paraId="25307F0A" w14:textId="77777777" w:rsidTr="005F0B28">
        <w:tc>
          <w:tcPr>
            <w:cnfStyle w:val="001000000000" w:firstRow="0" w:lastRow="0" w:firstColumn="1" w:lastColumn="0" w:oddVBand="0" w:evenVBand="0" w:oddHBand="0" w:evenHBand="0" w:firstRowFirstColumn="0" w:firstRowLastColumn="0" w:lastRowFirstColumn="0" w:lastRowLastColumn="0"/>
            <w:tcW w:w="2410" w:type="dxa"/>
          </w:tcPr>
          <w:p w14:paraId="16F7E96C" w14:textId="77777777" w:rsidR="00466DA8" w:rsidRPr="003F540F" w:rsidRDefault="00466DA8" w:rsidP="00BE5CCD">
            <w:pPr>
              <w:pStyle w:val="Boxtext"/>
              <w:rPr>
                <w:sz w:val="20"/>
                <w:szCs w:val="20"/>
              </w:rPr>
            </w:pPr>
            <w:r w:rsidRPr="003F540F">
              <w:rPr>
                <w:sz w:val="20"/>
                <w:szCs w:val="20"/>
              </w:rPr>
              <w:t>Bee farming (use of fire for smoker)</w:t>
            </w:r>
          </w:p>
        </w:tc>
        <w:tc>
          <w:tcPr>
            <w:tcW w:w="7229" w:type="dxa"/>
          </w:tcPr>
          <w:p w14:paraId="59507188" w14:textId="4658ADA1" w:rsidR="00142F00" w:rsidRDefault="00DD567B">
            <w:pPr>
              <w:pStyle w:val="Box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Pr="003F540F">
              <w:rPr>
                <w:sz w:val="20"/>
                <w:szCs w:val="20"/>
              </w:rPr>
              <w:t xml:space="preserve"> </w:t>
            </w:r>
            <w:r w:rsidR="00466DA8" w:rsidRPr="003F540F">
              <w:rPr>
                <w:sz w:val="20"/>
                <w:szCs w:val="20"/>
              </w:rPr>
              <w:t>bee farming operation must</w:t>
            </w:r>
            <w:r w:rsidR="00142F00">
              <w:rPr>
                <w:sz w:val="20"/>
                <w:szCs w:val="20"/>
              </w:rPr>
              <w:t>:</w:t>
            </w:r>
          </w:p>
          <w:p w14:paraId="3255CA0A" w14:textId="3AA6D311" w:rsidR="00142F00" w:rsidRPr="00B762E5" w:rsidRDefault="00466DA8" w:rsidP="00142F00">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use</w:t>
            </w:r>
            <w:r w:rsidRPr="00B762E5" w:rsidDel="00F06032">
              <w:rPr>
                <w:sz w:val="20"/>
                <w:szCs w:val="20"/>
              </w:rPr>
              <w:t xml:space="preserve"> </w:t>
            </w:r>
            <w:r w:rsidR="00F06032">
              <w:rPr>
                <w:sz w:val="20"/>
                <w:szCs w:val="20"/>
              </w:rPr>
              <w:t>a</w:t>
            </w:r>
            <w:r w:rsidRPr="00B762E5">
              <w:rPr>
                <w:sz w:val="20"/>
                <w:szCs w:val="20"/>
              </w:rPr>
              <w:t xml:space="preserve"> smoker on an area of ground which is clear of all inflammable material for a distance of 1.5 metres from the outer perimeter and uppermost point of each beehive</w:t>
            </w:r>
            <w:r w:rsidR="00057256">
              <w:rPr>
                <w:sz w:val="20"/>
                <w:szCs w:val="20"/>
              </w:rPr>
              <w:t>;</w:t>
            </w:r>
          </w:p>
          <w:p w14:paraId="7C66A7DA" w14:textId="5DC29628" w:rsidR="00142F00" w:rsidRPr="00B762E5" w:rsidRDefault="00466DA8" w:rsidP="00142F00">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place the smoker in a fireproof receptacle when not in use</w:t>
            </w:r>
            <w:r w:rsidR="00057256">
              <w:rPr>
                <w:sz w:val="20"/>
                <w:szCs w:val="20"/>
              </w:rPr>
              <w:t>;</w:t>
            </w:r>
            <w:r w:rsidR="00057256" w:rsidRPr="00B762E5">
              <w:rPr>
                <w:sz w:val="20"/>
                <w:szCs w:val="20"/>
              </w:rPr>
              <w:t xml:space="preserve"> </w:t>
            </w:r>
            <w:r w:rsidRPr="00B762E5">
              <w:rPr>
                <w:sz w:val="20"/>
                <w:szCs w:val="20"/>
              </w:rPr>
              <w:t>and</w:t>
            </w:r>
          </w:p>
          <w:p w14:paraId="3490D39D" w14:textId="4448CE56" w:rsidR="00142F00" w:rsidRPr="00B762E5" w:rsidRDefault="00466DA8" w:rsidP="00142F00">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during the prohibited period</w:t>
            </w:r>
            <w:r w:rsidR="00142F00" w:rsidRPr="00B762E5">
              <w:rPr>
                <w:sz w:val="20"/>
                <w:szCs w:val="20"/>
              </w:rPr>
              <w:t>:</w:t>
            </w:r>
          </w:p>
          <w:p w14:paraId="59104E2C" w14:textId="5C60B94F" w:rsidR="00142F00" w:rsidRPr="00B762E5" w:rsidRDefault="00466DA8" w:rsidP="0057567B">
            <w:pPr>
              <w:pStyle w:val="Boxdots"/>
              <w:numPr>
                <w:ilvl w:val="1"/>
                <w:numId w:val="16"/>
              </w:numPr>
              <w:ind w:left="741"/>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have</w:t>
            </w:r>
            <w:r>
              <w:rPr>
                <w:sz w:val="20"/>
                <w:szCs w:val="20"/>
              </w:rPr>
              <w:t xml:space="preserve"> </w:t>
            </w:r>
            <w:r w:rsidRPr="00B762E5">
              <w:rPr>
                <w:sz w:val="20"/>
                <w:szCs w:val="20"/>
              </w:rPr>
              <w:t xml:space="preserve">at least one knapsack spray pump with a tank capacity of </w:t>
            </w:r>
            <w:r w:rsidR="00603694">
              <w:rPr>
                <w:sz w:val="20"/>
                <w:szCs w:val="20"/>
              </w:rPr>
              <w:t xml:space="preserve">at least </w:t>
            </w:r>
            <w:r w:rsidRPr="00B762E5">
              <w:rPr>
                <w:sz w:val="20"/>
                <w:szCs w:val="20"/>
              </w:rPr>
              <w:t>9 litres which is fully charged with water in proper working order and complies with AS 1687–1991</w:t>
            </w:r>
            <w:r w:rsidR="00057256">
              <w:rPr>
                <w:sz w:val="20"/>
                <w:szCs w:val="20"/>
              </w:rPr>
              <w:t>;</w:t>
            </w:r>
            <w:r w:rsidRPr="00B762E5">
              <w:rPr>
                <w:sz w:val="20"/>
                <w:szCs w:val="20"/>
              </w:rPr>
              <w:t xml:space="preserve"> and</w:t>
            </w:r>
          </w:p>
          <w:p w14:paraId="06A9188A" w14:textId="63275D91" w:rsidR="00466DA8" w:rsidRPr="00B762E5" w:rsidRDefault="00466DA8" w:rsidP="0057567B">
            <w:pPr>
              <w:pStyle w:val="Boxdots"/>
              <w:numPr>
                <w:ilvl w:val="1"/>
                <w:numId w:val="16"/>
              </w:numPr>
              <w:ind w:left="741"/>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one rakehoe or similar implement capable of removing grass, shrubs, vegetation and other inflammable material from the area of the fire.</w:t>
            </w:r>
          </w:p>
        </w:tc>
      </w:tr>
      <w:tr w:rsidR="00466DA8" w14:paraId="6766D4C8" w14:textId="77777777" w:rsidTr="005F0B28">
        <w:tc>
          <w:tcPr>
            <w:cnfStyle w:val="001000000000" w:firstRow="0" w:lastRow="0" w:firstColumn="1" w:lastColumn="0" w:oddVBand="0" w:evenVBand="0" w:oddHBand="0" w:evenHBand="0" w:firstRowFirstColumn="0" w:firstRowLastColumn="0" w:lastRowFirstColumn="0" w:lastRowLastColumn="0"/>
            <w:tcW w:w="2410" w:type="dxa"/>
          </w:tcPr>
          <w:p w14:paraId="5086779A" w14:textId="77777777" w:rsidR="00466DA8" w:rsidRPr="003F540F" w:rsidRDefault="00466DA8" w:rsidP="00BE5CCD">
            <w:pPr>
              <w:pStyle w:val="Boxtext"/>
              <w:rPr>
                <w:sz w:val="20"/>
                <w:szCs w:val="20"/>
              </w:rPr>
            </w:pPr>
            <w:r w:rsidRPr="003F540F">
              <w:rPr>
                <w:sz w:val="20"/>
                <w:szCs w:val="20"/>
              </w:rPr>
              <w:t>Extinguishment of fire</w:t>
            </w:r>
          </w:p>
        </w:tc>
        <w:tc>
          <w:tcPr>
            <w:tcW w:w="7229" w:type="dxa"/>
          </w:tcPr>
          <w:p w14:paraId="4327A969" w14:textId="50AE03B4" w:rsidR="00057256" w:rsidRPr="00057256" w:rsidRDefault="00466DA8">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who has lit, kindled or maintained a fire, or is in charge of a fire, in the open air in a fire protected area during the prohibited period must, before leaving the place of the fire</w:t>
            </w:r>
            <w:r w:rsidR="00057256" w:rsidRPr="00057256">
              <w:rPr>
                <w:sz w:val="20"/>
                <w:szCs w:val="20"/>
              </w:rPr>
              <w:t>:</w:t>
            </w:r>
          </w:p>
          <w:p w14:paraId="2D84E264" w14:textId="56E0D5D0" w:rsidR="00057256" w:rsidRPr="00B762E5" w:rsidRDefault="00466DA8" w:rsidP="00057256">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E210A9">
              <w:rPr>
                <w:sz w:val="20"/>
                <w:szCs w:val="20"/>
              </w:rPr>
              <w:t>completely extinguish the fire</w:t>
            </w:r>
            <w:r w:rsidR="00057256" w:rsidRPr="00B762E5">
              <w:rPr>
                <w:sz w:val="20"/>
                <w:szCs w:val="20"/>
              </w:rPr>
              <w:t xml:space="preserve">; </w:t>
            </w:r>
            <w:r w:rsidRPr="00E210A9">
              <w:rPr>
                <w:sz w:val="20"/>
                <w:szCs w:val="20"/>
              </w:rPr>
              <w:t>or</w:t>
            </w:r>
          </w:p>
          <w:p w14:paraId="3B89121B" w14:textId="07EF6C77" w:rsidR="00466DA8" w:rsidRPr="00E210A9" w:rsidRDefault="00466DA8" w:rsidP="00B762E5">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E210A9">
              <w:rPr>
                <w:sz w:val="20"/>
                <w:szCs w:val="20"/>
              </w:rPr>
              <w:t>ensure that a person who has the capacity and means to extinguish the fire is in charge of the fire.</w:t>
            </w:r>
          </w:p>
          <w:p w14:paraId="201F272C" w14:textId="0D53D3A4" w:rsidR="00466DA8" w:rsidRPr="00E7305A" w:rsidRDefault="00466DA8">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057256">
              <w:rPr>
                <w:sz w:val="20"/>
                <w:szCs w:val="20"/>
              </w:rPr>
              <w:t>A</w:t>
            </w:r>
            <w:r w:rsidR="00057256">
              <w:rPr>
                <w:sz w:val="20"/>
                <w:szCs w:val="20"/>
              </w:rPr>
              <w:t>dditionally</w:t>
            </w:r>
            <w:r w:rsidR="007870C2">
              <w:rPr>
                <w:sz w:val="20"/>
                <w:szCs w:val="20"/>
              </w:rPr>
              <w:t>,</w:t>
            </w:r>
            <w:r w:rsidR="00057256">
              <w:rPr>
                <w:sz w:val="20"/>
                <w:szCs w:val="20"/>
              </w:rPr>
              <w:t xml:space="preserve"> </w:t>
            </w:r>
            <w:r w:rsidR="002D4FC2">
              <w:rPr>
                <w:sz w:val="20"/>
                <w:szCs w:val="20"/>
              </w:rPr>
              <w:t>the person</w:t>
            </w:r>
            <w:r w:rsidRPr="003F540F">
              <w:rPr>
                <w:sz w:val="20"/>
                <w:szCs w:val="20"/>
              </w:rPr>
              <w:t xml:space="preserve"> must extinguish the fire immediately when required to do so by an authorised officer.</w:t>
            </w:r>
          </w:p>
        </w:tc>
      </w:tr>
      <w:tr w:rsidR="00466DA8" w14:paraId="24AFB619" w14:textId="77777777" w:rsidTr="005F0B28">
        <w:tc>
          <w:tcPr>
            <w:cnfStyle w:val="001000000000" w:firstRow="0" w:lastRow="0" w:firstColumn="1" w:lastColumn="0" w:oddVBand="0" w:evenVBand="0" w:oddHBand="0" w:evenHBand="0" w:firstRowFirstColumn="0" w:firstRowLastColumn="0" w:lastRowFirstColumn="0" w:lastRowLastColumn="0"/>
            <w:tcW w:w="2410" w:type="dxa"/>
          </w:tcPr>
          <w:p w14:paraId="6EFDED7F" w14:textId="77777777" w:rsidR="00466DA8" w:rsidRPr="003F540F" w:rsidRDefault="00466DA8" w:rsidP="00BE5CCD">
            <w:pPr>
              <w:pStyle w:val="Boxtext"/>
              <w:rPr>
                <w:sz w:val="20"/>
                <w:szCs w:val="20"/>
              </w:rPr>
            </w:pPr>
            <w:r w:rsidRPr="003F540F">
              <w:rPr>
                <w:sz w:val="20"/>
                <w:szCs w:val="20"/>
              </w:rPr>
              <w:t>Stationary engines</w:t>
            </w:r>
          </w:p>
        </w:tc>
        <w:tc>
          <w:tcPr>
            <w:tcW w:w="7229" w:type="dxa"/>
          </w:tcPr>
          <w:p w14:paraId="46EEFFD0" w14:textId="77777777" w:rsidR="00057256" w:rsidRDefault="00466DA8">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must not use a stationary engine in a fire protected area during the prohibited period if the stationary engine is in the open air or if the exhaust of the stationary engine discharges into the open air, unless the engine:</w:t>
            </w:r>
          </w:p>
          <w:p w14:paraId="2DEBA4A3" w14:textId="60782DCC" w:rsidR="000C7F9B" w:rsidRPr="00B762E5" w:rsidRDefault="00466DA8" w:rsidP="00057256">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has a working spark arrestor fitted to the exhaust</w:t>
            </w:r>
            <w:r w:rsidR="000C7F9B" w:rsidRPr="00B762E5">
              <w:rPr>
                <w:sz w:val="20"/>
                <w:szCs w:val="20"/>
              </w:rPr>
              <w:t>;</w:t>
            </w:r>
          </w:p>
          <w:p w14:paraId="14E8DCDE" w14:textId="262B983C" w:rsidR="000C7F9B" w:rsidRPr="00B762E5" w:rsidRDefault="00466DA8" w:rsidP="00057256">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the ground and airspace within 1.5 metres from the outer perimeter and uppermost point of the stationary engine are clear of inflammable material</w:t>
            </w:r>
            <w:r w:rsidR="000C7F9B" w:rsidRPr="00B762E5">
              <w:rPr>
                <w:sz w:val="20"/>
                <w:szCs w:val="20"/>
              </w:rPr>
              <w:t xml:space="preserve">; </w:t>
            </w:r>
            <w:r w:rsidRPr="00B762E5">
              <w:rPr>
                <w:sz w:val="20"/>
                <w:szCs w:val="20"/>
              </w:rPr>
              <w:t>and</w:t>
            </w:r>
          </w:p>
          <w:p w14:paraId="662E8FEF" w14:textId="5480780C" w:rsidR="00466DA8" w:rsidRPr="00B762E5" w:rsidRDefault="00466DA8" w:rsidP="00B762E5">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there is adequate water supply or adequate water spray pump or suitable fire extinguisher available for immediate use.</w:t>
            </w:r>
          </w:p>
        </w:tc>
      </w:tr>
      <w:tr w:rsidR="00466DA8" w14:paraId="6721590F"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03E9B234" w14:textId="77777777" w:rsidR="00466DA8" w:rsidRPr="003F540F" w:rsidRDefault="00466DA8" w:rsidP="00BE5CCD">
            <w:pPr>
              <w:pStyle w:val="Boxtext"/>
              <w:rPr>
                <w:sz w:val="20"/>
                <w:szCs w:val="20"/>
              </w:rPr>
            </w:pPr>
            <w:r w:rsidRPr="003F540F">
              <w:rPr>
                <w:sz w:val="20"/>
                <w:szCs w:val="20"/>
              </w:rPr>
              <w:t>Non-stationary engines</w:t>
            </w:r>
          </w:p>
        </w:tc>
        <w:tc>
          <w:tcPr>
            <w:tcW w:w="7229" w:type="dxa"/>
          </w:tcPr>
          <w:p w14:paraId="000952FA" w14:textId="77777777" w:rsidR="000C7F9B" w:rsidRPr="000C7F9B"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must not use a non-stationary engine in a fire protected area during the prohibited period unless the engine:</w:t>
            </w:r>
          </w:p>
          <w:p w14:paraId="4DD26013" w14:textId="030C35F7" w:rsidR="000C7F9B" w:rsidRPr="00B762E5" w:rsidRDefault="00466DA8" w:rsidP="000C7F9B">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E210A9">
              <w:rPr>
                <w:sz w:val="20"/>
                <w:szCs w:val="20"/>
              </w:rPr>
              <w:t>has a working spark arrestor, turbo charger or an exhaust aspirated air cleaner fitted to the exhaust</w:t>
            </w:r>
            <w:r w:rsidR="000C7F9B" w:rsidRPr="00B762E5">
              <w:rPr>
                <w:sz w:val="20"/>
                <w:szCs w:val="20"/>
              </w:rPr>
              <w:t xml:space="preserve">; </w:t>
            </w:r>
            <w:r w:rsidRPr="00E210A9">
              <w:rPr>
                <w:sz w:val="20"/>
                <w:szCs w:val="20"/>
              </w:rPr>
              <w:t>and</w:t>
            </w:r>
          </w:p>
          <w:p w14:paraId="3766358E" w14:textId="6B0A5D4E" w:rsidR="00466DA8" w:rsidRPr="00E210A9" w:rsidRDefault="00466DA8" w:rsidP="00B762E5">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E210A9">
              <w:rPr>
                <w:sz w:val="20"/>
                <w:szCs w:val="20"/>
              </w:rPr>
              <w:t>there is adequate water supply or adequate water spray pump or suitable fire extinguisher available for immediate use.</w:t>
            </w:r>
          </w:p>
        </w:tc>
      </w:tr>
      <w:tr w:rsidR="00466DA8" w14:paraId="0E4D2663"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05627170" w14:textId="77777777" w:rsidR="00466DA8" w:rsidRPr="003F540F" w:rsidRDefault="00466DA8" w:rsidP="00BE5CCD">
            <w:pPr>
              <w:pStyle w:val="Boxtext"/>
              <w:rPr>
                <w:sz w:val="20"/>
                <w:szCs w:val="20"/>
              </w:rPr>
            </w:pPr>
            <w:r w:rsidRPr="003F540F">
              <w:rPr>
                <w:sz w:val="20"/>
                <w:szCs w:val="20"/>
              </w:rPr>
              <w:t>Welding, grinding, soldering or gas-cutting equipment</w:t>
            </w:r>
          </w:p>
        </w:tc>
        <w:tc>
          <w:tcPr>
            <w:tcW w:w="7229" w:type="dxa"/>
          </w:tcPr>
          <w:p w14:paraId="1710AE8D" w14:textId="77777777" w:rsidR="000C7F9B"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must not undertake these activities </w:t>
            </w:r>
            <w:r w:rsidR="7D2538BB" w:rsidRPr="38ADE289">
              <w:rPr>
                <w:sz w:val="20"/>
                <w:szCs w:val="20"/>
              </w:rPr>
              <w:t xml:space="preserve">during the prohibited period </w:t>
            </w:r>
            <w:r w:rsidRPr="003F540F">
              <w:rPr>
                <w:sz w:val="20"/>
                <w:szCs w:val="20"/>
              </w:rPr>
              <w:t>unless they comply with the prescribed requirements of</w:t>
            </w:r>
            <w:r w:rsidR="000C7F9B">
              <w:rPr>
                <w:sz w:val="20"/>
                <w:szCs w:val="20"/>
              </w:rPr>
              <w:t>:</w:t>
            </w:r>
          </w:p>
          <w:p w14:paraId="03B02A68" w14:textId="75859497" w:rsidR="000C7F9B" w:rsidRPr="00B762E5" w:rsidRDefault="00466DA8" w:rsidP="000C7F9B">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clearing inflammable material</w:t>
            </w:r>
            <w:r w:rsidR="000C7F9B" w:rsidRPr="00B762E5">
              <w:rPr>
                <w:sz w:val="20"/>
                <w:szCs w:val="20"/>
              </w:rPr>
              <w:t>;</w:t>
            </w:r>
          </w:p>
          <w:p w14:paraId="4FF2DAB2" w14:textId="3554B926" w:rsidR="005C27B4" w:rsidRPr="00B762E5" w:rsidRDefault="000C7F9B" w:rsidP="000C7F9B">
            <w:pPr>
              <w:pStyle w:val="Boxdots"/>
              <w:cnfStyle w:val="000000000000" w:firstRow="0" w:lastRow="0" w:firstColumn="0" w:lastColumn="0" w:oddVBand="0" w:evenVBand="0" w:oddHBand="0" w:evenHBand="0" w:firstRowFirstColumn="0" w:firstRowLastColumn="0" w:lastRowFirstColumn="0" w:lastRowLastColumn="0"/>
              <w:rPr>
                <w:sz w:val="20"/>
                <w:szCs w:val="20"/>
              </w:rPr>
            </w:pPr>
            <w:r w:rsidRPr="00B762E5">
              <w:rPr>
                <w:sz w:val="20"/>
                <w:szCs w:val="20"/>
              </w:rPr>
              <w:t>using</w:t>
            </w:r>
            <w:r w:rsidR="00466DA8" w:rsidRPr="00B762E5">
              <w:rPr>
                <w:sz w:val="20"/>
                <w:szCs w:val="20"/>
              </w:rPr>
              <w:t xml:space="preserve"> a fire shield and fireproof receptacle</w:t>
            </w:r>
            <w:r w:rsidR="005C27B4" w:rsidRPr="00B762E5">
              <w:rPr>
                <w:sz w:val="20"/>
                <w:szCs w:val="20"/>
              </w:rPr>
              <w:t xml:space="preserve">; </w:t>
            </w:r>
            <w:r w:rsidR="00466DA8" w:rsidRPr="00B762E5">
              <w:rPr>
                <w:sz w:val="20"/>
                <w:szCs w:val="20"/>
              </w:rPr>
              <w:t>and</w:t>
            </w:r>
          </w:p>
          <w:p w14:paraId="2CA69920" w14:textId="5A35643B" w:rsidR="00466DA8" w:rsidRPr="003F540F" w:rsidRDefault="005C27B4" w:rsidP="00B762E5">
            <w:pPr>
              <w:pStyle w:val="Boxdots"/>
              <w:cnfStyle w:val="000000000000" w:firstRow="0" w:lastRow="0" w:firstColumn="0" w:lastColumn="0" w:oddVBand="0" w:evenVBand="0" w:oddHBand="0" w:evenHBand="0" w:firstRowFirstColumn="0" w:firstRowLastColumn="0" w:lastRowFirstColumn="0" w:lastRowLastColumn="0"/>
            </w:pPr>
            <w:r w:rsidRPr="00B762E5">
              <w:rPr>
                <w:sz w:val="20"/>
                <w:szCs w:val="20"/>
              </w:rPr>
              <w:t>having</w:t>
            </w:r>
            <w:r w:rsidR="00466DA8" w:rsidRPr="00B762E5">
              <w:rPr>
                <w:sz w:val="20"/>
                <w:szCs w:val="20"/>
              </w:rPr>
              <w:t xml:space="preserve"> an adequate water supply, or adequate water spray pump or suitable fire extinguisher available for immediate use</w:t>
            </w:r>
            <w:r w:rsidRPr="00B762E5">
              <w:rPr>
                <w:sz w:val="20"/>
                <w:szCs w:val="20"/>
              </w:rPr>
              <w:t>.</w:t>
            </w:r>
          </w:p>
        </w:tc>
      </w:tr>
      <w:tr w:rsidR="00466DA8" w14:paraId="438D6195" w14:textId="77777777" w:rsidTr="00B762E5">
        <w:trPr>
          <w:trHeight w:val="1010"/>
        </w:trPr>
        <w:tc>
          <w:tcPr>
            <w:cnfStyle w:val="001000000000" w:firstRow="0" w:lastRow="0" w:firstColumn="1" w:lastColumn="0" w:oddVBand="0" w:evenVBand="0" w:oddHBand="0" w:evenHBand="0" w:firstRowFirstColumn="0" w:firstRowLastColumn="0" w:lastRowFirstColumn="0" w:lastRowLastColumn="0"/>
            <w:tcW w:w="0" w:type="dxa"/>
          </w:tcPr>
          <w:p w14:paraId="40C65B90" w14:textId="77777777" w:rsidR="00466DA8" w:rsidRPr="003F540F" w:rsidRDefault="00466DA8" w:rsidP="00BE5CCD">
            <w:pPr>
              <w:pStyle w:val="Boxtext"/>
              <w:rPr>
                <w:sz w:val="20"/>
                <w:szCs w:val="20"/>
              </w:rPr>
            </w:pPr>
            <w:r w:rsidRPr="003F540F">
              <w:rPr>
                <w:sz w:val="20"/>
                <w:szCs w:val="20"/>
              </w:rPr>
              <w:t>Clearing of area around an operation</w:t>
            </w:r>
          </w:p>
        </w:tc>
        <w:tc>
          <w:tcPr>
            <w:tcW w:w="0" w:type="dxa"/>
          </w:tcPr>
          <w:p w14:paraId="562F5B32" w14:textId="77777777" w:rsidR="003847CD" w:rsidRDefault="00466DA8" w:rsidP="00051008">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in charge of an operation in a fire protected area must ensure that the outer perimeter of the </w:t>
            </w:r>
            <w:r w:rsidR="00F341E9">
              <w:rPr>
                <w:sz w:val="20"/>
                <w:szCs w:val="20"/>
              </w:rPr>
              <w:t>operation</w:t>
            </w:r>
            <w:r w:rsidRPr="003F540F">
              <w:rPr>
                <w:sz w:val="20"/>
                <w:szCs w:val="20"/>
              </w:rPr>
              <w:t xml:space="preserve"> is </w:t>
            </w:r>
            <w:r w:rsidR="00F341E9">
              <w:rPr>
                <w:sz w:val="20"/>
                <w:szCs w:val="20"/>
              </w:rPr>
              <w:t>c</w:t>
            </w:r>
            <w:r w:rsidRPr="003F540F">
              <w:rPr>
                <w:sz w:val="20"/>
                <w:szCs w:val="20"/>
              </w:rPr>
              <w:t>lear of all inflammable material at all times</w:t>
            </w:r>
            <w:r w:rsidR="00F341E9">
              <w:rPr>
                <w:sz w:val="20"/>
                <w:szCs w:val="20"/>
              </w:rPr>
              <w:t>, including</w:t>
            </w:r>
            <w:r w:rsidRPr="00512FD6">
              <w:rPr>
                <w:sz w:val="20"/>
                <w:szCs w:val="20"/>
              </w:rPr>
              <w:t xml:space="preserve"> any log dump, timber stack, timber product, waste burner, pit, winch, kiln, quarry, distillery, retort or other structure associated with the operation</w:t>
            </w:r>
            <w:r w:rsidR="00051008">
              <w:rPr>
                <w:sz w:val="20"/>
                <w:szCs w:val="20"/>
              </w:rPr>
              <w:t>.</w:t>
            </w:r>
          </w:p>
          <w:p w14:paraId="14B3749D" w14:textId="587F6BAA" w:rsidR="003847CD" w:rsidRPr="00512FD6" w:rsidRDefault="003847CD" w:rsidP="00051008">
            <w:pPr>
              <w:pStyle w:val="Box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An authorised officer may </w:t>
            </w:r>
            <w:r w:rsidR="007078C5">
              <w:rPr>
                <w:sz w:val="20"/>
                <w:szCs w:val="20"/>
              </w:rPr>
              <w:t xml:space="preserve">specify a distance not </w:t>
            </w:r>
            <w:r w:rsidR="005A41CC">
              <w:rPr>
                <w:sz w:val="20"/>
                <w:szCs w:val="20"/>
              </w:rPr>
              <w:t>greater</w:t>
            </w:r>
            <w:r w:rsidR="007078C5">
              <w:rPr>
                <w:sz w:val="20"/>
                <w:szCs w:val="20"/>
              </w:rPr>
              <w:t xml:space="preserve"> than 40 metres if they consider that the clearance distance </w:t>
            </w:r>
            <w:r w:rsidR="004F04CD">
              <w:rPr>
                <w:sz w:val="20"/>
                <w:szCs w:val="20"/>
              </w:rPr>
              <w:t xml:space="preserve">from the outer perimeter </w:t>
            </w:r>
            <w:r w:rsidR="007078C5">
              <w:rPr>
                <w:sz w:val="20"/>
                <w:szCs w:val="20"/>
              </w:rPr>
              <w:t xml:space="preserve">should be </w:t>
            </w:r>
            <w:r w:rsidR="004F04CD">
              <w:rPr>
                <w:sz w:val="20"/>
                <w:szCs w:val="20"/>
              </w:rPr>
              <w:t>increased.</w:t>
            </w:r>
          </w:p>
        </w:tc>
      </w:tr>
      <w:tr w:rsidR="00466DA8" w14:paraId="2AF84479"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21E573F6" w14:textId="37BF6F58" w:rsidR="00466DA8" w:rsidRPr="003F540F" w:rsidRDefault="00466DA8" w:rsidP="00BE5CCD">
            <w:pPr>
              <w:pStyle w:val="Boxtext"/>
              <w:rPr>
                <w:sz w:val="20"/>
                <w:szCs w:val="20"/>
              </w:rPr>
            </w:pPr>
            <w:r w:rsidRPr="003F540F">
              <w:rPr>
                <w:sz w:val="20"/>
                <w:szCs w:val="20"/>
              </w:rPr>
              <w:t>Firefighting equipment</w:t>
            </w:r>
          </w:p>
        </w:tc>
        <w:tc>
          <w:tcPr>
            <w:tcW w:w="7229" w:type="dxa"/>
          </w:tcPr>
          <w:p w14:paraId="7A9E6E3E" w14:textId="1A9CA1E5"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An authorised officer may specify the firefighting apparatus, water supplies and related equipment required to be provided at a sawmill or other operation (mining, quarrying, brick making, eucalyptus oil distilling or charcoal burning) in a fire protected area, and the places </w:t>
            </w:r>
            <w:r w:rsidR="001115C7">
              <w:rPr>
                <w:sz w:val="20"/>
                <w:szCs w:val="20"/>
              </w:rPr>
              <w:t>where</w:t>
            </w:r>
            <w:r w:rsidRPr="003F540F">
              <w:rPr>
                <w:sz w:val="20"/>
                <w:szCs w:val="20"/>
              </w:rPr>
              <w:t xml:space="preserve"> that apparatus and equipment must be stored. </w:t>
            </w:r>
          </w:p>
        </w:tc>
      </w:tr>
      <w:tr w:rsidR="00466DA8" w14:paraId="4413E343"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1167AADB" w14:textId="77777777" w:rsidR="00466DA8" w:rsidRPr="003F540F" w:rsidRDefault="00466DA8" w:rsidP="00BE5CCD">
            <w:pPr>
              <w:pStyle w:val="Boxtext"/>
              <w:rPr>
                <w:sz w:val="20"/>
                <w:szCs w:val="20"/>
              </w:rPr>
            </w:pPr>
            <w:r w:rsidRPr="003F540F">
              <w:rPr>
                <w:sz w:val="20"/>
                <w:szCs w:val="20"/>
              </w:rPr>
              <w:t>Storage and disposal of inflammable material of sawmills</w:t>
            </w:r>
          </w:p>
        </w:tc>
        <w:tc>
          <w:tcPr>
            <w:tcW w:w="7229" w:type="dxa"/>
          </w:tcPr>
          <w:p w14:paraId="0324A550" w14:textId="43440535" w:rsidR="001F117C" w:rsidRDefault="00466DA8" w:rsidP="00F03A5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An authorised officer may specify methods for the storage and disposal of inflammable material at the sawmill.</w:t>
            </w:r>
          </w:p>
          <w:p w14:paraId="51123F51" w14:textId="60F5A774" w:rsidR="00466DA8" w:rsidRPr="003F540F" w:rsidRDefault="001F117C"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person in charge of a sawmill must store and dispose of material in accordance with a </w:t>
            </w:r>
            <w:r w:rsidR="00920BCA">
              <w:rPr>
                <w:sz w:val="20"/>
                <w:szCs w:val="20"/>
              </w:rPr>
              <w:t>notice.</w:t>
            </w:r>
          </w:p>
        </w:tc>
      </w:tr>
      <w:tr w:rsidR="00466DA8" w14:paraId="3DBE450A"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4A025D34" w14:textId="77777777" w:rsidR="00466DA8" w:rsidRPr="003F540F" w:rsidRDefault="00466DA8" w:rsidP="00BE5CCD">
            <w:pPr>
              <w:pStyle w:val="Boxtext"/>
              <w:rPr>
                <w:sz w:val="20"/>
                <w:szCs w:val="20"/>
              </w:rPr>
            </w:pPr>
            <w:r w:rsidRPr="003F540F">
              <w:rPr>
                <w:sz w:val="20"/>
                <w:szCs w:val="20"/>
              </w:rPr>
              <w:t>Traditional Owner cultural uses of fire</w:t>
            </w:r>
          </w:p>
        </w:tc>
        <w:tc>
          <w:tcPr>
            <w:tcW w:w="7229" w:type="dxa"/>
          </w:tcPr>
          <w:p w14:paraId="38845A1F" w14:textId="25F5880C" w:rsidR="00466DA8" w:rsidRPr="00D56432" w:rsidRDefault="00466DA8" w:rsidP="00F03A5D">
            <w:pPr>
              <w:cnfStyle w:val="000000000000" w:firstRow="0" w:lastRow="0" w:firstColumn="0" w:lastColumn="0" w:oddVBand="0" w:evenVBand="0" w:oddHBand="0" w:evenHBand="0" w:firstRowFirstColumn="0" w:firstRowLastColumn="0" w:lastRowFirstColumn="0" w:lastRowLastColumn="0"/>
            </w:pPr>
            <w:r>
              <w:t>Exempts</w:t>
            </w:r>
            <w:r w:rsidRPr="00D56432">
              <w:t xml:space="preserve"> a member of a Traditional Owner group undertaking an agreed activity on agreed land who is acting in accordance with an agreement under Part 6 of the </w:t>
            </w:r>
            <w:r w:rsidRPr="00D56432">
              <w:rPr>
                <w:i/>
                <w:iCs/>
              </w:rPr>
              <w:t xml:space="preserve">Traditional Owner Settlement </w:t>
            </w:r>
            <w:r w:rsidRPr="7D7ECC70">
              <w:rPr>
                <w:i/>
                <w:iCs/>
              </w:rPr>
              <w:t>Act</w:t>
            </w:r>
            <w:r w:rsidRPr="00D56432">
              <w:rPr>
                <w:i/>
                <w:iCs/>
              </w:rPr>
              <w:t xml:space="preserve"> 2010</w:t>
            </w:r>
            <w:r w:rsidR="004341D9">
              <w:rPr>
                <w:i/>
                <w:iCs/>
              </w:rPr>
              <w:t xml:space="preserve"> </w:t>
            </w:r>
            <w:r w:rsidR="004341D9" w:rsidRPr="00D56432">
              <w:t>from an offenc</w:t>
            </w:r>
            <w:r w:rsidR="004341D9">
              <w:t>e</w:t>
            </w:r>
            <w:r w:rsidR="00B56CAF">
              <w:t xml:space="preserve"> under the Regulations</w:t>
            </w:r>
            <w:r w:rsidRPr="00D56432">
              <w:t xml:space="preserve">. </w:t>
            </w:r>
            <w:r w:rsidR="37C3B582">
              <w:t xml:space="preserve">Under the </w:t>
            </w:r>
            <w:r w:rsidR="37C3B582" w:rsidRPr="00091ED4">
              <w:rPr>
                <w:i/>
                <w:iCs/>
              </w:rPr>
              <w:t>Forests Act 19</w:t>
            </w:r>
            <w:r w:rsidR="31054B6C" w:rsidRPr="00091ED4">
              <w:rPr>
                <w:i/>
                <w:iCs/>
              </w:rPr>
              <w:t>58</w:t>
            </w:r>
            <w:r w:rsidR="31054B6C">
              <w:t>, a Traditional Owner group cannot be exempted from the following regulations:</w:t>
            </w:r>
          </w:p>
          <w:p w14:paraId="65A299BA" w14:textId="3EC0C13D" w:rsidR="00466DA8" w:rsidRPr="00D56432" w:rsidRDefault="31054B6C" w:rsidP="0057567B">
            <w:pPr>
              <w:pStyle w:val="ListParagraph"/>
              <w:numPr>
                <w:ilvl w:val="0"/>
                <w:numId w:val="25"/>
              </w:numPr>
              <w:ind w:left="457"/>
              <w:cnfStyle w:val="000000000000" w:firstRow="0" w:lastRow="0" w:firstColumn="0" w:lastColumn="0" w:oddVBand="0" w:evenVBand="0" w:oddHBand="0" w:evenHBand="0" w:firstRowFirstColumn="0" w:firstRowLastColumn="0" w:lastRowFirstColumn="0" w:lastRowLastColumn="0"/>
            </w:pPr>
            <w:r>
              <w:t xml:space="preserve">Regulation 15 – Extinguishment of fire in the open air </w:t>
            </w:r>
          </w:p>
          <w:p w14:paraId="085F83BC" w14:textId="77777777" w:rsidR="00466DA8" w:rsidRDefault="31054B6C" w:rsidP="0057567B">
            <w:pPr>
              <w:pStyle w:val="ListParagraph"/>
              <w:numPr>
                <w:ilvl w:val="0"/>
                <w:numId w:val="25"/>
              </w:numPr>
              <w:ind w:left="457"/>
              <w:cnfStyle w:val="000000000000" w:firstRow="0" w:lastRow="0" w:firstColumn="0" w:lastColumn="0" w:oddVBand="0" w:evenVBand="0" w:oddHBand="0" w:evenHBand="0" w:firstRowFirstColumn="0" w:firstRowLastColumn="0" w:lastRowFirstColumn="0" w:lastRowLastColumn="0"/>
            </w:pPr>
            <w:r>
              <w:t>Regulation 16 – Fire in the open must be extinguished at direction of authorised officer</w:t>
            </w:r>
          </w:p>
          <w:p w14:paraId="57BE61E4" w14:textId="7121C0C1" w:rsidR="00DC47C0" w:rsidRPr="00D56432" w:rsidRDefault="00DC47C0" w:rsidP="0057567B">
            <w:pPr>
              <w:pStyle w:val="ListParagraph"/>
              <w:numPr>
                <w:ilvl w:val="0"/>
                <w:numId w:val="25"/>
              </w:numPr>
              <w:ind w:left="457"/>
              <w:cnfStyle w:val="000000000000" w:firstRow="0" w:lastRow="0" w:firstColumn="0" w:lastColumn="0" w:oddVBand="0" w:evenVBand="0" w:oddHBand="0" w:evenHBand="0" w:firstRowFirstColumn="0" w:firstRowLastColumn="0" w:lastRowFirstColumn="0" w:lastRowLastColumn="0"/>
            </w:pPr>
            <w:r>
              <w:t>Regulation 17 – Offence to leave campfire or barbeque</w:t>
            </w:r>
          </w:p>
        </w:tc>
      </w:tr>
      <w:tr w:rsidR="006C22C2" w14:paraId="3068917C" w14:textId="77777777" w:rsidTr="003F540F">
        <w:tc>
          <w:tcPr>
            <w:cnfStyle w:val="001000000000" w:firstRow="0" w:lastRow="0" w:firstColumn="1" w:lastColumn="0" w:oddVBand="0" w:evenVBand="0" w:oddHBand="0" w:evenHBand="0" w:firstRowFirstColumn="0" w:firstRowLastColumn="0" w:lastRowFirstColumn="0" w:lastRowLastColumn="0"/>
            <w:tcW w:w="2410" w:type="dxa"/>
          </w:tcPr>
          <w:p w14:paraId="3D9BFCD6" w14:textId="1CCBE383" w:rsidR="006C22C2" w:rsidRPr="003F540F" w:rsidRDefault="008D15C6" w:rsidP="00BE5CCD">
            <w:pPr>
              <w:pStyle w:val="Boxtext"/>
              <w:rPr>
                <w:sz w:val="20"/>
                <w:szCs w:val="20"/>
              </w:rPr>
            </w:pPr>
            <w:r>
              <w:rPr>
                <w:sz w:val="20"/>
                <w:szCs w:val="20"/>
              </w:rPr>
              <w:t xml:space="preserve">Campfire trenches </w:t>
            </w:r>
            <w:r w:rsidR="00E84845">
              <w:rPr>
                <w:sz w:val="20"/>
                <w:szCs w:val="20"/>
              </w:rPr>
              <w:t xml:space="preserve">no longer </w:t>
            </w:r>
            <w:r w:rsidR="007D7D3A">
              <w:rPr>
                <w:sz w:val="20"/>
                <w:szCs w:val="20"/>
              </w:rPr>
              <w:t>referenced</w:t>
            </w:r>
          </w:p>
        </w:tc>
        <w:tc>
          <w:tcPr>
            <w:tcW w:w="7229" w:type="dxa"/>
          </w:tcPr>
          <w:p w14:paraId="5B0FD118" w14:textId="0586F869" w:rsidR="00715930" w:rsidRDefault="008D15C6" w:rsidP="00F03A5D">
            <w:pPr>
              <w:cnfStyle w:val="000000000000" w:firstRow="0" w:lastRow="0" w:firstColumn="0" w:lastColumn="0" w:oddVBand="0" w:evenVBand="0" w:oddHBand="0" w:evenHBand="0" w:firstRowFirstColumn="0" w:firstRowLastColumn="0" w:lastRowFirstColumn="0" w:lastRowLastColumn="0"/>
            </w:pPr>
            <w:r>
              <w:t xml:space="preserve">The </w:t>
            </w:r>
            <w:r w:rsidR="00E269AB">
              <w:t xml:space="preserve">proposed Regulations </w:t>
            </w:r>
            <w:r>
              <w:t xml:space="preserve">will </w:t>
            </w:r>
            <w:r w:rsidR="000C6BC1">
              <w:t xml:space="preserve">remove reference </w:t>
            </w:r>
            <w:r w:rsidR="00CE6658">
              <w:t>to</w:t>
            </w:r>
            <w:r w:rsidR="00E00876">
              <w:t xml:space="preserve"> </w:t>
            </w:r>
            <w:r>
              <w:t>digging a trench for a campfire</w:t>
            </w:r>
            <w:r w:rsidR="00081267">
              <w:t xml:space="preserve"> without authorisation</w:t>
            </w:r>
            <w:r w:rsidR="00230944">
              <w:t xml:space="preserve"> (as previously</w:t>
            </w:r>
            <w:r w:rsidR="00E55C02">
              <w:t xml:space="preserve"> </w:t>
            </w:r>
            <w:r w:rsidR="00CE6658">
              <w:t xml:space="preserve">explicitly referenced </w:t>
            </w:r>
            <w:r w:rsidR="00E55C02">
              <w:t>in the 2014 Regulations)</w:t>
            </w:r>
            <w:r>
              <w:t xml:space="preserve"> but will still permit fires provided </w:t>
            </w:r>
            <w:r w:rsidR="006744C2">
              <w:t xml:space="preserve">they </w:t>
            </w:r>
            <w:r w:rsidR="007640C0">
              <w:t>meet the definition of a ‘properly constructed fireplace’</w:t>
            </w:r>
            <w:r w:rsidR="006744C2">
              <w:t xml:space="preserve"> (for example rocks surrounding a fire</w:t>
            </w:r>
            <w:r w:rsidR="00E02BAB">
              <w:t>)</w:t>
            </w:r>
            <w:r w:rsidR="00FA5D82">
              <w:t>. A</w:t>
            </w:r>
            <w:r w:rsidR="003B47A2">
              <w:t>lternatively</w:t>
            </w:r>
            <w:r w:rsidR="00210EB6">
              <w:t>, a</w:t>
            </w:r>
            <w:r w:rsidR="003B47A2">
              <w:t xml:space="preserve"> </w:t>
            </w:r>
            <w:r w:rsidR="00FA5D82">
              <w:t xml:space="preserve">fire may be lit </w:t>
            </w:r>
            <w:r w:rsidR="006110FD">
              <w:t>in a</w:t>
            </w:r>
            <w:r w:rsidR="00A937E8">
              <w:t xml:space="preserve"> </w:t>
            </w:r>
            <w:r w:rsidR="000C56EC">
              <w:t xml:space="preserve">stable </w:t>
            </w:r>
            <w:r w:rsidR="00337DBA">
              <w:t xml:space="preserve">commercially manufactured </w:t>
            </w:r>
            <w:r w:rsidR="003B47A2">
              <w:t>barbeque appliance</w:t>
            </w:r>
            <w:r>
              <w:t>.</w:t>
            </w:r>
          </w:p>
          <w:p w14:paraId="243F6DEB" w14:textId="2FFE1C34" w:rsidR="006C22C2" w:rsidRDefault="00E55C02" w:rsidP="00F03A5D">
            <w:pPr>
              <w:cnfStyle w:val="000000000000" w:firstRow="0" w:lastRow="0" w:firstColumn="0" w:lastColumn="0" w:oddVBand="0" w:evenVBand="0" w:oddHBand="0" w:evenHBand="0" w:firstRowFirstColumn="0" w:firstRowLastColumn="0" w:lastRowFirstColumn="0" w:lastRowLastColumn="0"/>
            </w:pPr>
            <w:r>
              <w:t xml:space="preserve">This </w:t>
            </w:r>
            <w:r w:rsidR="004A12E5">
              <w:t xml:space="preserve">change </w:t>
            </w:r>
            <w:r>
              <w:t xml:space="preserve">will </w:t>
            </w:r>
            <w:r w:rsidR="004A12E5">
              <w:t>avoid</w:t>
            </w:r>
            <w:r w:rsidR="002C7E30">
              <w:t xml:space="preserve"> current inconsistencies with the </w:t>
            </w:r>
            <w:r w:rsidR="00A94082" w:rsidRPr="00A94082">
              <w:t>Forests (Recreation) (Temporary) Regulations 2021</w:t>
            </w:r>
            <w:r w:rsidR="00A94082">
              <w:t xml:space="preserve"> </w:t>
            </w:r>
            <w:r w:rsidR="004A12E5">
              <w:t xml:space="preserve">that prohibit digging </w:t>
            </w:r>
            <w:r w:rsidR="00280720">
              <w:t>and provide greater clarity for community and enforcement. It will also</w:t>
            </w:r>
            <w:r w:rsidR="007404EE">
              <w:t xml:space="preserve"> </w:t>
            </w:r>
            <w:r w:rsidR="004A12E5">
              <w:t>reduce the risk of damage to</w:t>
            </w:r>
            <w:r>
              <w:t xml:space="preserve"> </w:t>
            </w:r>
            <w:r w:rsidR="006C0DBA">
              <w:t xml:space="preserve">sensitive environmental and </w:t>
            </w:r>
            <w:r>
              <w:t>Aboriginal Cultural Heritage sites</w:t>
            </w:r>
            <w:r w:rsidR="001C0A51">
              <w:t>.</w:t>
            </w:r>
          </w:p>
        </w:tc>
      </w:tr>
    </w:tbl>
    <w:p w14:paraId="7EA6F836" w14:textId="21258C48" w:rsidR="00466DA8" w:rsidRDefault="00466DA8" w:rsidP="00466DA8">
      <w:r>
        <w:t xml:space="preserve">Each of these provisions </w:t>
      </w:r>
      <w:r w:rsidR="00D3041F">
        <w:t>are</w:t>
      </w:r>
      <w:r>
        <w:t xml:space="preserve"> aimed at reducing the risk that use of a fire or other ignition-type activity is done in a way that minimises the risk of unplanned fire occurring</w:t>
      </w:r>
      <w:r w:rsidR="009F7B6B">
        <w:t xml:space="preserve"> and </w:t>
      </w:r>
      <w:r w:rsidR="00072D9B">
        <w:t>f</w:t>
      </w:r>
      <w:r>
        <w:t>or reducing the likelihood and extent of spread of fire. These are largely the same as the current Regulations, with key changes being:</w:t>
      </w:r>
    </w:p>
    <w:p w14:paraId="523993FB" w14:textId="21B391CB" w:rsidR="00466DA8" w:rsidRDefault="00466DA8" w:rsidP="00FB6C2E">
      <w:pPr>
        <w:pStyle w:val="ListBullet"/>
      </w:pPr>
      <w:r>
        <w:t>a person must not be outside the line of sight of the campfire or barbeque or be more than 50 metres from the perimeter of the campfire or barbeque (to align the requirements for the entire fire protected area with those in section 66A of the Act).</w:t>
      </w:r>
    </w:p>
    <w:p w14:paraId="05EEF6FA" w14:textId="428CC7AA" w:rsidR="00466DA8" w:rsidRDefault="00466DA8" w:rsidP="00FB6C2E">
      <w:pPr>
        <w:pStyle w:val="ListBullet"/>
      </w:pPr>
      <w:r>
        <w:t xml:space="preserve">the requirements for fires used for bee smokers would now apply for the declared prohibited period, not only “if the weather conditions in the area are such that there is a danger of the spread of fire”. This amendment is also being applied to </w:t>
      </w:r>
      <w:r w:rsidRPr="00A70CFE">
        <w:t xml:space="preserve">welding, grinding, soldering and gas-cutting </w:t>
      </w:r>
      <w:r>
        <w:t xml:space="preserve">activities. Given the declaration of the prohibited </w:t>
      </w:r>
      <w:r w:rsidR="009F7B6B">
        <w:t xml:space="preserve">period </w:t>
      </w:r>
      <w:r>
        <w:t xml:space="preserve">in each area is aimed at identifying the times of the year when there is a higher risk of fire spread, this will improve certainty for </w:t>
      </w:r>
      <w:r w:rsidR="001D3719">
        <w:t xml:space="preserve">beekeepers </w:t>
      </w:r>
      <w:r>
        <w:t>by removing the subjectivity around whether ‘there is a danger’ that the fire could spread.</w:t>
      </w:r>
    </w:p>
    <w:p w14:paraId="3B8592C9" w14:textId="38C7E9C3" w:rsidR="00466DA8" w:rsidRDefault="00466DA8" w:rsidP="00FB6C2E">
      <w:pPr>
        <w:pStyle w:val="ListBullet"/>
      </w:pPr>
      <w:r>
        <w:t>the proposed Regulations include a</w:t>
      </w:r>
      <w:r w:rsidRPr="00851C27">
        <w:t xml:space="preserve"> new regulation that </w:t>
      </w:r>
      <w:r w:rsidR="004F3D83">
        <w:t>exempts (with some exceptions)</w:t>
      </w:r>
      <w:r w:rsidRPr="00851C27">
        <w:t xml:space="preserve"> a Traditional Owner group entity that has an agreement under Part 6 of the </w:t>
      </w:r>
      <w:r w:rsidRPr="00851C27">
        <w:rPr>
          <w:i/>
          <w:iCs/>
        </w:rPr>
        <w:t xml:space="preserve">Traditional Owner Settlement Act 2010 </w:t>
      </w:r>
      <w:r>
        <w:t>from the Regulations</w:t>
      </w:r>
      <w:r w:rsidRPr="00851C27">
        <w:t xml:space="preserve"> in certain circumstances.</w:t>
      </w:r>
    </w:p>
    <w:p w14:paraId="6C9C9BE9" w14:textId="4BF9C2E5" w:rsidR="00A83EFD" w:rsidRDefault="008C4F39" w:rsidP="00A83EFD">
      <w:pPr>
        <w:pStyle w:val="ListBullet"/>
      </w:pPr>
      <w:r>
        <w:t xml:space="preserve">trenches </w:t>
      </w:r>
      <w:r w:rsidR="00A02FE9">
        <w:t xml:space="preserve">are no longer </w:t>
      </w:r>
      <w:r w:rsidR="00805FEC">
        <w:t>referenced</w:t>
      </w:r>
      <w:r>
        <w:t xml:space="preserve"> </w:t>
      </w:r>
      <w:r w:rsidR="00787424">
        <w:t xml:space="preserve">as a </w:t>
      </w:r>
      <w:r w:rsidR="000F0BD7">
        <w:t>camp</w:t>
      </w:r>
      <w:r w:rsidR="00787424">
        <w:t>fire</w:t>
      </w:r>
      <w:r w:rsidR="000F0BD7">
        <w:t xml:space="preserve"> or ba</w:t>
      </w:r>
      <w:r w:rsidR="002D032A">
        <w:t>rbeque</w:t>
      </w:r>
      <w:r w:rsidR="00787424">
        <w:t xml:space="preserve"> risk reduction option</w:t>
      </w:r>
      <w:r w:rsidR="00A83EFD">
        <w:t xml:space="preserve">. This change will avoid current inconsistencies with the </w:t>
      </w:r>
      <w:r w:rsidR="008C338A" w:rsidRPr="008C338A">
        <w:t>Forests (Recreation) (Temporary) Regulations 2021</w:t>
      </w:r>
      <w:r w:rsidR="008C338A">
        <w:t xml:space="preserve"> </w:t>
      </w:r>
      <w:r w:rsidR="00A83EFD">
        <w:t>that prohibit digging and provide greater clarity for community and enforcement. It will also reduce the risk of damage to sensitive environmental and Aboriginal Cultural Heritage sites.</w:t>
      </w:r>
      <w:r w:rsidR="00787424">
        <w:t xml:space="preserve"> </w:t>
      </w:r>
    </w:p>
    <w:p w14:paraId="0E5D0B2E" w14:textId="54228E5D" w:rsidR="00466DA8" w:rsidRDefault="00466DA8" w:rsidP="00466DA8">
      <w:r>
        <w:t>There have also been some minor drafting changes to update references and improve clarity (see Appendix</w:t>
      </w:r>
      <w:r w:rsidR="009F7B6B">
        <w:t> </w:t>
      </w:r>
      <w:r>
        <w:t xml:space="preserve">B). </w:t>
      </w:r>
    </w:p>
    <w:p w14:paraId="2282953E" w14:textId="77777777" w:rsidR="00466DA8" w:rsidRPr="0053364C" w:rsidRDefault="00466DA8" w:rsidP="0053364C">
      <w:pPr>
        <w:pStyle w:val="Heading3"/>
      </w:pPr>
      <w:bookmarkStart w:id="56" w:name="_Toc187330536"/>
      <w:r w:rsidRPr="0053364C">
        <w:t>Option 2: Less prescriptive regulatory approach</w:t>
      </w:r>
      <w:bookmarkEnd w:id="56"/>
    </w:p>
    <w:p w14:paraId="06A4217A" w14:textId="77777777" w:rsidR="00466DA8" w:rsidRDefault="00466DA8" w:rsidP="00466DA8">
      <w:r>
        <w:t xml:space="preserve">A less prescriptive approach could </w:t>
      </w:r>
      <w:r w:rsidRPr="00CF63CB">
        <w:t xml:space="preserve">be </w:t>
      </w:r>
      <w:r>
        <w:t>considered to achieve the government’s objectives, which focuses on outcomes through performance-</w:t>
      </w:r>
      <w:r w:rsidRPr="00CF63CB">
        <w:t>based standards</w:t>
      </w:r>
      <w:r>
        <w:t xml:space="preserve"> (rather than prescriptive inputs).</w:t>
      </w:r>
    </w:p>
    <w:p w14:paraId="61A4F067" w14:textId="77777777" w:rsidR="00466DA8" w:rsidRPr="007667BC" w:rsidRDefault="00466DA8" w:rsidP="00466DA8">
      <w:pPr>
        <w:autoSpaceDE w:val="0"/>
        <w:autoSpaceDN w:val="0"/>
        <w:adjustRightInd w:val="0"/>
        <w:rPr>
          <w:rFonts w:cs="Arial"/>
          <w:szCs w:val="22"/>
        </w:rPr>
      </w:pPr>
      <w:r w:rsidRPr="007667BC">
        <w:rPr>
          <w:rFonts w:cs="Arial"/>
          <w:bCs/>
          <w:iCs/>
          <w:szCs w:val="22"/>
        </w:rPr>
        <w:t>Performance-based</w:t>
      </w:r>
      <w:r w:rsidRPr="007667BC">
        <w:rPr>
          <w:rFonts w:cs="Arial"/>
          <w:b/>
          <w:bCs/>
          <w:i/>
          <w:iCs/>
          <w:szCs w:val="22"/>
        </w:rPr>
        <w:t xml:space="preserve"> </w:t>
      </w:r>
      <w:r w:rsidRPr="007667BC">
        <w:rPr>
          <w:rFonts w:cs="Arial"/>
          <w:szCs w:val="22"/>
        </w:rPr>
        <w:t xml:space="preserve">standards specify desired outcomes or objectives, but not the means by which these outcomes/objectives have to be met. The main advantages that performance-based standards have over prescriptive regulation are the greater flexibility afforded to regulated parties in achieving the desired outcomes, and their ability to be used in situations where circumstances may change over time. </w:t>
      </w:r>
    </w:p>
    <w:p w14:paraId="0FA78A45" w14:textId="77777777" w:rsidR="00466DA8" w:rsidRPr="007667BC" w:rsidRDefault="00466DA8" w:rsidP="00466DA8">
      <w:pPr>
        <w:rPr>
          <w:rFonts w:cs="Arial"/>
          <w:bCs/>
          <w:szCs w:val="22"/>
        </w:rPr>
      </w:pPr>
      <w:r w:rsidRPr="007667BC">
        <w:rPr>
          <w:rFonts w:cs="Arial"/>
          <w:szCs w:val="22"/>
        </w:rPr>
        <w:t xml:space="preserve">In </w:t>
      </w:r>
      <w:r>
        <w:rPr>
          <w:rFonts w:cs="Arial"/>
          <w:szCs w:val="22"/>
        </w:rPr>
        <w:t>relation to the problems outlined in Chapter 2</w:t>
      </w:r>
      <w:r w:rsidRPr="00CF63CB">
        <w:t xml:space="preserve"> of </w:t>
      </w:r>
      <w:r>
        <w:rPr>
          <w:rFonts w:cs="Arial"/>
          <w:szCs w:val="22"/>
        </w:rPr>
        <w:t>this RIS</w:t>
      </w:r>
      <w:r w:rsidRPr="007667BC">
        <w:rPr>
          <w:rFonts w:cs="Arial"/>
          <w:szCs w:val="22"/>
        </w:rPr>
        <w:t>, performance-based standards could be formulated. A standard or principle could be developed to deal with campfires and barbeques (e.g. vegetation, wind, ground moisture, etc, may vary, requiring greater or lesser distances of clearance or size of fire). Such standards or principles could be supported by a guidance material to ensure clarity.</w:t>
      </w:r>
      <w:r w:rsidRPr="007667BC">
        <w:rPr>
          <w:rFonts w:cs="Arial"/>
          <w:bCs/>
          <w:szCs w:val="22"/>
        </w:rPr>
        <w:t xml:space="preserve"> </w:t>
      </w:r>
    </w:p>
    <w:p w14:paraId="29702D4B" w14:textId="77777777" w:rsidR="00466DA8" w:rsidRDefault="00466DA8" w:rsidP="00466DA8">
      <w:pPr>
        <w:autoSpaceDE w:val="0"/>
        <w:autoSpaceDN w:val="0"/>
        <w:adjustRightInd w:val="0"/>
        <w:rPr>
          <w:rFonts w:cs="Arial"/>
          <w:szCs w:val="22"/>
        </w:rPr>
      </w:pPr>
      <w:r>
        <w:rPr>
          <w:rFonts w:cs="Arial"/>
          <w:szCs w:val="22"/>
        </w:rPr>
        <w:t>G</w:t>
      </w:r>
      <w:r w:rsidRPr="007667BC">
        <w:rPr>
          <w:rFonts w:cs="Arial"/>
          <w:szCs w:val="22"/>
        </w:rPr>
        <w:t>uidelines could be used to set down criteria that may reduce the subjective element of performance-based standards by establishing benchmarks by which to measure performance. For example, such a code could provide guidance concerning gradients, wind, vegetation, fire behaviour or appropriate distances from flammable material</w:t>
      </w:r>
      <w:r w:rsidRPr="007667BC">
        <w:rPr>
          <w:rFonts w:cs="Arial"/>
          <w:bCs/>
          <w:szCs w:val="22"/>
        </w:rPr>
        <w:t>.</w:t>
      </w:r>
      <w:r w:rsidRPr="007667BC">
        <w:rPr>
          <w:rFonts w:cs="Arial"/>
          <w:szCs w:val="22"/>
        </w:rPr>
        <w:t xml:space="preserve"> </w:t>
      </w:r>
    </w:p>
    <w:p w14:paraId="4F8660E0" w14:textId="77777777" w:rsidR="00466DA8" w:rsidRDefault="00466DA8" w:rsidP="00466DA8">
      <w:pPr>
        <w:autoSpaceDE w:val="0"/>
        <w:autoSpaceDN w:val="0"/>
        <w:adjustRightInd w:val="0"/>
        <w:rPr>
          <w:rFonts w:cs="Arial"/>
          <w:szCs w:val="22"/>
        </w:rPr>
      </w:pPr>
      <w:r>
        <w:rPr>
          <w:rFonts w:cs="Arial"/>
          <w:szCs w:val="22"/>
        </w:rPr>
        <w:t xml:space="preserve">Under this approach beekeepers, sawmills, and persons operating certain </w:t>
      </w:r>
      <w:r w:rsidRPr="00CF63CB">
        <w:t>equipment</w:t>
      </w:r>
      <w:r>
        <w:rPr>
          <w:rFonts w:cs="Arial"/>
          <w:szCs w:val="22"/>
        </w:rPr>
        <w:t xml:space="preserve"> or using combustion engines would have more flexibility in the type of fire suppression they choose. For example, a beekeeper could choose an appropriate fire extinguisher in lieu of a knapsack.</w:t>
      </w:r>
    </w:p>
    <w:p w14:paraId="713F47EA" w14:textId="77777777" w:rsidR="00466DA8" w:rsidRPr="007667BC" w:rsidRDefault="00466DA8" w:rsidP="00466DA8">
      <w:pPr>
        <w:autoSpaceDE w:val="0"/>
        <w:autoSpaceDN w:val="0"/>
        <w:adjustRightInd w:val="0"/>
        <w:rPr>
          <w:rFonts w:cs="Arial"/>
          <w:szCs w:val="22"/>
        </w:rPr>
      </w:pPr>
      <w:r>
        <w:rPr>
          <w:rFonts w:cs="Arial"/>
          <w:szCs w:val="22"/>
        </w:rPr>
        <w:t>This option would address the identified problem by providing detailed information on best-practice methods and equipment to deal with fire risks. Guidelines could be co-developed with industry or peak bodies; however, effectiveness of this option would rely on stakeholders being aware of the guidance material and implementing best-practice measures.</w:t>
      </w:r>
    </w:p>
    <w:p w14:paraId="23B6D458" w14:textId="2FD6B81C" w:rsidR="00466DA8" w:rsidRPr="00CF63CB" w:rsidRDefault="00466DA8" w:rsidP="00466DA8">
      <w:pPr>
        <w:pStyle w:val="Caption"/>
        <w:rPr>
          <w:iCs/>
        </w:rPr>
      </w:pPr>
      <w:r>
        <w:t xml:space="preserve">Table </w:t>
      </w:r>
      <w:r w:rsidR="0053364C">
        <w:t>8</w:t>
      </w:r>
      <w:r>
        <w:t>:</w:t>
      </w:r>
      <w:r w:rsidRPr="00452D9F">
        <w:rPr>
          <w:bCs/>
        </w:rPr>
        <w:t xml:space="preserve"> Less prescriptive, outcomes</w:t>
      </w:r>
      <w:r>
        <w:rPr>
          <w:bCs/>
        </w:rPr>
        <w:t>-</w:t>
      </w:r>
      <w:r w:rsidRPr="00452D9F">
        <w:rPr>
          <w:bCs/>
        </w:rPr>
        <w:t>based approach</w:t>
      </w:r>
    </w:p>
    <w:tbl>
      <w:tblPr>
        <w:tblStyle w:val="TableGrid"/>
        <w:tblW w:w="0" w:type="auto"/>
        <w:tblLook w:val="04A0" w:firstRow="1" w:lastRow="0" w:firstColumn="1" w:lastColumn="0" w:noHBand="0" w:noVBand="1"/>
      </w:tblPr>
      <w:tblGrid>
        <w:gridCol w:w="3134"/>
        <w:gridCol w:w="6505"/>
      </w:tblGrid>
      <w:tr w:rsidR="009F7B6B" w:rsidRPr="009F7B6B" w14:paraId="6F8BA725" w14:textId="77777777" w:rsidTr="009F7B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E8E8E8" w:themeFill="text1" w:themeFillTint="1A"/>
          </w:tcPr>
          <w:p w14:paraId="37FD0305" w14:textId="77777777" w:rsidR="00466DA8" w:rsidRPr="009F7B6B" w:rsidRDefault="00466DA8" w:rsidP="00BE5CCD">
            <w:pPr>
              <w:pStyle w:val="Boxtext"/>
              <w:rPr>
                <w:b/>
                <w:bCs/>
                <w:color w:val="auto"/>
                <w:sz w:val="20"/>
                <w:szCs w:val="20"/>
              </w:rPr>
            </w:pPr>
            <w:r w:rsidRPr="009F7B6B">
              <w:rPr>
                <w:b/>
                <w:bCs/>
                <w:color w:val="auto"/>
                <w:sz w:val="20"/>
                <w:szCs w:val="20"/>
              </w:rPr>
              <w:t>Area of regulation</w:t>
            </w:r>
          </w:p>
        </w:tc>
        <w:tc>
          <w:tcPr>
            <w:tcW w:w="0" w:type="auto"/>
            <w:tcBorders>
              <w:bottom w:val="single" w:sz="4" w:space="0" w:color="auto"/>
            </w:tcBorders>
            <w:shd w:val="clear" w:color="auto" w:fill="E8E8E8" w:themeFill="text1" w:themeFillTint="1A"/>
          </w:tcPr>
          <w:p w14:paraId="0069A280" w14:textId="77777777" w:rsidR="00466DA8" w:rsidRPr="009F7B6B" w:rsidRDefault="00466DA8"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9F7B6B">
              <w:rPr>
                <w:b/>
                <w:bCs/>
                <w:color w:val="auto"/>
                <w:sz w:val="20"/>
                <w:szCs w:val="20"/>
              </w:rPr>
              <w:t>Regulatory Approach</w:t>
            </w:r>
          </w:p>
        </w:tc>
      </w:tr>
      <w:tr w:rsidR="00466DA8" w14:paraId="431A0649" w14:textId="77777777" w:rsidTr="009F7B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5B981B72" w14:textId="77777777" w:rsidR="00466DA8" w:rsidRPr="003F540F" w:rsidRDefault="00466DA8" w:rsidP="00BE5CCD">
            <w:pPr>
              <w:pStyle w:val="Boxtext"/>
              <w:rPr>
                <w:sz w:val="20"/>
                <w:szCs w:val="20"/>
              </w:rPr>
            </w:pPr>
            <w:r w:rsidRPr="003F540F">
              <w:rPr>
                <w:sz w:val="20"/>
                <w:szCs w:val="20"/>
              </w:rPr>
              <w:t>Circumstances in which a written authority is required to light a fire in the open air in a fire protected area</w:t>
            </w:r>
          </w:p>
        </w:tc>
        <w:tc>
          <w:tcPr>
            <w:tcW w:w="0" w:type="auto"/>
            <w:tcBorders>
              <w:top w:val="single" w:sz="4" w:space="0" w:color="auto"/>
            </w:tcBorders>
          </w:tcPr>
          <w:p w14:paraId="7561C6F1"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must have the written authority of an authorised officer in any State forest, protected public land or national park at any time during the prohibited period (except in the relation to barbeques and campfires, burning inflammable material from a sawmill, or bee farming if these activities are conducted safely). </w:t>
            </w:r>
          </w:p>
        </w:tc>
      </w:tr>
      <w:tr w:rsidR="00466DA8" w14:paraId="26BB335A"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586FE660" w14:textId="1FCE107C" w:rsidR="00466DA8" w:rsidRPr="003F540F" w:rsidRDefault="00466DA8" w:rsidP="00BE5CCD">
            <w:pPr>
              <w:pStyle w:val="Boxtext"/>
              <w:rPr>
                <w:sz w:val="20"/>
                <w:szCs w:val="20"/>
              </w:rPr>
            </w:pPr>
            <w:r w:rsidRPr="003F540F">
              <w:rPr>
                <w:sz w:val="20"/>
                <w:szCs w:val="20"/>
              </w:rPr>
              <w:t>Safety fuse</w:t>
            </w:r>
            <w:r w:rsidR="00DE568F">
              <w:rPr>
                <w:sz w:val="20"/>
                <w:szCs w:val="20"/>
              </w:rPr>
              <w:t>s and</w:t>
            </w:r>
            <w:r w:rsidRPr="003F540F">
              <w:rPr>
                <w:sz w:val="20"/>
                <w:szCs w:val="20"/>
              </w:rPr>
              <w:t xml:space="preserve"> fuse lighters</w:t>
            </w:r>
          </w:p>
        </w:tc>
        <w:tc>
          <w:tcPr>
            <w:tcW w:w="0" w:type="auto"/>
          </w:tcPr>
          <w:p w14:paraId="57E5D221"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must not use a safety fuse or fuse lighter in a fire protected unless it is safe to do so.</w:t>
            </w:r>
          </w:p>
        </w:tc>
      </w:tr>
      <w:tr w:rsidR="00466DA8" w14:paraId="4211B8B5"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76ADC4BB" w14:textId="359204F8" w:rsidR="00466DA8" w:rsidRPr="003F540F" w:rsidRDefault="00466DA8" w:rsidP="00BE5CCD">
            <w:pPr>
              <w:pStyle w:val="Boxtext"/>
              <w:rPr>
                <w:sz w:val="20"/>
                <w:szCs w:val="20"/>
              </w:rPr>
            </w:pPr>
            <w:r w:rsidRPr="003F540F">
              <w:rPr>
                <w:sz w:val="20"/>
                <w:szCs w:val="20"/>
              </w:rPr>
              <w:t xml:space="preserve">Campfires and </w:t>
            </w:r>
            <w:r w:rsidR="00953038">
              <w:rPr>
                <w:sz w:val="20"/>
                <w:szCs w:val="20"/>
              </w:rPr>
              <w:t>barbeque</w:t>
            </w:r>
            <w:r w:rsidRPr="003F540F">
              <w:rPr>
                <w:sz w:val="20"/>
                <w:szCs w:val="20"/>
              </w:rPr>
              <w:t>s without written authority (solid fuel and liquid, gaseous, and chemical fuel)</w:t>
            </w:r>
          </w:p>
        </w:tc>
        <w:tc>
          <w:tcPr>
            <w:tcW w:w="0" w:type="auto"/>
          </w:tcPr>
          <w:p w14:paraId="03612D41" w14:textId="0C9D9A5E" w:rsidR="00466DA8" w:rsidRPr="00D56432" w:rsidRDefault="00466DA8" w:rsidP="00BE5CCD">
            <w:pPr>
              <w:cnfStyle w:val="000000000000" w:firstRow="0" w:lastRow="0" w:firstColumn="0" w:lastColumn="0" w:oddVBand="0" w:evenVBand="0" w:oddHBand="0" w:evenHBand="0" w:firstRowFirstColumn="0" w:firstRowLastColumn="0" w:lastRowFirstColumn="0" w:lastRowLastColumn="0"/>
            </w:pPr>
            <w:r w:rsidRPr="00D56432">
              <w:t xml:space="preserve">A campfire or </w:t>
            </w:r>
            <w:r w:rsidR="00953038">
              <w:t>barbeque</w:t>
            </w:r>
            <w:r w:rsidRPr="00D56432">
              <w:t xml:space="preserve"> must only be lit, </w:t>
            </w:r>
            <w:bookmarkStart w:id="57" w:name="_Int_3pWvbGdM"/>
            <w:r w:rsidRPr="00D56432">
              <w:t>kindled</w:t>
            </w:r>
            <w:bookmarkEnd w:id="57"/>
            <w:r w:rsidRPr="00D56432">
              <w:t xml:space="preserve"> or maintained a fire if it is safe to do so. A person must remain in a safe distance from the campfire or barbeque so that they can extinguish a fire if it spreads.</w:t>
            </w:r>
          </w:p>
        </w:tc>
      </w:tr>
      <w:tr w:rsidR="00466DA8" w14:paraId="2E347702"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3CE7C408" w14:textId="77777777" w:rsidR="00466DA8" w:rsidRPr="003F540F" w:rsidRDefault="00466DA8" w:rsidP="00BE5CCD">
            <w:pPr>
              <w:pStyle w:val="Boxtext"/>
              <w:rPr>
                <w:sz w:val="20"/>
                <w:szCs w:val="20"/>
              </w:rPr>
            </w:pPr>
            <w:r w:rsidRPr="003F540F">
              <w:rPr>
                <w:sz w:val="20"/>
                <w:szCs w:val="20"/>
              </w:rPr>
              <w:t xml:space="preserve">Burning inflammable material of a sawmill without written authority </w:t>
            </w:r>
          </w:p>
        </w:tc>
        <w:tc>
          <w:tcPr>
            <w:tcW w:w="0" w:type="auto"/>
          </w:tcPr>
          <w:p w14:paraId="22583D4D" w14:textId="55BAB433" w:rsidR="00466DA8" w:rsidRPr="003F540F" w:rsidRDefault="00EA7C05"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Pr="003F540F">
              <w:rPr>
                <w:sz w:val="20"/>
                <w:szCs w:val="20"/>
              </w:rPr>
              <w:t xml:space="preserve"> </w:t>
            </w:r>
            <w:r>
              <w:rPr>
                <w:sz w:val="20"/>
                <w:szCs w:val="20"/>
              </w:rPr>
              <w:t>person in charge of a sawmill</w:t>
            </w:r>
            <w:r w:rsidRPr="003F540F">
              <w:rPr>
                <w:sz w:val="20"/>
                <w:szCs w:val="20"/>
              </w:rPr>
              <w:t xml:space="preserve"> </w:t>
            </w:r>
            <w:r w:rsidR="00466DA8" w:rsidRPr="003F540F">
              <w:rPr>
                <w:sz w:val="20"/>
                <w:szCs w:val="20"/>
              </w:rPr>
              <w:t xml:space="preserve">must be </w:t>
            </w:r>
            <w:r>
              <w:rPr>
                <w:sz w:val="20"/>
                <w:szCs w:val="20"/>
              </w:rPr>
              <w:t>ensure that inflammable material is e</w:t>
            </w:r>
            <w:r w:rsidR="00466DA8" w:rsidRPr="003F540F">
              <w:rPr>
                <w:sz w:val="20"/>
                <w:szCs w:val="20"/>
              </w:rPr>
              <w:t xml:space="preserve">ffectively contained </w:t>
            </w:r>
            <w:r>
              <w:rPr>
                <w:sz w:val="20"/>
                <w:szCs w:val="20"/>
              </w:rPr>
              <w:t xml:space="preserve">and </w:t>
            </w:r>
            <w:r w:rsidR="007A6A7E">
              <w:rPr>
                <w:sz w:val="20"/>
                <w:szCs w:val="20"/>
              </w:rPr>
              <w:t>is disposed of safely.</w:t>
            </w:r>
          </w:p>
        </w:tc>
      </w:tr>
      <w:tr w:rsidR="00466DA8" w14:paraId="5AE750A8"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2DC65EDF" w14:textId="77777777" w:rsidR="00466DA8" w:rsidRPr="003F540F" w:rsidRDefault="00466DA8" w:rsidP="00BE5CCD">
            <w:pPr>
              <w:pStyle w:val="Boxtext"/>
              <w:rPr>
                <w:sz w:val="20"/>
                <w:szCs w:val="20"/>
              </w:rPr>
            </w:pPr>
            <w:r w:rsidRPr="003F540F">
              <w:rPr>
                <w:sz w:val="20"/>
                <w:szCs w:val="20"/>
              </w:rPr>
              <w:t>Bee farming (use of fire for smoker)</w:t>
            </w:r>
          </w:p>
        </w:tc>
        <w:tc>
          <w:tcPr>
            <w:tcW w:w="0" w:type="auto"/>
          </w:tcPr>
          <w:p w14:paraId="2E324E01" w14:textId="44E58F5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The bee farming operation must use the smoker on an area of ground which is clear of all inflammable material so that the operation is safe. Under this option, a beekeeper can choose a broader suit</w:t>
            </w:r>
            <w:r w:rsidR="009F7B6B">
              <w:rPr>
                <w:sz w:val="20"/>
                <w:szCs w:val="20"/>
              </w:rPr>
              <w:t>e</w:t>
            </w:r>
            <w:r w:rsidRPr="003F540F">
              <w:rPr>
                <w:sz w:val="20"/>
                <w:szCs w:val="20"/>
              </w:rPr>
              <w:t xml:space="preserve"> of fire suppression equipment. </w:t>
            </w:r>
          </w:p>
        </w:tc>
      </w:tr>
      <w:tr w:rsidR="00466DA8" w14:paraId="40E539CB" w14:textId="77777777" w:rsidTr="00D56432">
        <w:tc>
          <w:tcPr>
            <w:cnfStyle w:val="001000000000" w:firstRow="0" w:lastRow="0" w:firstColumn="1" w:lastColumn="0" w:oddVBand="0" w:evenVBand="0" w:oddHBand="0" w:evenHBand="0" w:firstRowFirstColumn="0" w:firstRowLastColumn="0" w:lastRowFirstColumn="0" w:lastRowLastColumn="0"/>
            <w:tcW w:w="0" w:type="auto"/>
          </w:tcPr>
          <w:p w14:paraId="770E2421" w14:textId="77777777" w:rsidR="00466DA8" w:rsidRPr="003F540F" w:rsidRDefault="00466DA8" w:rsidP="00BE5CCD">
            <w:pPr>
              <w:pStyle w:val="Boxtext"/>
              <w:rPr>
                <w:sz w:val="20"/>
                <w:szCs w:val="20"/>
              </w:rPr>
            </w:pPr>
            <w:r w:rsidRPr="003F540F">
              <w:rPr>
                <w:sz w:val="20"/>
                <w:szCs w:val="20"/>
              </w:rPr>
              <w:t>Extinguishment of fire</w:t>
            </w:r>
          </w:p>
        </w:tc>
        <w:tc>
          <w:tcPr>
            <w:tcW w:w="0" w:type="auto"/>
          </w:tcPr>
          <w:p w14:paraId="3D48535E" w14:textId="77777777" w:rsidR="00466DA8" w:rsidRPr="003F540F" w:rsidRDefault="00466DA8">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who has lit, kindled or maintained a fire, or is in charge of a fire, in the open air in a fire protected area during the prohibited period must, before leaving the place of the fire completely extinguish the fire or ensure that a person who has the capacity and means to extinguish the fire is in charge of the fire.</w:t>
            </w:r>
          </w:p>
          <w:p w14:paraId="2354B292" w14:textId="69FD3FB2" w:rsidR="00466DA8" w:rsidRPr="00E7305A" w:rsidRDefault="00466DA8">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who has lit, kindled or maintained a fire, or who is in charge of a fire, in the open air in a fire protected area during the prohibited period must extinguish the fire immediately when </w:t>
            </w:r>
            <w:r w:rsidR="004066F9">
              <w:rPr>
                <w:sz w:val="20"/>
                <w:szCs w:val="20"/>
              </w:rPr>
              <w:t>directed</w:t>
            </w:r>
            <w:r w:rsidR="004066F9" w:rsidRPr="003F540F">
              <w:rPr>
                <w:sz w:val="20"/>
                <w:szCs w:val="20"/>
              </w:rPr>
              <w:t xml:space="preserve"> </w:t>
            </w:r>
            <w:r w:rsidRPr="003F540F">
              <w:rPr>
                <w:sz w:val="20"/>
                <w:szCs w:val="20"/>
              </w:rPr>
              <w:t>to do so by an authorised officer.</w:t>
            </w:r>
          </w:p>
        </w:tc>
      </w:tr>
      <w:tr w:rsidR="00466DA8" w14:paraId="77E976EE"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34E6E5D5" w14:textId="77777777" w:rsidR="00466DA8" w:rsidRPr="003F540F" w:rsidRDefault="00466DA8" w:rsidP="00BE5CCD">
            <w:pPr>
              <w:pStyle w:val="Boxtext"/>
              <w:rPr>
                <w:sz w:val="20"/>
                <w:szCs w:val="20"/>
              </w:rPr>
            </w:pPr>
            <w:r w:rsidRPr="003F540F">
              <w:rPr>
                <w:sz w:val="20"/>
                <w:szCs w:val="20"/>
              </w:rPr>
              <w:t>Stationary engines</w:t>
            </w:r>
          </w:p>
        </w:tc>
        <w:tc>
          <w:tcPr>
            <w:tcW w:w="0" w:type="auto"/>
          </w:tcPr>
          <w:p w14:paraId="5BAB3DC0" w14:textId="77777777" w:rsidR="004066F9"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must not use a stationary engine in a fire protected area during the prohibited period if the stationary engine is in the open air or if the exhaust of the stationary engine discharges into the open air, unless it is safe to do so.</w:t>
            </w:r>
          </w:p>
          <w:p w14:paraId="190BE1FD" w14:textId="629BAF21"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Under this option, an operator could choose fire suppression equipment tailored to the specific fire risks.</w:t>
            </w:r>
          </w:p>
        </w:tc>
      </w:tr>
      <w:tr w:rsidR="00466DA8" w14:paraId="088894AA"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5284885D" w14:textId="77777777" w:rsidR="00466DA8" w:rsidRPr="003F540F" w:rsidRDefault="00466DA8" w:rsidP="00BE5CCD">
            <w:pPr>
              <w:pStyle w:val="Boxtext"/>
              <w:rPr>
                <w:sz w:val="20"/>
                <w:szCs w:val="20"/>
              </w:rPr>
            </w:pPr>
            <w:r w:rsidRPr="003F540F">
              <w:rPr>
                <w:sz w:val="20"/>
                <w:szCs w:val="20"/>
              </w:rPr>
              <w:t>Non-stationary engines</w:t>
            </w:r>
          </w:p>
        </w:tc>
        <w:tc>
          <w:tcPr>
            <w:tcW w:w="0" w:type="auto"/>
          </w:tcPr>
          <w:p w14:paraId="6C19408F" w14:textId="77777777" w:rsidR="004066F9"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must not use a non-stationary engine in a fire protected area during the prohibited period unless it is safe to do so.</w:t>
            </w:r>
          </w:p>
          <w:p w14:paraId="41703406" w14:textId="357EA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Under this option, an operator could choose fire suppression equipment tailored to their specific fire risks.</w:t>
            </w:r>
          </w:p>
        </w:tc>
      </w:tr>
      <w:tr w:rsidR="00466DA8" w14:paraId="08FF1E22"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7ABBDFFF" w14:textId="77777777" w:rsidR="00466DA8" w:rsidRPr="003F540F" w:rsidRDefault="00466DA8" w:rsidP="00BE5CCD">
            <w:pPr>
              <w:pStyle w:val="Boxtext"/>
              <w:rPr>
                <w:sz w:val="20"/>
                <w:szCs w:val="20"/>
              </w:rPr>
            </w:pPr>
            <w:r w:rsidRPr="003F540F">
              <w:rPr>
                <w:sz w:val="20"/>
                <w:szCs w:val="20"/>
              </w:rPr>
              <w:t>Welding, grinding, soldering or gas-cutting equipment</w:t>
            </w:r>
          </w:p>
        </w:tc>
        <w:tc>
          <w:tcPr>
            <w:tcW w:w="0" w:type="auto"/>
          </w:tcPr>
          <w:p w14:paraId="5F49D988" w14:textId="78CFA6AC" w:rsidR="00AB7064" w:rsidRDefault="00AB7064" w:rsidP="00AB7064">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A person must not use </w:t>
            </w:r>
            <w:r>
              <w:rPr>
                <w:sz w:val="20"/>
                <w:szCs w:val="20"/>
              </w:rPr>
              <w:t>any welding, grinding, gas-cutting</w:t>
            </w:r>
            <w:r w:rsidR="00FE3314">
              <w:rPr>
                <w:sz w:val="20"/>
                <w:szCs w:val="20"/>
              </w:rPr>
              <w:t xml:space="preserve"> or soldering equipment</w:t>
            </w:r>
            <w:r w:rsidRPr="003F540F">
              <w:rPr>
                <w:sz w:val="20"/>
                <w:szCs w:val="20"/>
              </w:rPr>
              <w:t xml:space="preserve"> in a fire protected area during the prohibited period unless it is safe to do so.</w:t>
            </w:r>
          </w:p>
          <w:p w14:paraId="148D3A37" w14:textId="6E416EF0"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Under this option, an operator could choose fire suppression equipment tailored to the specific fire risks.</w:t>
            </w:r>
          </w:p>
        </w:tc>
      </w:tr>
      <w:tr w:rsidR="00466DA8" w14:paraId="296A3D12"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3E33C323" w14:textId="77777777" w:rsidR="00466DA8" w:rsidRPr="003F540F" w:rsidRDefault="00466DA8" w:rsidP="00BE5CCD">
            <w:pPr>
              <w:pStyle w:val="Boxtext"/>
              <w:rPr>
                <w:sz w:val="20"/>
                <w:szCs w:val="20"/>
              </w:rPr>
            </w:pPr>
            <w:r w:rsidRPr="003F540F">
              <w:rPr>
                <w:sz w:val="20"/>
                <w:szCs w:val="20"/>
              </w:rPr>
              <w:t>Clearing of area around an operation</w:t>
            </w:r>
          </w:p>
        </w:tc>
        <w:tc>
          <w:tcPr>
            <w:tcW w:w="0" w:type="auto"/>
          </w:tcPr>
          <w:p w14:paraId="0D62EB2F" w14:textId="77777777" w:rsidR="00BD3EF9"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in charge of an operation in a fire protected area must ensure that the outer perimeter of the following areas is maintained clear of all inflammable material at all times:</w:t>
            </w:r>
          </w:p>
          <w:p w14:paraId="6335765B" w14:textId="04DA1DAD" w:rsidR="00BD3EF9"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any log dump, timber stack, timber product, waste burner, pit, winch, kiln, quarry, distillery, retort or other structure associated with the operation;</w:t>
            </w:r>
          </w:p>
          <w:p w14:paraId="232AECB1" w14:textId="71C36D5E" w:rsidR="00BD3EF9"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(b) any other part of the operation.</w:t>
            </w:r>
          </w:p>
          <w:p w14:paraId="62D1E5D0" w14:textId="01C272FD"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Specifics of clearances could be set down in guidelines.</w:t>
            </w:r>
          </w:p>
        </w:tc>
      </w:tr>
      <w:tr w:rsidR="00466DA8" w14:paraId="702DA5CE" w14:textId="77777777" w:rsidTr="003F540F">
        <w:tc>
          <w:tcPr>
            <w:cnfStyle w:val="001000000000" w:firstRow="0" w:lastRow="0" w:firstColumn="1" w:lastColumn="0" w:oddVBand="0" w:evenVBand="0" w:oddHBand="0" w:evenHBand="0" w:firstRowFirstColumn="0" w:firstRowLastColumn="0" w:lastRowFirstColumn="0" w:lastRowLastColumn="0"/>
            <w:tcW w:w="0" w:type="auto"/>
          </w:tcPr>
          <w:p w14:paraId="6BB5B394" w14:textId="77777777" w:rsidR="00466DA8" w:rsidRPr="003F540F" w:rsidRDefault="00466DA8" w:rsidP="00BE5CCD">
            <w:pPr>
              <w:pStyle w:val="Boxtext"/>
              <w:rPr>
                <w:sz w:val="20"/>
                <w:szCs w:val="20"/>
              </w:rPr>
            </w:pPr>
            <w:r w:rsidRPr="003F540F">
              <w:rPr>
                <w:sz w:val="20"/>
                <w:szCs w:val="20"/>
              </w:rPr>
              <w:t>Traditional Owner cultural uses of fire</w:t>
            </w:r>
          </w:p>
        </w:tc>
        <w:tc>
          <w:tcPr>
            <w:tcW w:w="0" w:type="auto"/>
          </w:tcPr>
          <w:p w14:paraId="34B71F04" w14:textId="72DB4314"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Exempts (with some exceptions) from an offence</w:t>
            </w:r>
            <w:r w:rsidR="0087626E">
              <w:rPr>
                <w:sz w:val="20"/>
                <w:szCs w:val="20"/>
              </w:rPr>
              <w:t>,</w:t>
            </w:r>
            <w:r w:rsidRPr="003F540F">
              <w:rPr>
                <w:sz w:val="20"/>
                <w:szCs w:val="20"/>
              </w:rPr>
              <w:t xml:space="preserve"> a Traditional Owner group entity undertaking an agreed activity on agreed land who has an agreement under Part 6 of the </w:t>
            </w:r>
            <w:r w:rsidRPr="003F540F">
              <w:rPr>
                <w:i/>
                <w:sz w:val="20"/>
                <w:szCs w:val="20"/>
              </w:rPr>
              <w:t>Traditional Owner Settlement Act 2010</w:t>
            </w:r>
            <w:r w:rsidRPr="003F540F">
              <w:rPr>
                <w:sz w:val="20"/>
                <w:szCs w:val="20"/>
              </w:rPr>
              <w:t>.</w:t>
            </w:r>
          </w:p>
        </w:tc>
      </w:tr>
    </w:tbl>
    <w:p w14:paraId="5DC00CF7" w14:textId="77777777" w:rsidR="00466DA8" w:rsidRDefault="00466DA8" w:rsidP="00466DA8">
      <w:pPr>
        <w:pStyle w:val="Heading3"/>
      </w:pPr>
      <w:bookmarkStart w:id="58" w:name="_Toc187330537"/>
      <w:r w:rsidRPr="00CF63CB">
        <w:t>Option 3</w:t>
      </w:r>
      <w:r>
        <w:t>: Non-regulatory approach</w:t>
      </w:r>
      <w:bookmarkEnd w:id="58"/>
    </w:p>
    <w:p w14:paraId="2BBE3633" w14:textId="393E48AC" w:rsidR="00466DA8" w:rsidRDefault="00466DA8" w:rsidP="00466DA8">
      <w:r>
        <w:t xml:space="preserve">Under this option, some regulations would still need to be retained to operationalise key areas of the </w:t>
      </w:r>
      <w:r w:rsidR="000E46CA" w:rsidRPr="00035661">
        <w:t>Forest Act</w:t>
      </w:r>
      <w:r>
        <w:t xml:space="preserve">. Section 63(1) of the Act specifies </w:t>
      </w:r>
      <w:r w:rsidR="0072256F">
        <w:t xml:space="preserve">that </w:t>
      </w:r>
      <w:r>
        <w:t xml:space="preserve">regulations are needed </w:t>
      </w:r>
      <w:r w:rsidR="002851AC">
        <w:t>to</w:t>
      </w:r>
      <w:r>
        <w:t xml:space="preserve"> define the periods when written authority is required for fires other than those specifically regulated under other sections of the Act or via the regulations. Therefore, under this option, the regulations would continue to require written authority for all fires, other than those that otherwise comply with the Act and regulations, such as campfires, </w:t>
      </w:r>
      <w:r w:rsidR="00953038">
        <w:t>barbeque</w:t>
      </w:r>
      <w:r>
        <w:t>s and other permitted operations.</w:t>
      </w:r>
    </w:p>
    <w:p w14:paraId="3B320D88" w14:textId="77777777" w:rsidR="00466DA8" w:rsidRDefault="00466DA8" w:rsidP="00466DA8">
      <w:r>
        <w:t xml:space="preserve">For those activities that would be allowed to continue without any additional written authority under the regulations, the following table sets out some non-regulatory mechanism that could be used to address the problems outlined in chapter 2. </w:t>
      </w:r>
    </w:p>
    <w:p w14:paraId="0A3DED6E" w14:textId="3B00F92E" w:rsidR="00466DA8" w:rsidRDefault="00466DA8" w:rsidP="00466DA8">
      <w:r w:rsidRPr="00F16869">
        <w:t xml:space="preserve">This option would address the identified </w:t>
      </w:r>
      <w:r>
        <w:t>‘information gap’ problems. The vast majority of visitors to parks and businesses intend to do the right but may not fully understand fire risks. This option would seek to address knowledge get by providing targeted, up to date information to stakeholder</w:t>
      </w:r>
      <w:r w:rsidR="0072256F">
        <w:t>s</w:t>
      </w:r>
      <w:r>
        <w:t>.</w:t>
      </w:r>
    </w:p>
    <w:p w14:paraId="04CA5255" w14:textId="2C34812E" w:rsidR="00466DA8" w:rsidRPr="00533BB7" w:rsidRDefault="00466DA8" w:rsidP="00466DA8">
      <w:pPr>
        <w:pStyle w:val="Caption"/>
      </w:pPr>
      <w:r>
        <w:t>Table</w:t>
      </w:r>
      <w:r w:rsidR="0053364C">
        <w:t xml:space="preserve"> 9</w:t>
      </w:r>
      <w:r>
        <w:t xml:space="preserve">: </w:t>
      </w:r>
      <w:r w:rsidRPr="00533BB7">
        <w:t>Option 3—Non-regulatory approach</w:t>
      </w:r>
    </w:p>
    <w:tbl>
      <w:tblPr>
        <w:tblStyle w:val="TableGrid"/>
        <w:tblW w:w="0" w:type="auto"/>
        <w:tblLook w:val="04A0" w:firstRow="1" w:lastRow="0" w:firstColumn="1" w:lastColumn="0" w:noHBand="0" w:noVBand="1"/>
      </w:tblPr>
      <w:tblGrid>
        <w:gridCol w:w="2401"/>
        <w:gridCol w:w="7238"/>
      </w:tblGrid>
      <w:tr w:rsidR="0072256F" w:rsidRPr="0072256F" w14:paraId="1E61808E" w14:textId="77777777" w:rsidTr="00722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E8E8E8" w:themeFill="text1" w:themeFillTint="1A"/>
          </w:tcPr>
          <w:p w14:paraId="60C53149" w14:textId="77777777" w:rsidR="00466DA8" w:rsidRPr="0072256F" w:rsidRDefault="00466DA8" w:rsidP="00BE5CCD">
            <w:pPr>
              <w:pStyle w:val="Boxtext"/>
              <w:rPr>
                <w:b/>
                <w:bCs/>
                <w:color w:val="auto"/>
                <w:sz w:val="20"/>
                <w:szCs w:val="20"/>
              </w:rPr>
            </w:pPr>
            <w:r w:rsidRPr="0072256F">
              <w:rPr>
                <w:b/>
                <w:bCs/>
                <w:color w:val="auto"/>
                <w:sz w:val="20"/>
                <w:szCs w:val="20"/>
              </w:rPr>
              <w:t>Area of regulation</w:t>
            </w:r>
          </w:p>
        </w:tc>
        <w:tc>
          <w:tcPr>
            <w:tcW w:w="0" w:type="auto"/>
            <w:tcBorders>
              <w:bottom w:val="single" w:sz="4" w:space="0" w:color="auto"/>
            </w:tcBorders>
            <w:shd w:val="clear" w:color="auto" w:fill="E8E8E8" w:themeFill="text1" w:themeFillTint="1A"/>
          </w:tcPr>
          <w:p w14:paraId="0800B662" w14:textId="77777777" w:rsidR="00466DA8" w:rsidRPr="0072256F" w:rsidRDefault="00466DA8" w:rsidP="00BE5CCD">
            <w:pPr>
              <w:pStyle w:val="Boxtex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72256F">
              <w:rPr>
                <w:b/>
                <w:bCs/>
                <w:color w:val="auto"/>
                <w:sz w:val="20"/>
                <w:szCs w:val="20"/>
              </w:rPr>
              <w:t>Regulatory Approach</w:t>
            </w:r>
          </w:p>
        </w:tc>
      </w:tr>
      <w:tr w:rsidR="00466DA8" w14:paraId="06F7D872" w14:textId="77777777" w:rsidTr="007225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D8D8ED8" w14:textId="70798064" w:rsidR="00466DA8" w:rsidRPr="003F540F" w:rsidRDefault="00466DA8" w:rsidP="00BE5CCD">
            <w:pPr>
              <w:pStyle w:val="Boxtext"/>
              <w:rPr>
                <w:sz w:val="20"/>
                <w:szCs w:val="20"/>
              </w:rPr>
            </w:pPr>
            <w:r w:rsidRPr="003F540F">
              <w:rPr>
                <w:sz w:val="20"/>
                <w:szCs w:val="20"/>
              </w:rPr>
              <w:t xml:space="preserve">Campfires and </w:t>
            </w:r>
            <w:r w:rsidR="00CB7784">
              <w:rPr>
                <w:sz w:val="20"/>
                <w:szCs w:val="20"/>
              </w:rPr>
              <w:t>b</w:t>
            </w:r>
            <w:r w:rsidR="00A96313">
              <w:rPr>
                <w:sz w:val="20"/>
                <w:szCs w:val="20"/>
              </w:rPr>
              <w:t>arbeques</w:t>
            </w:r>
            <w:r w:rsidRPr="003F540F">
              <w:rPr>
                <w:sz w:val="20"/>
                <w:szCs w:val="20"/>
              </w:rPr>
              <w:t xml:space="preserve"> without written authority (solid and non-solid fuels)</w:t>
            </w:r>
          </w:p>
        </w:tc>
        <w:tc>
          <w:tcPr>
            <w:tcW w:w="0" w:type="auto"/>
            <w:tcBorders>
              <w:top w:val="single" w:sz="4" w:space="0" w:color="auto"/>
            </w:tcBorders>
          </w:tcPr>
          <w:p w14:paraId="5AADC457"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The Victorian Government, including Parks Victoria, could provide educational material, best-practice guidelines, and signage in popular areas and forest entrances concerning safety and the fire risks to forest visitors.</w:t>
            </w:r>
          </w:p>
          <w:p w14:paraId="57522F92" w14:textId="1C292020"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These agencies</w:t>
            </w:r>
            <w:r w:rsidR="0072256F">
              <w:rPr>
                <w:sz w:val="20"/>
                <w:szCs w:val="20"/>
              </w:rPr>
              <w:t xml:space="preserve"> could </w:t>
            </w:r>
            <w:r w:rsidRPr="003F540F">
              <w:rPr>
                <w:sz w:val="20"/>
                <w:szCs w:val="20"/>
              </w:rPr>
              <w:t>buil</w:t>
            </w:r>
            <w:r w:rsidR="0072256F">
              <w:rPr>
                <w:sz w:val="20"/>
                <w:szCs w:val="20"/>
              </w:rPr>
              <w:t>d</w:t>
            </w:r>
            <w:r w:rsidRPr="003F540F">
              <w:rPr>
                <w:sz w:val="20"/>
                <w:szCs w:val="20"/>
              </w:rPr>
              <w:t xml:space="preserve"> upon current information programs by developing new programs, increasing reach and facilitating accessibility.</w:t>
            </w:r>
          </w:p>
        </w:tc>
      </w:tr>
      <w:tr w:rsidR="00466DA8" w14:paraId="6FB5493B"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1813279A" w14:textId="7A88BE71" w:rsidR="00786CF6" w:rsidRPr="003F540F" w:rsidRDefault="00466DA8" w:rsidP="00BE5CCD">
            <w:pPr>
              <w:pStyle w:val="Boxtext"/>
              <w:rPr>
                <w:sz w:val="20"/>
                <w:szCs w:val="20"/>
              </w:rPr>
            </w:pPr>
            <w:r w:rsidRPr="003F540F">
              <w:rPr>
                <w:sz w:val="20"/>
                <w:szCs w:val="20"/>
              </w:rPr>
              <w:t>Burning inflammable material of a sawmill without written authority</w:t>
            </w:r>
            <w:r w:rsidR="00786CF6">
              <w:rPr>
                <w:sz w:val="20"/>
                <w:szCs w:val="20"/>
              </w:rPr>
              <w:t>.</w:t>
            </w:r>
          </w:p>
          <w:p w14:paraId="7E0BA21D" w14:textId="77777777" w:rsidR="00466DA8" w:rsidRPr="003F540F" w:rsidRDefault="00466DA8" w:rsidP="00BE5CCD">
            <w:pPr>
              <w:pStyle w:val="Boxtext"/>
              <w:rPr>
                <w:sz w:val="20"/>
                <w:szCs w:val="20"/>
              </w:rPr>
            </w:pPr>
            <w:r w:rsidRPr="003F540F">
              <w:rPr>
                <w:sz w:val="20"/>
                <w:szCs w:val="20"/>
              </w:rPr>
              <w:t>Storage of inflammable material at a sawmill.</w:t>
            </w:r>
          </w:p>
        </w:tc>
        <w:tc>
          <w:tcPr>
            <w:tcW w:w="0" w:type="auto"/>
          </w:tcPr>
          <w:p w14:paraId="1F5735BD" w14:textId="7736AF75"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WorkSafe, DEECA, CFA and/or other agencies could provide best-practice guidelines concerning fire risks at sawmills. Sawmills are also licensed, so a licence condition concerning fire prevention could also be included. Insurance companies also require businesses to minimise fire risks.</w:t>
            </w:r>
            <w:r w:rsidR="0040793A" w:rsidRPr="003F540F">
              <w:rPr>
                <w:sz w:val="20"/>
                <w:szCs w:val="20"/>
              </w:rPr>
              <w:t xml:space="preserve"> These regulatory tools could be relied upon instead of prescribing regulations, essentially representing the base case for this element.</w:t>
            </w:r>
          </w:p>
        </w:tc>
      </w:tr>
      <w:tr w:rsidR="00466DA8" w14:paraId="46827CB4"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18C757C5" w14:textId="77777777" w:rsidR="00466DA8" w:rsidRPr="003F540F" w:rsidRDefault="00466DA8" w:rsidP="00BE5CCD">
            <w:pPr>
              <w:pStyle w:val="Boxtext"/>
              <w:rPr>
                <w:sz w:val="20"/>
                <w:szCs w:val="20"/>
              </w:rPr>
            </w:pPr>
            <w:r w:rsidRPr="003F540F">
              <w:rPr>
                <w:sz w:val="20"/>
                <w:szCs w:val="20"/>
              </w:rPr>
              <w:t>Bee farming (use of fire for smoker)</w:t>
            </w:r>
          </w:p>
        </w:tc>
        <w:tc>
          <w:tcPr>
            <w:tcW w:w="0" w:type="auto"/>
          </w:tcPr>
          <w:p w14:paraId="327ED372" w14:textId="708D3FBE"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DEECA, CFA and/or other agencies could provide best-practices guidelines concerning fire risks associated with using smokers. Beekeepers are also required to hold a </w:t>
            </w:r>
            <w:r w:rsidR="0072256F" w:rsidRPr="0072256F">
              <w:rPr>
                <w:sz w:val="20"/>
                <w:szCs w:val="20"/>
              </w:rPr>
              <w:t>beekeeper site licence</w:t>
            </w:r>
            <w:r w:rsidRPr="003F540F">
              <w:rPr>
                <w:sz w:val="20"/>
                <w:szCs w:val="20"/>
              </w:rPr>
              <w:t>, so a licence condition</w:t>
            </w:r>
            <w:r w:rsidRPr="003F540F">
              <w:rPr>
                <w:rStyle w:val="FootnoteReference"/>
                <w:sz w:val="20"/>
                <w:szCs w:val="20"/>
              </w:rPr>
              <w:footnoteReference w:id="46"/>
            </w:r>
            <w:r w:rsidRPr="003F540F">
              <w:rPr>
                <w:sz w:val="20"/>
                <w:szCs w:val="20"/>
              </w:rPr>
              <w:t xml:space="preserve"> concerning fire prevention could also be included. </w:t>
            </w:r>
          </w:p>
        </w:tc>
      </w:tr>
      <w:tr w:rsidR="00466DA8" w14:paraId="3B091DBA"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16F6D963" w14:textId="77777777" w:rsidR="00466DA8" w:rsidRPr="003F540F" w:rsidRDefault="00466DA8" w:rsidP="00BE5CCD">
            <w:pPr>
              <w:pStyle w:val="Boxtext"/>
              <w:rPr>
                <w:sz w:val="20"/>
                <w:szCs w:val="20"/>
              </w:rPr>
            </w:pPr>
            <w:r w:rsidRPr="003F540F">
              <w:rPr>
                <w:sz w:val="20"/>
                <w:szCs w:val="20"/>
              </w:rPr>
              <w:t>Stationary and non-stationery engines</w:t>
            </w:r>
          </w:p>
        </w:tc>
        <w:tc>
          <w:tcPr>
            <w:tcW w:w="0" w:type="auto"/>
          </w:tcPr>
          <w:p w14:paraId="16FE7632"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Educational material and guidance notes could be made available to users. Peak industry bodies could also play a role in education. </w:t>
            </w:r>
          </w:p>
        </w:tc>
      </w:tr>
      <w:tr w:rsidR="00466DA8" w14:paraId="11C98FED"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67C63FEF" w14:textId="77777777" w:rsidR="00466DA8" w:rsidRPr="003F540F" w:rsidRDefault="00466DA8" w:rsidP="00BE5CCD">
            <w:pPr>
              <w:pStyle w:val="Boxtext"/>
              <w:rPr>
                <w:sz w:val="20"/>
                <w:szCs w:val="20"/>
              </w:rPr>
            </w:pPr>
            <w:r w:rsidRPr="003F540F">
              <w:rPr>
                <w:sz w:val="20"/>
                <w:szCs w:val="20"/>
              </w:rPr>
              <w:t>Welding, grinding, soldering or gas-cutting equipment</w:t>
            </w:r>
          </w:p>
        </w:tc>
        <w:tc>
          <w:tcPr>
            <w:tcW w:w="0" w:type="auto"/>
          </w:tcPr>
          <w:p w14:paraId="3B8FAC16"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These activities are often undertaken by individuals who may not be a member of an industry or peak body. A general targeted information campaign could be developed aimed at these users. A similar information campaign as ‘Dial before You Dig’ could address information gaps. </w:t>
            </w:r>
          </w:p>
        </w:tc>
      </w:tr>
      <w:tr w:rsidR="00466DA8" w14:paraId="7FDBEC72"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7CA338F5" w14:textId="77777777" w:rsidR="00466DA8" w:rsidRPr="003F540F" w:rsidRDefault="00466DA8" w:rsidP="00BE5CCD">
            <w:pPr>
              <w:pStyle w:val="Boxtext"/>
              <w:rPr>
                <w:sz w:val="20"/>
                <w:szCs w:val="20"/>
              </w:rPr>
            </w:pPr>
            <w:r w:rsidRPr="003F540F">
              <w:rPr>
                <w:sz w:val="20"/>
                <w:szCs w:val="20"/>
              </w:rPr>
              <w:t>Clearing of area around an operation</w:t>
            </w:r>
          </w:p>
        </w:tc>
        <w:tc>
          <w:tcPr>
            <w:tcW w:w="0" w:type="auto"/>
          </w:tcPr>
          <w:p w14:paraId="1CCD023F"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Educational material and guidance notes could be made available to users. Peak industry bodies could also play a role in education. The CFA could also play a role in education.</w:t>
            </w:r>
          </w:p>
        </w:tc>
      </w:tr>
      <w:tr w:rsidR="00466DA8" w14:paraId="29E8E148"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330ACF25" w14:textId="77777777" w:rsidR="00466DA8" w:rsidRPr="003F540F" w:rsidRDefault="00466DA8" w:rsidP="00BE5CCD">
            <w:pPr>
              <w:pStyle w:val="Boxtext"/>
              <w:rPr>
                <w:sz w:val="20"/>
                <w:szCs w:val="20"/>
              </w:rPr>
            </w:pPr>
            <w:r w:rsidRPr="003F540F">
              <w:rPr>
                <w:sz w:val="20"/>
                <w:szCs w:val="20"/>
              </w:rPr>
              <w:t>Safety fuse, fuse lighters</w:t>
            </w:r>
          </w:p>
        </w:tc>
        <w:tc>
          <w:tcPr>
            <w:tcW w:w="0" w:type="auto"/>
          </w:tcPr>
          <w:p w14:paraId="40B9907D" w14:textId="77777777"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A person using explosives must have a WorkSafe explosives licence. A condition could be attached to the licence concerning fire safety.</w:t>
            </w:r>
          </w:p>
        </w:tc>
      </w:tr>
      <w:tr w:rsidR="00466DA8" w14:paraId="5FC71B1A" w14:textId="77777777" w:rsidTr="001D65DD">
        <w:tc>
          <w:tcPr>
            <w:cnfStyle w:val="001000000000" w:firstRow="0" w:lastRow="0" w:firstColumn="1" w:lastColumn="0" w:oddVBand="0" w:evenVBand="0" w:oddHBand="0" w:evenHBand="0" w:firstRowFirstColumn="0" w:firstRowLastColumn="0" w:lastRowFirstColumn="0" w:lastRowLastColumn="0"/>
            <w:tcW w:w="0" w:type="auto"/>
          </w:tcPr>
          <w:p w14:paraId="661740C6" w14:textId="77777777" w:rsidR="00466DA8" w:rsidRPr="003F540F" w:rsidRDefault="00466DA8" w:rsidP="00BE5CCD">
            <w:pPr>
              <w:pStyle w:val="Boxtext"/>
              <w:rPr>
                <w:sz w:val="20"/>
                <w:szCs w:val="20"/>
              </w:rPr>
            </w:pPr>
            <w:r w:rsidRPr="003F540F">
              <w:rPr>
                <w:sz w:val="20"/>
                <w:szCs w:val="20"/>
              </w:rPr>
              <w:t>Traditional Owner ceremonial uses of fire</w:t>
            </w:r>
          </w:p>
        </w:tc>
        <w:tc>
          <w:tcPr>
            <w:tcW w:w="0" w:type="auto"/>
          </w:tcPr>
          <w:p w14:paraId="251CDFEC" w14:textId="05CB6889" w:rsidR="00466DA8" w:rsidRPr="003F540F" w:rsidRDefault="00466DA8" w:rsidP="00BE5CCD">
            <w:pPr>
              <w:pStyle w:val="Boxtext"/>
              <w:cnfStyle w:val="000000000000" w:firstRow="0" w:lastRow="0" w:firstColumn="0" w:lastColumn="0" w:oddVBand="0" w:evenVBand="0" w:oddHBand="0" w:evenHBand="0" w:firstRowFirstColumn="0" w:firstRowLastColumn="0" w:lastRowFirstColumn="0" w:lastRowLastColumn="0"/>
              <w:rPr>
                <w:sz w:val="20"/>
                <w:szCs w:val="20"/>
              </w:rPr>
            </w:pPr>
            <w:r w:rsidRPr="003F540F">
              <w:rPr>
                <w:sz w:val="20"/>
                <w:szCs w:val="20"/>
              </w:rPr>
              <w:t xml:space="preserve">DEECA and CFA would build </w:t>
            </w:r>
            <w:r w:rsidR="00DB2A59">
              <w:rPr>
                <w:sz w:val="20"/>
                <w:szCs w:val="20"/>
              </w:rPr>
              <w:t xml:space="preserve">upon </w:t>
            </w:r>
            <w:r w:rsidRPr="003F540F">
              <w:rPr>
                <w:sz w:val="20"/>
                <w:szCs w:val="20"/>
              </w:rPr>
              <w:t xml:space="preserve">current relationships with First Peoples to provide culturally safe guidance and educational material on safe fire use. This partnership may lead to subsequent policy enabling Traditional Owner self-determination regarding use of land and fire. </w:t>
            </w:r>
          </w:p>
        </w:tc>
      </w:tr>
    </w:tbl>
    <w:p w14:paraId="46A75737" w14:textId="77777777" w:rsidR="00466DA8" w:rsidRPr="00C37D82" w:rsidRDefault="00466DA8" w:rsidP="00466DA8">
      <w:pPr>
        <w:pStyle w:val="Heading2"/>
      </w:pPr>
      <w:bookmarkStart w:id="59" w:name="_Toc187330538"/>
      <w:r w:rsidRPr="00C37D82">
        <w:t>Options considered not feasible or not practical</w:t>
      </w:r>
      <w:bookmarkEnd w:id="59"/>
    </w:p>
    <w:p w14:paraId="1CC9A363" w14:textId="35D77484" w:rsidR="00466DA8" w:rsidRDefault="00466DA8" w:rsidP="00466DA8">
      <w:r>
        <w:t>Stricter and more prescriptive regulations w</w:t>
      </w:r>
      <w:r w:rsidR="00D66A63">
        <w:t>ere</w:t>
      </w:r>
      <w:r>
        <w:t xml:space="preserve"> identified as a potential option. For example, campfires and barbeques could be restricted to purpose-built fireplaces only, in a small</w:t>
      </w:r>
      <w:r w:rsidR="00DB2A59">
        <w:t>er</w:t>
      </w:r>
      <w:r>
        <w:t xml:space="preserve"> number of designated areas within </w:t>
      </w:r>
      <w:r w:rsidR="00085D3D">
        <w:t xml:space="preserve">State </w:t>
      </w:r>
      <w:r>
        <w:t xml:space="preserve">forests, or access to forests could be restricted. A higher level of prescription of fire suppression equipment for businesses could also be put forward. </w:t>
      </w:r>
    </w:p>
    <w:p w14:paraId="45D679C2" w14:textId="7782E646" w:rsidR="008609BC" w:rsidRDefault="00466DA8" w:rsidP="00466DA8">
      <w:r>
        <w:t xml:space="preserve">Similar regulations to the current Regulations have been in place for more than 50 years. Since then, there has not been compelling evidence to increase the restrictiveness of the regulations. </w:t>
      </w:r>
      <w:r w:rsidR="008609BC">
        <w:t>While it would be possible to make the regulations stricter or more prescriptive, this would increase the compliance costs for business</w:t>
      </w:r>
      <w:r w:rsidR="00041C72">
        <w:t>es</w:t>
      </w:r>
      <w:r w:rsidR="008609BC">
        <w:t xml:space="preserve"> and </w:t>
      </w:r>
      <w:r w:rsidR="00041C72">
        <w:t xml:space="preserve">the </w:t>
      </w:r>
      <w:r w:rsidR="008609BC">
        <w:t xml:space="preserve">community without likely </w:t>
      </w:r>
      <w:r w:rsidR="00041C72">
        <w:t>commensurate</w:t>
      </w:r>
      <w:r w:rsidR="008609BC">
        <w:t xml:space="preserve"> benefits. Similarly, lighting a campfire </w:t>
      </w:r>
      <w:r w:rsidR="00041C72">
        <w:t xml:space="preserve">that complies with the regulations </w:t>
      </w:r>
      <w:r w:rsidR="008609BC">
        <w:t>in a state forest still carries s</w:t>
      </w:r>
      <w:r w:rsidR="00041C72">
        <w:t>ome</w:t>
      </w:r>
      <w:r w:rsidR="008609BC">
        <w:t xml:space="preserve"> risks. </w:t>
      </w:r>
      <w:r w:rsidR="00041C72">
        <w:t xml:space="preserve">This represents a trade-off between accepting a small amount of risk in order to receive the social benefits of enjoying Victoria’s outdoors with friends and family. The extract from Parks Victoria’s campfire safety webpage summarises this position: </w:t>
      </w:r>
    </w:p>
    <w:tbl>
      <w:tblPr>
        <w:tblStyle w:val="TableGrid"/>
        <w:tblW w:w="0" w:type="auto"/>
        <w:tblLook w:val="04A0" w:firstRow="1" w:lastRow="0" w:firstColumn="1" w:lastColumn="0" w:noHBand="0" w:noVBand="1"/>
      </w:tblPr>
      <w:tblGrid>
        <w:gridCol w:w="9639"/>
      </w:tblGrid>
      <w:tr w:rsidR="00153470" w14:paraId="5A36C4CA" w14:textId="77777777" w:rsidTr="0009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CCEFD9" w:themeFill="background2"/>
          </w:tcPr>
          <w:p w14:paraId="3BA39222" w14:textId="77777777" w:rsidR="00153470" w:rsidRDefault="00153470" w:rsidP="00466DA8">
            <w:r>
              <w:t>“</w:t>
            </w:r>
            <w:r w:rsidRPr="00041C72">
              <w:t>Sitting around a glowing campfire is one of the joys of camping, but with ten per cent of bushfires caused by unsafe campfires, it’s essential to follow the rules and do the right thing</w:t>
            </w:r>
            <w:r>
              <w:t>”.</w:t>
            </w:r>
            <w:r>
              <w:rPr>
                <w:rStyle w:val="FootnoteReference"/>
              </w:rPr>
              <w:footnoteReference w:id="47"/>
            </w:r>
          </w:p>
          <w:p w14:paraId="1B104514" w14:textId="09EF2EE1" w:rsidR="00153470" w:rsidRPr="005B4600" w:rsidRDefault="00235DDD" w:rsidP="005B4600">
            <w:pPr>
              <w:jc w:val="right"/>
              <w:rPr>
                <w:i/>
                <w:iCs/>
              </w:rPr>
            </w:pPr>
            <w:r w:rsidRPr="005B4600">
              <w:rPr>
                <w:i/>
                <w:iCs/>
              </w:rPr>
              <w:t xml:space="preserve">Source: </w:t>
            </w:r>
            <w:r w:rsidR="00153470" w:rsidRPr="005B4600">
              <w:rPr>
                <w:i/>
                <w:iCs/>
              </w:rPr>
              <w:t>Parks Victoria website</w:t>
            </w:r>
          </w:p>
        </w:tc>
      </w:tr>
    </w:tbl>
    <w:p w14:paraId="0B656BAF" w14:textId="1BB2C166" w:rsidR="00DB2A59" w:rsidRDefault="00466DA8" w:rsidP="00466DA8">
      <w:r>
        <w:t xml:space="preserve">DEECA advises that the current regulatory </w:t>
      </w:r>
      <w:r w:rsidR="00955F9F">
        <w:t xml:space="preserve">approach </w:t>
      </w:r>
      <w:r>
        <w:t xml:space="preserve">has been effective in managing fire risks in Victorian forests, without unnecessarily burdening visitors or businesses. </w:t>
      </w:r>
      <w:r w:rsidR="00A159AA">
        <w:t xml:space="preserve">While not claiming that each enforcement activity would have resulted in a bushfire, the compliance data (especially in relation to campfires and barbeques infringements) suggests the current arrangements have been effective in reducing the potential number of bushfires in forests. </w:t>
      </w:r>
      <w:r>
        <w:t>Therefore, a more restrictive approach was not considered necessary at this time.</w:t>
      </w:r>
    </w:p>
    <w:p w14:paraId="213BC848" w14:textId="77777777" w:rsidR="00466DA8" w:rsidRDefault="00466DA8" w:rsidP="00466DA8">
      <w:pPr>
        <w:pStyle w:val="Heading2"/>
      </w:pPr>
      <w:bookmarkStart w:id="60" w:name="_Toc187330539"/>
      <w:r>
        <w:t>Arrangements in other states</w:t>
      </w:r>
      <w:bookmarkEnd w:id="60"/>
      <w:r>
        <w:t xml:space="preserve"> </w:t>
      </w:r>
    </w:p>
    <w:p w14:paraId="0D7F4003" w14:textId="77777777" w:rsidR="00466DA8" w:rsidRDefault="00466DA8" w:rsidP="00466DA8">
      <w:r>
        <w:t>All jurisdictions impose general prohibitions or restrictions on lighting fires in regulated areas. However, direct comparisons are difficult owing to differences in forest vegetation, climate, and commercial operations in forests. In addition, most legislation and regulations are several decades old, reflecting historical developments in those states.</w:t>
      </w:r>
    </w:p>
    <w:p w14:paraId="65C75C00" w14:textId="3FA88CDC" w:rsidR="00466DA8" w:rsidRDefault="00466DA8" w:rsidP="00466DA8">
      <w:r>
        <w:t>Most jurisdictions also impose restrictions on campfires, barbeques, fireplaces etc., however, these restrictions vary in their prescriptiveness. For example, South Australia’s Fire and Emergency Services Regulations 2005, specify the maximum area of the fire, the amount of space that must be cleared around the fire, and other requirements. In contrast, Queensland’s Forestry Regulation 1998 simply states that a fireplace or barbeque cannot be used unless it is provided by the chief executive or otherwise approved for use by an authorised officer.</w:t>
      </w:r>
    </w:p>
    <w:p w14:paraId="2C214C96" w14:textId="40309B54" w:rsidR="00466DA8" w:rsidRDefault="00466DA8" w:rsidP="00466DA8">
      <w:r>
        <w:t>Restrictions on the use of engines and equipment that may cause fire are imposed in all jurisdictions; however, there are some differences in the requirements and types of engines and equipment regulated. For example, Western Australia’s Bush Fires Regulations contain several separate regulations for different classes of vehicles and engines, whereas the New South Wales Forestry Regulations prohibit the use of all machines in a forest area unless certain conditions are met. New South Wales and Tasmania have specific requirements for sawmills and other operations, but other jurisdictions appear not to provide for the limited forestry activities on public land in those jurisdictions.</w:t>
      </w:r>
    </w:p>
    <w:p w14:paraId="1483CF24" w14:textId="77777777" w:rsidR="00466DA8" w:rsidRDefault="00466DA8" w:rsidP="00466DA8">
      <w:r>
        <w:t>All other Australian jurisdictions have offences in relation to activities that could lead to fire on public land that can be dealt with through infringement notices (or equivalent).</w:t>
      </w:r>
    </w:p>
    <w:p w14:paraId="1FAE57D8" w14:textId="77777777" w:rsidR="00466DA8" w:rsidRDefault="00466DA8" w:rsidP="00466DA8">
      <w:r>
        <w:t>The Victorian requirements are not considered more onerous compared to other jurisdictions, particularly when considered that Victoria is significantly more bushfire prone than Northern and Western states.</w:t>
      </w:r>
    </w:p>
    <w:p w14:paraId="208B7173" w14:textId="77777777" w:rsidR="00056E2D" w:rsidRDefault="00056E2D" w:rsidP="00056E2D">
      <w:pPr>
        <w:pStyle w:val="Heading1"/>
        <w:rPr>
          <w:sz w:val="32"/>
        </w:rPr>
        <w:sectPr w:rsidR="00056E2D" w:rsidSect="005C24D2">
          <w:pgSz w:w="11907" w:h="16839" w:code="9"/>
          <w:pgMar w:top="1134" w:right="1134" w:bottom="1134" w:left="1134" w:header="283" w:footer="283" w:gutter="0"/>
          <w:cols w:space="720"/>
          <w:noEndnote/>
          <w:docGrid w:linePitch="360"/>
        </w:sectPr>
      </w:pPr>
    </w:p>
    <w:p w14:paraId="5C153938" w14:textId="77777777" w:rsidR="00056E2D" w:rsidRPr="00056E2D" w:rsidRDefault="00056E2D" w:rsidP="00056E2D">
      <w:pPr>
        <w:pStyle w:val="Heading1"/>
      </w:pPr>
      <w:bookmarkStart w:id="61" w:name="_Toc187330540"/>
      <w:r w:rsidRPr="00056E2D">
        <w:t>Assessment of costs and benefits</w:t>
      </w:r>
      <w:bookmarkEnd w:id="61"/>
    </w:p>
    <w:p w14:paraId="35410158" w14:textId="77777777" w:rsidR="00056E2D" w:rsidRDefault="00056E2D" w:rsidP="00056E2D">
      <w:r>
        <w:t>This chapter sets out the impact analysis: the expected impacts (benefits and costs) of feasible options and how the preferred option was decided.</w:t>
      </w:r>
    </w:p>
    <w:p w14:paraId="19DD6B4E" w14:textId="7F269905" w:rsidR="00056E2D" w:rsidRPr="003D7CCC" w:rsidRDefault="00056E2D" w:rsidP="00056E2D">
      <w:pPr>
        <w:pStyle w:val="Heading2"/>
      </w:pPr>
      <w:bookmarkStart w:id="62" w:name="_Toc187330541"/>
      <w:r w:rsidRPr="003D7CCC">
        <w:t>Approach to assessing the impacts</w:t>
      </w:r>
      <w:bookmarkEnd w:id="62"/>
    </w:p>
    <w:p w14:paraId="5E6A5D1C" w14:textId="2F615890" w:rsidR="00056E2D" w:rsidRPr="003D7CCC" w:rsidRDefault="00056E2D" w:rsidP="00056E2D">
      <w:pPr>
        <w:pStyle w:val="Heading3"/>
      </w:pPr>
      <w:bookmarkStart w:id="63" w:name="_Toc187330542"/>
      <w:r w:rsidRPr="003D7CCC">
        <w:t>Base case</w:t>
      </w:r>
      <w:bookmarkEnd w:id="63"/>
    </w:p>
    <w:p w14:paraId="3182E9D8" w14:textId="2C362A42" w:rsidR="00056E2D" w:rsidRDefault="00056E2D" w:rsidP="00056E2D">
      <w:r>
        <w:rPr>
          <w:rFonts w:cs="Calibri Light"/>
          <w:szCs w:val="22"/>
        </w:rPr>
        <w:t xml:space="preserve">The impacts of each option are assessed against the ‘base case’, which </w:t>
      </w:r>
      <w:r w:rsidRPr="00C07020">
        <w:rPr>
          <w:rFonts w:cs="Calibri Light"/>
          <w:szCs w:val="22"/>
        </w:rPr>
        <w:t xml:space="preserve">describes the regulatory position that would exist if the current Regulations were allowed to expire and were not remade. </w:t>
      </w:r>
      <w:r>
        <w:t xml:space="preserve">However, other legislation and regulations would continue to operate, which may regulate </w:t>
      </w:r>
      <w:r w:rsidR="00B524F4">
        <w:t xml:space="preserve">or prohibit </w:t>
      </w:r>
      <w:r>
        <w:t>fires</w:t>
      </w:r>
      <w:r w:rsidR="003F2918">
        <w:t xml:space="preserve"> </w:t>
      </w:r>
      <w:r w:rsidR="008B15EE">
        <w:t>(</w:t>
      </w:r>
      <w:r w:rsidR="00DF7758">
        <w:t>for example</w:t>
      </w:r>
      <w:r w:rsidR="008B15EE">
        <w:t xml:space="preserve"> Total Fire Ban</w:t>
      </w:r>
      <w:r w:rsidR="004737D2">
        <w:t xml:space="preserve">s under the </w:t>
      </w:r>
      <w:r w:rsidR="004737D2" w:rsidRPr="00EC3AED">
        <w:rPr>
          <w:i/>
        </w:rPr>
        <w:t>Country Fire Authority Act 1958</w:t>
      </w:r>
      <w:r w:rsidR="008B15EE">
        <w:t xml:space="preserve">) in some form </w:t>
      </w:r>
      <w:r>
        <w:t>in specific areas, such as national parks and alpine resort areas</w:t>
      </w:r>
      <w:r w:rsidR="00B524F4">
        <w:t xml:space="preserve">, or </w:t>
      </w:r>
      <w:r w:rsidR="00DB2A59">
        <w:t xml:space="preserve">parks </w:t>
      </w:r>
      <w:r w:rsidR="00B524F4">
        <w:t>may close altogether</w:t>
      </w:r>
      <w:r>
        <w:t>.</w:t>
      </w:r>
    </w:p>
    <w:p w14:paraId="0651C1D0" w14:textId="3BDC073D" w:rsidR="00056E2D" w:rsidRDefault="00056E2D" w:rsidP="00056E2D">
      <w:r>
        <w:t xml:space="preserve">Existing </w:t>
      </w:r>
      <w:r w:rsidR="007F1D30">
        <w:t>public information</w:t>
      </w:r>
      <w:r>
        <w:t xml:space="preserve"> would also continue to </w:t>
      </w:r>
      <w:r w:rsidR="00476E93">
        <w:t>be available</w:t>
      </w:r>
      <w:r>
        <w:t>. This includes information o</w:t>
      </w:r>
      <w:r w:rsidR="007C6249">
        <w:t>n</w:t>
      </w:r>
      <w:r>
        <w:t xml:space="preserve"> government websites</w:t>
      </w:r>
      <w:r>
        <w:rPr>
          <w:rStyle w:val="FootnoteReference"/>
        </w:rPr>
        <w:footnoteReference w:id="48"/>
      </w:r>
      <w:r>
        <w:t>, information campaigns on television or radio, and guidance notes prepared by the C</w:t>
      </w:r>
      <w:r w:rsidR="008B15EE">
        <w:t>F</w:t>
      </w:r>
      <w:r>
        <w:t>A</w:t>
      </w:r>
      <w:r>
        <w:rPr>
          <w:rStyle w:val="FootnoteReference"/>
        </w:rPr>
        <w:footnoteReference w:id="49"/>
      </w:r>
      <w:r>
        <w:t xml:space="preserve"> and other groups. Peak bodies also play a role in providing information to their members.</w:t>
      </w:r>
      <w:r>
        <w:rPr>
          <w:rStyle w:val="FootnoteReference"/>
        </w:rPr>
        <w:footnoteReference w:id="50"/>
      </w:r>
    </w:p>
    <w:p w14:paraId="098500D6" w14:textId="4F388A56" w:rsidR="00056E2D" w:rsidRDefault="00056E2D" w:rsidP="00056E2D">
      <w:pPr>
        <w:tabs>
          <w:tab w:val="left" w:pos="1845"/>
        </w:tabs>
      </w:pPr>
      <w:r>
        <w:t xml:space="preserve">Economic incentive would also provide motivation for individuals and businesses to prevent or protect </w:t>
      </w:r>
      <w:r w:rsidR="008B15EE">
        <w:t xml:space="preserve">people </w:t>
      </w:r>
      <w:r>
        <w:t xml:space="preserve">and </w:t>
      </w:r>
      <w:r w:rsidR="008B15EE">
        <w:t>assets</w:t>
      </w:r>
      <w:r>
        <w:t xml:space="preserve"> from fire. For example, a reasonable person or business would take steps to prevent fire </w:t>
      </w:r>
      <w:r w:rsidR="003F2918">
        <w:t>t</w:t>
      </w:r>
      <w:r>
        <w:t>o avoid economic loss</w:t>
      </w:r>
      <w:r w:rsidR="003F2918">
        <w:t xml:space="preserve"> or injury</w:t>
      </w:r>
      <w:r>
        <w:t xml:space="preserve">. </w:t>
      </w:r>
      <w:r w:rsidR="008B15EE">
        <w:t>In addition, i</w:t>
      </w:r>
      <w:r>
        <w:t>nsurance companies make inspections of businesses to ensure that there are appropriate fire controls and prevention protocols in place</w:t>
      </w:r>
      <w:r w:rsidR="00913DF6">
        <w:t>, and b</w:t>
      </w:r>
      <w:r>
        <w:t>usinesses operating with licences</w:t>
      </w:r>
      <w:r w:rsidR="00913DF6">
        <w:t xml:space="preserve"> </w:t>
      </w:r>
      <w:r>
        <w:t xml:space="preserve">would take precautions to prevent licence cancellation. Further, an individual or business may risk legal action or penalties if they act negligently or do not comply with other laws </w:t>
      </w:r>
      <w:r w:rsidR="00D16244">
        <w:t>(</w:t>
      </w:r>
      <w:r w:rsidR="001671AD">
        <w:t>for example</w:t>
      </w:r>
      <w:r>
        <w:t xml:space="preserve"> WorkSafe requirements, licence conditions for quarries, public liability assurance</w:t>
      </w:r>
      <w:r w:rsidR="00D16244">
        <w:t>)</w:t>
      </w:r>
      <w:r w:rsidR="00007010">
        <w:t>.</w:t>
      </w:r>
    </w:p>
    <w:p w14:paraId="4E7DD507" w14:textId="52C70B30" w:rsidR="00056E2D" w:rsidRDefault="00056E2D" w:rsidP="00056E2D">
      <w:r>
        <w:t>The base case also includes ‘normal behaviour</w:t>
      </w:r>
      <w:r w:rsidR="008B15EE">
        <w:t>’</w:t>
      </w:r>
      <w:r>
        <w:t xml:space="preserve">. </w:t>
      </w:r>
      <w:r w:rsidRPr="00A63116">
        <w:t xml:space="preserve">In the vast majority of cases, visitors to </w:t>
      </w:r>
      <w:r>
        <w:t>forests</w:t>
      </w:r>
      <w:r w:rsidRPr="00A63116">
        <w:t xml:space="preserve"> and businesses operating in </w:t>
      </w:r>
      <w:r>
        <w:t>or near forests seek</w:t>
      </w:r>
      <w:r w:rsidRPr="00A63116">
        <w:t xml:space="preserve"> to do the right thing, and in some cases where </w:t>
      </w:r>
      <w:r>
        <w:t>unintended fires</w:t>
      </w:r>
      <w:r w:rsidRPr="00A63116">
        <w:t xml:space="preserve"> </w:t>
      </w:r>
      <w:r>
        <w:t xml:space="preserve">do </w:t>
      </w:r>
      <w:r w:rsidRPr="00A63116">
        <w:t>occur</w:t>
      </w:r>
      <w:r>
        <w:t>,</w:t>
      </w:r>
      <w:r w:rsidRPr="00A63116">
        <w:t xml:space="preserve"> this </w:t>
      </w:r>
      <w:r>
        <w:t>usually</w:t>
      </w:r>
      <w:r w:rsidRPr="00A63116">
        <w:t xml:space="preserve"> arise</w:t>
      </w:r>
      <w:r>
        <w:t>s</w:t>
      </w:r>
      <w:r w:rsidRPr="00A63116">
        <w:t xml:space="preserve"> from </w:t>
      </w:r>
      <w:r w:rsidR="008B15EE">
        <w:t xml:space="preserve">them </w:t>
      </w:r>
      <w:r>
        <w:t>not understanding fire risks</w:t>
      </w:r>
      <w:r w:rsidRPr="00A63116">
        <w:t xml:space="preserve"> </w:t>
      </w:r>
      <w:r>
        <w:t xml:space="preserve">(‘the wind changed and fire just got away …’) </w:t>
      </w:r>
      <w:r w:rsidRPr="00A63116">
        <w:t xml:space="preserve">rather than </w:t>
      </w:r>
      <w:r>
        <w:t xml:space="preserve">from </w:t>
      </w:r>
      <w:r w:rsidRPr="00A63116">
        <w:t>bad intent</w:t>
      </w:r>
      <w:r w:rsidR="002A0699">
        <w:t>.</w:t>
      </w:r>
    </w:p>
    <w:p w14:paraId="04325340" w14:textId="052A93D8" w:rsidR="00F3478F" w:rsidRDefault="00F3478F" w:rsidP="00056E2D">
      <w:r w:rsidRPr="00F3478F">
        <w:t>Therefore, the regulatory costs to be assessed in this RIS are only those incremental to what people would do in any case (i.e., costs above the base case)</w:t>
      </w:r>
      <w:r w:rsidR="00AA39B1">
        <w:t>.</w:t>
      </w:r>
      <w:r w:rsidRPr="00F3478F">
        <w:t xml:space="preserve"> </w:t>
      </w:r>
      <w:r w:rsidR="00AA39B1">
        <w:t>H</w:t>
      </w:r>
      <w:r w:rsidRPr="00F3478F">
        <w:t>owever, to be conservative</w:t>
      </w:r>
      <w:r w:rsidR="00AA39B1">
        <w:t>,</w:t>
      </w:r>
      <w:r w:rsidRPr="00F3478F">
        <w:t xml:space="preserve"> most costs to be counted as cost imposed under each option are included.</w:t>
      </w:r>
    </w:p>
    <w:p w14:paraId="4C624BBA" w14:textId="6BE69012" w:rsidR="00056E2D" w:rsidRPr="003D7CCC" w:rsidRDefault="00056E2D" w:rsidP="00056E2D">
      <w:pPr>
        <w:pStyle w:val="Heading3"/>
      </w:pPr>
      <w:bookmarkStart w:id="64" w:name="_Toc187330543"/>
      <w:r w:rsidRPr="003D7CCC">
        <w:t>Types of costs considered</w:t>
      </w:r>
      <w:r w:rsidR="00B93C72">
        <w:t xml:space="preserve"> and assessment methods</w:t>
      </w:r>
      <w:bookmarkEnd w:id="64"/>
    </w:p>
    <w:p w14:paraId="1563D622" w14:textId="77757019" w:rsidR="00F3478F" w:rsidRDefault="00807D5C" w:rsidP="003F2918">
      <w:pPr>
        <w:rPr>
          <w:rFonts w:cs="Arial"/>
          <w:szCs w:val="22"/>
        </w:rPr>
      </w:pPr>
      <w:r w:rsidRPr="00371F65">
        <w:rPr>
          <w:rFonts w:cs="Arial"/>
          <w:szCs w:val="22"/>
        </w:rPr>
        <w:t>By their nature, regulations are designed to modify behaviour to achieve certain outcomes. This can impose costs on individuals or businesses known as ‘compliance costs’. In simple terms, compliance costs are the costs of complying with regulations. Relevant compliance costs for the matters covered by the regulations include ‘administrative costs’ and ‘substantive compliance costs’. Administrative cost</w:t>
      </w:r>
      <w:r w:rsidR="00862E77">
        <w:rPr>
          <w:rFonts w:cs="Arial"/>
          <w:szCs w:val="22"/>
        </w:rPr>
        <w:t>s</w:t>
      </w:r>
      <w:r w:rsidRPr="00371F65">
        <w:rPr>
          <w:rFonts w:cs="Arial"/>
          <w:szCs w:val="22"/>
        </w:rPr>
        <w:t>, often referred to as ‘red tape’, include filling out forms, reporting to government, and time costs associated with government inspections</w:t>
      </w:r>
      <w:r>
        <w:rPr>
          <w:rFonts w:cs="Arial"/>
          <w:szCs w:val="22"/>
        </w:rPr>
        <w:t>.</w:t>
      </w:r>
      <w:r w:rsidRPr="00371F65">
        <w:rPr>
          <w:rFonts w:cs="Arial"/>
          <w:szCs w:val="22"/>
        </w:rPr>
        <w:t xml:space="preserve"> Substantive compliance </w:t>
      </w:r>
      <w:r>
        <w:rPr>
          <w:rFonts w:cs="Arial"/>
          <w:szCs w:val="22"/>
        </w:rPr>
        <w:t xml:space="preserve">costs </w:t>
      </w:r>
      <w:r w:rsidRPr="00371F65">
        <w:rPr>
          <w:rFonts w:cs="Arial"/>
          <w:szCs w:val="22"/>
        </w:rPr>
        <w:t xml:space="preserve">are </w:t>
      </w:r>
      <w:r w:rsidR="0088104E">
        <w:rPr>
          <w:rFonts w:cs="Arial"/>
          <w:szCs w:val="22"/>
        </w:rPr>
        <w:t>context</w:t>
      </w:r>
      <w:r w:rsidR="0088104E" w:rsidRPr="00371F65">
        <w:rPr>
          <w:rFonts w:cs="Arial"/>
          <w:szCs w:val="22"/>
        </w:rPr>
        <w:t xml:space="preserve"> </w:t>
      </w:r>
      <w:r w:rsidRPr="00371F65">
        <w:rPr>
          <w:rFonts w:cs="Arial"/>
          <w:szCs w:val="22"/>
        </w:rPr>
        <w:t>specific regulations and may require the use of specified equipment or a requirement to carry out an action (</w:t>
      </w:r>
      <w:r w:rsidR="001671AD">
        <w:rPr>
          <w:rFonts w:cs="Arial"/>
          <w:szCs w:val="22"/>
        </w:rPr>
        <w:t>for example</w:t>
      </w:r>
      <w:r w:rsidRPr="00371F65">
        <w:rPr>
          <w:rFonts w:cs="Arial"/>
          <w:szCs w:val="22"/>
        </w:rPr>
        <w:t xml:space="preserve"> </w:t>
      </w:r>
      <w:r>
        <w:rPr>
          <w:rFonts w:cs="Arial"/>
          <w:szCs w:val="22"/>
        </w:rPr>
        <w:t xml:space="preserve">clearing </w:t>
      </w:r>
      <w:r w:rsidR="003F2918">
        <w:rPr>
          <w:rFonts w:cs="Arial"/>
          <w:szCs w:val="22"/>
        </w:rPr>
        <w:t xml:space="preserve">an </w:t>
      </w:r>
      <w:r>
        <w:rPr>
          <w:rFonts w:cs="Arial"/>
          <w:szCs w:val="22"/>
        </w:rPr>
        <w:t>area</w:t>
      </w:r>
      <w:r w:rsidRPr="00371F65">
        <w:rPr>
          <w:rFonts w:cs="Arial"/>
          <w:szCs w:val="22"/>
        </w:rPr>
        <w:t xml:space="preserve"> of inflammable material).</w:t>
      </w:r>
    </w:p>
    <w:p w14:paraId="17060CE9" w14:textId="0DFC7B33" w:rsidR="003F2918" w:rsidRDefault="009202EA" w:rsidP="009202EA">
      <w:pPr>
        <w:rPr>
          <w:rFonts w:cs="Arial"/>
          <w:szCs w:val="22"/>
        </w:rPr>
      </w:pPr>
      <w:r>
        <w:rPr>
          <w:rFonts w:cs="Arial"/>
          <w:szCs w:val="22"/>
        </w:rPr>
        <w:t>A number of methods</w:t>
      </w:r>
      <w:r w:rsidRPr="00371F65">
        <w:rPr>
          <w:rFonts w:cs="Arial"/>
          <w:szCs w:val="22"/>
        </w:rPr>
        <w:t xml:space="preserve"> can be used to assess costs and benefits. These include </w:t>
      </w:r>
      <w:r>
        <w:rPr>
          <w:rFonts w:cs="Arial"/>
          <w:szCs w:val="22"/>
        </w:rPr>
        <w:t>estimat</w:t>
      </w:r>
      <w:r w:rsidR="003F2918">
        <w:rPr>
          <w:rFonts w:cs="Arial"/>
          <w:szCs w:val="22"/>
        </w:rPr>
        <w:t>ing</w:t>
      </w:r>
      <w:r>
        <w:rPr>
          <w:rFonts w:cs="Arial"/>
          <w:szCs w:val="22"/>
        </w:rPr>
        <w:t xml:space="preserve"> </w:t>
      </w:r>
      <w:r w:rsidR="003F2918">
        <w:rPr>
          <w:rFonts w:cs="Arial"/>
          <w:szCs w:val="22"/>
        </w:rPr>
        <w:t xml:space="preserve">the </w:t>
      </w:r>
      <w:r w:rsidRPr="00371F65">
        <w:rPr>
          <w:rFonts w:cs="Arial"/>
          <w:szCs w:val="22"/>
        </w:rPr>
        <w:t>quantitative cost</w:t>
      </w:r>
      <w:r>
        <w:rPr>
          <w:rFonts w:cs="Arial"/>
          <w:szCs w:val="22"/>
        </w:rPr>
        <w:t>s</w:t>
      </w:r>
      <w:r w:rsidRPr="00371F65">
        <w:rPr>
          <w:rFonts w:cs="Arial"/>
          <w:szCs w:val="22"/>
        </w:rPr>
        <w:t xml:space="preserve"> of regulatory burden</w:t>
      </w:r>
      <w:r w:rsidR="003F2918">
        <w:rPr>
          <w:rFonts w:cs="Arial"/>
          <w:szCs w:val="22"/>
        </w:rPr>
        <w:t>s</w:t>
      </w:r>
      <w:r>
        <w:rPr>
          <w:rFonts w:cs="Arial"/>
          <w:szCs w:val="22"/>
        </w:rPr>
        <w:t xml:space="preserve">, </w:t>
      </w:r>
      <w:r w:rsidR="008B15EE">
        <w:rPr>
          <w:rFonts w:cs="Arial"/>
          <w:szCs w:val="22"/>
        </w:rPr>
        <w:t>using decision making tools in cases where</w:t>
      </w:r>
      <w:r>
        <w:rPr>
          <w:rFonts w:cs="Arial"/>
          <w:szCs w:val="22"/>
        </w:rPr>
        <w:t xml:space="preserve"> benefits are difficult to quantify, </w:t>
      </w:r>
      <w:r w:rsidRPr="00371F65">
        <w:rPr>
          <w:rFonts w:cs="Arial"/>
          <w:szCs w:val="22"/>
        </w:rPr>
        <w:t xml:space="preserve">and </w:t>
      </w:r>
      <w:r>
        <w:rPr>
          <w:rFonts w:cs="Arial"/>
          <w:szCs w:val="22"/>
        </w:rPr>
        <w:t xml:space="preserve">forms of </w:t>
      </w:r>
      <w:r w:rsidRPr="00371F65">
        <w:rPr>
          <w:rFonts w:cs="Arial"/>
          <w:szCs w:val="22"/>
        </w:rPr>
        <w:t>break-even analysis.</w:t>
      </w:r>
      <w:r>
        <w:rPr>
          <w:rFonts w:cs="Arial"/>
          <w:szCs w:val="22"/>
        </w:rPr>
        <w:t xml:space="preserve"> </w:t>
      </w:r>
    </w:p>
    <w:p w14:paraId="05DD070D" w14:textId="3FE14549" w:rsidR="009202EA" w:rsidRDefault="009202EA" w:rsidP="009202EA">
      <w:r w:rsidRPr="00371F65">
        <w:rPr>
          <w:rFonts w:cs="Arial"/>
          <w:szCs w:val="22"/>
        </w:rPr>
        <w:t xml:space="preserve">In this RIS, </w:t>
      </w:r>
      <w:r w:rsidR="003F2918">
        <w:rPr>
          <w:rFonts w:cs="Arial"/>
          <w:szCs w:val="22"/>
        </w:rPr>
        <w:t>the Standard Cost Model</w:t>
      </w:r>
      <w:r w:rsidR="003F2918">
        <w:rPr>
          <w:rStyle w:val="FootnoteReference"/>
          <w:rFonts w:cs="Arial"/>
          <w:szCs w:val="22"/>
        </w:rPr>
        <w:footnoteReference w:id="51"/>
      </w:r>
      <w:r w:rsidR="003F2918">
        <w:rPr>
          <w:rFonts w:cs="Arial"/>
          <w:szCs w:val="22"/>
        </w:rPr>
        <w:t xml:space="preserve"> is used to estimate annual costs</w:t>
      </w:r>
      <w:r w:rsidR="003F2918" w:rsidRPr="00371F65">
        <w:rPr>
          <w:rFonts w:cs="Arial"/>
          <w:szCs w:val="22"/>
        </w:rPr>
        <w:t xml:space="preserve"> </w:t>
      </w:r>
      <w:r w:rsidR="00F3478F">
        <w:rPr>
          <w:rFonts w:cs="Arial"/>
          <w:szCs w:val="22"/>
        </w:rPr>
        <w:t xml:space="preserve">and </w:t>
      </w:r>
      <w:r w:rsidRPr="00371F65">
        <w:rPr>
          <w:rFonts w:cs="Arial"/>
          <w:szCs w:val="22"/>
        </w:rPr>
        <w:t xml:space="preserve">the present value </w:t>
      </w:r>
      <w:r>
        <w:rPr>
          <w:rFonts w:cs="Arial"/>
          <w:szCs w:val="22"/>
        </w:rPr>
        <w:t>technique</w:t>
      </w:r>
      <w:r w:rsidRPr="00371F65">
        <w:rPr>
          <w:rFonts w:cs="Arial"/>
          <w:szCs w:val="22"/>
        </w:rPr>
        <w:t xml:space="preserve"> is used to estimate </w:t>
      </w:r>
      <w:r>
        <w:rPr>
          <w:rFonts w:cs="Arial"/>
          <w:szCs w:val="22"/>
        </w:rPr>
        <w:t xml:space="preserve">costs </w:t>
      </w:r>
      <w:r w:rsidRPr="00371F65">
        <w:rPr>
          <w:rFonts w:cs="Arial"/>
          <w:szCs w:val="22"/>
        </w:rPr>
        <w:t>over a 10-year period</w:t>
      </w:r>
      <w:r w:rsidRPr="002569CD">
        <w:rPr>
          <w:rFonts w:cs="Arial"/>
          <w:szCs w:val="22"/>
        </w:rPr>
        <w:t>.</w:t>
      </w:r>
      <w:r w:rsidRPr="00705426">
        <w:rPr>
          <w:rFonts w:cs="Arial"/>
          <w:szCs w:val="22"/>
        </w:rPr>
        <w:t xml:space="preserve"> </w:t>
      </w:r>
      <w:r w:rsidRPr="002569CD">
        <w:rPr>
          <w:rFonts w:cs="Arial"/>
          <w:szCs w:val="22"/>
        </w:rPr>
        <w:t>While certain costs can be quantified, others are difficult</w:t>
      </w:r>
      <w:r w:rsidR="0027046E">
        <w:rPr>
          <w:rFonts w:cs="Arial"/>
          <w:szCs w:val="22"/>
        </w:rPr>
        <w:t xml:space="preserve"> to quantify </w:t>
      </w:r>
      <w:r w:rsidRPr="002569CD">
        <w:rPr>
          <w:rFonts w:cs="Arial"/>
          <w:szCs w:val="22"/>
        </w:rPr>
        <w:t>with reasonable certainty (</w:t>
      </w:r>
      <w:r w:rsidR="001671AD">
        <w:rPr>
          <w:rFonts w:cs="Arial"/>
          <w:szCs w:val="22"/>
        </w:rPr>
        <w:t>for example</w:t>
      </w:r>
      <w:r w:rsidRPr="002569CD">
        <w:rPr>
          <w:rFonts w:cs="Arial"/>
          <w:szCs w:val="22"/>
        </w:rPr>
        <w:t xml:space="preserve"> the ‘cost’ of extinguishing a fire when ordered to do </w:t>
      </w:r>
      <w:r>
        <w:rPr>
          <w:rFonts w:cs="Arial"/>
          <w:szCs w:val="22"/>
        </w:rPr>
        <w:t xml:space="preserve">so </w:t>
      </w:r>
      <w:r w:rsidRPr="002569CD">
        <w:rPr>
          <w:rFonts w:cs="Arial"/>
          <w:szCs w:val="22"/>
        </w:rPr>
        <w:t xml:space="preserve">by an authorised </w:t>
      </w:r>
      <w:r w:rsidR="00747D34" w:rsidRPr="002569CD">
        <w:rPr>
          <w:rFonts w:cs="Arial"/>
          <w:szCs w:val="22"/>
        </w:rPr>
        <w:t>officer</w:t>
      </w:r>
      <w:r w:rsidR="00747D34">
        <w:rPr>
          <w:rFonts w:cs="Arial"/>
          <w:szCs w:val="22"/>
        </w:rPr>
        <w:t xml:space="preserve"> or</w:t>
      </w:r>
      <w:r w:rsidRPr="00705426">
        <w:rPr>
          <w:rFonts w:cs="Arial"/>
          <w:szCs w:val="22"/>
        </w:rPr>
        <w:t xml:space="preserve"> clearing inflammable material around a fire</w:t>
      </w:r>
      <w:r w:rsidRPr="002569CD">
        <w:rPr>
          <w:rFonts w:cs="Arial"/>
          <w:szCs w:val="22"/>
        </w:rPr>
        <w:t>).</w:t>
      </w:r>
      <w:r w:rsidRPr="00705426">
        <w:rPr>
          <w:rFonts w:cs="Arial"/>
          <w:szCs w:val="22"/>
        </w:rPr>
        <w:t xml:space="preserve"> These are minor actions that impose minimal costs on parties and can be complied with easily.</w:t>
      </w:r>
    </w:p>
    <w:p w14:paraId="0F5579FB" w14:textId="2D43D79E" w:rsidR="00056E2D" w:rsidRPr="003D7CCC" w:rsidRDefault="00056E2D" w:rsidP="00056E2D">
      <w:pPr>
        <w:pStyle w:val="Heading3"/>
      </w:pPr>
      <w:bookmarkStart w:id="65" w:name="_Toc187330544"/>
      <w:r w:rsidRPr="003D7CCC">
        <w:t>Types of benefits considered</w:t>
      </w:r>
      <w:r w:rsidR="001B0531">
        <w:t xml:space="preserve"> and assessment methods</w:t>
      </w:r>
      <w:bookmarkEnd w:id="65"/>
    </w:p>
    <w:p w14:paraId="5D354B5A" w14:textId="184B4B59" w:rsidR="00056E2D" w:rsidRDefault="00056E2D" w:rsidP="00056E2D">
      <w:r w:rsidRPr="00F9168F">
        <w:t xml:space="preserve">The </w:t>
      </w:r>
      <w:r>
        <w:t xml:space="preserve">benefits of options considered are conceptually difficult to estimate. First, the </w:t>
      </w:r>
      <w:r w:rsidRPr="00F9168F">
        <w:t xml:space="preserve">benefits are diffuse and </w:t>
      </w:r>
      <w:r>
        <w:t>sometimes in</w:t>
      </w:r>
      <w:r w:rsidRPr="00F9168F">
        <w:t xml:space="preserve">tangible </w:t>
      </w:r>
      <w:r>
        <w:t xml:space="preserve">(or incapable of being quantified). They also relate to events that are prevented or contained, that is, avoided costs. Second, many factors play a role in preventing damage from fire. These include factors described in the base case (i.e., ‘reasonable’ behaviour, economic incentives) and other legislative requirements, not least those contained in </w:t>
      </w:r>
      <w:r w:rsidRPr="00455757">
        <w:t xml:space="preserve">the </w:t>
      </w:r>
      <w:r w:rsidR="000E46CA" w:rsidRPr="0076029B">
        <w:t>Forests Act</w:t>
      </w:r>
      <w:r w:rsidRPr="00455757">
        <w:t xml:space="preserve"> itself</w:t>
      </w:r>
      <w:r>
        <w:t xml:space="preserve">. This makes </w:t>
      </w:r>
      <w:r w:rsidR="00702F97">
        <w:t xml:space="preserve">it </w:t>
      </w:r>
      <w:r w:rsidR="00355BDC">
        <w:t>challenging</w:t>
      </w:r>
      <w:r w:rsidR="00702F97">
        <w:t xml:space="preserve"> to</w:t>
      </w:r>
      <w:r w:rsidR="00355BDC">
        <w:t xml:space="preserve"> directly</w:t>
      </w:r>
      <w:r>
        <w:t xml:space="preserve"> </w:t>
      </w:r>
      <w:r w:rsidR="009D4C75">
        <w:t>attribut</w:t>
      </w:r>
      <w:r w:rsidR="00702F97">
        <w:t>e</w:t>
      </w:r>
      <w:r w:rsidR="008252C0">
        <w:t xml:space="preserve"> </w:t>
      </w:r>
      <w:r>
        <w:t xml:space="preserve">benefits </w:t>
      </w:r>
      <w:r w:rsidR="008252C0">
        <w:t xml:space="preserve">to </w:t>
      </w:r>
      <w:r>
        <w:t>the regulations’ contribution to fire prevention.</w:t>
      </w:r>
    </w:p>
    <w:p w14:paraId="6098AC3C" w14:textId="47DC288D" w:rsidR="00056E2D" w:rsidRDefault="00104B69" w:rsidP="00056E2D">
      <w:r>
        <w:t>However, as discussed in section 2.1.1</w:t>
      </w:r>
      <w:r w:rsidR="00C75926">
        <w:t xml:space="preserve"> in detail</w:t>
      </w:r>
      <w:r w:rsidR="00056E2D">
        <w:t xml:space="preserve">, the type of benefits likely to arise from preventing fire damage to </w:t>
      </w:r>
      <w:r>
        <w:t xml:space="preserve">Victorian </w:t>
      </w:r>
      <w:r w:rsidR="00056E2D">
        <w:t xml:space="preserve">forests </w:t>
      </w:r>
      <w:r w:rsidR="00F42682">
        <w:t xml:space="preserve">and surrounding </w:t>
      </w:r>
      <w:r w:rsidR="00097A5A">
        <w:t>communities</w:t>
      </w:r>
      <w:r w:rsidR="00F42682">
        <w:t xml:space="preserve"> </w:t>
      </w:r>
      <w:r w:rsidR="00056E2D">
        <w:t xml:space="preserve">include protecting the values of: </w:t>
      </w:r>
    </w:p>
    <w:p w14:paraId="5C147341" w14:textId="5355FE97" w:rsidR="00056E2D" w:rsidRPr="00244208" w:rsidRDefault="00056E2D" w:rsidP="0057567B">
      <w:pPr>
        <w:pStyle w:val="ListParagraph"/>
        <w:numPr>
          <w:ilvl w:val="0"/>
          <w:numId w:val="18"/>
        </w:numPr>
        <w:spacing w:before="0" w:line="240" w:lineRule="auto"/>
        <w:ind w:left="709" w:hanging="425"/>
        <w:contextualSpacing w:val="0"/>
      </w:pPr>
      <w:r w:rsidRPr="00244208">
        <w:t>human life and injury prevention (including physical and mental health costs) – the smoke-related health costs from the 2019-20 Black Summer incurred by Victorians alone have been estimate</w:t>
      </w:r>
      <w:r w:rsidR="00576E9C">
        <w:t>d</w:t>
      </w:r>
      <w:r w:rsidRPr="00244208">
        <w:t xml:space="preserve"> at $492 million.</w:t>
      </w:r>
      <w:r w:rsidRPr="00244208">
        <w:rPr>
          <w:vertAlign w:val="superscript"/>
        </w:rPr>
        <w:footnoteReference w:id="52"/>
      </w:r>
    </w:p>
    <w:p w14:paraId="538F76D5" w14:textId="25D07720" w:rsidR="002C79FA" w:rsidRPr="00244208" w:rsidRDefault="00056E2D" w:rsidP="0057567B">
      <w:pPr>
        <w:pStyle w:val="ListParagraph"/>
        <w:numPr>
          <w:ilvl w:val="0"/>
          <w:numId w:val="18"/>
        </w:numPr>
        <w:spacing w:before="0" w:line="240" w:lineRule="auto"/>
        <w:ind w:left="709" w:hanging="425"/>
        <w:contextualSpacing w:val="0"/>
      </w:pPr>
      <w:r w:rsidRPr="00244208">
        <w:t>environmental values (</w:t>
      </w:r>
      <w:bookmarkStart w:id="66" w:name="_Hlk184933362"/>
      <w:r w:rsidRPr="00244208">
        <w:t>including biodiversity, water runoff (valued at $244 million per annum</w:t>
      </w:r>
      <w:r w:rsidRPr="00244208">
        <w:rPr>
          <w:rStyle w:val="FootnoteReference"/>
        </w:rPr>
        <w:footnoteReference w:id="53"/>
      </w:r>
      <w:r w:rsidRPr="00244208">
        <w:t>), and wildlife preservation</w:t>
      </w:r>
      <w:r w:rsidR="00FA511E">
        <w:t>.</w:t>
      </w:r>
      <w:bookmarkEnd w:id="66"/>
    </w:p>
    <w:p w14:paraId="01391CB8" w14:textId="69FEC3D8" w:rsidR="00056E2D" w:rsidRPr="00244208" w:rsidRDefault="00056E2D" w:rsidP="0057567B">
      <w:pPr>
        <w:pStyle w:val="ListParagraph"/>
        <w:numPr>
          <w:ilvl w:val="0"/>
          <w:numId w:val="18"/>
        </w:numPr>
        <w:spacing w:before="0" w:line="240" w:lineRule="auto"/>
        <w:ind w:left="709" w:hanging="425"/>
        <w:contextualSpacing w:val="0"/>
      </w:pPr>
      <w:r w:rsidRPr="00244208">
        <w:t>direct and indirect economic activities</w:t>
      </w:r>
      <w:r w:rsidR="00F64F8A">
        <w:t xml:space="preserve"> </w:t>
      </w:r>
      <w:r w:rsidRPr="00244208">
        <w:t>including tourism ($1.4 billion per annum</w:t>
      </w:r>
      <w:r w:rsidRPr="00244208">
        <w:rPr>
          <w:rStyle w:val="FootnoteReference"/>
        </w:rPr>
        <w:footnoteReference w:id="54"/>
      </w:r>
      <w:r w:rsidRPr="00244208">
        <w:t>), recreation</w:t>
      </w:r>
      <w:r w:rsidR="00E30165" w:rsidRPr="00244208">
        <w:t xml:space="preserve"> </w:t>
      </w:r>
      <w:r w:rsidRPr="00244208">
        <w:t>($600–$1,000 million per annum</w:t>
      </w:r>
      <w:r w:rsidRPr="00244208">
        <w:rPr>
          <w:rStyle w:val="FootnoteReference"/>
        </w:rPr>
        <w:footnoteReference w:id="55"/>
      </w:r>
      <w:r w:rsidRPr="00244208">
        <w:t>), honey production ($3.4–$4.6 million per annum</w:t>
      </w:r>
      <w:r w:rsidRPr="00244208">
        <w:rPr>
          <w:rStyle w:val="FootnoteReference"/>
        </w:rPr>
        <w:footnoteReference w:id="56"/>
      </w:r>
      <w:r w:rsidRPr="00244208">
        <w:t>) and pollination ($123–167 million per annum</w:t>
      </w:r>
      <w:r w:rsidRPr="00244208">
        <w:rPr>
          <w:rStyle w:val="FootnoteReference"/>
        </w:rPr>
        <w:footnoteReference w:id="57"/>
      </w:r>
      <w:r w:rsidRPr="00244208">
        <w:t>).</w:t>
      </w:r>
    </w:p>
    <w:p w14:paraId="7596317D" w14:textId="2C16B176" w:rsidR="00056E2D" w:rsidRDefault="00056E2D" w:rsidP="00056E2D">
      <w:r>
        <w:t>There are also many intangible benefits of forests such as maintenance of wildlife genetic diversity and species, cultural connection, community amenity, and scientific and educational benefits.</w:t>
      </w:r>
      <w:r>
        <w:rPr>
          <w:rStyle w:val="FootnoteReference"/>
        </w:rPr>
        <w:footnoteReference w:id="58"/>
      </w:r>
    </w:p>
    <w:p w14:paraId="0E2CE579" w14:textId="2701E9D7" w:rsidR="001B0531" w:rsidRPr="00A41F5F" w:rsidRDefault="001B0531" w:rsidP="001B0531">
      <w:pPr>
        <w:rPr>
          <w:rFonts w:ascii="Arial" w:hAnsi="Arial" w:cs="Arial"/>
        </w:rPr>
      </w:pPr>
      <w:r>
        <w:rPr>
          <w:rFonts w:ascii="Arial" w:hAnsi="Arial" w:cs="Arial"/>
        </w:rPr>
        <w:t>G</w:t>
      </w:r>
      <w:r w:rsidRPr="00A41F5F">
        <w:rPr>
          <w:rFonts w:ascii="Arial" w:hAnsi="Arial" w:cs="Arial"/>
        </w:rPr>
        <w:t xml:space="preserve">iven that </w:t>
      </w:r>
      <w:r>
        <w:rPr>
          <w:rFonts w:ascii="Arial" w:hAnsi="Arial" w:cs="Arial"/>
        </w:rPr>
        <w:t>many of</w:t>
      </w:r>
      <w:r w:rsidRPr="00A41F5F">
        <w:rPr>
          <w:rFonts w:ascii="Arial" w:hAnsi="Arial" w:cs="Arial"/>
        </w:rPr>
        <w:t xml:space="preserve"> the benefits are </w:t>
      </w:r>
      <w:r>
        <w:rPr>
          <w:rFonts w:ascii="Arial" w:hAnsi="Arial" w:cs="Arial"/>
        </w:rPr>
        <w:t>difficult to quantify (</w:t>
      </w:r>
      <w:r w:rsidR="001671AD">
        <w:rPr>
          <w:rFonts w:ascii="Arial" w:hAnsi="Arial" w:cs="Arial"/>
        </w:rPr>
        <w:t>for example</w:t>
      </w:r>
      <w:r w:rsidRPr="00A41F5F">
        <w:rPr>
          <w:rFonts w:ascii="Arial" w:hAnsi="Arial" w:cs="Arial"/>
        </w:rPr>
        <w:t xml:space="preserve"> avoided costs of fire</w:t>
      </w:r>
      <w:r>
        <w:rPr>
          <w:rFonts w:ascii="Arial" w:hAnsi="Arial" w:cs="Arial"/>
        </w:rPr>
        <w:t>)</w:t>
      </w:r>
      <w:r w:rsidRPr="00A41F5F">
        <w:rPr>
          <w:rFonts w:ascii="Arial" w:hAnsi="Arial" w:cs="Arial"/>
        </w:rPr>
        <w:t>, the multi-criteria analysis (MCA) decision making tool to is used to assess costs and benefits where the</w:t>
      </w:r>
      <w:r>
        <w:rPr>
          <w:rFonts w:ascii="Arial" w:hAnsi="Arial" w:cs="Arial"/>
        </w:rPr>
        <w:t>se</w:t>
      </w:r>
      <w:r w:rsidRPr="00A41F5F">
        <w:rPr>
          <w:rFonts w:ascii="Arial" w:hAnsi="Arial" w:cs="Arial"/>
        </w:rPr>
        <w:t xml:space="preserve"> are difficult to quantify. This tool requires judgements about how options would perform against a series of criteria that are chosen to reflect the benefits and costs associated with the options.</w:t>
      </w:r>
      <w:r w:rsidR="00E97987">
        <w:rPr>
          <w:rFonts w:ascii="Arial" w:hAnsi="Arial" w:cs="Arial"/>
        </w:rPr>
        <w:t xml:space="preserve"> </w:t>
      </w:r>
      <w:r w:rsidR="00E97987" w:rsidRPr="00A41F5F">
        <w:rPr>
          <w:rFonts w:ascii="Arial" w:hAnsi="Arial" w:cs="Arial"/>
        </w:rPr>
        <w:t>The decision rule for the options is that if the MCA received a positive net score, then it represents an improvement over the base case and should be adopted.</w:t>
      </w:r>
      <w:r w:rsidR="00E97987">
        <w:rPr>
          <w:rFonts w:ascii="Arial" w:hAnsi="Arial" w:cs="Arial"/>
        </w:rPr>
        <w:t xml:space="preserve"> </w:t>
      </w:r>
      <w:r w:rsidR="00E97987" w:rsidRPr="00A41F5F">
        <w:rPr>
          <w:rFonts w:ascii="Arial" w:hAnsi="Arial" w:cs="Arial"/>
        </w:rPr>
        <w:t>The option with the highest net score is preferred</w:t>
      </w:r>
      <w:r w:rsidR="00363076">
        <w:rPr>
          <w:rFonts w:ascii="Arial" w:hAnsi="Arial" w:cs="Arial"/>
        </w:rPr>
        <w:t>.</w:t>
      </w:r>
    </w:p>
    <w:p w14:paraId="203F7FD3" w14:textId="1B964B22" w:rsidR="001B0531" w:rsidRPr="00A41F5F" w:rsidRDefault="001B0531" w:rsidP="001B0531">
      <w:pPr>
        <w:rPr>
          <w:rFonts w:ascii="Arial" w:hAnsi="Arial" w:cs="Arial"/>
        </w:rPr>
      </w:pPr>
      <w:r w:rsidRPr="00A41F5F">
        <w:rPr>
          <w:rFonts w:ascii="Arial" w:hAnsi="Arial" w:cs="Arial"/>
        </w:rPr>
        <w:t>S</w:t>
      </w:r>
      <w:r w:rsidR="00F16AEB">
        <w:rPr>
          <w:rFonts w:ascii="Arial" w:hAnsi="Arial" w:cs="Arial"/>
        </w:rPr>
        <w:t>ix</w:t>
      </w:r>
      <w:r w:rsidRPr="00A41F5F">
        <w:rPr>
          <w:rFonts w:ascii="Arial" w:hAnsi="Arial" w:cs="Arial"/>
        </w:rPr>
        <w:t xml:space="preserve"> criteria relating to the costs and benefits were chosen and weightings selected (see Table</w:t>
      </w:r>
      <w:r>
        <w:rPr>
          <w:rFonts w:ascii="Arial" w:hAnsi="Arial" w:cs="Arial"/>
        </w:rPr>
        <w:t xml:space="preserve"> </w:t>
      </w:r>
      <w:r w:rsidR="00363076">
        <w:rPr>
          <w:rFonts w:ascii="Arial" w:hAnsi="Arial" w:cs="Arial"/>
        </w:rPr>
        <w:t>10</w:t>
      </w:r>
      <w:r w:rsidRPr="00A41F5F">
        <w:rPr>
          <w:rFonts w:ascii="Arial" w:hAnsi="Arial" w:cs="Arial"/>
        </w:rPr>
        <w:t xml:space="preserve">). Benefits and costs have been weighted equally (50 per cent each). These criteria reflect the government’s objectives and weighting priorities in relation to bushfire </w:t>
      </w:r>
      <w:r w:rsidR="00C94E37">
        <w:rPr>
          <w:rFonts w:ascii="Arial" w:hAnsi="Arial" w:cs="Arial"/>
        </w:rPr>
        <w:t>risk reduction</w:t>
      </w:r>
      <w:r w:rsidRPr="00A41F5F">
        <w:rPr>
          <w:rFonts w:ascii="Arial" w:hAnsi="Arial" w:cs="Arial"/>
        </w:rPr>
        <w:t>.</w:t>
      </w:r>
    </w:p>
    <w:p w14:paraId="3F179280" w14:textId="7AFAA095" w:rsidR="001B0531" w:rsidRPr="001403D3" w:rsidRDefault="001B0531" w:rsidP="001B0531">
      <w:pPr>
        <w:pStyle w:val="Caption"/>
      </w:pPr>
      <w:r>
        <w:t xml:space="preserve">Table </w:t>
      </w:r>
      <w:r w:rsidR="00363076">
        <w:t>10</w:t>
      </w:r>
      <w:r>
        <w:t xml:space="preserve">: </w:t>
      </w:r>
      <w:r w:rsidRPr="001403D3">
        <w:t>Multi-criteria Analysis Criteria</w:t>
      </w:r>
    </w:p>
    <w:tbl>
      <w:tblPr>
        <w:tblW w:w="8931" w:type="dxa"/>
        <w:tblInd w:w="-10" w:type="dxa"/>
        <w:tblCellMar>
          <w:left w:w="0" w:type="dxa"/>
          <w:right w:w="0" w:type="dxa"/>
        </w:tblCellMar>
        <w:tblLook w:val="04A0" w:firstRow="1" w:lastRow="0" w:firstColumn="1" w:lastColumn="0" w:noHBand="0" w:noVBand="1"/>
      </w:tblPr>
      <w:tblGrid>
        <w:gridCol w:w="2961"/>
        <w:gridCol w:w="4694"/>
        <w:gridCol w:w="1276"/>
      </w:tblGrid>
      <w:tr w:rsidR="001B0531" w:rsidRPr="00A41F5F" w14:paraId="0584FE4A" w14:textId="77777777" w:rsidTr="00091ED4">
        <w:trPr>
          <w:tblHeader/>
        </w:trPr>
        <w:tc>
          <w:tcPr>
            <w:tcW w:w="2961" w:type="dxa"/>
            <w:tcBorders>
              <w:top w:val="single" w:sz="8" w:space="0" w:color="auto"/>
              <w:left w:val="single" w:sz="8" w:space="0" w:color="auto"/>
              <w:bottom w:val="single" w:sz="8" w:space="0" w:color="auto"/>
              <w:right w:val="single" w:sz="8" w:space="0" w:color="auto"/>
            </w:tcBorders>
            <w:shd w:val="clear" w:color="auto" w:fill="CCEFD9" w:themeFill="background2"/>
            <w:tcMar>
              <w:top w:w="0" w:type="dxa"/>
              <w:left w:w="108" w:type="dxa"/>
              <w:bottom w:w="0" w:type="dxa"/>
              <w:right w:w="108" w:type="dxa"/>
            </w:tcMar>
            <w:hideMark/>
          </w:tcPr>
          <w:p w14:paraId="065C11F8" w14:textId="77777777" w:rsidR="001B0531" w:rsidRPr="00A41F5F" w:rsidRDefault="001B0531">
            <w:pPr>
              <w:spacing w:before="100" w:beforeAutospacing="1" w:after="40"/>
              <w:rPr>
                <w:rFonts w:ascii="Arial" w:hAnsi="Arial" w:cs="Arial"/>
              </w:rPr>
            </w:pPr>
            <w:bookmarkStart w:id="67" w:name="_Hlk166315883"/>
            <w:r w:rsidRPr="00A41F5F">
              <w:rPr>
                <w:rFonts w:ascii="Arial" w:hAnsi="Arial" w:cs="Arial"/>
                <w:b/>
                <w:bCs/>
                <w:color w:val="000000"/>
              </w:rPr>
              <w:t>Criterion</w:t>
            </w:r>
            <w:r>
              <w:rPr>
                <w:rFonts w:ascii="Arial" w:hAnsi="Arial" w:cs="Arial"/>
                <w:b/>
                <w:bCs/>
                <w:color w:val="000000"/>
              </w:rPr>
              <w:t xml:space="preserve"> </w:t>
            </w:r>
            <w:r w:rsidRPr="00872753">
              <w:rPr>
                <w:rFonts w:ascii="Arial" w:hAnsi="Arial" w:cs="Arial"/>
                <w:color w:val="000000"/>
                <w:sz w:val="18"/>
                <w:szCs w:val="18"/>
              </w:rPr>
              <w:t>(see note)</w:t>
            </w:r>
          </w:p>
        </w:tc>
        <w:tc>
          <w:tcPr>
            <w:tcW w:w="4694" w:type="dxa"/>
            <w:tcBorders>
              <w:top w:val="single" w:sz="8" w:space="0" w:color="auto"/>
              <w:left w:val="nil"/>
              <w:bottom w:val="single" w:sz="8" w:space="0" w:color="auto"/>
              <w:right w:val="single" w:sz="8" w:space="0" w:color="auto"/>
            </w:tcBorders>
            <w:shd w:val="clear" w:color="auto" w:fill="CCEFD9" w:themeFill="background2"/>
            <w:tcMar>
              <w:top w:w="0" w:type="dxa"/>
              <w:left w:w="108" w:type="dxa"/>
              <w:bottom w:w="0" w:type="dxa"/>
              <w:right w:w="108" w:type="dxa"/>
            </w:tcMar>
            <w:hideMark/>
          </w:tcPr>
          <w:p w14:paraId="152A05ED" w14:textId="77777777" w:rsidR="001B0531" w:rsidRPr="00A41F5F" w:rsidRDefault="001B0531">
            <w:pPr>
              <w:spacing w:before="100" w:beforeAutospacing="1" w:after="40"/>
              <w:rPr>
                <w:rFonts w:ascii="Arial" w:hAnsi="Arial" w:cs="Arial"/>
              </w:rPr>
            </w:pPr>
            <w:r w:rsidRPr="00A41F5F">
              <w:rPr>
                <w:rFonts w:ascii="Arial" w:hAnsi="Arial" w:cs="Arial"/>
                <w:b/>
                <w:bCs/>
                <w:color w:val="000000"/>
              </w:rPr>
              <w:t>Description of criterion</w:t>
            </w:r>
          </w:p>
        </w:tc>
        <w:tc>
          <w:tcPr>
            <w:tcW w:w="1276" w:type="dxa"/>
            <w:tcBorders>
              <w:top w:val="single" w:sz="8" w:space="0" w:color="auto"/>
              <w:left w:val="nil"/>
              <w:bottom w:val="single" w:sz="8" w:space="0" w:color="auto"/>
              <w:right w:val="single" w:sz="8" w:space="0" w:color="auto"/>
            </w:tcBorders>
            <w:shd w:val="clear" w:color="auto" w:fill="CCEFD9" w:themeFill="background2"/>
            <w:tcMar>
              <w:top w:w="0" w:type="dxa"/>
              <w:left w:w="108" w:type="dxa"/>
              <w:bottom w:w="0" w:type="dxa"/>
              <w:right w:w="108" w:type="dxa"/>
            </w:tcMar>
            <w:hideMark/>
          </w:tcPr>
          <w:p w14:paraId="08321CBC" w14:textId="77777777" w:rsidR="001B0531" w:rsidRPr="00A41F5F" w:rsidRDefault="001B0531">
            <w:pPr>
              <w:spacing w:before="100" w:beforeAutospacing="1" w:after="40"/>
              <w:rPr>
                <w:rFonts w:ascii="Arial" w:hAnsi="Arial" w:cs="Arial"/>
              </w:rPr>
            </w:pPr>
            <w:r w:rsidRPr="00A41F5F">
              <w:rPr>
                <w:rFonts w:ascii="Arial" w:hAnsi="Arial" w:cs="Arial"/>
                <w:b/>
                <w:bCs/>
                <w:color w:val="000000"/>
              </w:rPr>
              <w:t>Weighting</w:t>
            </w:r>
          </w:p>
        </w:tc>
      </w:tr>
      <w:tr w:rsidR="001B0531" w:rsidRPr="00A41F5F" w14:paraId="02338505" w14:textId="77777777">
        <w:tc>
          <w:tcPr>
            <w:tcW w:w="8931"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1C13E1" w14:textId="77777777" w:rsidR="001B0531" w:rsidRPr="00A41F5F" w:rsidRDefault="001B0531">
            <w:pPr>
              <w:spacing w:before="100" w:beforeAutospacing="1" w:after="40"/>
              <w:rPr>
                <w:rFonts w:ascii="Arial" w:hAnsi="Arial" w:cs="Arial"/>
              </w:rPr>
            </w:pPr>
            <w:r w:rsidRPr="00A41F5F">
              <w:rPr>
                <w:rFonts w:ascii="Arial" w:hAnsi="Arial" w:cs="Arial"/>
                <w:i/>
                <w:iCs/>
                <w:color w:val="000000"/>
              </w:rPr>
              <w:t>Benefit criteria</w:t>
            </w:r>
          </w:p>
        </w:tc>
      </w:tr>
      <w:tr w:rsidR="001B0531" w:rsidRPr="00A41F5F" w14:paraId="2E1B6B27" w14:textId="77777777">
        <w:tc>
          <w:tcPr>
            <w:tcW w:w="29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82C1F9" w14:textId="77777777" w:rsidR="001B0531" w:rsidRPr="00A41F5F" w:rsidRDefault="001B0531">
            <w:pPr>
              <w:pStyle w:val="ListParagraph"/>
              <w:spacing w:before="100" w:beforeAutospacing="1" w:after="100" w:afterAutospacing="1"/>
              <w:ind w:left="0"/>
              <w:contextualSpacing w:val="0"/>
              <w:rPr>
                <w:rFonts w:ascii="Arial" w:hAnsi="Arial" w:cs="Arial"/>
              </w:rPr>
            </w:pPr>
            <w:bookmarkStart w:id="68" w:name="_Hlk184923866"/>
            <w:r w:rsidRPr="0071685D">
              <w:rPr>
                <w:rFonts w:ascii="Arial" w:hAnsi="Arial" w:cs="Arial"/>
              </w:rPr>
              <w:t>Protect</w:t>
            </w:r>
            <w:r>
              <w:rPr>
                <w:rFonts w:ascii="Arial" w:hAnsi="Arial" w:cs="Arial"/>
              </w:rPr>
              <w:t>ion of life and</w:t>
            </w:r>
            <w:r w:rsidRPr="0071685D">
              <w:rPr>
                <w:rFonts w:ascii="Arial" w:hAnsi="Arial" w:cs="Arial"/>
              </w:rPr>
              <w:t xml:space="preserve"> </w:t>
            </w:r>
            <w:r>
              <w:rPr>
                <w:rFonts w:ascii="Arial" w:hAnsi="Arial" w:cs="Arial"/>
              </w:rPr>
              <w:t xml:space="preserve">human </w:t>
            </w:r>
            <w:r w:rsidRPr="0071685D">
              <w:rPr>
                <w:rFonts w:ascii="Arial" w:hAnsi="Arial" w:cs="Arial"/>
              </w:rPr>
              <w:t>safety</w:t>
            </w:r>
            <w:r>
              <w:rPr>
                <w:rFonts w:ascii="Arial" w:hAnsi="Arial" w:cs="Arial"/>
              </w:rPr>
              <w:t>,</w:t>
            </w:r>
            <w:r w:rsidRPr="0071685D">
              <w:rPr>
                <w:rFonts w:ascii="Arial" w:hAnsi="Arial" w:cs="Arial"/>
              </w:rPr>
              <w:t xml:space="preserve"> and </w:t>
            </w:r>
            <w:r>
              <w:rPr>
                <w:rFonts w:ascii="Arial" w:hAnsi="Arial" w:cs="Arial"/>
              </w:rPr>
              <w:t xml:space="preserve">protection of </w:t>
            </w:r>
            <w:r w:rsidRPr="0071685D">
              <w:rPr>
                <w:rFonts w:ascii="Arial" w:hAnsi="Arial" w:cs="Arial"/>
              </w:rPr>
              <w:t xml:space="preserve">private and public property </w:t>
            </w:r>
            <w:r>
              <w:rPr>
                <w:rFonts w:ascii="Arial" w:hAnsi="Arial" w:cs="Arial"/>
              </w:rPr>
              <w:t xml:space="preserve">from </w:t>
            </w:r>
            <w:r w:rsidRPr="0071685D">
              <w:rPr>
                <w:rFonts w:ascii="Arial" w:hAnsi="Arial" w:cs="Arial"/>
              </w:rPr>
              <w:t>fire loss</w:t>
            </w: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14:paraId="6C5826ED" w14:textId="28ED07BB" w:rsidR="001B0531" w:rsidRPr="00A41F5F" w:rsidRDefault="001B0531">
            <w:pPr>
              <w:spacing w:before="100" w:beforeAutospacing="1"/>
              <w:rPr>
                <w:rFonts w:ascii="Arial" w:hAnsi="Arial" w:cs="Arial"/>
              </w:rPr>
            </w:pPr>
            <w:r>
              <w:rPr>
                <w:rFonts w:ascii="Arial" w:hAnsi="Arial" w:cs="Arial"/>
              </w:rPr>
              <w:t>A prime government objective of the regulations is to protect the personal safety of Victorians</w:t>
            </w:r>
            <w:r w:rsidR="00F64C47">
              <w:rPr>
                <w:rFonts w:ascii="Arial" w:hAnsi="Arial" w:cs="Arial"/>
              </w:rPr>
              <w:t xml:space="preserve"> and visitors to the State</w:t>
            </w:r>
            <w:r>
              <w:rPr>
                <w:rFonts w:ascii="Arial" w:hAnsi="Arial" w:cs="Arial"/>
              </w:rPr>
              <w:t xml:space="preserve"> from death or injury arising from fire. It is also a priority to prevent loss and damage of personal and business property from loss or destruction. The objectives of these regulations form a part of the government’s overall priorities contained in the </w:t>
            </w:r>
            <w:r>
              <w:t xml:space="preserve">State Emergency Management Plan. Consequently, a relatively large weighting of 20% is assigned to this criterion. </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0CDA4F28" w14:textId="77777777" w:rsidR="001B0531" w:rsidRPr="00A41F5F" w:rsidRDefault="001B0531">
            <w:pPr>
              <w:spacing w:before="100" w:beforeAutospacing="1" w:after="40"/>
              <w:jc w:val="center"/>
              <w:rPr>
                <w:rFonts w:ascii="Arial" w:hAnsi="Arial" w:cs="Arial"/>
              </w:rPr>
            </w:pPr>
            <w:r>
              <w:rPr>
                <w:rFonts w:ascii="Arial" w:hAnsi="Arial" w:cs="Arial"/>
              </w:rPr>
              <w:t>20%</w:t>
            </w:r>
          </w:p>
        </w:tc>
      </w:tr>
      <w:tr w:rsidR="001B0531" w:rsidRPr="00A41F5F" w14:paraId="3B1D6F89" w14:textId="77777777">
        <w:tc>
          <w:tcPr>
            <w:tcW w:w="2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EA84CB" w14:textId="77777777" w:rsidR="001B0531" w:rsidRPr="00A41F5F" w:rsidRDefault="001B0531">
            <w:pPr>
              <w:pStyle w:val="ListParagraph"/>
              <w:spacing w:before="100" w:beforeAutospacing="1" w:after="100" w:afterAutospacing="1"/>
              <w:ind w:left="0" w:firstLine="26"/>
              <w:contextualSpacing w:val="0"/>
              <w:rPr>
                <w:rFonts w:ascii="Arial" w:hAnsi="Arial" w:cs="Arial"/>
                <w:color w:val="000000"/>
              </w:rPr>
            </w:pPr>
            <w:bookmarkStart w:id="69" w:name="_Hlk184923827"/>
            <w:r w:rsidRPr="00A41F5F">
              <w:rPr>
                <w:rFonts w:ascii="Arial" w:hAnsi="Arial" w:cs="Arial"/>
              </w:rPr>
              <w:t>Protect the environment from damaging fire</w:t>
            </w: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14:paraId="7BF5407A" w14:textId="3A1D7B48" w:rsidR="001B0531" w:rsidRPr="00A41F5F" w:rsidRDefault="001B0531">
            <w:pPr>
              <w:rPr>
                <w:rFonts w:ascii="Arial" w:hAnsi="Arial" w:cs="Arial"/>
              </w:rPr>
            </w:pPr>
            <w:r>
              <w:rPr>
                <w:rFonts w:ascii="Arial" w:hAnsi="Arial" w:cs="Arial"/>
              </w:rPr>
              <w:t xml:space="preserve">Victorian forests play an important role in maintaining biodiversity, carbon sequestration, providing </w:t>
            </w:r>
            <w:r>
              <w:t>healthy water supply catchments, and provide social and cultural benefits</w:t>
            </w:r>
            <w:r w:rsidR="009C4537">
              <w:t xml:space="preserve"> including protection of Aboriginal Cultural Heritage sites</w:t>
            </w:r>
            <w:r>
              <w:t xml:space="preserve">, among other things. It is important that the value of these ‘forest services’ is not diminished by uncontrolled fire. Therefore, a weighting of </w:t>
            </w:r>
            <w:r w:rsidR="002F7C10">
              <w:t>20</w:t>
            </w:r>
            <w:r>
              <w:t>% reflects the importance of this criterion.</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77558" w14:textId="208D7FAF" w:rsidR="001B0531" w:rsidRPr="00A41F5F" w:rsidRDefault="009C4537">
            <w:pPr>
              <w:spacing w:before="100" w:beforeAutospacing="1" w:after="40"/>
              <w:jc w:val="center"/>
              <w:rPr>
                <w:rFonts w:ascii="Arial" w:hAnsi="Arial" w:cs="Arial"/>
              </w:rPr>
            </w:pPr>
            <w:r>
              <w:rPr>
                <w:rFonts w:ascii="Arial" w:hAnsi="Arial" w:cs="Arial"/>
              </w:rPr>
              <w:t>20</w:t>
            </w:r>
            <w:r w:rsidR="001B0531">
              <w:rPr>
                <w:rFonts w:ascii="Arial" w:hAnsi="Arial" w:cs="Arial"/>
              </w:rPr>
              <w:t>%</w:t>
            </w:r>
          </w:p>
        </w:tc>
      </w:tr>
      <w:tr w:rsidR="001B0531" w:rsidRPr="00A41F5F" w14:paraId="02FC9041" w14:textId="77777777">
        <w:tc>
          <w:tcPr>
            <w:tcW w:w="2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4CA7F1" w14:textId="77777777" w:rsidR="001B0531" w:rsidRPr="00A41F5F" w:rsidRDefault="001B0531">
            <w:pPr>
              <w:spacing w:before="100" w:beforeAutospacing="1" w:after="100" w:afterAutospacing="1"/>
              <w:rPr>
                <w:rFonts w:ascii="Arial" w:hAnsi="Arial" w:cs="Arial"/>
              </w:rPr>
            </w:pPr>
            <w:r w:rsidRPr="00A41F5F">
              <w:rPr>
                <w:rFonts w:ascii="Arial" w:hAnsi="Arial" w:cs="Arial"/>
              </w:rPr>
              <w:t>Provide assurance that commercial activities are conducted in a safe manner</w:t>
            </w: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14:paraId="5ED3CC33" w14:textId="21D40ED8" w:rsidR="001B0531" w:rsidRPr="00A41F5F" w:rsidRDefault="001B0531">
            <w:pPr>
              <w:spacing w:before="100" w:beforeAutospacing="1" w:after="40"/>
              <w:rPr>
                <w:rFonts w:ascii="Arial" w:hAnsi="Arial" w:cs="Arial"/>
              </w:rPr>
            </w:pPr>
            <w:r>
              <w:rPr>
                <w:rFonts w:ascii="Arial" w:hAnsi="Arial" w:cs="Arial"/>
              </w:rPr>
              <w:t>Without arrangements to permit lighting fires in protected areas, businesses would not be able to undertake certain activities to earn income. This criterion receives a relatively small weighting because the number of businesses operating in fire protected areas i</w:t>
            </w:r>
            <w:r w:rsidR="00872753">
              <w:rPr>
                <w:rFonts w:ascii="Arial" w:hAnsi="Arial" w:cs="Arial"/>
              </w:rPr>
              <w:t>s</w:t>
            </w:r>
            <w:r>
              <w:rPr>
                <w:rFonts w:ascii="Arial" w:hAnsi="Arial" w:cs="Arial"/>
              </w:rPr>
              <w:t xml:space="preserve"> relatively small. Indirectly, ensuring that commercial activities do not cause fires also protects the viability of surrounding tourism and other businesses.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4D9FE8" w14:textId="77777777" w:rsidR="001B0531" w:rsidRPr="00A41F5F" w:rsidRDefault="001B0531">
            <w:pPr>
              <w:spacing w:before="100" w:beforeAutospacing="1" w:after="40"/>
              <w:jc w:val="center"/>
              <w:rPr>
                <w:rFonts w:ascii="Arial" w:hAnsi="Arial" w:cs="Arial"/>
              </w:rPr>
            </w:pPr>
            <w:r>
              <w:rPr>
                <w:rFonts w:ascii="Arial" w:hAnsi="Arial" w:cs="Arial"/>
              </w:rPr>
              <w:t>10%</w:t>
            </w:r>
          </w:p>
        </w:tc>
      </w:tr>
      <w:tr w:rsidR="001B0531" w:rsidRPr="00A41F5F" w14:paraId="0CFD03AE" w14:textId="77777777">
        <w:tc>
          <w:tcPr>
            <w:tcW w:w="8931"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1A0349" w14:textId="77777777" w:rsidR="001B0531" w:rsidRPr="00A41F5F" w:rsidRDefault="001B0531">
            <w:pPr>
              <w:spacing w:before="100" w:beforeAutospacing="1" w:after="40"/>
              <w:rPr>
                <w:rFonts w:ascii="Arial" w:hAnsi="Arial" w:cs="Arial"/>
                <w:i/>
                <w:iCs/>
              </w:rPr>
            </w:pPr>
            <w:r w:rsidRPr="00A41F5F">
              <w:rPr>
                <w:rFonts w:ascii="Arial" w:hAnsi="Arial" w:cs="Arial"/>
                <w:i/>
                <w:iCs/>
              </w:rPr>
              <w:t>Cost criteria</w:t>
            </w:r>
          </w:p>
        </w:tc>
      </w:tr>
      <w:tr w:rsidR="001B0531" w:rsidRPr="00A41F5F" w14:paraId="5201EE16" w14:textId="77777777">
        <w:tc>
          <w:tcPr>
            <w:tcW w:w="2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82DCF0" w14:textId="77777777" w:rsidR="001B0531" w:rsidRPr="00A41F5F" w:rsidRDefault="001B0531">
            <w:pPr>
              <w:spacing w:before="100" w:beforeAutospacing="1" w:after="40"/>
              <w:ind w:right="282"/>
              <w:rPr>
                <w:rFonts w:ascii="Arial" w:hAnsi="Arial" w:cs="Arial"/>
              </w:rPr>
            </w:pPr>
            <w:r w:rsidRPr="00A41F5F">
              <w:rPr>
                <w:rFonts w:ascii="Arial" w:hAnsi="Arial" w:cs="Arial"/>
              </w:rPr>
              <w:t>Business</w:t>
            </w: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14:paraId="7462BBE6" w14:textId="50E9AAF2" w:rsidR="001B0531" w:rsidRPr="00A41F5F" w:rsidRDefault="001B0531" w:rsidP="00251BE6">
            <w:pPr>
              <w:spacing w:before="100" w:beforeAutospacing="1"/>
              <w:rPr>
                <w:rFonts w:ascii="Arial" w:hAnsi="Arial" w:cs="Arial"/>
              </w:rPr>
            </w:pPr>
            <w:r w:rsidRPr="00251BE6">
              <w:rPr>
                <w:rFonts w:ascii="Arial" w:hAnsi="Arial" w:cs="Arial"/>
              </w:rPr>
              <w:t>It is important that any regulations are designed to minimise costs on business and other operators. Regulations should prescribe requirements that impose a minimal cost on business, while achieving the government</w:t>
            </w:r>
            <w:r w:rsidR="00131340">
              <w:rPr>
                <w:rFonts w:ascii="Arial" w:hAnsi="Arial" w:cs="Arial"/>
              </w:rPr>
              <w:t>’</w:t>
            </w:r>
            <w:r w:rsidRPr="00251BE6">
              <w:rPr>
                <w:rFonts w:ascii="Arial" w:hAnsi="Arial" w:cs="Arial"/>
              </w:rPr>
              <w:t>s objectives. Given that there is a large focus on business in the current Regulations, this criterion receives a score of 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F6929" w14:textId="77777777" w:rsidR="001B0531" w:rsidRPr="00A41F5F" w:rsidRDefault="001B0531">
            <w:pPr>
              <w:spacing w:before="100" w:beforeAutospacing="1" w:after="40"/>
              <w:jc w:val="center"/>
              <w:rPr>
                <w:rFonts w:ascii="Arial" w:hAnsi="Arial" w:cs="Arial"/>
              </w:rPr>
            </w:pPr>
            <w:r w:rsidRPr="00A41F5F">
              <w:rPr>
                <w:rFonts w:ascii="Arial" w:hAnsi="Arial" w:cs="Arial"/>
              </w:rPr>
              <w:t>20%</w:t>
            </w:r>
          </w:p>
        </w:tc>
      </w:tr>
      <w:tr w:rsidR="001B0531" w:rsidRPr="00A41F5F" w14:paraId="5C19C2FB" w14:textId="77777777">
        <w:tc>
          <w:tcPr>
            <w:tcW w:w="2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F179191" w14:textId="77777777" w:rsidR="001B0531" w:rsidRPr="00A41F5F" w:rsidRDefault="001B0531">
            <w:pPr>
              <w:spacing w:before="100" w:beforeAutospacing="1"/>
              <w:ind w:right="282"/>
              <w:rPr>
                <w:rFonts w:ascii="Arial" w:hAnsi="Arial" w:cs="Arial"/>
              </w:rPr>
            </w:pPr>
            <w:r w:rsidRPr="00A41F5F">
              <w:rPr>
                <w:rFonts w:ascii="Arial" w:hAnsi="Arial" w:cs="Arial"/>
              </w:rPr>
              <w:t>Individuals</w:t>
            </w:r>
          </w:p>
        </w:tc>
        <w:tc>
          <w:tcPr>
            <w:tcW w:w="46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383DC5" w14:textId="631F1772" w:rsidR="001B0531" w:rsidRPr="00A41F5F" w:rsidRDefault="001B0531">
            <w:pPr>
              <w:spacing w:before="100" w:beforeAutospacing="1"/>
              <w:rPr>
                <w:rFonts w:ascii="Arial" w:hAnsi="Arial" w:cs="Arial"/>
              </w:rPr>
            </w:pPr>
            <w:r>
              <w:rPr>
                <w:rFonts w:ascii="Arial" w:hAnsi="Arial" w:cs="Arial"/>
              </w:rPr>
              <w:t xml:space="preserve">By number of persons, campfires and barbeques represent </w:t>
            </w:r>
            <w:r w:rsidR="00872753">
              <w:rPr>
                <w:rFonts w:ascii="Arial" w:hAnsi="Arial" w:cs="Arial"/>
              </w:rPr>
              <w:t>a</w:t>
            </w:r>
            <w:r>
              <w:rPr>
                <w:rFonts w:ascii="Arial" w:hAnsi="Arial" w:cs="Arial"/>
              </w:rPr>
              <w:t xml:space="preserve"> large fire risk in Victorian forests. Visitors are able to enjoy </w:t>
            </w:r>
            <w:r w:rsidR="008F0B04">
              <w:rPr>
                <w:rFonts w:ascii="Arial" w:hAnsi="Arial" w:cs="Arial"/>
              </w:rPr>
              <w:t>camp</w:t>
            </w:r>
            <w:r>
              <w:rPr>
                <w:rFonts w:ascii="Arial" w:hAnsi="Arial" w:cs="Arial"/>
              </w:rPr>
              <w:t>fires in forest, but within a tolerable risk threshold. Any proposals should seek to minimise compliance costs to individuals, while ensuring that fires are conducted safely. Reflecting overall risks, a weighting of 20% is assigned to this criterion.</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67D18" w14:textId="77777777" w:rsidR="001B0531" w:rsidRPr="00A41F5F" w:rsidRDefault="001B0531">
            <w:pPr>
              <w:spacing w:before="100" w:beforeAutospacing="1"/>
              <w:jc w:val="center"/>
              <w:rPr>
                <w:rFonts w:ascii="Arial" w:hAnsi="Arial" w:cs="Arial"/>
              </w:rPr>
            </w:pPr>
            <w:r w:rsidRPr="00A41F5F">
              <w:rPr>
                <w:rFonts w:ascii="Arial" w:hAnsi="Arial" w:cs="Arial"/>
              </w:rPr>
              <w:t>20%</w:t>
            </w:r>
          </w:p>
        </w:tc>
      </w:tr>
      <w:tr w:rsidR="001B0531" w:rsidRPr="00A41F5F" w14:paraId="5C132669" w14:textId="77777777">
        <w:tc>
          <w:tcPr>
            <w:tcW w:w="2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359F90A" w14:textId="77777777" w:rsidR="001B0531" w:rsidRPr="00A41F5F" w:rsidRDefault="001B0531">
            <w:pPr>
              <w:spacing w:before="100" w:beforeAutospacing="1" w:after="0" w:line="240" w:lineRule="auto"/>
              <w:ind w:right="282"/>
              <w:rPr>
                <w:rFonts w:ascii="Arial" w:hAnsi="Arial" w:cs="Arial"/>
              </w:rPr>
            </w:pPr>
            <w:r w:rsidRPr="00A41F5F">
              <w:rPr>
                <w:rFonts w:ascii="Arial" w:hAnsi="Arial" w:cs="Arial"/>
              </w:rPr>
              <w:t>Government</w:t>
            </w:r>
          </w:p>
        </w:tc>
        <w:tc>
          <w:tcPr>
            <w:tcW w:w="46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B3D704" w14:textId="0D0CB371" w:rsidR="001B0531" w:rsidRPr="00A41F5F" w:rsidRDefault="001B0531">
            <w:pPr>
              <w:spacing w:before="100" w:beforeAutospacing="1" w:after="0" w:line="240" w:lineRule="auto"/>
              <w:rPr>
                <w:rFonts w:ascii="Arial" w:hAnsi="Arial" w:cs="Arial"/>
              </w:rPr>
            </w:pPr>
            <w:r w:rsidRPr="0046245E">
              <w:rPr>
                <w:rFonts w:ascii="Arial" w:hAnsi="Arial" w:cs="Arial"/>
              </w:rPr>
              <w:t xml:space="preserve">Regulatory arrangements should be well-designed and clear to administer. This entails obtaining maximum public benefit from </w:t>
            </w:r>
            <w:r>
              <w:rPr>
                <w:rFonts w:ascii="Arial" w:hAnsi="Arial" w:cs="Arial"/>
              </w:rPr>
              <w:t xml:space="preserve">the </w:t>
            </w:r>
            <w:r w:rsidRPr="0046245E">
              <w:rPr>
                <w:rFonts w:ascii="Arial" w:hAnsi="Arial" w:cs="Arial"/>
              </w:rPr>
              <w:t>public resources employed. Minimising costs</w:t>
            </w:r>
            <w:r w:rsidR="00A26418">
              <w:rPr>
                <w:rFonts w:ascii="Arial" w:hAnsi="Arial" w:cs="Arial"/>
              </w:rPr>
              <w:t xml:space="preserve"> also</w:t>
            </w:r>
            <w:r w:rsidRPr="0046245E">
              <w:rPr>
                <w:rFonts w:ascii="Arial" w:hAnsi="Arial" w:cs="Arial"/>
              </w:rPr>
              <w:t xml:space="preserve"> reduces calls on the taxpayer (i.e., wider community)</w:t>
            </w:r>
            <w:r>
              <w:rPr>
                <w:rFonts w:ascii="Arial" w:hAnsi="Arial" w:cs="Arial"/>
              </w:rPr>
              <w:t>.</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74C7AE3" w14:textId="77777777" w:rsidR="001B0531" w:rsidRPr="00A41F5F" w:rsidRDefault="001B0531">
            <w:pPr>
              <w:spacing w:before="100" w:beforeAutospacing="1" w:after="0" w:line="240" w:lineRule="auto"/>
              <w:jc w:val="center"/>
              <w:rPr>
                <w:rFonts w:ascii="Arial" w:hAnsi="Arial" w:cs="Arial"/>
              </w:rPr>
            </w:pPr>
            <w:r w:rsidRPr="00A41F5F">
              <w:rPr>
                <w:rFonts w:ascii="Arial" w:hAnsi="Arial" w:cs="Arial"/>
              </w:rPr>
              <w:t>10%</w:t>
            </w:r>
          </w:p>
        </w:tc>
      </w:tr>
    </w:tbl>
    <w:bookmarkEnd w:id="67"/>
    <w:bookmarkEnd w:id="68"/>
    <w:bookmarkEnd w:id="69"/>
    <w:p w14:paraId="65B58314" w14:textId="0ADC4A9E" w:rsidR="001B0531" w:rsidRDefault="001B0531" w:rsidP="001B0531">
      <w:pPr>
        <w:spacing w:before="0" w:after="0" w:line="240" w:lineRule="auto"/>
        <w:rPr>
          <w:rFonts w:ascii="Arial" w:hAnsi="Arial" w:cs="Arial"/>
          <w:sz w:val="18"/>
          <w:szCs w:val="18"/>
        </w:rPr>
      </w:pPr>
      <w:r w:rsidRPr="00B54FCD">
        <w:rPr>
          <w:rFonts w:ascii="Arial" w:hAnsi="Arial" w:cs="Arial"/>
          <w:sz w:val="18"/>
          <w:szCs w:val="18"/>
        </w:rPr>
        <w:t xml:space="preserve">Note: The </w:t>
      </w:r>
      <w:r>
        <w:rPr>
          <w:rFonts w:ascii="Arial" w:hAnsi="Arial" w:cs="Arial"/>
          <w:sz w:val="18"/>
          <w:szCs w:val="18"/>
        </w:rPr>
        <w:t xml:space="preserve">business assurance criterion weighting of 10 per cent and </w:t>
      </w:r>
      <w:r w:rsidRPr="00B54FCD">
        <w:rPr>
          <w:rFonts w:ascii="Arial" w:hAnsi="Arial" w:cs="Arial"/>
          <w:sz w:val="18"/>
          <w:szCs w:val="18"/>
        </w:rPr>
        <w:t>public safety criterion weighting of 20 per cent</w:t>
      </w:r>
      <w:r>
        <w:rPr>
          <w:rFonts w:ascii="Arial" w:hAnsi="Arial" w:cs="Arial"/>
          <w:sz w:val="18"/>
          <w:szCs w:val="18"/>
        </w:rPr>
        <w:t xml:space="preserve"> does not reflect overall government policy </w:t>
      </w:r>
      <w:r w:rsidR="00747D34">
        <w:rPr>
          <w:rFonts w:ascii="Arial" w:hAnsi="Arial" w:cs="Arial"/>
          <w:sz w:val="18"/>
          <w:szCs w:val="18"/>
        </w:rPr>
        <w:t>priorities but</w:t>
      </w:r>
      <w:r>
        <w:rPr>
          <w:rFonts w:ascii="Arial" w:hAnsi="Arial" w:cs="Arial"/>
          <w:sz w:val="18"/>
          <w:szCs w:val="18"/>
        </w:rPr>
        <w:t xml:space="preserve"> reflects the government’s objectives in relation to the relatively narrow focus of these particular regulations.</w:t>
      </w:r>
    </w:p>
    <w:p w14:paraId="7F72768C" w14:textId="77777777" w:rsidR="001B0531" w:rsidRDefault="001B0531" w:rsidP="001B0531">
      <w:pPr>
        <w:spacing w:before="0" w:after="0" w:line="240" w:lineRule="auto"/>
        <w:rPr>
          <w:rFonts w:ascii="Arial" w:hAnsi="Arial" w:cs="Arial"/>
          <w:sz w:val="18"/>
          <w:szCs w:val="18"/>
        </w:rPr>
      </w:pPr>
    </w:p>
    <w:p w14:paraId="0AC50B7A" w14:textId="065C18AF" w:rsidR="001B0531" w:rsidRPr="00A41F5F" w:rsidRDefault="001B0531" w:rsidP="001B0531">
      <w:pPr>
        <w:rPr>
          <w:rFonts w:ascii="Arial" w:hAnsi="Arial" w:cs="Arial"/>
        </w:rPr>
      </w:pPr>
      <w:r>
        <w:rPr>
          <w:rFonts w:ascii="Arial" w:hAnsi="Arial" w:cs="Arial"/>
        </w:rPr>
        <w:t>I</w:t>
      </w:r>
      <w:r w:rsidRPr="00A41F5F">
        <w:rPr>
          <w:rFonts w:ascii="Arial" w:hAnsi="Arial" w:cs="Arial"/>
        </w:rPr>
        <w:t xml:space="preserve">n addition, break-even analysis (BEA) is used to </w:t>
      </w:r>
      <w:r>
        <w:rPr>
          <w:rFonts w:ascii="Arial" w:hAnsi="Arial" w:cs="Arial"/>
        </w:rPr>
        <w:t>broadly measure</w:t>
      </w:r>
      <w:r w:rsidRPr="00A41F5F">
        <w:rPr>
          <w:rFonts w:ascii="Arial" w:hAnsi="Arial" w:cs="Arial"/>
        </w:rPr>
        <w:t xml:space="preserve"> the magnitude of costs and benefits. BEA allows </w:t>
      </w:r>
      <w:r>
        <w:rPr>
          <w:rFonts w:ascii="Arial" w:hAnsi="Arial" w:cs="Arial"/>
        </w:rPr>
        <w:t xml:space="preserve">a </w:t>
      </w:r>
      <w:r w:rsidRPr="00A41F5F">
        <w:rPr>
          <w:rFonts w:ascii="Arial" w:hAnsi="Arial" w:cs="Arial"/>
        </w:rPr>
        <w:t>‘rule of thumb’ assessment to be made when the benefits are difficult to measure. A BEA presents the costs and asks at what level of benefit will costs equal benefits. If the benefits are several orders of magnitude greater than the costs, then it is likely that benefits will outweigh the costs. A Value of a Statistical Life</w:t>
      </w:r>
      <w:r w:rsidRPr="00A41F5F">
        <w:rPr>
          <w:rStyle w:val="FootnoteReference"/>
          <w:rFonts w:ascii="Arial" w:hAnsi="Arial" w:cs="Arial"/>
        </w:rPr>
        <w:footnoteReference w:id="59"/>
      </w:r>
      <w:r w:rsidRPr="00A41F5F">
        <w:rPr>
          <w:rFonts w:ascii="Arial" w:hAnsi="Arial" w:cs="Arial"/>
        </w:rPr>
        <w:t xml:space="preserve"> (VSL) can also be used to assist in the BEA analysis.</w:t>
      </w:r>
      <w:r w:rsidRPr="00A41F5F">
        <w:rPr>
          <w:rStyle w:val="FootnoteReference"/>
          <w:rFonts w:ascii="Arial" w:hAnsi="Arial" w:cs="Arial"/>
        </w:rPr>
        <w:footnoteReference w:id="60"/>
      </w:r>
    </w:p>
    <w:p w14:paraId="6B60A087" w14:textId="45266AFE" w:rsidR="00056E2D" w:rsidRPr="003D7CCC" w:rsidRDefault="00056E2D" w:rsidP="00056E2D">
      <w:pPr>
        <w:pStyle w:val="Heading2"/>
      </w:pPr>
      <w:bookmarkStart w:id="70" w:name="_Toc187330545"/>
      <w:r w:rsidRPr="003D7CCC">
        <w:t>Option 1</w:t>
      </w:r>
      <w:bookmarkEnd w:id="70"/>
    </w:p>
    <w:p w14:paraId="74FB527A" w14:textId="13CB4781" w:rsidR="00056E2D" w:rsidRPr="003D7CCC" w:rsidRDefault="00056E2D" w:rsidP="00056E2D">
      <w:pPr>
        <w:pStyle w:val="Heading3"/>
      </w:pPr>
      <w:bookmarkStart w:id="71" w:name="_Toc187330546"/>
      <w:r w:rsidRPr="003D7CCC">
        <w:t>Costs</w:t>
      </w:r>
      <w:bookmarkEnd w:id="71"/>
    </w:p>
    <w:p w14:paraId="23D2E83A" w14:textId="5FEED1BC" w:rsidR="00307712" w:rsidRDefault="00307712" w:rsidP="00307712">
      <w:pPr>
        <w:pStyle w:val="Heading4"/>
      </w:pPr>
      <w:bookmarkStart w:id="72" w:name="_Toc187330547"/>
      <w:r>
        <w:t>Businesses and individuals</w:t>
      </w:r>
      <w:bookmarkEnd w:id="72"/>
    </w:p>
    <w:p w14:paraId="15B7B8B6" w14:textId="225878EF" w:rsidR="00621C23" w:rsidRDefault="009E5860" w:rsidP="00621C23">
      <w:r>
        <w:t xml:space="preserve">The approach used to calculate these costs follows the Standard Cost Model method. </w:t>
      </w:r>
      <w:r w:rsidR="00056E2D">
        <w:t>The costs contained in table 1</w:t>
      </w:r>
      <w:r w:rsidR="00363076">
        <w:t>1</w:t>
      </w:r>
      <w:r w:rsidR="00056E2D">
        <w:t xml:space="preserve"> were those costs imposed by the regulations that were readily quantifiable. </w:t>
      </w:r>
      <w:r w:rsidR="002C39AE">
        <w:t>These costs are</w:t>
      </w:r>
      <w:r w:rsidR="00056E2D">
        <w:t xml:space="preserve"> estimate</w:t>
      </w:r>
      <w:r w:rsidR="002C39AE">
        <w:t>d</w:t>
      </w:r>
      <w:r w:rsidR="00056E2D">
        <w:t xml:space="preserve"> </w:t>
      </w:r>
      <w:r w:rsidR="002C39AE">
        <w:t>at</w:t>
      </w:r>
      <w:r w:rsidR="00056E2D">
        <w:t xml:space="preserve"> $</w:t>
      </w:r>
      <w:r w:rsidR="006277C1">
        <w:t>61</w:t>
      </w:r>
      <w:r w:rsidR="00056E2D">
        <w:t xml:space="preserve">,000 per annum, or </w:t>
      </w:r>
      <w:r w:rsidR="002C39AE">
        <w:t xml:space="preserve">have </w:t>
      </w:r>
      <w:r w:rsidR="00056E2D">
        <w:t xml:space="preserve">a </w:t>
      </w:r>
      <w:r w:rsidR="00CC552F">
        <w:t>present value (</w:t>
      </w:r>
      <w:r w:rsidR="00056E2D">
        <w:t>PV</w:t>
      </w:r>
      <w:r w:rsidR="00CC552F">
        <w:t>)</w:t>
      </w:r>
      <w:r w:rsidR="00056E2D">
        <w:t xml:space="preserve"> of around $</w:t>
      </w:r>
      <w:r w:rsidR="006277C1">
        <w:t>425</w:t>
      </w:r>
      <w:r w:rsidR="00056E2D">
        <w:t>,000 over 10 years (both in 2024-25 dollars).</w:t>
      </w:r>
      <w:r w:rsidR="002C39AE">
        <w:rPr>
          <w:rStyle w:val="FootnoteReference"/>
        </w:rPr>
        <w:footnoteReference w:id="61"/>
      </w:r>
    </w:p>
    <w:p w14:paraId="098F2CD2" w14:textId="4D28AF0B" w:rsidR="006277C1" w:rsidRDefault="002C39AE" w:rsidP="006277C1">
      <w:r>
        <w:t xml:space="preserve">Option 1 contains specific provisions for beekeepers and sawmill operators. </w:t>
      </w:r>
      <w:r w:rsidR="006277C1">
        <w:t xml:space="preserve">The equipment required by a beekeeper consists of a knapsack, rakehoe and fireproof receptible (e.g. a steel bucket). These </w:t>
      </w:r>
      <w:r>
        <w:t>items</w:t>
      </w:r>
      <w:r w:rsidR="006277C1">
        <w:t xml:space="preserve"> cost in the order of $410</w:t>
      </w:r>
      <w:r>
        <w:t xml:space="preserve">, and </w:t>
      </w:r>
      <w:r w:rsidR="006277C1">
        <w:t xml:space="preserve">if well maintained, are likely to last a decade or more. Therefore, the costing assumes that such costs are only incurred once every 10 years. This provides a </w:t>
      </w:r>
      <w:r>
        <w:t xml:space="preserve">total </w:t>
      </w:r>
      <w:r w:rsidR="006277C1">
        <w:t xml:space="preserve">cost over 10 years for the beekeeping industry of around $108,000 (PV), which is considered an upper limit. </w:t>
      </w:r>
    </w:p>
    <w:p w14:paraId="54B738D9" w14:textId="54280CE7" w:rsidR="006277C1" w:rsidRDefault="006277C1" w:rsidP="006277C1">
      <w:r>
        <w:t xml:space="preserve">The costs imposed by </w:t>
      </w:r>
      <w:r w:rsidR="002C39AE">
        <w:t>Option 1</w:t>
      </w:r>
      <w:r>
        <w:t xml:space="preserve"> on sawmill</w:t>
      </w:r>
      <w:r w:rsidR="002C39AE">
        <w:t xml:space="preserve"> operators</w:t>
      </w:r>
      <w:r>
        <w:t xml:space="preserve"> are more difficult to estimate. There are only around half a dozen sawmills subject to the regulations, and these businesses have generally operated for decades. Consequently, they generally have appropriate equipment already in place. When new equipment is required, it mostly relates to </w:t>
      </w:r>
      <w:r w:rsidR="002C39AE">
        <w:t>replacing</w:t>
      </w:r>
      <w:r>
        <w:t xml:space="preserve"> hos</w:t>
      </w:r>
      <w:r w:rsidR="002C39AE">
        <w:t>es,</w:t>
      </w:r>
      <w:r>
        <w:t xml:space="preserve"> knapsacks, and the like. This cost is estimated at around $500 per annum. The requirement to clear around the area of an operation (including sawmills) mostly consists of brusher cutting weeds and removing forest litter (twig, bark, dry grass). If this is required, 4 hours (half a day) of a business’ time </w:t>
      </w:r>
      <w:r w:rsidR="002C39AE">
        <w:t>is considered reasonable (based on consultation)</w:t>
      </w:r>
      <w:r>
        <w:t>. This amounts to a notional cost of $420 per annum</w:t>
      </w:r>
      <w:r w:rsidR="002C39AE">
        <w:t xml:space="preserve"> </w:t>
      </w:r>
      <w:r w:rsidR="009E5860">
        <w:t>for</w:t>
      </w:r>
      <w:r w:rsidR="002C39AE">
        <w:t xml:space="preserve"> this activity</w:t>
      </w:r>
      <w:r>
        <w:t xml:space="preserve">. Consultation suggests the operations are run well and combined with insurance </w:t>
      </w:r>
      <w:r w:rsidR="002C39AE">
        <w:t>requirements;</w:t>
      </w:r>
      <w:r>
        <w:t xml:space="preserve"> these activities are </w:t>
      </w:r>
      <w:r w:rsidR="002C39AE">
        <w:t xml:space="preserve">usually </w:t>
      </w:r>
      <w:r>
        <w:t xml:space="preserve">undertaken in the ordinary course of business. A small annual administrative cost of around $100 </w:t>
      </w:r>
      <w:r w:rsidR="002C39AE">
        <w:t xml:space="preserve">per annum </w:t>
      </w:r>
      <w:r>
        <w:t xml:space="preserve">is also incurred by sawmills when they apply for an authority to light fires in a protected area. Taken together, the 10 yearly </w:t>
      </w:r>
      <w:r w:rsidR="008F57CC">
        <w:t>costs</w:t>
      </w:r>
      <w:r>
        <w:t xml:space="preserve"> </w:t>
      </w:r>
      <w:r w:rsidR="00621C23">
        <w:t xml:space="preserve">imposed by </w:t>
      </w:r>
      <w:r w:rsidR="002C39AE">
        <w:t>Option 1</w:t>
      </w:r>
      <w:r>
        <w:t xml:space="preserve"> on sawmills operators </w:t>
      </w:r>
      <w:r w:rsidR="002C39AE">
        <w:t>is</w:t>
      </w:r>
      <w:r>
        <w:t xml:space="preserve"> likely to be </w:t>
      </w:r>
      <w:r w:rsidR="002C39AE">
        <w:t>around</w:t>
      </w:r>
      <w:r>
        <w:t xml:space="preserve"> $600,200 (PV). </w:t>
      </w:r>
      <w:r w:rsidR="00040668">
        <w:t>Importantly</w:t>
      </w:r>
      <w:r>
        <w:t>, this is considered an upper limit</w:t>
      </w:r>
      <w:r w:rsidR="00040668">
        <w:t xml:space="preserve"> and actual costs incurred </w:t>
      </w:r>
      <w:r w:rsidR="00025562">
        <w:t xml:space="preserve">in practice </w:t>
      </w:r>
      <w:r w:rsidR="00040668">
        <w:t xml:space="preserve">by </w:t>
      </w:r>
      <w:r w:rsidR="00025562">
        <w:t>sawmill operators may be lower.</w:t>
      </w:r>
    </w:p>
    <w:p w14:paraId="2A650EF3" w14:textId="0F8BB7F0" w:rsidR="00056E2D" w:rsidRDefault="00056E2D" w:rsidP="00056E2D">
      <w:r>
        <w:t>Certain costs were not able to be estimated owing to the lack of data. Regulations that were not costed were: requirements to clear the ground of inflammable material for a campfire; restrictions on lighting large campfires, etc; clearing the ground and airspace of inflammable material when operating a stationary engine or grinding, welding etc.; and the requirement to extinguish an unattended fire and</w:t>
      </w:r>
      <w:r w:rsidR="00621C23">
        <w:t>/</w:t>
      </w:r>
      <w:r>
        <w:t xml:space="preserve">or extinguish it if directed to do so by an authorised officer. These are all simple, </w:t>
      </w:r>
      <w:r w:rsidR="00394FA4">
        <w:t>low-cost</w:t>
      </w:r>
      <w:r>
        <w:t xml:space="preserve"> </w:t>
      </w:r>
      <w:r w:rsidR="00621C23">
        <w:t>activities</w:t>
      </w:r>
      <w:r>
        <w:t xml:space="preserve"> and require minimal compliance effort; however, it was not possible to estimate the number of times these events occur annually and hence no meaningful estimate can be made.</w:t>
      </w:r>
    </w:p>
    <w:p w14:paraId="645190F9" w14:textId="77777777" w:rsidR="00035661" w:rsidRDefault="00035661" w:rsidP="00056E2D"/>
    <w:p w14:paraId="5DC73AAA" w14:textId="77777777" w:rsidR="00035661" w:rsidRDefault="00035661" w:rsidP="00056E2D"/>
    <w:p w14:paraId="01FB47C3" w14:textId="3A3744D4" w:rsidR="00056E2D" w:rsidRPr="00CB3521" w:rsidRDefault="00056E2D" w:rsidP="00056E2D">
      <w:pPr>
        <w:pStyle w:val="BoldBodyText"/>
      </w:pPr>
      <w:r>
        <w:t xml:space="preserve">Table </w:t>
      </w:r>
      <w:r w:rsidR="00C83BCA">
        <w:t>1</w:t>
      </w:r>
      <w:r w:rsidR="00363076">
        <w:t>1</w:t>
      </w:r>
      <w:r>
        <w:t>: Incremental costs of Option 1</w:t>
      </w:r>
    </w:p>
    <w:tbl>
      <w:tblPr>
        <w:tblStyle w:val="TableGrid"/>
        <w:tblW w:w="9639" w:type="dxa"/>
        <w:tblLook w:val="04A0" w:firstRow="1" w:lastRow="0" w:firstColumn="1" w:lastColumn="0" w:noHBand="0" w:noVBand="1"/>
      </w:tblPr>
      <w:tblGrid>
        <w:gridCol w:w="1915"/>
        <w:gridCol w:w="1230"/>
        <w:gridCol w:w="974"/>
        <w:gridCol w:w="1964"/>
        <w:gridCol w:w="1719"/>
        <w:gridCol w:w="1837"/>
      </w:tblGrid>
      <w:tr w:rsidR="00307712" w:rsidRPr="00307712" w14:paraId="0E3F9BFE" w14:textId="77777777" w:rsidTr="0030771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915" w:type="dxa"/>
            <w:tcBorders>
              <w:bottom w:val="single" w:sz="4" w:space="0" w:color="auto"/>
            </w:tcBorders>
            <w:shd w:val="clear" w:color="auto" w:fill="C1ECD0" w:themeFill="accent5" w:themeFillTint="66"/>
            <w:noWrap/>
            <w:hideMark/>
          </w:tcPr>
          <w:p w14:paraId="1FFCC242" w14:textId="77777777" w:rsidR="00056E2D" w:rsidRPr="00307712" w:rsidRDefault="00056E2D" w:rsidP="00BE5CCD">
            <w:pPr>
              <w:pStyle w:val="Boxtext"/>
              <w:rPr>
                <w:rFonts w:asciiTheme="majorHAnsi" w:hAnsiTheme="majorHAnsi" w:cstheme="majorHAnsi"/>
                <w:color w:val="auto"/>
                <w:sz w:val="20"/>
                <w:szCs w:val="20"/>
              </w:rPr>
            </w:pPr>
            <w:r w:rsidRPr="00307712">
              <w:rPr>
                <w:rFonts w:asciiTheme="majorHAnsi" w:hAnsiTheme="majorHAnsi" w:cstheme="majorHAnsi"/>
                <w:color w:val="auto"/>
                <w:sz w:val="20"/>
                <w:szCs w:val="20"/>
              </w:rPr>
              <w:t>Description</w:t>
            </w:r>
          </w:p>
        </w:tc>
        <w:tc>
          <w:tcPr>
            <w:tcW w:w="1230" w:type="dxa"/>
            <w:tcBorders>
              <w:bottom w:val="single" w:sz="4" w:space="0" w:color="auto"/>
            </w:tcBorders>
            <w:shd w:val="clear" w:color="auto" w:fill="C1ECD0" w:themeFill="accent5" w:themeFillTint="66"/>
            <w:noWrap/>
            <w:hideMark/>
          </w:tcPr>
          <w:p w14:paraId="3EB51D38" w14:textId="77777777" w:rsidR="00056E2D" w:rsidRPr="00307712" w:rsidRDefault="00056E2D" w:rsidP="00BE5CCD">
            <w:pPr>
              <w:pStyle w:val="Box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07712">
              <w:rPr>
                <w:rFonts w:asciiTheme="majorHAnsi" w:hAnsiTheme="majorHAnsi" w:cstheme="majorHAnsi"/>
                <w:color w:val="auto"/>
                <w:sz w:val="20"/>
                <w:szCs w:val="20"/>
              </w:rPr>
              <w:t>Tariff ($)</w:t>
            </w:r>
          </w:p>
        </w:tc>
        <w:tc>
          <w:tcPr>
            <w:tcW w:w="974" w:type="dxa"/>
            <w:tcBorders>
              <w:bottom w:val="single" w:sz="4" w:space="0" w:color="auto"/>
            </w:tcBorders>
            <w:shd w:val="clear" w:color="auto" w:fill="C1ECD0" w:themeFill="accent5" w:themeFillTint="66"/>
            <w:noWrap/>
            <w:hideMark/>
          </w:tcPr>
          <w:p w14:paraId="452EC383" w14:textId="77777777" w:rsidR="00056E2D" w:rsidRPr="00307712" w:rsidRDefault="00056E2D" w:rsidP="00BE5CCD">
            <w:pPr>
              <w:pStyle w:val="Box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07712">
              <w:rPr>
                <w:rFonts w:asciiTheme="majorHAnsi" w:hAnsiTheme="majorHAnsi" w:cstheme="majorHAnsi"/>
                <w:color w:val="auto"/>
                <w:sz w:val="20"/>
                <w:szCs w:val="20"/>
              </w:rPr>
              <w:t>Time (hrs)</w:t>
            </w:r>
          </w:p>
        </w:tc>
        <w:tc>
          <w:tcPr>
            <w:tcW w:w="1964" w:type="dxa"/>
            <w:tcBorders>
              <w:bottom w:val="single" w:sz="4" w:space="0" w:color="auto"/>
            </w:tcBorders>
            <w:shd w:val="clear" w:color="auto" w:fill="C1ECD0" w:themeFill="accent5" w:themeFillTint="66"/>
            <w:noWrap/>
            <w:hideMark/>
          </w:tcPr>
          <w:p w14:paraId="2E0F4E16" w14:textId="77777777" w:rsidR="00056E2D" w:rsidRPr="00307712" w:rsidRDefault="00056E2D" w:rsidP="00BE5CCD">
            <w:pPr>
              <w:pStyle w:val="Box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07712">
              <w:rPr>
                <w:rFonts w:asciiTheme="majorHAnsi" w:hAnsiTheme="majorHAnsi" w:cstheme="majorHAnsi"/>
                <w:color w:val="auto"/>
                <w:sz w:val="20"/>
                <w:szCs w:val="20"/>
              </w:rPr>
              <w:t>Population</w:t>
            </w:r>
          </w:p>
        </w:tc>
        <w:tc>
          <w:tcPr>
            <w:tcW w:w="1719" w:type="dxa"/>
            <w:tcBorders>
              <w:bottom w:val="single" w:sz="4" w:space="0" w:color="auto"/>
            </w:tcBorders>
            <w:shd w:val="clear" w:color="auto" w:fill="C1ECD0" w:themeFill="accent5" w:themeFillTint="66"/>
            <w:noWrap/>
            <w:hideMark/>
          </w:tcPr>
          <w:p w14:paraId="1C335F23" w14:textId="77777777" w:rsidR="00056E2D" w:rsidRPr="00307712" w:rsidRDefault="00056E2D" w:rsidP="00BE5CCD">
            <w:pPr>
              <w:pStyle w:val="Box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07712">
              <w:rPr>
                <w:rFonts w:asciiTheme="majorHAnsi" w:hAnsiTheme="majorHAnsi" w:cstheme="majorHAnsi"/>
                <w:color w:val="auto"/>
                <w:sz w:val="20"/>
                <w:szCs w:val="20"/>
              </w:rPr>
              <w:t>Frequency (per year)</w:t>
            </w:r>
          </w:p>
        </w:tc>
        <w:tc>
          <w:tcPr>
            <w:tcW w:w="1837" w:type="dxa"/>
            <w:tcBorders>
              <w:bottom w:val="single" w:sz="4" w:space="0" w:color="auto"/>
            </w:tcBorders>
            <w:shd w:val="clear" w:color="auto" w:fill="C1ECD0" w:themeFill="accent5" w:themeFillTint="66"/>
            <w:noWrap/>
            <w:hideMark/>
          </w:tcPr>
          <w:p w14:paraId="79D57D94" w14:textId="77777777" w:rsidR="00056E2D" w:rsidRPr="00307712" w:rsidRDefault="00056E2D" w:rsidP="00BE5CCD">
            <w:pPr>
              <w:pStyle w:val="Box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07712">
              <w:rPr>
                <w:rFonts w:asciiTheme="majorHAnsi" w:hAnsiTheme="majorHAnsi" w:cstheme="majorHAnsi"/>
                <w:color w:val="auto"/>
                <w:sz w:val="20"/>
                <w:szCs w:val="20"/>
              </w:rPr>
              <w:t>Cost ($)</w:t>
            </w:r>
          </w:p>
        </w:tc>
      </w:tr>
      <w:tr w:rsidR="00056E2D" w:rsidRPr="00D56432" w14:paraId="7401D9E7" w14:textId="77777777" w:rsidTr="00307712">
        <w:trPr>
          <w:trHeight w:val="32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tcBorders>
            <w:noWrap/>
            <w:hideMark/>
          </w:tcPr>
          <w:p w14:paraId="39501140" w14:textId="77777777" w:rsidR="00056E2D" w:rsidRPr="00DA7C12" w:rsidRDefault="00056E2D" w:rsidP="00BE5CCD">
            <w:pPr>
              <w:pStyle w:val="Boxtext"/>
              <w:rPr>
                <w:rFonts w:asciiTheme="majorHAnsi" w:hAnsiTheme="majorHAnsi" w:cstheme="majorHAnsi"/>
                <w:i/>
                <w:iCs/>
                <w:sz w:val="20"/>
                <w:szCs w:val="20"/>
              </w:rPr>
            </w:pPr>
            <w:r w:rsidRPr="00DA7C12">
              <w:rPr>
                <w:rFonts w:asciiTheme="majorHAnsi" w:hAnsiTheme="majorHAnsi" w:cstheme="majorHAnsi"/>
                <w:i/>
                <w:iCs/>
                <w:sz w:val="20"/>
                <w:szCs w:val="20"/>
              </w:rPr>
              <w:t>Written Authorities</w:t>
            </w:r>
          </w:p>
        </w:tc>
        <w:tc>
          <w:tcPr>
            <w:tcW w:w="1230" w:type="dxa"/>
            <w:tcBorders>
              <w:top w:val="single" w:sz="4" w:space="0" w:color="auto"/>
            </w:tcBorders>
            <w:noWrap/>
            <w:hideMark/>
          </w:tcPr>
          <w:p w14:paraId="4FB2A402"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974" w:type="dxa"/>
            <w:tcBorders>
              <w:top w:val="single" w:sz="4" w:space="0" w:color="auto"/>
            </w:tcBorders>
            <w:noWrap/>
            <w:hideMark/>
          </w:tcPr>
          <w:p w14:paraId="134ABFD0"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1964" w:type="dxa"/>
            <w:tcBorders>
              <w:top w:val="single" w:sz="4" w:space="0" w:color="auto"/>
            </w:tcBorders>
            <w:noWrap/>
            <w:hideMark/>
          </w:tcPr>
          <w:p w14:paraId="35AD554C"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1719" w:type="dxa"/>
            <w:tcBorders>
              <w:top w:val="single" w:sz="4" w:space="0" w:color="auto"/>
            </w:tcBorders>
            <w:noWrap/>
            <w:hideMark/>
          </w:tcPr>
          <w:p w14:paraId="55AE0A11"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1837" w:type="dxa"/>
            <w:tcBorders>
              <w:top w:val="single" w:sz="4" w:space="0" w:color="auto"/>
            </w:tcBorders>
            <w:noWrap/>
            <w:hideMark/>
          </w:tcPr>
          <w:p w14:paraId="10C516A1"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r>
      <w:tr w:rsidR="00056E2D" w:rsidRPr="00D56432" w14:paraId="0CDF3985"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061174B3"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Burning of inflammable material of a sawmill</w:t>
            </w:r>
          </w:p>
        </w:tc>
        <w:tc>
          <w:tcPr>
            <w:tcW w:w="1230" w:type="dxa"/>
            <w:noWrap/>
            <w:hideMark/>
          </w:tcPr>
          <w:p w14:paraId="66B69B37" w14:textId="4F0331C2" w:rsidR="00056E2D" w:rsidRPr="00DA7C12" w:rsidRDefault="00244208"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105</w:t>
            </w:r>
          </w:p>
        </w:tc>
        <w:tc>
          <w:tcPr>
            <w:tcW w:w="974" w:type="dxa"/>
            <w:noWrap/>
            <w:hideMark/>
          </w:tcPr>
          <w:p w14:paraId="066D82EC"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2</w:t>
            </w:r>
          </w:p>
        </w:tc>
        <w:tc>
          <w:tcPr>
            <w:tcW w:w="1964" w:type="dxa"/>
            <w:noWrap/>
            <w:hideMark/>
          </w:tcPr>
          <w:p w14:paraId="32444777" w14:textId="731E347D" w:rsidR="00056E2D" w:rsidRPr="00DA7C12" w:rsidRDefault="00244208"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w:t>
            </w:r>
          </w:p>
        </w:tc>
        <w:tc>
          <w:tcPr>
            <w:tcW w:w="1719" w:type="dxa"/>
            <w:noWrap/>
            <w:hideMark/>
          </w:tcPr>
          <w:p w14:paraId="00766EC2"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w:t>
            </w:r>
          </w:p>
        </w:tc>
        <w:tc>
          <w:tcPr>
            <w:tcW w:w="1837" w:type="dxa"/>
            <w:noWrap/>
            <w:hideMark/>
          </w:tcPr>
          <w:p w14:paraId="5A83C9BD" w14:textId="6320B619" w:rsidR="00056E2D" w:rsidRPr="00DA7C12" w:rsidRDefault="00244208"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837</w:t>
            </w:r>
          </w:p>
        </w:tc>
      </w:tr>
      <w:tr w:rsidR="00056E2D" w:rsidRPr="00D56432" w14:paraId="7779DB4F"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6AAE6ACC"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Give written authority to light fires in a fire protected area</w:t>
            </w:r>
          </w:p>
        </w:tc>
        <w:tc>
          <w:tcPr>
            <w:tcW w:w="1230" w:type="dxa"/>
            <w:noWrap/>
            <w:hideMark/>
          </w:tcPr>
          <w:p w14:paraId="4043F8E3" w14:textId="4EE14449" w:rsidR="00056E2D" w:rsidRPr="00DA7C12" w:rsidRDefault="00244208"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105</w:t>
            </w:r>
          </w:p>
        </w:tc>
        <w:tc>
          <w:tcPr>
            <w:tcW w:w="974" w:type="dxa"/>
            <w:noWrap/>
            <w:hideMark/>
          </w:tcPr>
          <w:p w14:paraId="0AB00212"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w:t>
            </w:r>
          </w:p>
        </w:tc>
        <w:tc>
          <w:tcPr>
            <w:tcW w:w="1964" w:type="dxa"/>
            <w:noWrap/>
            <w:hideMark/>
          </w:tcPr>
          <w:p w14:paraId="1D4C2BB5" w14:textId="3B107997" w:rsidR="00056E2D" w:rsidRPr="00DA7C12" w:rsidRDefault="00244208"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29</w:t>
            </w:r>
          </w:p>
        </w:tc>
        <w:tc>
          <w:tcPr>
            <w:tcW w:w="1719" w:type="dxa"/>
            <w:noWrap/>
            <w:hideMark/>
          </w:tcPr>
          <w:p w14:paraId="0E3576F4"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w:t>
            </w:r>
          </w:p>
        </w:tc>
        <w:tc>
          <w:tcPr>
            <w:tcW w:w="1837" w:type="dxa"/>
            <w:noWrap/>
            <w:hideMark/>
          </w:tcPr>
          <w:p w14:paraId="34212AF5" w14:textId="0F6DA57C" w:rsidR="00056E2D" w:rsidRPr="00DA7C12" w:rsidRDefault="009E5860"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2,983</w:t>
            </w:r>
          </w:p>
        </w:tc>
      </w:tr>
      <w:tr w:rsidR="00056E2D" w:rsidRPr="00D56432" w14:paraId="32F54F69"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noWrap/>
            <w:hideMark/>
          </w:tcPr>
          <w:p w14:paraId="0CBCCD95" w14:textId="77777777" w:rsidR="00056E2D" w:rsidRPr="00DA7C12" w:rsidRDefault="00056E2D" w:rsidP="00BE5CCD">
            <w:pPr>
              <w:pStyle w:val="Boxtext"/>
              <w:rPr>
                <w:rFonts w:asciiTheme="majorHAnsi" w:hAnsiTheme="majorHAnsi" w:cstheme="majorHAnsi"/>
                <w:i/>
                <w:iCs/>
                <w:sz w:val="20"/>
                <w:szCs w:val="20"/>
              </w:rPr>
            </w:pPr>
            <w:r w:rsidRPr="00DA7C12">
              <w:rPr>
                <w:rFonts w:asciiTheme="majorHAnsi" w:hAnsiTheme="majorHAnsi" w:cstheme="majorHAnsi"/>
                <w:i/>
                <w:iCs/>
                <w:sz w:val="20"/>
                <w:szCs w:val="20"/>
              </w:rPr>
              <w:t>Firefighting equipment</w:t>
            </w:r>
          </w:p>
        </w:tc>
        <w:tc>
          <w:tcPr>
            <w:tcW w:w="1230" w:type="dxa"/>
            <w:noWrap/>
            <w:hideMark/>
          </w:tcPr>
          <w:p w14:paraId="422776CA"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974" w:type="dxa"/>
            <w:noWrap/>
            <w:hideMark/>
          </w:tcPr>
          <w:p w14:paraId="7F04FCEB"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1964" w:type="dxa"/>
            <w:noWrap/>
            <w:hideMark/>
          </w:tcPr>
          <w:p w14:paraId="7D67C5E5"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1719" w:type="dxa"/>
            <w:noWrap/>
            <w:hideMark/>
          </w:tcPr>
          <w:p w14:paraId="111FCC38"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c>
          <w:tcPr>
            <w:tcW w:w="1837" w:type="dxa"/>
            <w:noWrap/>
            <w:hideMark/>
          </w:tcPr>
          <w:p w14:paraId="0BEA34B9"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DA7C12">
              <w:rPr>
                <w:rFonts w:asciiTheme="majorHAnsi" w:hAnsiTheme="majorHAnsi" w:cstheme="majorHAnsi"/>
                <w:i/>
                <w:iCs/>
                <w:sz w:val="20"/>
                <w:szCs w:val="20"/>
              </w:rPr>
              <w:t> </w:t>
            </w:r>
          </w:p>
        </w:tc>
      </w:tr>
      <w:tr w:rsidR="00056E2D" w:rsidRPr="00D56432" w14:paraId="7AF824D9"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07F43D73"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Bee farming – knapsack and rakehoe</w:t>
            </w:r>
          </w:p>
        </w:tc>
        <w:tc>
          <w:tcPr>
            <w:tcW w:w="1230" w:type="dxa"/>
            <w:noWrap/>
            <w:hideMark/>
          </w:tcPr>
          <w:p w14:paraId="3FE61123" w14:textId="4E97B18A" w:rsidR="00056E2D" w:rsidRPr="00DA7C12" w:rsidRDefault="00244208"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410</w:t>
            </w:r>
          </w:p>
        </w:tc>
        <w:tc>
          <w:tcPr>
            <w:tcW w:w="974" w:type="dxa"/>
            <w:noWrap/>
            <w:hideMark/>
          </w:tcPr>
          <w:p w14:paraId="782C3391"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w:t>
            </w:r>
          </w:p>
        </w:tc>
        <w:tc>
          <w:tcPr>
            <w:tcW w:w="1964" w:type="dxa"/>
            <w:noWrap/>
            <w:hideMark/>
          </w:tcPr>
          <w:p w14:paraId="52C3494C"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265</w:t>
            </w:r>
          </w:p>
        </w:tc>
        <w:tc>
          <w:tcPr>
            <w:tcW w:w="1719" w:type="dxa"/>
            <w:noWrap/>
            <w:hideMark/>
          </w:tcPr>
          <w:p w14:paraId="28DFB9C2"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0.1</w:t>
            </w:r>
          </w:p>
        </w:tc>
        <w:tc>
          <w:tcPr>
            <w:tcW w:w="1837" w:type="dxa"/>
            <w:noWrap/>
            <w:hideMark/>
          </w:tcPr>
          <w:p w14:paraId="29E61674" w14:textId="70E9E489"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10,</w:t>
            </w:r>
            <w:r w:rsidR="00244208">
              <w:rPr>
                <w:rFonts w:asciiTheme="majorHAnsi" w:hAnsiTheme="majorHAnsi" w:cstheme="majorHAnsi"/>
                <w:sz w:val="20"/>
                <w:szCs w:val="20"/>
              </w:rPr>
              <w:t>865</w:t>
            </w:r>
          </w:p>
        </w:tc>
      </w:tr>
      <w:tr w:rsidR="00056E2D" w:rsidRPr="00D56432" w14:paraId="0B6CE7AF"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1CAA8854"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Stationary engines − knapsack, fire-extinguisher</w:t>
            </w:r>
          </w:p>
        </w:tc>
        <w:tc>
          <w:tcPr>
            <w:tcW w:w="1230" w:type="dxa"/>
            <w:noWrap/>
            <w:hideMark/>
          </w:tcPr>
          <w:p w14:paraId="553CBCC8"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90</w:t>
            </w:r>
          </w:p>
        </w:tc>
        <w:tc>
          <w:tcPr>
            <w:tcW w:w="974" w:type="dxa"/>
            <w:noWrap/>
            <w:hideMark/>
          </w:tcPr>
          <w:p w14:paraId="16231C53"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w:t>
            </w:r>
          </w:p>
        </w:tc>
        <w:tc>
          <w:tcPr>
            <w:tcW w:w="1964" w:type="dxa"/>
            <w:noWrap/>
            <w:hideMark/>
          </w:tcPr>
          <w:p w14:paraId="5C02638F" w14:textId="54DD18E8" w:rsidR="00056E2D" w:rsidRPr="006277C1"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277C1">
              <w:rPr>
                <w:rFonts w:asciiTheme="majorHAnsi" w:hAnsiTheme="majorHAnsi" w:cstheme="majorHAnsi"/>
                <w:sz w:val="20"/>
                <w:szCs w:val="20"/>
              </w:rPr>
              <w:t>1</w:t>
            </w:r>
            <w:r w:rsidR="009E5860">
              <w:rPr>
                <w:rFonts w:asciiTheme="majorHAnsi" w:hAnsiTheme="majorHAnsi" w:cstheme="majorHAnsi"/>
                <w:sz w:val="20"/>
                <w:szCs w:val="20"/>
              </w:rPr>
              <w:t>,</w:t>
            </w:r>
            <w:r w:rsidRPr="006277C1">
              <w:rPr>
                <w:rFonts w:asciiTheme="majorHAnsi" w:hAnsiTheme="majorHAnsi" w:cstheme="majorHAnsi"/>
                <w:sz w:val="20"/>
                <w:szCs w:val="20"/>
              </w:rPr>
              <w:t>500</w:t>
            </w:r>
          </w:p>
        </w:tc>
        <w:tc>
          <w:tcPr>
            <w:tcW w:w="1719" w:type="dxa"/>
            <w:noWrap/>
            <w:hideMark/>
          </w:tcPr>
          <w:p w14:paraId="62B242C2" w14:textId="0A22AA8F"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0.1</w:t>
            </w:r>
          </w:p>
        </w:tc>
        <w:tc>
          <w:tcPr>
            <w:tcW w:w="1837" w:type="dxa"/>
            <w:noWrap/>
            <w:hideMark/>
          </w:tcPr>
          <w:p w14:paraId="6BB7F633" w14:textId="6EF5E8F8"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13,500</w:t>
            </w:r>
          </w:p>
        </w:tc>
      </w:tr>
      <w:tr w:rsidR="00056E2D" w:rsidRPr="00D56432" w14:paraId="5A1C2BA5"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6C00E071" w14:textId="77777777" w:rsidR="00056E2D" w:rsidRPr="00DA7C12" w:rsidRDefault="00056E2D" w:rsidP="00BE5CCD">
            <w:pPr>
              <w:pStyle w:val="Boxtext"/>
              <w:rPr>
                <w:rFonts w:asciiTheme="majorHAnsi" w:hAnsiTheme="majorHAnsi" w:cstheme="majorHAnsi"/>
                <w:sz w:val="20"/>
                <w:szCs w:val="20"/>
              </w:rPr>
            </w:pPr>
            <w:bookmarkStart w:id="73" w:name="RANGE!B10"/>
            <w:r w:rsidRPr="00DA7C12">
              <w:rPr>
                <w:rFonts w:asciiTheme="majorHAnsi" w:hAnsiTheme="majorHAnsi" w:cstheme="majorHAnsi"/>
                <w:sz w:val="20"/>
                <w:szCs w:val="20"/>
              </w:rPr>
              <w:t>Non-stationary engines - spark arrestor, knapsack, fire-extinguisher</w:t>
            </w:r>
            <w:bookmarkEnd w:id="73"/>
          </w:p>
        </w:tc>
        <w:tc>
          <w:tcPr>
            <w:tcW w:w="1230" w:type="dxa"/>
            <w:noWrap/>
            <w:hideMark/>
          </w:tcPr>
          <w:p w14:paraId="78AF2DE8"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90</w:t>
            </w:r>
          </w:p>
        </w:tc>
        <w:tc>
          <w:tcPr>
            <w:tcW w:w="974" w:type="dxa"/>
            <w:noWrap/>
            <w:hideMark/>
          </w:tcPr>
          <w:p w14:paraId="73811BFB"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w:t>
            </w:r>
          </w:p>
        </w:tc>
        <w:tc>
          <w:tcPr>
            <w:tcW w:w="1964" w:type="dxa"/>
            <w:noWrap/>
            <w:hideMark/>
          </w:tcPr>
          <w:p w14:paraId="3B1B7261" w14:textId="411161BC" w:rsidR="00056E2D" w:rsidRPr="006277C1"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277C1">
              <w:rPr>
                <w:rFonts w:asciiTheme="majorHAnsi" w:hAnsiTheme="majorHAnsi" w:cstheme="majorHAnsi"/>
                <w:sz w:val="20"/>
                <w:szCs w:val="20"/>
              </w:rPr>
              <w:t>1</w:t>
            </w:r>
            <w:r w:rsidR="009E5860">
              <w:rPr>
                <w:rFonts w:asciiTheme="majorHAnsi" w:hAnsiTheme="majorHAnsi" w:cstheme="majorHAnsi"/>
                <w:sz w:val="20"/>
                <w:szCs w:val="20"/>
              </w:rPr>
              <w:t>,</w:t>
            </w:r>
            <w:r w:rsidRPr="006277C1">
              <w:rPr>
                <w:rFonts w:asciiTheme="majorHAnsi" w:hAnsiTheme="majorHAnsi" w:cstheme="majorHAnsi"/>
                <w:sz w:val="20"/>
                <w:szCs w:val="20"/>
              </w:rPr>
              <w:t>500</w:t>
            </w:r>
          </w:p>
        </w:tc>
        <w:tc>
          <w:tcPr>
            <w:tcW w:w="1719" w:type="dxa"/>
            <w:noWrap/>
            <w:hideMark/>
          </w:tcPr>
          <w:p w14:paraId="26FFD95E"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0.1</w:t>
            </w:r>
          </w:p>
        </w:tc>
        <w:tc>
          <w:tcPr>
            <w:tcW w:w="1837" w:type="dxa"/>
            <w:noWrap/>
            <w:hideMark/>
          </w:tcPr>
          <w:p w14:paraId="4042B4BA"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13,500</w:t>
            </w:r>
          </w:p>
        </w:tc>
      </w:tr>
      <w:tr w:rsidR="00056E2D" w:rsidRPr="00D56432" w14:paraId="26745569"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05C33E40"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Welding, grinding, soldering or gas-cutting equipment – knapsack, fire-extinguisher</w:t>
            </w:r>
          </w:p>
        </w:tc>
        <w:tc>
          <w:tcPr>
            <w:tcW w:w="1230" w:type="dxa"/>
            <w:noWrap/>
            <w:hideMark/>
          </w:tcPr>
          <w:p w14:paraId="2E37C08B"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90</w:t>
            </w:r>
          </w:p>
        </w:tc>
        <w:tc>
          <w:tcPr>
            <w:tcW w:w="974" w:type="dxa"/>
            <w:noWrap/>
            <w:hideMark/>
          </w:tcPr>
          <w:p w14:paraId="2BE25D2E"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w:t>
            </w:r>
          </w:p>
        </w:tc>
        <w:tc>
          <w:tcPr>
            <w:tcW w:w="1964" w:type="dxa"/>
            <w:noWrap/>
            <w:hideMark/>
          </w:tcPr>
          <w:p w14:paraId="261D6888" w14:textId="52DF40E3" w:rsidR="00056E2D" w:rsidRPr="006277C1"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277C1">
              <w:rPr>
                <w:rFonts w:asciiTheme="majorHAnsi" w:hAnsiTheme="majorHAnsi" w:cstheme="majorHAnsi"/>
                <w:sz w:val="20"/>
                <w:szCs w:val="20"/>
              </w:rPr>
              <w:t>1</w:t>
            </w:r>
            <w:r w:rsidR="009E5860">
              <w:rPr>
                <w:rFonts w:asciiTheme="majorHAnsi" w:hAnsiTheme="majorHAnsi" w:cstheme="majorHAnsi"/>
                <w:sz w:val="20"/>
                <w:szCs w:val="20"/>
              </w:rPr>
              <w:t>,</w:t>
            </w:r>
            <w:r w:rsidRPr="006277C1">
              <w:rPr>
                <w:rFonts w:asciiTheme="majorHAnsi" w:hAnsiTheme="majorHAnsi" w:cstheme="majorHAnsi"/>
                <w:sz w:val="20"/>
                <w:szCs w:val="20"/>
              </w:rPr>
              <w:t>500</w:t>
            </w:r>
          </w:p>
        </w:tc>
        <w:tc>
          <w:tcPr>
            <w:tcW w:w="1719" w:type="dxa"/>
            <w:noWrap/>
            <w:hideMark/>
          </w:tcPr>
          <w:p w14:paraId="513FF36F"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0.1</w:t>
            </w:r>
          </w:p>
        </w:tc>
        <w:tc>
          <w:tcPr>
            <w:tcW w:w="1837" w:type="dxa"/>
            <w:noWrap/>
            <w:hideMark/>
          </w:tcPr>
          <w:p w14:paraId="1D6AD4D9"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13,500</w:t>
            </w:r>
          </w:p>
        </w:tc>
      </w:tr>
      <w:tr w:rsidR="00056E2D" w:rsidRPr="00D56432" w14:paraId="6818CA20"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57FD690C"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Clearing of area around an operation</w:t>
            </w:r>
          </w:p>
        </w:tc>
        <w:tc>
          <w:tcPr>
            <w:tcW w:w="1230" w:type="dxa"/>
            <w:noWrap/>
            <w:hideMark/>
          </w:tcPr>
          <w:p w14:paraId="2FB3CB46" w14:textId="6D15635A"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105</w:t>
            </w:r>
          </w:p>
        </w:tc>
        <w:tc>
          <w:tcPr>
            <w:tcW w:w="974" w:type="dxa"/>
            <w:noWrap/>
            <w:hideMark/>
          </w:tcPr>
          <w:p w14:paraId="1F8A1512" w14:textId="2F011156"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w:t>
            </w:r>
          </w:p>
        </w:tc>
        <w:tc>
          <w:tcPr>
            <w:tcW w:w="1964" w:type="dxa"/>
            <w:noWrap/>
            <w:hideMark/>
          </w:tcPr>
          <w:p w14:paraId="0F5728D0"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w:t>
            </w:r>
          </w:p>
        </w:tc>
        <w:tc>
          <w:tcPr>
            <w:tcW w:w="1719" w:type="dxa"/>
            <w:noWrap/>
            <w:hideMark/>
          </w:tcPr>
          <w:p w14:paraId="1DC55BCD"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1.0</w:t>
            </w:r>
          </w:p>
        </w:tc>
        <w:tc>
          <w:tcPr>
            <w:tcW w:w="1837" w:type="dxa"/>
            <w:noWrap/>
            <w:hideMark/>
          </w:tcPr>
          <w:p w14:paraId="375F8FB4" w14:textId="3C3A0231"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4,187</w:t>
            </w:r>
          </w:p>
        </w:tc>
      </w:tr>
      <w:tr w:rsidR="00056E2D" w:rsidRPr="00D56432" w14:paraId="58D3C53F"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1A0F1062"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Firefighting equipment required at sawmills</w:t>
            </w:r>
          </w:p>
        </w:tc>
        <w:tc>
          <w:tcPr>
            <w:tcW w:w="1230" w:type="dxa"/>
            <w:noWrap/>
            <w:hideMark/>
          </w:tcPr>
          <w:p w14:paraId="4EF44283" w14:textId="5B9D1300"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500</w:t>
            </w:r>
          </w:p>
        </w:tc>
        <w:tc>
          <w:tcPr>
            <w:tcW w:w="974" w:type="dxa"/>
            <w:noWrap/>
            <w:hideMark/>
          </w:tcPr>
          <w:p w14:paraId="0BA87D4D"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w:t>
            </w:r>
          </w:p>
        </w:tc>
        <w:tc>
          <w:tcPr>
            <w:tcW w:w="1964" w:type="dxa"/>
            <w:noWrap/>
            <w:hideMark/>
          </w:tcPr>
          <w:p w14:paraId="59DBA10D"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w:t>
            </w:r>
          </w:p>
        </w:tc>
        <w:tc>
          <w:tcPr>
            <w:tcW w:w="1719" w:type="dxa"/>
            <w:noWrap/>
            <w:hideMark/>
          </w:tcPr>
          <w:p w14:paraId="59BE64C2" w14:textId="5424631C"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0.5</w:t>
            </w:r>
          </w:p>
        </w:tc>
        <w:tc>
          <w:tcPr>
            <w:tcW w:w="1837" w:type="dxa"/>
            <w:noWrap/>
            <w:hideMark/>
          </w:tcPr>
          <w:p w14:paraId="782C5C09" w14:textId="4EEF7EB7"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w:t>
            </w:r>
            <w:r w:rsidR="009E5860">
              <w:rPr>
                <w:rFonts w:asciiTheme="majorHAnsi" w:hAnsiTheme="majorHAnsi" w:cstheme="majorHAnsi"/>
                <w:sz w:val="20"/>
                <w:szCs w:val="20"/>
              </w:rPr>
              <w:t>,</w:t>
            </w:r>
            <w:r>
              <w:rPr>
                <w:rFonts w:asciiTheme="majorHAnsi" w:hAnsiTheme="majorHAnsi" w:cstheme="majorHAnsi"/>
                <w:sz w:val="20"/>
                <w:szCs w:val="20"/>
              </w:rPr>
              <w:t>000</w:t>
            </w:r>
          </w:p>
        </w:tc>
      </w:tr>
      <w:tr w:rsidR="00056E2D" w:rsidRPr="00D56432" w14:paraId="3990B090" w14:textId="77777777" w:rsidTr="00244208">
        <w:trPr>
          <w:trHeight w:val="320"/>
        </w:trPr>
        <w:tc>
          <w:tcPr>
            <w:cnfStyle w:val="001000000000" w:firstRow="0" w:lastRow="0" w:firstColumn="1" w:lastColumn="0" w:oddVBand="0" w:evenVBand="0" w:oddHBand="0" w:evenHBand="0" w:firstRowFirstColumn="0" w:firstRowLastColumn="0" w:lastRowFirstColumn="0" w:lastRowLastColumn="0"/>
            <w:tcW w:w="1915" w:type="dxa"/>
            <w:hideMark/>
          </w:tcPr>
          <w:p w14:paraId="4F42E504" w14:textId="77777777" w:rsidR="00056E2D" w:rsidRPr="00DA7C12" w:rsidRDefault="00056E2D" w:rsidP="00BE5CCD">
            <w:pPr>
              <w:pStyle w:val="Boxtext"/>
              <w:rPr>
                <w:rFonts w:asciiTheme="majorHAnsi" w:hAnsiTheme="majorHAnsi" w:cstheme="majorHAnsi"/>
                <w:sz w:val="20"/>
                <w:szCs w:val="20"/>
              </w:rPr>
            </w:pPr>
            <w:r w:rsidRPr="00DA7C12">
              <w:rPr>
                <w:rFonts w:asciiTheme="majorHAnsi" w:hAnsiTheme="majorHAnsi" w:cstheme="majorHAnsi"/>
                <w:sz w:val="20"/>
                <w:szCs w:val="20"/>
              </w:rPr>
              <w:t>Firefighting equipment required at an operation that is not a sawmill</w:t>
            </w:r>
          </w:p>
        </w:tc>
        <w:tc>
          <w:tcPr>
            <w:tcW w:w="1230" w:type="dxa"/>
            <w:noWrap/>
            <w:hideMark/>
          </w:tcPr>
          <w:p w14:paraId="5458B034" w14:textId="20E662DD"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500</w:t>
            </w:r>
          </w:p>
        </w:tc>
        <w:tc>
          <w:tcPr>
            <w:tcW w:w="974" w:type="dxa"/>
            <w:noWrap/>
            <w:hideMark/>
          </w:tcPr>
          <w:p w14:paraId="696CAE5A"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w:t>
            </w:r>
          </w:p>
        </w:tc>
        <w:tc>
          <w:tcPr>
            <w:tcW w:w="1964" w:type="dxa"/>
            <w:noWrap/>
            <w:hideMark/>
          </w:tcPr>
          <w:p w14:paraId="0969AF61"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1</w:t>
            </w:r>
          </w:p>
        </w:tc>
        <w:tc>
          <w:tcPr>
            <w:tcW w:w="1719" w:type="dxa"/>
            <w:noWrap/>
            <w:hideMark/>
          </w:tcPr>
          <w:p w14:paraId="3679D94E" w14:textId="42C93A99"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7C12">
              <w:rPr>
                <w:rFonts w:asciiTheme="majorHAnsi" w:hAnsiTheme="majorHAnsi" w:cstheme="majorHAnsi"/>
                <w:sz w:val="20"/>
                <w:szCs w:val="20"/>
              </w:rPr>
              <w:t>0.</w:t>
            </w:r>
            <w:r w:rsidR="006277C1">
              <w:rPr>
                <w:rFonts w:asciiTheme="majorHAnsi" w:hAnsiTheme="majorHAnsi" w:cstheme="majorHAnsi"/>
                <w:sz w:val="20"/>
                <w:szCs w:val="20"/>
              </w:rPr>
              <w:t>5</w:t>
            </w:r>
          </w:p>
        </w:tc>
        <w:tc>
          <w:tcPr>
            <w:tcW w:w="1837" w:type="dxa"/>
            <w:noWrap/>
            <w:hideMark/>
          </w:tcPr>
          <w:p w14:paraId="7B926098" w14:textId="2D908F52"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250</w:t>
            </w:r>
          </w:p>
        </w:tc>
      </w:tr>
      <w:tr w:rsidR="00056E2D" w:rsidRPr="00D56432" w14:paraId="79056609" w14:textId="77777777" w:rsidTr="00244208">
        <w:trPr>
          <w:trHeight w:val="300"/>
        </w:trPr>
        <w:tc>
          <w:tcPr>
            <w:cnfStyle w:val="001000000000" w:firstRow="0" w:lastRow="0" w:firstColumn="1" w:lastColumn="0" w:oddVBand="0" w:evenVBand="0" w:oddHBand="0" w:evenHBand="0" w:firstRowFirstColumn="0" w:firstRowLastColumn="0" w:lastRowFirstColumn="0" w:lastRowLastColumn="0"/>
            <w:tcW w:w="1915" w:type="dxa"/>
            <w:noWrap/>
            <w:hideMark/>
          </w:tcPr>
          <w:p w14:paraId="7ED25C33" w14:textId="180C3DF9" w:rsidR="00056E2D" w:rsidRPr="00DA7C12" w:rsidRDefault="00056E2D" w:rsidP="00BE5CCD">
            <w:pPr>
              <w:pStyle w:val="Boxtext"/>
              <w:rPr>
                <w:rFonts w:asciiTheme="majorHAnsi" w:hAnsiTheme="majorHAnsi" w:cstheme="majorHAnsi"/>
                <w:b/>
                <w:bCs/>
                <w:sz w:val="20"/>
                <w:szCs w:val="20"/>
              </w:rPr>
            </w:pPr>
            <w:r w:rsidRPr="00DA7C12">
              <w:rPr>
                <w:rFonts w:asciiTheme="majorHAnsi" w:hAnsiTheme="majorHAnsi" w:cstheme="majorHAnsi"/>
                <w:b/>
                <w:bCs/>
                <w:sz w:val="20"/>
                <w:szCs w:val="20"/>
              </w:rPr>
              <w:t>Total Costs</w:t>
            </w:r>
            <w:r w:rsidR="007B4EE7">
              <w:rPr>
                <w:rFonts w:asciiTheme="majorHAnsi" w:hAnsiTheme="majorHAnsi" w:cstheme="majorHAnsi"/>
                <w:b/>
                <w:bCs/>
                <w:sz w:val="20"/>
                <w:szCs w:val="20"/>
              </w:rPr>
              <w:t>*</w:t>
            </w:r>
          </w:p>
        </w:tc>
        <w:tc>
          <w:tcPr>
            <w:tcW w:w="1230" w:type="dxa"/>
            <w:noWrap/>
            <w:hideMark/>
          </w:tcPr>
          <w:p w14:paraId="67281333"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974" w:type="dxa"/>
            <w:noWrap/>
            <w:hideMark/>
          </w:tcPr>
          <w:p w14:paraId="07758357"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964" w:type="dxa"/>
            <w:noWrap/>
            <w:hideMark/>
          </w:tcPr>
          <w:p w14:paraId="423C6517"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A7C12">
              <w:rPr>
                <w:rFonts w:asciiTheme="majorHAnsi" w:hAnsiTheme="majorHAnsi" w:cstheme="majorHAnsi"/>
                <w:b/>
                <w:bCs/>
                <w:sz w:val="20"/>
                <w:szCs w:val="20"/>
              </w:rPr>
              <w:t> </w:t>
            </w:r>
          </w:p>
        </w:tc>
        <w:tc>
          <w:tcPr>
            <w:tcW w:w="1719" w:type="dxa"/>
            <w:noWrap/>
            <w:hideMark/>
          </w:tcPr>
          <w:p w14:paraId="21FEFDF2" w14:textId="77777777" w:rsidR="00056E2D" w:rsidRPr="00DA7C12" w:rsidRDefault="00056E2D"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837" w:type="dxa"/>
            <w:noWrap/>
            <w:hideMark/>
          </w:tcPr>
          <w:p w14:paraId="4E60F78B" w14:textId="55620E2D" w:rsidR="00056E2D" w:rsidRPr="00DA7C12" w:rsidRDefault="006277C1" w:rsidP="00BE5CCD">
            <w:pPr>
              <w:pStyle w:val="Box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60,623</w:t>
            </w:r>
          </w:p>
        </w:tc>
      </w:tr>
    </w:tbl>
    <w:p w14:paraId="32321F30" w14:textId="0CD592B1" w:rsidR="007B4EE7" w:rsidRPr="007B4EE7" w:rsidRDefault="007B4EE7" w:rsidP="007B4EE7">
      <w:pPr>
        <w:spacing w:before="0" w:line="240" w:lineRule="auto"/>
        <w:rPr>
          <w:sz w:val="16"/>
          <w:szCs w:val="16"/>
        </w:rPr>
      </w:pPr>
      <w:r w:rsidRPr="007B4EE7">
        <w:rPr>
          <w:sz w:val="16"/>
          <w:szCs w:val="16"/>
        </w:rPr>
        <w:t>*Subject to rounding adjustments</w:t>
      </w:r>
    </w:p>
    <w:p w14:paraId="5F285F9A" w14:textId="53064281" w:rsidR="00056E2D" w:rsidRPr="001D4F46" w:rsidRDefault="00307712" w:rsidP="00307712">
      <w:pPr>
        <w:pStyle w:val="Heading4"/>
      </w:pPr>
      <w:bookmarkStart w:id="74" w:name="_Toc187330548"/>
      <w:r>
        <w:t>Government</w:t>
      </w:r>
      <w:bookmarkEnd w:id="74"/>
    </w:p>
    <w:p w14:paraId="2C724EFD" w14:textId="30ADD227" w:rsidR="004F679B" w:rsidRDefault="00056E2D" w:rsidP="00056E2D">
      <w:r>
        <w:t>The costs to government for enforcing the regulations is estimated at $</w:t>
      </w:r>
      <w:r w:rsidR="00621C23">
        <w:t>190</w:t>
      </w:r>
      <w:r>
        <w:t>,000</w:t>
      </w:r>
      <w:r w:rsidRPr="003D7CCC">
        <w:rPr>
          <w:i/>
        </w:rPr>
        <w:t xml:space="preserve"> </w:t>
      </w:r>
      <w:r>
        <w:t xml:space="preserve">per annum or </w:t>
      </w:r>
      <w:r w:rsidRPr="00254128">
        <w:t xml:space="preserve">a PV of around </w:t>
      </w:r>
      <w:r w:rsidRPr="00544CC6">
        <w:t>$</w:t>
      </w:r>
      <w:r w:rsidR="004F679B">
        <w:t>1.3</w:t>
      </w:r>
      <w:r w:rsidRPr="00544CC6">
        <w:t xml:space="preserve"> million</w:t>
      </w:r>
      <w:r>
        <w:t xml:space="preserve"> PV </w:t>
      </w:r>
      <w:r w:rsidRPr="00254128">
        <w:t>over 10 years</w:t>
      </w:r>
      <w:r>
        <w:t>.</w:t>
      </w:r>
      <w:r w:rsidR="0042353D">
        <w:rPr>
          <w:rStyle w:val="FootnoteReference"/>
        </w:rPr>
        <w:footnoteReference w:id="62"/>
      </w:r>
      <w:r>
        <w:t xml:space="preserve"> </w:t>
      </w:r>
    </w:p>
    <w:p w14:paraId="1C7CD43F" w14:textId="77E47D33" w:rsidR="00307712" w:rsidRDefault="00307712" w:rsidP="00307712">
      <w:pPr>
        <w:pStyle w:val="Heading4"/>
      </w:pPr>
      <w:bookmarkStart w:id="75" w:name="_Toc187330549"/>
      <w:r>
        <w:t>Total costs</w:t>
      </w:r>
      <w:r w:rsidR="009E5860">
        <w:t>:</w:t>
      </w:r>
      <w:r>
        <w:t xml:space="preserve"> Option 1</w:t>
      </w:r>
      <w:bookmarkEnd w:id="75"/>
    </w:p>
    <w:p w14:paraId="365D711A" w14:textId="003F6E73" w:rsidR="00056E2D" w:rsidRDefault="00056E2D" w:rsidP="00056E2D">
      <w:r>
        <w:t>Therefore, this results in a total incremental cost for Option 1</w:t>
      </w:r>
      <w:r w:rsidR="0042353D">
        <w:t>, including regulatory costs and government costs, of</w:t>
      </w:r>
      <w:r>
        <w:t xml:space="preserve"> </w:t>
      </w:r>
      <w:r w:rsidRPr="0042353D">
        <w:rPr>
          <w:b/>
          <w:bCs/>
        </w:rPr>
        <w:t>$</w:t>
      </w:r>
      <w:r w:rsidR="0042353D" w:rsidRPr="0042353D">
        <w:rPr>
          <w:b/>
          <w:bCs/>
        </w:rPr>
        <w:t>250</w:t>
      </w:r>
      <w:r w:rsidRPr="0042353D">
        <w:rPr>
          <w:b/>
          <w:bCs/>
        </w:rPr>
        <w:t>,000</w:t>
      </w:r>
      <w:r>
        <w:t xml:space="preserve"> per annum, or </w:t>
      </w:r>
      <w:r w:rsidRPr="0042353D">
        <w:rPr>
          <w:b/>
          <w:bCs/>
        </w:rPr>
        <w:t>$</w:t>
      </w:r>
      <w:r w:rsidR="0042353D" w:rsidRPr="0042353D">
        <w:rPr>
          <w:b/>
          <w:bCs/>
        </w:rPr>
        <w:t>1.76</w:t>
      </w:r>
      <w:r w:rsidRPr="0042353D">
        <w:rPr>
          <w:b/>
          <w:bCs/>
        </w:rPr>
        <w:t xml:space="preserve"> million</w:t>
      </w:r>
      <w:r>
        <w:t xml:space="preserve"> PV over 10 years</w:t>
      </w:r>
      <w:r w:rsidR="00701FFA">
        <w:t>.</w:t>
      </w:r>
    </w:p>
    <w:p w14:paraId="39C8B774" w14:textId="18CCEED1" w:rsidR="00056E2D" w:rsidRPr="00FA25D2" w:rsidRDefault="00056E2D" w:rsidP="00561361">
      <w:pPr>
        <w:pStyle w:val="Heading3"/>
      </w:pPr>
      <w:bookmarkStart w:id="76" w:name="_Toc187330550"/>
      <w:r w:rsidRPr="00FA25D2">
        <w:t>Benefits</w:t>
      </w:r>
      <w:bookmarkEnd w:id="76"/>
    </w:p>
    <w:p w14:paraId="66314E43" w14:textId="531BD3BA" w:rsidR="004F679B" w:rsidRDefault="00056E2D" w:rsidP="00056E2D">
      <w:r>
        <w:t>The v</w:t>
      </w:r>
      <w:r w:rsidRPr="00372A9B">
        <w:t xml:space="preserve">aluation of the benefits </w:t>
      </w:r>
      <w:r>
        <w:t xml:space="preserve">and intangible benefits </w:t>
      </w:r>
      <w:r w:rsidRPr="00372A9B">
        <w:t xml:space="preserve">of Victorian parks </w:t>
      </w:r>
      <w:r>
        <w:t>is substantial (</w:t>
      </w:r>
      <w:r w:rsidRPr="00372A9B">
        <w:t xml:space="preserve">illustrated in section 5.1.3 </w:t>
      </w:r>
      <w:r>
        <w:t xml:space="preserve">above). </w:t>
      </w:r>
      <w:r w:rsidR="00AC2BC1">
        <w:t>Option 1</w:t>
      </w:r>
      <w:r>
        <w:t xml:space="preserve"> specifically target</w:t>
      </w:r>
      <w:r w:rsidR="00AC2BC1">
        <w:t>s</w:t>
      </w:r>
      <w:r>
        <w:t xml:space="preserve"> high-risk activities, particularly campfires and barbeques. Certain businesses conduct activities that </w:t>
      </w:r>
      <w:r w:rsidR="00AC2BC1">
        <w:t xml:space="preserve">also </w:t>
      </w:r>
      <w:r>
        <w:t xml:space="preserve">create fire risks, and </w:t>
      </w:r>
      <w:r w:rsidR="005A22D5">
        <w:t>high-risk</w:t>
      </w:r>
      <w:r>
        <w:t xml:space="preserve"> areas are targeted. </w:t>
      </w:r>
      <w:r w:rsidR="004F679B">
        <w:t xml:space="preserve">However, given the difficulty in comparing the costs with benefits, an MCA assessment was undertaken of this option. </w:t>
      </w:r>
      <w:r w:rsidR="004F679B" w:rsidRPr="009202EA">
        <w:t xml:space="preserve">The </w:t>
      </w:r>
      <w:r w:rsidR="004F679B">
        <w:t>quantifiable costs estimated above are used to inform the MCA assessment.</w:t>
      </w:r>
    </w:p>
    <w:p w14:paraId="13E1442D" w14:textId="161BEC9B" w:rsidR="0071685D" w:rsidRDefault="00A7385A" w:rsidP="00035661">
      <w:pPr>
        <w:pStyle w:val="Heading4"/>
        <w:tabs>
          <w:tab w:val="clear" w:pos="426"/>
        </w:tabs>
        <w:ind w:left="0"/>
      </w:pPr>
      <w:bookmarkStart w:id="77" w:name="_Toc187330551"/>
      <w:r>
        <w:t>MCA assessment</w:t>
      </w:r>
      <w:r w:rsidR="001E56E9">
        <w:t xml:space="preserve">: </w:t>
      </w:r>
      <w:r w:rsidR="00AC2BC1">
        <w:t>Option 1</w:t>
      </w:r>
      <w:r w:rsidR="001E56E9">
        <w:t xml:space="preserve"> – the current Regulations with some amendments</w:t>
      </w:r>
      <w:bookmarkEnd w:id="77"/>
    </w:p>
    <w:p w14:paraId="60497A79" w14:textId="283E0429" w:rsidR="00A7385A" w:rsidRPr="00A7385A" w:rsidRDefault="00A7385A" w:rsidP="00A7385A">
      <w:pPr>
        <w:pStyle w:val="Caption"/>
      </w:pPr>
      <w:r>
        <w:t xml:space="preserve">Table </w:t>
      </w:r>
      <w:r w:rsidR="00363076">
        <w:t>12</w:t>
      </w:r>
      <w:r>
        <w:t>: MCA assessment: Option 1 – Proposed Regulations</w:t>
      </w:r>
    </w:p>
    <w:tbl>
      <w:tblPr>
        <w:tblStyle w:val="TableGrid"/>
        <w:tblW w:w="9351" w:type="dxa"/>
        <w:tblLook w:val="04A0" w:firstRow="1" w:lastRow="0" w:firstColumn="1" w:lastColumn="0" w:noHBand="0" w:noVBand="1"/>
      </w:tblPr>
      <w:tblGrid>
        <w:gridCol w:w="2049"/>
        <w:gridCol w:w="4429"/>
        <w:gridCol w:w="1266"/>
        <w:gridCol w:w="1607"/>
      </w:tblGrid>
      <w:tr w:rsidR="0040690D" w:rsidRPr="00E2622B" w14:paraId="4706CBB3" w14:textId="77777777" w:rsidTr="0009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CEFD9" w:themeFill="background2"/>
            <w:hideMark/>
          </w:tcPr>
          <w:p w14:paraId="647C1740" w14:textId="77777777" w:rsidR="0040690D" w:rsidRPr="00091ED4" w:rsidRDefault="0040690D" w:rsidP="000B22A0">
            <w:pPr>
              <w:spacing w:before="100" w:beforeAutospacing="1" w:after="40"/>
              <w:rPr>
                <w:rFonts w:ascii="Arial" w:hAnsi="Arial" w:cs="Arial"/>
                <w:color w:val="auto"/>
              </w:rPr>
            </w:pPr>
            <w:r w:rsidRPr="00091ED4">
              <w:rPr>
                <w:rFonts w:ascii="Arial" w:hAnsi="Arial" w:cs="Arial"/>
                <w:b/>
                <w:bCs/>
                <w:color w:val="auto"/>
              </w:rPr>
              <w:t>Criterion/weighting</w:t>
            </w:r>
          </w:p>
        </w:tc>
        <w:tc>
          <w:tcPr>
            <w:tcW w:w="0" w:type="dxa"/>
            <w:shd w:val="clear" w:color="auto" w:fill="CCEFD9" w:themeFill="background2"/>
            <w:hideMark/>
          </w:tcPr>
          <w:p w14:paraId="0794D648" w14:textId="77777777" w:rsidR="0040690D" w:rsidRPr="00091ED4" w:rsidRDefault="0040690D" w:rsidP="000B22A0">
            <w:pPr>
              <w:spacing w:before="100" w:beforeAutospacing="1" w:after="4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91ED4">
              <w:rPr>
                <w:rFonts w:ascii="Arial" w:hAnsi="Arial" w:cs="Arial"/>
                <w:b/>
                <w:bCs/>
                <w:color w:val="auto"/>
              </w:rPr>
              <w:t>Assessment</w:t>
            </w:r>
          </w:p>
        </w:tc>
        <w:tc>
          <w:tcPr>
            <w:tcW w:w="0" w:type="dxa"/>
            <w:shd w:val="clear" w:color="auto" w:fill="CCEFD9" w:themeFill="background2"/>
            <w:hideMark/>
          </w:tcPr>
          <w:p w14:paraId="73ED4E70" w14:textId="77777777" w:rsidR="0040690D" w:rsidRPr="00091ED4" w:rsidRDefault="0040690D" w:rsidP="000B22A0">
            <w:pPr>
              <w:spacing w:before="100" w:beforeAutospacing="1"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91ED4">
              <w:rPr>
                <w:rFonts w:ascii="Arial" w:hAnsi="Arial" w:cs="Arial"/>
                <w:b/>
                <w:bCs/>
                <w:color w:val="auto"/>
              </w:rPr>
              <w:t>Assigned score</w:t>
            </w:r>
          </w:p>
        </w:tc>
        <w:tc>
          <w:tcPr>
            <w:tcW w:w="0" w:type="dxa"/>
            <w:shd w:val="clear" w:color="auto" w:fill="CCEFD9" w:themeFill="background2"/>
          </w:tcPr>
          <w:p w14:paraId="71E7070F" w14:textId="77777777" w:rsidR="0040690D" w:rsidRPr="00091ED4" w:rsidRDefault="0040690D" w:rsidP="000B22A0">
            <w:pPr>
              <w:spacing w:before="100" w:beforeAutospacing="1"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91ED4">
              <w:rPr>
                <w:rFonts w:ascii="Arial" w:hAnsi="Arial" w:cs="Arial"/>
                <w:b/>
                <w:bCs/>
                <w:color w:val="auto"/>
              </w:rPr>
              <w:t>Weighted score</w:t>
            </w:r>
          </w:p>
        </w:tc>
      </w:tr>
      <w:tr w:rsidR="0040690D" w:rsidRPr="00F84571" w14:paraId="1B3C9F56" w14:textId="77777777">
        <w:tc>
          <w:tcPr>
            <w:cnfStyle w:val="001000000000" w:firstRow="0" w:lastRow="0" w:firstColumn="1" w:lastColumn="0" w:oddVBand="0" w:evenVBand="0" w:oddHBand="0" w:evenHBand="0" w:firstRowFirstColumn="0" w:firstRowLastColumn="0" w:lastRowFirstColumn="0" w:lastRowLastColumn="0"/>
            <w:tcW w:w="9351" w:type="dxa"/>
            <w:gridSpan w:val="4"/>
          </w:tcPr>
          <w:p w14:paraId="6AC1789A" w14:textId="77777777" w:rsidR="0040690D" w:rsidRPr="0071685D" w:rsidRDefault="0040690D">
            <w:pPr>
              <w:rPr>
                <w:rFonts w:ascii="Arial" w:hAnsi="Arial" w:cs="Arial"/>
              </w:rPr>
            </w:pPr>
            <w:r w:rsidRPr="0071685D">
              <w:rPr>
                <w:rFonts w:ascii="Arial" w:hAnsi="Arial" w:cs="Arial"/>
                <w:i/>
                <w:iCs/>
              </w:rPr>
              <w:t>Assessment of Benefits</w:t>
            </w:r>
          </w:p>
        </w:tc>
      </w:tr>
      <w:tr w:rsidR="0040690D" w:rsidRPr="00F84571" w14:paraId="4B055EF7"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7FB97596" w14:textId="7BB2A512" w:rsidR="0040690D" w:rsidRPr="0071685D" w:rsidRDefault="0040690D">
            <w:pPr>
              <w:spacing w:after="120"/>
              <w:rPr>
                <w:rFonts w:ascii="Arial" w:hAnsi="Arial" w:cs="Arial"/>
              </w:rPr>
            </w:pPr>
            <w:r w:rsidRPr="0071685D">
              <w:rPr>
                <w:rFonts w:ascii="Arial" w:hAnsi="Arial" w:cs="Arial"/>
              </w:rPr>
              <w:t>Protect</w:t>
            </w:r>
            <w:r w:rsidR="003B2A42">
              <w:rPr>
                <w:rFonts w:ascii="Arial" w:hAnsi="Arial" w:cs="Arial"/>
              </w:rPr>
              <w:t>ion of life and</w:t>
            </w:r>
            <w:r w:rsidRPr="0071685D">
              <w:rPr>
                <w:rFonts w:ascii="Arial" w:hAnsi="Arial" w:cs="Arial"/>
              </w:rPr>
              <w:t xml:space="preserve"> </w:t>
            </w:r>
            <w:r w:rsidR="003B2A42">
              <w:rPr>
                <w:rFonts w:ascii="Arial" w:hAnsi="Arial" w:cs="Arial"/>
              </w:rPr>
              <w:t xml:space="preserve">human </w:t>
            </w:r>
            <w:r w:rsidRPr="0071685D">
              <w:rPr>
                <w:rFonts w:ascii="Arial" w:hAnsi="Arial" w:cs="Arial"/>
              </w:rPr>
              <w:t>safety</w:t>
            </w:r>
            <w:r w:rsidR="003B2A42">
              <w:rPr>
                <w:rFonts w:ascii="Arial" w:hAnsi="Arial" w:cs="Arial"/>
              </w:rPr>
              <w:t>,</w:t>
            </w:r>
            <w:r w:rsidRPr="0071685D">
              <w:rPr>
                <w:rFonts w:ascii="Arial" w:hAnsi="Arial" w:cs="Arial"/>
              </w:rPr>
              <w:t xml:space="preserve"> and </w:t>
            </w:r>
            <w:r w:rsidR="003B2A42">
              <w:rPr>
                <w:rFonts w:ascii="Arial" w:hAnsi="Arial" w:cs="Arial"/>
              </w:rPr>
              <w:t xml:space="preserve">protection of </w:t>
            </w:r>
            <w:r w:rsidRPr="0071685D">
              <w:rPr>
                <w:rFonts w:ascii="Arial" w:hAnsi="Arial" w:cs="Arial"/>
              </w:rPr>
              <w:t xml:space="preserve">private and public property </w:t>
            </w:r>
            <w:r w:rsidR="003B2A42">
              <w:rPr>
                <w:rFonts w:ascii="Arial" w:hAnsi="Arial" w:cs="Arial"/>
              </w:rPr>
              <w:t xml:space="preserve">from </w:t>
            </w:r>
            <w:r w:rsidRPr="0071685D">
              <w:rPr>
                <w:rFonts w:ascii="Arial" w:hAnsi="Arial" w:cs="Arial"/>
              </w:rPr>
              <w:t>fire loss (2</w:t>
            </w:r>
            <w:r w:rsidR="00912435">
              <w:rPr>
                <w:rFonts w:ascii="Arial" w:hAnsi="Arial" w:cs="Arial"/>
              </w:rPr>
              <w:t>0</w:t>
            </w:r>
            <w:r w:rsidRPr="0071685D">
              <w:rPr>
                <w:rFonts w:ascii="Arial" w:hAnsi="Arial" w:cs="Arial"/>
              </w:rPr>
              <w:t>%)</w:t>
            </w:r>
          </w:p>
        </w:tc>
        <w:tc>
          <w:tcPr>
            <w:tcW w:w="4429" w:type="dxa"/>
          </w:tcPr>
          <w:p w14:paraId="08E10969" w14:textId="3B17787B" w:rsidR="0040690D" w:rsidRPr="0071685D" w:rsidRDefault="00912435">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Arial" w:hAnsi="Arial" w:cs="Arial"/>
              </w:rPr>
            </w:pPr>
            <w:r>
              <w:t>Similar regulations have been in place for more than 30 years, and confirmed by stakeholder consultation, have demonstrated their effectiveness in protecting Victorian forests from fire damage. While not all risks can be eliminated, this option provides clear guid</w:t>
            </w:r>
            <w:r w:rsidR="00AC2BC1">
              <w:t xml:space="preserve">ance </w:t>
            </w:r>
            <w:r>
              <w:t xml:space="preserve">to forest visitors and businesses concerning the minimum </w:t>
            </w:r>
            <w:r w:rsidR="00C20014">
              <w:t xml:space="preserve">standards of conduct and equipment </w:t>
            </w:r>
            <w:r w:rsidR="00AC2BC1">
              <w:t>to have at hand</w:t>
            </w:r>
            <w:r w:rsidR="00C20014">
              <w:t xml:space="preserve"> in order to minimise fire risks. Importantly, this option contains provisions to </w:t>
            </w:r>
            <w:r w:rsidR="007926D6">
              <w:t xml:space="preserve">enforce </w:t>
            </w:r>
            <w:r w:rsidR="00C20014">
              <w:t>behaviour. Given the overall effectiveness of this option, a score of 7 is assigned to this criterion.</w:t>
            </w:r>
          </w:p>
        </w:tc>
        <w:tc>
          <w:tcPr>
            <w:tcW w:w="1266" w:type="dxa"/>
          </w:tcPr>
          <w:p w14:paraId="3C32B5D2" w14:textId="6CF6717E"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1607" w:type="dxa"/>
          </w:tcPr>
          <w:p w14:paraId="0076075E" w14:textId="3CFF4168"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r>
      <w:tr w:rsidR="0040690D" w:rsidRPr="00F84571" w14:paraId="5FECCD3E"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2818FDF4" w14:textId="4B72C6AE" w:rsidR="0040690D" w:rsidRPr="0071685D" w:rsidRDefault="0040690D">
            <w:pPr>
              <w:spacing w:before="100" w:beforeAutospacing="1" w:after="120"/>
              <w:rPr>
                <w:rFonts w:ascii="Arial" w:hAnsi="Arial" w:cs="Arial"/>
                <w:color w:val="000000"/>
              </w:rPr>
            </w:pPr>
            <w:r w:rsidRPr="0071685D">
              <w:rPr>
                <w:rFonts w:ascii="Arial" w:hAnsi="Arial" w:cs="Arial"/>
              </w:rPr>
              <w:t>Protect the environment from damaging fire (</w:t>
            </w:r>
            <w:r w:rsidR="00752627">
              <w:rPr>
                <w:rFonts w:ascii="Arial" w:hAnsi="Arial" w:cs="Arial"/>
              </w:rPr>
              <w:t>20</w:t>
            </w:r>
            <w:r w:rsidRPr="0071685D">
              <w:rPr>
                <w:rFonts w:ascii="Arial" w:hAnsi="Arial" w:cs="Arial"/>
              </w:rPr>
              <w:t>%)</w:t>
            </w:r>
          </w:p>
        </w:tc>
        <w:tc>
          <w:tcPr>
            <w:tcW w:w="4429" w:type="dxa"/>
          </w:tcPr>
          <w:p w14:paraId="61D33EDF" w14:textId="0EA31CD3" w:rsidR="0040690D" w:rsidRPr="0071685D" w:rsidRDefault="00C20014" w:rsidP="003753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w:t>
            </w:r>
            <w:r w:rsidR="000729AF">
              <w:rPr>
                <w:rFonts w:ascii="Arial" w:hAnsi="Arial" w:cs="Arial"/>
              </w:rPr>
              <w:t xml:space="preserve">e regulatory framework established by this </w:t>
            </w:r>
            <w:r w:rsidR="00AC2BC1">
              <w:rPr>
                <w:rFonts w:ascii="Arial" w:hAnsi="Arial" w:cs="Arial"/>
              </w:rPr>
              <w:t>option seeks</w:t>
            </w:r>
            <w:r w:rsidR="000729AF">
              <w:rPr>
                <w:rFonts w:ascii="Arial" w:hAnsi="Arial" w:cs="Arial"/>
              </w:rPr>
              <w:t xml:space="preserve"> </w:t>
            </w:r>
            <w:r w:rsidR="004942A7">
              <w:rPr>
                <w:rFonts w:ascii="Arial" w:hAnsi="Arial" w:cs="Arial"/>
              </w:rPr>
              <w:t>to avoid or minimise fire risks. A</w:t>
            </w:r>
            <w:r w:rsidR="008B22D6">
              <w:rPr>
                <w:rFonts w:ascii="Arial" w:hAnsi="Arial" w:cs="Arial"/>
              </w:rPr>
              <w:t xml:space="preserve">n outcome </w:t>
            </w:r>
            <w:r w:rsidR="004942A7">
              <w:rPr>
                <w:rFonts w:ascii="Arial" w:hAnsi="Arial" w:cs="Arial"/>
              </w:rPr>
              <w:t xml:space="preserve">of this </w:t>
            </w:r>
            <w:r w:rsidR="00375338">
              <w:rPr>
                <w:rFonts w:ascii="Arial" w:hAnsi="Arial" w:cs="Arial"/>
              </w:rPr>
              <w:t>is that forest values will be protected. T</w:t>
            </w:r>
            <w:r w:rsidR="00375338">
              <w:t>his includes protecting</w:t>
            </w:r>
            <w:r w:rsidR="00375338" w:rsidRPr="00244208">
              <w:t xml:space="preserve"> biodiversity, water runoff,</w:t>
            </w:r>
            <w:r w:rsidR="00897118">
              <w:t xml:space="preserve"> Aboriginal Cultural Heritage values</w:t>
            </w:r>
            <w:r w:rsidR="00375338" w:rsidRPr="00244208">
              <w:t xml:space="preserve"> and wildlife preservation</w:t>
            </w:r>
            <w:r w:rsidR="00375338">
              <w:t>. The Black Summer fires illustrate the damage that fire can cause to the environment. Similar to the criterion above, a score of 7 is assigned to this criterion.</w:t>
            </w:r>
          </w:p>
        </w:tc>
        <w:tc>
          <w:tcPr>
            <w:tcW w:w="1266" w:type="dxa"/>
          </w:tcPr>
          <w:p w14:paraId="001FEAED" w14:textId="133082C7" w:rsidR="0040690D" w:rsidRPr="0071685D" w:rsidRDefault="00C200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1607" w:type="dxa"/>
          </w:tcPr>
          <w:p w14:paraId="63842784" w14:textId="2EED436B" w:rsidR="0040690D" w:rsidRPr="0071685D" w:rsidRDefault="00C200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752627">
              <w:rPr>
                <w:rFonts w:ascii="Arial" w:hAnsi="Arial" w:cs="Arial"/>
              </w:rPr>
              <w:t>4</w:t>
            </w:r>
          </w:p>
        </w:tc>
      </w:tr>
      <w:tr w:rsidR="0040690D" w:rsidRPr="00F84571" w14:paraId="79FBB939"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1A8AA708" w14:textId="77777777" w:rsidR="0040690D" w:rsidRPr="0071685D" w:rsidRDefault="0040690D">
            <w:pPr>
              <w:spacing w:before="100" w:beforeAutospacing="1" w:after="40"/>
              <w:rPr>
                <w:rFonts w:ascii="Arial" w:hAnsi="Arial" w:cs="Arial"/>
              </w:rPr>
            </w:pPr>
            <w:r w:rsidRPr="0071685D">
              <w:rPr>
                <w:rFonts w:ascii="Arial" w:hAnsi="Arial" w:cs="Arial"/>
              </w:rPr>
              <w:t>Provide assurance that commercial activities are conducted in a safe manner (10%)</w:t>
            </w:r>
          </w:p>
        </w:tc>
        <w:tc>
          <w:tcPr>
            <w:tcW w:w="4429" w:type="dxa"/>
          </w:tcPr>
          <w:p w14:paraId="543699C6" w14:textId="517DBB30" w:rsidR="0071685D" w:rsidRPr="0071685D" w:rsidRDefault="009E789F" w:rsidP="000729AF">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It was once common for businesses to operate in forests</w:t>
            </w:r>
            <w:r w:rsidR="000729AF">
              <w:rPr>
                <w:rFonts w:ascii="Arial" w:hAnsi="Arial" w:cs="Arial"/>
              </w:rPr>
              <w:t>. Now a</w:t>
            </w:r>
            <w:r w:rsidR="00AC2BC1">
              <w:rPr>
                <w:rFonts w:ascii="Arial" w:hAnsi="Arial" w:cs="Arial"/>
              </w:rPr>
              <w:t xml:space="preserve"> </w:t>
            </w:r>
            <w:r w:rsidR="000729AF">
              <w:rPr>
                <w:rFonts w:ascii="Arial" w:hAnsi="Arial" w:cs="Arial"/>
              </w:rPr>
              <w:t>small number of sawmills, eucalyptus distillers, and quarries operate near (within 1.5km</w:t>
            </w:r>
            <w:r w:rsidR="006E33FE">
              <w:rPr>
                <w:rFonts w:ascii="Arial" w:hAnsi="Arial" w:cs="Arial"/>
              </w:rPr>
              <w:t xml:space="preserve"> of</w:t>
            </w:r>
            <w:r w:rsidR="000729AF">
              <w:rPr>
                <w:rFonts w:ascii="Arial" w:hAnsi="Arial" w:cs="Arial"/>
              </w:rPr>
              <w:t xml:space="preserve">) forests. Beekeepers conduct much of their activity in forests (operating on </w:t>
            </w:r>
            <w:r w:rsidR="00AC2BC1">
              <w:rPr>
                <w:rFonts w:ascii="Arial" w:hAnsi="Arial" w:cs="Arial"/>
              </w:rPr>
              <w:t>around 6,700</w:t>
            </w:r>
            <w:r w:rsidR="000729AF">
              <w:rPr>
                <w:rFonts w:ascii="Arial" w:hAnsi="Arial" w:cs="Arial"/>
              </w:rPr>
              <w:t xml:space="preserve"> registered sites). With</w:t>
            </w:r>
            <w:r w:rsidR="00AC2BC1">
              <w:rPr>
                <w:rFonts w:ascii="Arial" w:hAnsi="Arial" w:cs="Arial"/>
              </w:rPr>
              <w:t>out</w:t>
            </w:r>
            <w:r w:rsidR="000729AF">
              <w:rPr>
                <w:rFonts w:ascii="Arial" w:hAnsi="Arial" w:cs="Arial"/>
              </w:rPr>
              <w:t xml:space="preserve"> the proposals in this option, </w:t>
            </w:r>
            <w:r w:rsidR="00AC2BC1">
              <w:rPr>
                <w:rFonts w:ascii="Arial" w:hAnsi="Arial" w:cs="Arial"/>
              </w:rPr>
              <w:t>many</w:t>
            </w:r>
            <w:r w:rsidR="000729AF">
              <w:rPr>
                <w:rFonts w:ascii="Arial" w:hAnsi="Arial" w:cs="Arial"/>
              </w:rPr>
              <w:t xml:space="preserve"> activities could not be conducted owing to the operation of the Forest</w:t>
            </w:r>
            <w:r w:rsidR="009D1174">
              <w:rPr>
                <w:rFonts w:ascii="Arial" w:hAnsi="Arial" w:cs="Arial"/>
              </w:rPr>
              <w:t>s</w:t>
            </w:r>
            <w:r w:rsidR="000729AF">
              <w:rPr>
                <w:rFonts w:ascii="Arial" w:hAnsi="Arial" w:cs="Arial"/>
              </w:rPr>
              <w:t xml:space="preserve"> Act. This proposal provides a framework of ‘permissions’</w:t>
            </w:r>
            <w:r w:rsidR="00AC2BC1">
              <w:rPr>
                <w:rFonts w:ascii="Arial" w:hAnsi="Arial" w:cs="Arial"/>
              </w:rPr>
              <w:t xml:space="preserve"> i.e., written authorities to light a fire</w:t>
            </w:r>
            <w:r w:rsidR="000729AF">
              <w:rPr>
                <w:rFonts w:ascii="Arial" w:hAnsi="Arial" w:cs="Arial"/>
              </w:rPr>
              <w:t xml:space="preserve">. Given that this proposal permits businesses to operate </w:t>
            </w:r>
            <w:r w:rsidR="00AC2BC1">
              <w:rPr>
                <w:rFonts w:ascii="Arial" w:hAnsi="Arial" w:cs="Arial"/>
              </w:rPr>
              <w:t xml:space="preserve">and undertake activities </w:t>
            </w:r>
            <w:r w:rsidR="000729AF">
              <w:rPr>
                <w:rFonts w:ascii="Arial" w:hAnsi="Arial" w:cs="Arial"/>
              </w:rPr>
              <w:t>in normally prohibited areas (with certain safety requirements: see business costs below) a score of 6 is assigned to this criterion.</w:t>
            </w:r>
          </w:p>
        </w:tc>
        <w:tc>
          <w:tcPr>
            <w:tcW w:w="1266" w:type="dxa"/>
          </w:tcPr>
          <w:p w14:paraId="4DB61FCA" w14:textId="6A4126D1"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607" w:type="dxa"/>
          </w:tcPr>
          <w:p w14:paraId="5EEE6092" w14:textId="69F8E1EC"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w:t>
            </w:r>
          </w:p>
        </w:tc>
      </w:tr>
      <w:tr w:rsidR="0040690D" w:rsidRPr="00F84571" w14:paraId="021225A1" w14:textId="77777777">
        <w:tc>
          <w:tcPr>
            <w:cnfStyle w:val="001000000000" w:firstRow="0" w:lastRow="0" w:firstColumn="1" w:lastColumn="0" w:oddVBand="0" w:evenVBand="0" w:oddHBand="0" w:evenHBand="0" w:firstRowFirstColumn="0" w:firstRowLastColumn="0" w:lastRowFirstColumn="0" w:lastRowLastColumn="0"/>
            <w:tcW w:w="9351" w:type="dxa"/>
            <w:gridSpan w:val="4"/>
          </w:tcPr>
          <w:p w14:paraId="0495CE25" w14:textId="77777777" w:rsidR="0040690D" w:rsidRPr="0071685D" w:rsidRDefault="0040690D">
            <w:pPr>
              <w:rPr>
                <w:rFonts w:ascii="Arial" w:hAnsi="Arial" w:cs="Arial"/>
              </w:rPr>
            </w:pPr>
            <w:r w:rsidRPr="0071685D">
              <w:rPr>
                <w:rFonts w:ascii="Arial" w:hAnsi="Arial" w:cs="Arial"/>
                <w:i/>
                <w:iCs/>
              </w:rPr>
              <w:t>Assessment of Costs</w:t>
            </w:r>
          </w:p>
        </w:tc>
      </w:tr>
      <w:tr w:rsidR="0040690D" w:rsidRPr="00F84571" w14:paraId="33ECB9E2"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0D3A5035" w14:textId="77777777" w:rsidR="0040690D" w:rsidRPr="0071685D" w:rsidRDefault="0040690D">
            <w:pPr>
              <w:spacing w:before="100" w:beforeAutospacing="1" w:after="40"/>
              <w:rPr>
                <w:rFonts w:ascii="Arial" w:hAnsi="Arial" w:cs="Arial"/>
              </w:rPr>
            </w:pPr>
            <w:r w:rsidRPr="0071685D">
              <w:rPr>
                <w:rFonts w:ascii="Arial" w:hAnsi="Arial" w:cs="Arial"/>
              </w:rPr>
              <w:t>Business (20%)</w:t>
            </w:r>
          </w:p>
        </w:tc>
        <w:tc>
          <w:tcPr>
            <w:tcW w:w="4429" w:type="dxa"/>
          </w:tcPr>
          <w:p w14:paraId="56FEF107" w14:textId="0BCEC7D6" w:rsidR="00C20014" w:rsidRDefault="00C20014">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This option imposes the largest regulatory cost on business at around $60,000</w:t>
            </w:r>
            <w:r w:rsidR="0099042A">
              <w:rPr>
                <w:rFonts w:ascii="Arial" w:hAnsi="Arial" w:cs="Arial"/>
              </w:rPr>
              <w:t xml:space="preserve"> per annum</w:t>
            </w:r>
            <w:r>
              <w:rPr>
                <w:rFonts w:ascii="Arial" w:hAnsi="Arial" w:cs="Arial"/>
              </w:rPr>
              <w:t>. Even so, this is a relatively small burden with costs to individual businesses relatively minor</w:t>
            </w:r>
            <w:r w:rsidR="0099042A">
              <w:rPr>
                <w:rFonts w:ascii="Arial" w:hAnsi="Arial" w:cs="Arial"/>
              </w:rPr>
              <w:t xml:space="preserve"> consisting of basic fire suppression equipment</w:t>
            </w:r>
            <w:r>
              <w:rPr>
                <w:rFonts w:ascii="Arial" w:hAnsi="Arial" w:cs="Arial"/>
              </w:rPr>
              <w:t xml:space="preserve">. The requirements are easy to comply with and understand. While </w:t>
            </w:r>
            <w:r w:rsidR="00E74082">
              <w:rPr>
                <w:rFonts w:ascii="Arial" w:hAnsi="Arial" w:cs="Arial"/>
              </w:rPr>
              <w:t xml:space="preserve">most </w:t>
            </w:r>
            <w:r>
              <w:rPr>
                <w:rFonts w:ascii="Arial" w:hAnsi="Arial" w:cs="Arial"/>
              </w:rPr>
              <w:t>of the regulations are prescriptive (</w:t>
            </w:r>
            <w:r w:rsidR="00B44012">
              <w:rPr>
                <w:rFonts w:ascii="Arial" w:hAnsi="Arial" w:cs="Arial"/>
              </w:rPr>
              <w:t>for example</w:t>
            </w:r>
            <w:r>
              <w:rPr>
                <w:rFonts w:ascii="Arial" w:hAnsi="Arial" w:cs="Arial"/>
              </w:rPr>
              <w:t xml:space="preserve"> specifying </w:t>
            </w:r>
            <w:r w:rsidR="00F20393">
              <w:rPr>
                <w:rFonts w:ascii="Arial" w:hAnsi="Arial" w:cs="Arial"/>
              </w:rPr>
              <w:t xml:space="preserve">types of </w:t>
            </w:r>
            <w:r w:rsidR="0099042A">
              <w:rPr>
                <w:rFonts w:ascii="Arial" w:hAnsi="Arial" w:cs="Arial"/>
              </w:rPr>
              <w:t xml:space="preserve">fire suppression </w:t>
            </w:r>
            <w:r>
              <w:rPr>
                <w:rFonts w:ascii="Arial" w:hAnsi="Arial" w:cs="Arial"/>
              </w:rPr>
              <w:t>equipment</w:t>
            </w:r>
            <w:r w:rsidR="0099042A">
              <w:rPr>
                <w:rFonts w:ascii="Arial" w:hAnsi="Arial" w:cs="Arial"/>
              </w:rPr>
              <w:t xml:space="preserve">), </w:t>
            </w:r>
            <w:r w:rsidR="00B365FD">
              <w:rPr>
                <w:rFonts w:ascii="Arial" w:hAnsi="Arial" w:cs="Arial"/>
              </w:rPr>
              <w:t xml:space="preserve">some </w:t>
            </w:r>
            <w:r w:rsidR="0099042A">
              <w:rPr>
                <w:rFonts w:ascii="Arial" w:hAnsi="Arial" w:cs="Arial"/>
              </w:rPr>
              <w:t>elements are performance-based (</w:t>
            </w:r>
            <w:r w:rsidR="00B44012">
              <w:rPr>
                <w:rFonts w:ascii="Arial" w:hAnsi="Arial" w:cs="Arial"/>
              </w:rPr>
              <w:t>for example</w:t>
            </w:r>
            <w:r w:rsidR="0099042A">
              <w:rPr>
                <w:rFonts w:ascii="Arial" w:hAnsi="Arial" w:cs="Arial"/>
              </w:rPr>
              <w:t xml:space="preserve"> written authority is not required if </w:t>
            </w:r>
            <w:r w:rsidR="007A5CD0">
              <w:rPr>
                <w:rFonts w:ascii="Arial" w:hAnsi="Arial" w:cs="Arial"/>
              </w:rPr>
              <w:t xml:space="preserve">a </w:t>
            </w:r>
            <w:r w:rsidR="0099042A">
              <w:rPr>
                <w:rFonts w:ascii="Arial" w:hAnsi="Arial" w:cs="Arial"/>
              </w:rPr>
              <w:t xml:space="preserve">fire </w:t>
            </w:r>
            <w:r w:rsidR="00B365FD">
              <w:rPr>
                <w:rFonts w:ascii="Arial" w:hAnsi="Arial" w:cs="Arial"/>
              </w:rPr>
              <w:t xml:space="preserve">at a sawmill </w:t>
            </w:r>
            <w:r w:rsidR="0099042A">
              <w:rPr>
                <w:rFonts w:ascii="Arial" w:hAnsi="Arial" w:cs="Arial"/>
              </w:rPr>
              <w:t>is safely contained</w:t>
            </w:r>
            <w:r w:rsidR="007A5CD0">
              <w:rPr>
                <w:rFonts w:ascii="Arial" w:hAnsi="Arial" w:cs="Arial"/>
              </w:rPr>
              <w:t xml:space="preserve"> in a pit or structure</w:t>
            </w:r>
            <w:r w:rsidR="0099042A">
              <w:rPr>
                <w:rFonts w:ascii="Arial" w:hAnsi="Arial" w:cs="Arial"/>
              </w:rPr>
              <w:t>).</w:t>
            </w:r>
          </w:p>
          <w:p w14:paraId="1123B602" w14:textId="47D16ABA" w:rsidR="00C20014" w:rsidRPr="0071685D" w:rsidRDefault="00C20014" w:rsidP="0099042A">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71685D">
              <w:rPr>
                <w:rFonts w:ascii="Arial" w:hAnsi="Arial" w:cs="Arial"/>
              </w:rPr>
              <w:t>Elements of the proposed regulations also lower the burden imposed by the Act</w:t>
            </w:r>
            <w:r>
              <w:rPr>
                <w:rFonts w:ascii="Arial" w:hAnsi="Arial" w:cs="Arial"/>
              </w:rPr>
              <w:t xml:space="preserve">. This proposal permits businesses to undertake burning with </w:t>
            </w:r>
            <w:r w:rsidR="00065487">
              <w:rPr>
                <w:rFonts w:ascii="Arial" w:hAnsi="Arial" w:cs="Arial"/>
              </w:rPr>
              <w:t>a written authority</w:t>
            </w:r>
            <w:r>
              <w:rPr>
                <w:rFonts w:ascii="Arial" w:hAnsi="Arial" w:cs="Arial"/>
              </w:rPr>
              <w:t>.</w:t>
            </w:r>
          </w:p>
        </w:tc>
        <w:tc>
          <w:tcPr>
            <w:tcW w:w="1266" w:type="dxa"/>
          </w:tcPr>
          <w:p w14:paraId="220A3067" w14:textId="43DD41CD"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07" w:type="dxa"/>
          </w:tcPr>
          <w:p w14:paraId="7BEFA729" w14:textId="351668FF"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w:t>
            </w:r>
          </w:p>
        </w:tc>
      </w:tr>
      <w:tr w:rsidR="0040690D" w:rsidRPr="00F84571" w14:paraId="51EC9D50"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1BA3D737" w14:textId="77777777" w:rsidR="0040690D" w:rsidRPr="0071685D" w:rsidRDefault="0040690D">
            <w:pPr>
              <w:spacing w:before="100" w:beforeAutospacing="1" w:after="40"/>
              <w:rPr>
                <w:rFonts w:ascii="Arial" w:hAnsi="Arial" w:cs="Arial"/>
              </w:rPr>
            </w:pPr>
            <w:r w:rsidRPr="0071685D">
              <w:rPr>
                <w:rFonts w:ascii="Arial" w:hAnsi="Arial" w:cs="Arial"/>
              </w:rPr>
              <w:t>Individuals (20%)</w:t>
            </w:r>
          </w:p>
        </w:tc>
        <w:tc>
          <w:tcPr>
            <w:tcW w:w="4429" w:type="dxa"/>
          </w:tcPr>
          <w:p w14:paraId="6A2213DD" w14:textId="40F28B76" w:rsidR="0040690D" w:rsidRDefault="0099042A">
            <w:pPr>
              <w:spacing w:before="100" w:beforeAutospacing="1" w:after="40"/>
              <w:cnfStyle w:val="000000000000" w:firstRow="0" w:lastRow="0" w:firstColumn="0" w:lastColumn="0" w:oddVBand="0" w:evenVBand="0" w:oddHBand="0" w:evenHBand="0" w:firstRowFirstColumn="0" w:firstRowLastColumn="0" w:lastRowFirstColumn="0" w:lastRowLastColumn="0"/>
            </w:pPr>
            <w:r>
              <w:rPr>
                <w:rFonts w:ascii="Arial" w:hAnsi="Arial" w:cs="Arial"/>
              </w:rPr>
              <w:t>This option imposes notional costs on individuals. It restricts the size of a fire and prescribes what equipment (</w:t>
            </w:r>
            <w:r w:rsidR="00B44012">
              <w:rPr>
                <w:rFonts w:ascii="Arial" w:hAnsi="Arial" w:cs="Arial"/>
              </w:rPr>
              <w:t>for example</w:t>
            </w:r>
            <w:r>
              <w:rPr>
                <w:rFonts w:ascii="Arial" w:hAnsi="Arial" w:cs="Arial"/>
              </w:rPr>
              <w:t xml:space="preserve"> b</w:t>
            </w:r>
            <w:r w:rsidR="00F20393">
              <w:rPr>
                <w:rFonts w:ascii="Arial" w:hAnsi="Arial" w:cs="Arial"/>
              </w:rPr>
              <w:t>arbeque</w:t>
            </w:r>
            <w:r>
              <w:rPr>
                <w:rFonts w:ascii="Arial" w:hAnsi="Arial" w:cs="Arial"/>
              </w:rPr>
              <w:t xml:space="preserve"> </w:t>
            </w:r>
            <w:r w:rsidRPr="00D84C40">
              <w:t>appliance</w:t>
            </w:r>
            <w:r>
              <w:t>s</w:t>
            </w:r>
            <w:r w:rsidRPr="00D84C40">
              <w:t xml:space="preserve"> designed and commercially manufactured to use that fuel</w:t>
            </w:r>
            <w:r>
              <w:t>), clearance requirements of inflammable material, requirements to be close to the fire, and in some instances, where a fire may be lit.</w:t>
            </w:r>
          </w:p>
          <w:p w14:paraId="778410B9" w14:textId="79D78D5A" w:rsidR="0099042A" w:rsidRPr="0071685D" w:rsidRDefault="0099042A">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These regulations impose </w:t>
            </w:r>
            <w:r w:rsidR="00F20393">
              <w:rPr>
                <w:rFonts w:ascii="Arial" w:hAnsi="Arial" w:cs="Arial"/>
              </w:rPr>
              <w:t xml:space="preserve">only a </w:t>
            </w:r>
            <w:r>
              <w:rPr>
                <w:rFonts w:ascii="Arial" w:hAnsi="Arial" w:cs="Arial"/>
              </w:rPr>
              <w:t xml:space="preserve">minor </w:t>
            </w:r>
            <w:r w:rsidR="00F20393">
              <w:rPr>
                <w:rFonts w:ascii="Arial" w:hAnsi="Arial" w:cs="Arial"/>
              </w:rPr>
              <w:t>burden</w:t>
            </w:r>
            <w:r>
              <w:rPr>
                <w:rFonts w:ascii="Arial" w:hAnsi="Arial" w:cs="Arial"/>
              </w:rPr>
              <w:t xml:space="preserve"> and are easy to comply with. Accordingly, </w:t>
            </w:r>
            <w:r w:rsidR="0033747D">
              <w:rPr>
                <w:rFonts w:ascii="Arial" w:hAnsi="Arial" w:cs="Arial"/>
              </w:rPr>
              <w:t xml:space="preserve">given </w:t>
            </w:r>
            <w:r>
              <w:rPr>
                <w:rFonts w:ascii="Arial" w:hAnsi="Arial" w:cs="Arial"/>
              </w:rPr>
              <w:t>the small compliance burden</w:t>
            </w:r>
            <w:r w:rsidR="0033747D">
              <w:rPr>
                <w:rFonts w:ascii="Arial" w:hAnsi="Arial" w:cs="Arial"/>
              </w:rPr>
              <w:t xml:space="preserve"> involved, -2 is assigned to this criterion.</w:t>
            </w:r>
          </w:p>
        </w:tc>
        <w:tc>
          <w:tcPr>
            <w:tcW w:w="1266" w:type="dxa"/>
          </w:tcPr>
          <w:p w14:paraId="20828ECE" w14:textId="4345A59E"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99042A">
              <w:rPr>
                <w:rFonts w:ascii="Arial" w:hAnsi="Arial" w:cs="Arial"/>
              </w:rPr>
              <w:t>2</w:t>
            </w:r>
          </w:p>
        </w:tc>
        <w:tc>
          <w:tcPr>
            <w:tcW w:w="1607" w:type="dxa"/>
          </w:tcPr>
          <w:p w14:paraId="4BAD4994" w14:textId="64242593"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-0.4</w:t>
            </w:r>
          </w:p>
        </w:tc>
      </w:tr>
      <w:tr w:rsidR="0040690D" w:rsidRPr="00E2622B" w14:paraId="6A0A3CA3"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7D5BEB23" w14:textId="77777777" w:rsidR="0040690D" w:rsidRPr="0071685D" w:rsidRDefault="0040690D">
            <w:pPr>
              <w:spacing w:before="100" w:beforeAutospacing="1" w:after="40"/>
              <w:rPr>
                <w:rFonts w:ascii="Arial" w:hAnsi="Arial" w:cs="Arial"/>
              </w:rPr>
            </w:pPr>
            <w:r w:rsidRPr="0071685D">
              <w:rPr>
                <w:rFonts w:ascii="Arial" w:hAnsi="Arial" w:cs="Arial"/>
              </w:rPr>
              <w:t>Government (10%)</w:t>
            </w:r>
          </w:p>
        </w:tc>
        <w:tc>
          <w:tcPr>
            <w:tcW w:w="4429" w:type="dxa"/>
          </w:tcPr>
          <w:p w14:paraId="2A331617" w14:textId="3112FE32" w:rsidR="004942A7" w:rsidRDefault="004942A7">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4942A7">
              <w:rPr>
                <w:rFonts w:ascii="Arial" w:hAnsi="Arial" w:cs="Arial"/>
              </w:rPr>
              <w:t xml:space="preserve">Government costs are a necessary to support the safety </w:t>
            </w:r>
            <w:r w:rsidR="00333353">
              <w:rPr>
                <w:rFonts w:ascii="Arial" w:hAnsi="Arial" w:cs="Arial"/>
              </w:rPr>
              <w:t xml:space="preserve">of people </w:t>
            </w:r>
            <w:r>
              <w:rPr>
                <w:rFonts w:ascii="Arial" w:hAnsi="Arial" w:cs="Arial"/>
              </w:rPr>
              <w:t>and to protect t</w:t>
            </w:r>
            <w:r w:rsidR="00333353">
              <w:rPr>
                <w:rFonts w:ascii="Arial" w:hAnsi="Arial" w:cs="Arial"/>
              </w:rPr>
              <w:t>he</w:t>
            </w:r>
            <w:r>
              <w:rPr>
                <w:rFonts w:ascii="Arial" w:hAnsi="Arial" w:cs="Arial"/>
              </w:rPr>
              <w:t xml:space="preserve"> environment and cultural heritage.</w:t>
            </w:r>
          </w:p>
          <w:p w14:paraId="4A589F31" w14:textId="46579C0F" w:rsidR="0040690D" w:rsidRPr="0071685D" w:rsidRDefault="0033747D">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This option results in the largest government costs, at around $190,00</w:t>
            </w:r>
            <w:r w:rsidR="001E427C">
              <w:rPr>
                <w:rFonts w:ascii="Arial" w:hAnsi="Arial" w:cs="Arial"/>
              </w:rPr>
              <w:t>0</w:t>
            </w:r>
            <w:r>
              <w:rPr>
                <w:rFonts w:ascii="Arial" w:hAnsi="Arial" w:cs="Arial"/>
              </w:rPr>
              <w:t xml:space="preserve"> per annum. This cost relates to the costs of compliance officers. Given that this option results in the largest cost (borne by the taxpayer), a score of -</w:t>
            </w:r>
            <w:r w:rsidR="00F20393">
              <w:rPr>
                <w:rFonts w:ascii="Arial" w:hAnsi="Arial" w:cs="Arial"/>
              </w:rPr>
              <w:t>6</w:t>
            </w:r>
            <w:r>
              <w:rPr>
                <w:rFonts w:ascii="Arial" w:hAnsi="Arial" w:cs="Arial"/>
              </w:rPr>
              <w:t xml:space="preserve"> is assigned to this criterion.</w:t>
            </w:r>
          </w:p>
        </w:tc>
        <w:tc>
          <w:tcPr>
            <w:tcW w:w="1266" w:type="dxa"/>
          </w:tcPr>
          <w:p w14:paraId="44DFEFD8" w14:textId="46910AC7"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F20393">
              <w:rPr>
                <w:rFonts w:ascii="Arial" w:hAnsi="Arial" w:cs="Arial"/>
              </w:rPr>
              <w:t>6</w:t>
            </w:r>
          </w:p>
        </w:tc>
        <w:tc>
          <w:tcPr>
            <w:tcW w:w="1607" w:type="dxa"/>
          </w:tcPr>
          <w:p w14:paraId="5E011186" w14:textId="7F9543B3"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r w:rsidR="00F20393">
              <w:rPr>
                <w:rFonts w:ascii="Arial" w:hAnsi="Arial" w:cs="Arial"/>
              </w:rPr>
              <w:t>6</w:t>
            </w:r>
          </w:p>
        </w:tc>
      </w:tr>
      <w:tr w:rsidR="0040690D" w:rsidRPr="00EE211A" w14:paraId="6EE29FC7" w14:textId="77777777" w:rsidTr="000325F6">
        <w:tc>
          <w:tcPr>
            <w:cnfStyle w:val="001000000000" w:firstRow="0" w:lastRow="0" w:firstColumn="1" w:lastColumn="0" w:oddVBand="0" w:evenVBand="0" w:oddHBand="0" w:evenHBand="0" w:firstRowFirstColumn="0" w:firstRowLastColumn="0" w:lastRowFirstColumn="0" w:lastRowLastColumn="0"/>
            <w:tcW w:w="2049" w:type="dxa"/>
          </w:tcPr>
          <w:p w14:paraId="25C515D4" w14:textId="77777777" w:rsidR="0040690D" w:rsidRPr="0071685D" w:rsidRDefault="0040690D">
            <w:pPr>
              <w:spacing w:before="100" w:beforeAutospacing="1" w:after="120"/>
              <w:ind w:right="282"/>
              <w:rPr>
                <w:rFonts w:ascii="Arial" w:hAnsi="Arial" w:cs="Arial"/>
                <w:b/>
                <w:bCs/>
                <w:i/>
                <w:iCs/>
              </w:rPr>
            </w:pPr>
            <w:r w:rsidRPr="0071685D">
              <w:rPr>
                <w:rFonts w:ascii="Arial" w:hAnsi="Arial" w:cs="Arial"/>
                <w:b/>
                <w:bCs/>
                <w:i/>
                <w:iCs/>
              </w:rPr>
              <w:t>Total</w:t>
            </w:r>
          </w:p>
        </w:tc>
        <w:tc>
          <w:tcPr>
            <w:tcW w:w="4429" w:type="dxa"/>
          </w:tcPr>
          <w:p w14:paraId="14E32CFA" w14:textId="77777777" w:rsidR="0040690D" w:rsidRPr="0071685D" w:rsidRDefault="0040690D">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6" w:type="dxa"/>
          </w:tcPr>
          <w:p w14:paraId="6A4126D1" w14:textId="77777777" w:rsidR="0040690D" w:rsidRPr="0071685D" w:rsidRDefault="0040690D">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07" w:type="dxa"/>
          </w:tcPr>
          <w:p w14:paraId="607B2260" w14:textId="3D5D5384" w:rsidR="0040690D" w:rsidRPr="0071685D" w:rsidRDefault="0091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752627">
              <w:rPr>
                <w:rFonts w:ascii="Arial" w:hAnsi="Arial" w:cs="Arial"/>
                <w:b/>
                <w:bCs/>
              </w:rPr>
              <w:t>8</w:t>
            </w:r>
          </w:p>
        </w:tc>
      </w:tr>
    </w:tbl>
    <w:p w14:paraId="538A1EA9" w14:textId="77777777" w:rsidR="00A7385A" w:rsidRPr="001D0EAF" w:rsidRDefault="00A7385A" w:rsidP="00A7385A">
      <w:pPr>
        <w:pStyle w:val="Heading3"/>
      </w:pPr>
      <w:bookmarkStart w:id="78" w:name="_Toc187330552"/>
      <w:r w:rsidRPr="001D0EAF">
        <w:t>Overall assessment</w:t>
      </w:r>
      <w:bookmarkEnd w:id="78"/>
    </w:p>
    <w:p w14:paraId="1F1714EA" w14:textId="034FBC4D" w:rsidR="00A7385A" w:rsidRDefault="00A7385A" w:rsidP="00A7385A">
      <w:pPr>
        <w:pStyle w:val="ListParagraph"/>
        <w:spacing w:before="0"/>
        <w:ind w:left="0"/>
        <w:contextualSpacing w:val="0"/>
      </w:pPr>
      <w:r>
        <w:t>The MCA assessment results in a net score of +1.</w:t>
      </w:r>
      <w:r w:rsidR="00333353">
        <w:t>8</w:t>
      </w:r>
      <w:r>
        <w:t>, suggesting that it is preferred over the base case (i.e., letting the regulations lapse).</w:t>
      </w:r>
      <w:r w:rsidR="00B96141">
        <w:t xml:space="preserve"> Each benefit criterion was positive reflecting their contribution to the government’s objective of </w:t>
      </w:r>
      <w:r w:rsidR="00B96141" w:rsidRPr="00D84C40">
        <w:t>protecti</w:t>
      </w:r>
      <w:r w:rsidR="00B96141">
        <w:t>ng</w:t>
      </w:r>
      <w:r w:rsidR="00B96141" w:rsidRPr="00D84C40">
        <w:t xml:space="preserve"> State forests, protected public land and national parks from damage by fire.</w:t>
      </w:r>
      <w:r w:rsidR="00B96141">
        <w:t xml:space="preserve"> Costs imposed on business and individuals </w:t>
      </w:r>
      <w:r w:rsidR="00F20393">
        <w:t>were</w:t>
      </w:r>
      <w:r w:rsidR="00B96141">
        <w:t xml:space="preserve"> relatively minor, the largest cost arising from government enforcement activities.</w:t>
      </w:r>
    </w:p>
    <w:p w14:paraId="6A6A94B6" w14:textId="5A0CA067" w:rsidR="00056E2D" w:rsidRPr="00FA25D2" w:rsidRDefault="00056E2D" w:rsidP="00561361">
      <w:pPr>
        <w:pStyle w:val="Heading2"/>
      </w:pPr>
      <w:bookmarkStart w:id="79" w:name="_Toc187330553"/>
      <w:r w:rsidRPr="00FA25D2">
        <w:t>Option 2</w:t>
      </w:r>
      <w:bookmarkEnd w:id="79"/>
    </w:p>
    <w:p w14:paraId="15D80899" w14:textId="160E39AF" w:rsidR="00056E2D" w:rsidRPr="000C4109" w:rsidRDefault="00056E2D" w:rsidP="00056E2D">
      <w:r>
        <w:t>This option takes a less prescriptive, more performance-based approach. It would prescribe an outcome (i.e., prevention of fire) and the ‘regulatory solution’ could be designed by the park visitor or business. Performance-based standards could be developed</w:t>
      </w:r>
      <w:r w:rsidR="003916C3">
        <w:t xml:space="preserve"> and</w:t>
      </w:r>
      <w:r>
        <w:t xml:space="preserve"> supported by guidance material</w:t>
      </w:r>
      <w:r w:rsidR="006A4FA9">
        <w:t xml:space="preserve"> to assist compliance</w:t>
      </w:r>
      <w:r>
        <w:t>.</w:t>
      </w:r>
    </w:p>
    <w:p w14:paraId="1BCEA070" w14:textId="31620889" w:rsidR="00056E2D" w:rsidRPr="00561361" w:rsidRDefault="00561361" w:rsidP="00561361">
      <w:pPr>
        <w:pStyle w:val="Heading3"/>
      </w:pPr>
      <w:bookmarkStart w:id="80" w:name="_Toc187330554"/>
      <w:r w:rsidRPr="00561361">
        <w:t>Costs</w:t>
      </w:r>
      <w:bookmarkEnd w:id="80"/>
    </w:p>
    <w:p w14:paraId="7CE1CEB8" w14:textId="0E7A158D" w:rsidR="006A4FA9" w:rsidRDefault="006A4FA9" w:rsidP="00035661">
      <w:pPr>
        <w:pStyle w:val="Heading4"/>
        <w:tabs>
          <w:tab w:val="clear" w:pos="426"/>
        </w:tabs>
        <w:ind w:left="0"/>
      </w:pPr>
      <w:bookmarkStart w:id="81" w:name="_Toc187330555"/>
      <w:r>
        <w:t>Businesses and individuals</w:t>
      </w:r>
      <w:bookmarkEnd w:id="81"/>
    </w:p>
    <w:p w14:paraId="60EDADC5" w14:textId="30E5F13D" w:rsidR="00056E2D" w:rsidRPr="00DB312B" w:rsidRDefault="00056E2D" w:rsidP="00056E2D">
      <w:r w:rsidRPr="00DB312B">
        <w:t xml:space="preserve">The annual </w:t>
      </w:r>
      <w:r>
        <w:t>compliance costs for Option 1 were estimated at around $</w:t>
      </w:r>
      <w:r w:rsidR="007636D3">
        <w:t>61</w:t>
      </w:r>
      <w:r>
        <w:t xml:space="preserve">,000. If </w:t>
      </w:r>
      <w:r w:rsidR="00257572">
        <w:t xml:space="preserve">regulated </w:t>
      </w:r>
      <w:r w:rsidR="00333353">
        <w:t>parties</w:t>
      </w:r>
      <w:r>
        <w:t xml:space="preserve"> chose cheaper equipment (</w:t>
      </w:r>
      <w:r w:rsidR="001671AD">
        <w:t>for example</w:t>
      </w:r>
      <w:r>
        <w:t xml:space="preserve"> a beekeeper choosing a fire extinguisher in lieu of a knapsack or a steel garden rake instead of a rakehoe) then costs may be lower. If such costs were reduced by 10 per cent</w:t>
      </w:r>
      <w:r w:rsidR="006A4FA9">
        <w:t>,</w:t>
      </w:r>
      <w:r>
        <w:t xml:space="preserve"> then total annual costs would be around $</w:t>
      </w:r>
      <w:r w:rsidR="007636D3">
        <w:t>55</w:t>
      </w:r>
      <w:r>
        <w:t>,000. Under this scenario costs to beekeepers, sawmills, and other operators may be marginally lower</w:t>
      </w:r>
      <w:r w:rsidR="007636D3">
        <w:t xml:space="preserve"> than those prescribed in Option 1</w:t>
      </w:r>
      <w:r>
        <w:t xml:space="preserve">. While providing a degree of flexibility, this option would also require persons to read and understand guidance notes and supporting material to be able to </w:t>
      </w:r>
      <w:r w:rsidR="006A4FA9">
        <w:t>decide</w:t>
      </w:r>
      <w:r>
        <w:t xml:space="preserve"> </w:t>
      </w:r>
      <w:r w:rsidR="006A4FA9">
        <w:t xml:space="preserve">on appropriate action or choose equipment </w:t>
      </w:r>
      <w:r>
        <w:t>for their particular circumstances.</w:t>
      </w:r>
    </w:p>
    <w:p w14:paraId="127DB813" w14:textId="716C1095" w:rsidR="00056E2D" w:rsidRPr="008D1E69" w:rsidRDefault="00056E2D" w:rsidP="00056E2D">
      <w:pPr>
        <w:autoSpaceDE w:val="0"/>
        <w:autoSpaceDN w:val="0"/>
        <w:adjustRightInd w:val="0"/>
      </w:pPr>
      <w:r>
        <w:t xml:space="preserve">Government </w:t>
      </w:r>
      <w:r w:rsidR="00AA7CFB">
        <w:t xml:space="preserve">would </w:t>
      </w:r>
      <w:r>
        <w:t xml:space="preserve">continue to incur similar enforcement costs to ensure that ‘safe’ regulatory outcomes are being achieved. </w:t>
      </w:r>
      <w:r w:rsidR="00A7385A">
        <w:t xml:space="preserve">Penalties would still apply if a park visitor or business lit an ‘unsafe’ fire. </w:t>
      </w:r>
      <w:r>
        <w:t>At the margin</w:t>
      </w:r>
      <w:r w:rsidRPr="008D1E69">
        <w:t>, performance</w:t>
      </w:r>
      <w:r w:rsidR="4B1D36A6">
        <w:t xml:space="preserve"> </w:t>
      </w:r>
      <w:r w:rsidRPr="008D1E69">
        <w:t xml:space="preserve">based standards may generate uncertainty because circumstances giving rise to </w:t>
      </w:r>
      <w:r>
        <w:t>infringement</w:t>
      </w:r>
      <w:r w:rsidRPr="008D1E69">
        <w:t xml:space="preserve"> may have a degree of subjectivity. This in turn may increase government enforcement costs because the interpretation of such standards may be challenged or determined in the </w:t>
      </w:r>
      <w:r w:rsidR="002B169C">
        <w:t>court</w:t>
      </w:r>
      <w:r w:rsidR="0052309C">
        <w:t>s</w:t>
      </w:r>
      <w:r w:rsidRPr="008D1E69">
        <w:t>.</w:t>
      </w:r>
    </w:p>
    <w:p w14:paraId="2E9C0F3C" w14:textId="3D8518D5" w:rsidR="006A4FA9" w:rsidRDefault="006A4FA9" w:rsidP="00035661">
      <w:pPr>
        <w:pStyle w:val="Heading4"/>
        <w:tabs>
          <w:tab w:val="clear" w:pos="426"/>
        </w:tabs>
        <w:ind w:left="0"/>
      </w:pPr>
      <w:bookmarkStart w:id="82" w:name="_Toc187330556"/>
      <w:r>
        <w:t>Government</w:t>
      </w:r>
      <w:bookmarkEnd w:id="82"/>
    </w:p>
    <w:p w14:paraId="7C0B66C6" w14:textId="569D29B0" w:rsidR="00056E2D" w:rsidRDefault="00056E2D" w:rsidP="00056E2D">
      <w:r>
        <w:t>For the purposes of estimating government costs for this option, the same government costs are assumed as Option 1</w:t>
      </w:r>
      <w:r w:rsidR="00AA7CFB">
        <w:t>:</w:t>
      </w:r>
      <w:r>
        <w:t xml:space="preserve"> </w:t>
      </w:r>
      <w:r w:rsidRPr="008D1E69">
        <w:t>$</w:t>
      </w:r>
      <w:r w:rsidR="002F0271">
        <w:t>190</w:t>
      </w:r>
      <w:r w:rsidRPr="00BC7904">
        <w:t>,000</w:t>
      </w:r>
      <w:r w:rsidRPr="008D1E69">
        <w:rPr>
          <w:i/>
          <w:iCs/>
        </w:rPr>
        <w:t xml:space="preserve"> </w:t>
      </w:r>
      <w:r w:rsidRPr="008D1E69">
        <w:t>per annum</w:t>
      </w:r>
      <w:r>
        <w:t xml:space="preserve"> (with a possibility that they could be slightly higher</w:t>
      </w:r>
      <w:r w:rsidR="003A5130">
        <w:t xml:space="preserve"> owing to a greater level of disputation concerning penalties</w:t>
      </w:r>
      <w:r>
        <w:t>)</w:t>
      </w:r>
      <w:r w:rsidR="00C03B5B">
        <w:t>,</w:t>
      </w:r>
      <w:r w:rsidR="00396B24">
        <w:t xml:space="preserve"> </w:t>
      </w:r>
      <w:r w:rsidR="00C03B5B">
        <w:t>or $1.3 million</w:t>
      </w:r>
      <w:r w:rsidR="00BD54E9">
        <w:t xml:space="preserve"> present value</w:t>
      </w:r>
      <w:r w:rsidR="00C03B5B">
        <w:t xml:space="preserve"> (PV) over a </w:t>
      </w:r>
      <w:r w:rsidR="0043617B">
        <w:t>10-</w:t>
      </w:r>
      <w:r w:rsidR="00C03B5B">
        <w:t>year period</w:t>
      </w:r>
      <w:r>
        <w:t>.</w:t>
      </w:r>
    </w:p>
    <w:p w14:paraId="72D7C984" w14:textId="3DFA5336" w:rsidR="00C03B5B" w:rsidRDefault="00C03B5B" w:rsidP="00035661">
      <w:pPr>
        <w:pStyle w:val="Heading4"/>
        <w:tabs>
          <w:tab w:val="clear" w:pos="426"/>
        </w:tabs>
        <w:ind w:left="0"/>
      </w:pPr>
      <w:bookmarkStart w:id="83" w:name="_Toc187330557"/>
      <w:r>
        <w:t>Total costs</w:t>
      </w:r>
      <w:bookmarkEnd w:id="83"/>
    </w:p>
    <w:p w14:paraId="2DE232B8" w14:textId="5A87DD26" w:rsidR="00C03B5B" w:rsidRDefault="00C03B5B" w:rsidP="003D7CCC">
      <w:pPr>
        <w:spacing w:after="0"/>
      </w:pPr>
      <w:r>
        <w:t xml:space="preserve">Therefore, this results in a total incremental cost for Option 2, including regulatory costs and government costs, of </w:t>
      </w:r>
      <w:r w:rsidRPr="0042353D">
        <w:rPr>
          <w:b/>
          <w:bCs/>
        </w:rPr>
        <w:t>$</w:t>
      </w:r>
      <w:r>
        <w:rPr>
          <w:b/>
          <w:bCs/>
        </w:rPr>
        <w:t>244,000</w:t>
      </w:r>
      <w:r>
        <w:t xml:space="preserve"> per annum, or </w:t>
      </w:r>
      <w:r w:rsidRPr="0042353D">
        <w:rPr>
          <w:b/>
          <w:bCs/>
        </w:rPr>
        <w:t>$1.7</w:t>
      </w:r>
      <w:r>
        <w:rPr>
          <w:b/>
          <w:bCs/>
        </w:rPr>
        <w:t>1</w:t>
      </w:r>
      <w:r w:rsidRPr="0042353D">
        <w:rPr>
          <w:b/>
          <w:bCs/>
        </w:rPr>
        <w:t xml:space="preserve"> million</w:t>
      </w:r>
      <w:r>
        <w:t xml:space="preserve"> PV over 10 years.</w:t>
      </w:r>
    </w:p>
    <w:p w14:paraId="004C087C" w14:textId="1B6A5AB7" w:rsidR="00056E2D" w:rsidRPr="001D0EAF" w:rsidRDefault="00056E2D" w:rsidP="00561361">
      <w:pPr>
        <w:pStyle w:val="Heading3"/>
      </w:pPr>
      <w:bookmarkStart w:id="84" w:name="_Toc187330558"/>
      <w:r w:rsidRPr="001D0EAF">
        <w:t>Benefits</w:t>
      </w:r>
      <w:bookmarkEnd w:id="84"/>
    </w:p>
    <w:p w14:paraId="1EDD84F3" w14:textId="5621F51E" w:rsidR="00C75926" w:rsidRDefault="001E56E9" w:rsidP="00056E2D">
      <w:pPr>
        <w:autoSpaceDE w:val="0"/>
        <w:autoSpaceDN w:val="0"/>
        <w:adjustRightInd w:val="0"/>
        <w:rPr>
          <w:rFonts w:cs="Arial"/>
          <w:szCs w:val="22"/>
        </w:rPr>
      </w:pPr>
      <w:r>
        <w:rPr>
          <w:rFonts w:cs="Arial"/>
          <w:szCs w:val="22"/>
        </w:rPr>
        <w:t>As with the other options, the benefits of Option</w:t>
      </w:r>
      <w:r w:rsidR="00B653C6">
        <w:rPr>
          <w:rFonts w:cs="Arial"/>
          <w:szCs w:val="22"/>
        </w:rPr>
        <w:t xml:space="preserve"> 2</w:t>
      </w:r>
      <w:r>
        <w:rPr>
          <w:rFonts w:cs="Arial"/>
          <w:szCs w:val="22"/>
        </w:rPr>
        <w:t xml:space="preserve"> arise from avoided costs of fire, including avoiding loss of life and prevention of injury, avoiding diminish</w:t>
      </w:r>
      <w:r w:rsidR="00333353">
        <w:rPr>
          <w:rFonts w:cs="Arial"/>
          <w:szCs w:val="22"/>
        </w:rPr>
        <w:t>ed</w:t>
      </w:r>
      <w:r>
        <w:rPr>
          <w:rFonts w:cs="Arial"/>
          <w:szCs w:val="22"/>
        </w:rPr>
        <w:t xml:space="preserve"> forest values, and avoiding </w:t>
      </w:r>
      <w:r w:rsidRPr="00244208">
        <w:t xml:space="preserve">direct and indirect economic </w:t>
      </w:r>
      <w:r>
        <w:t xml:space="preserve">costs to individuals and businesses (further details of these values are contained </w:t>
      </w:r>
      <w:r w:rsidR="00C75926">
        <w:rPr>
          <w:rFonts w:cs="Arial"/>
          <w:szCs w:val="22"/>
        </w:rPr>
        <w:t xml:space="preserve">in section </w:t>
      </w:r>
      <w:r>
        <w:rPr>
          <w:rFonts w:cs="Arial"/>
          <w:szCs w:val="22"/>
        </w:rPr>
        <w:t>2.</w:t>
      </w:r>
      <w:r w:rsidR="00C75926">
        <w:rPr>
          <w:rFonts w:cs="Arial"/>
          <w:szCs w:val="22"/>
        </w:rPr>
        <w:t>1.1)</w:t>
      </w:r>
      <w:r>
        <w:rPr>
          <w:rFonts w:cs="Arial"/>
          <w:szCs w:val="22"/>
        </w:rPr>
        <w:t>.</w:t>
      </w:r>
    </w:p>
    <w:p w14:paraId="7B747604" w14:textId="52EE6675" w:rsidR="0071685D" w:rsidRDefault="00AD1E0D" w:rsidP="00056E2D">
      <w:pPr>
        <w:autoSpaceDE w:val="0"/>
        <w:autoSpaceDN w:val="0"/>
        <w:adjustRightInd w:val="0"/>
        <w:rPr>
          <w:rFonts w:cs="Arial"/>
          <w:szCs w:val="22"/>
        </w:rPr>
      </w:pPr>
      <w:r>
        <w:rPr>
          <w:rFonts w:cs="Arial"/>
          <w:szCs w:val="22"/>
        </w:rPr>
        <w:t xml:space="preserve">Given the difficulty in estimate some costs and the benefits, an MCA assessment was undertaken in the </w:t>
      </w:r>
      <w:r w:rsidR="000B4718">
        <w:rPr>
          <w:rFonts w:cs="Arial"/>
          <w:szCs w:val="22"/>
        </w:rPr>
        <w:t>following section</w:t>
      </w:r>
      <w:r>
        <w:rPr>
          <w:rFonts w:cs="Arial"/>
          <w:szCs w:val="22"/>
        </w:rPr>
        <w:t>.</w:t>
      </w:r>
    </w:p>
    <w:p w14:paraId="0082FAF3" w14:textId="1AFB18FF" w:rsidR="001E56E9" w:rsidRDefault="001E56E9" w:rsidP="00035661">
      <w:pPr>
        <w:pStyle w:val="Heading4"/>
        <w:tabs>
          <w:tab w:val="clear" w:pos="426"/>
        </w:tabs>
        <w:ind w:left="0"/>
      </w:pPr>
      <w:bookmarkStart w:id="85" w:name="_Toc187330559"/>
      <w:r>
        <w:t xml:space="preserve">MCA Assessment: Option 2 </w:t>
      </w:r>
      <w:r>
        <w:rPr>
          <w:rFonts w:cstheme="minorHAnsi"/>
        </w:rPr>
        <w:t>–</w:t>
      </w:r>
      <w:r>
        <w:t xml:space="preserve"> performance</w:t>
      </w:r>
      <w:r w:rsidR="00EB1916">
        <w:t>-</w:t>
      </w:r>
      <w:r>
        <w:t>based approach</w:t>
      </w:r>
      <w:bookmarkEnd w:id="85"/>
    </w:p>
    <w:p w14:paraId="2CC94A0B" w14:textId="276EE41B" w:rsidR="0071685D" w:rsidRDefault="000B4718" w:rsidP="000B4718">
      <w:pPr>
        <w:pStyle w:val="Caption"/>
      </w:pPr>
      <w:bookmarkStart w:id="86" w:name="_Hlk184924214"/>
      <w:r>
        <w:t xml:space="preserve">Table </w:t>
      </w:r>
      <w:r w:rsidR="00363076">
        <w:t>13</w:t>
      </w:r>
      <w:r>
        <w:t>: MCA Assessment – Option 2</w:t>
      </w:r>
    </w:p>
    <w:tbl>
      <w:tblPr>
        <w:tblStyle w:val="TableGrid"/>
        <w:tblW w:w="9351" w:type="dxa"/>
        <w:tblLook w:val="04A0" w:firstRow="1" w:lastRow="0" w:firstColumn="1" w:lastColumn="0" w:noHBand="0" w:noVBand="1"/>
      </w:tblPr>
      <w:tblGrid>
        <w:gridCol w:w="2049"/>
        <w:gridCol w:w="4610"/>
        <w:gridCol w:w="1275"/>
        <w:gridCol w:w="1417"/>
      </w:tblGrid>
      <w:tr w:rsidR="0071685D" w:rsidRPr="00E2622B" w14:paraId="6F22472C" w14:textId="77777777" w:rsidTr="0009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CEFD9" w:themeFill="background2"/>
            <w:hideMark/>
          </w:tcPr>
          <w:p w14:paraId="412A4A3C" w14:textId="77777777" w:rsidR="0071685D" w:rsidRPr="00091ED4" w:rsidRDefault="0071685D">
            <w:pPr>
              <w:spacing w:before="100" w:beforeAutospacing="1" w:after="40"/>
              <w:rPr>
                <w:rFonts w:ascii="Arial" w:hAnsi="Arial" w:cs="Arial"/>
                <w:color w:val="auto"/>
              </w:rPr>
            </w:pPr>
            <w:r w:rsidRPr="00091ED4">
              <w:rPr>
                <w:rFonts w:ascii="Arial" w:hAnsi="Arial" w:cs="Arial"/>
                <w:b/>
                <w:bCs/>
                <w:color w:val="auto"/>
              </w:rPr>
              <w:t>Criterion/weighting</w:t>
            </w:r>
          </w:p>
        </w:tc>
        <w:tc>
          <w:tcPr>
            <w:tcW w:w="0" w:type="dxa"/>
            <w:shd w:val="clear" w:color="auto" w:fill="CCEFD9" w:themeFill="background2"/>
            <w:hideMark/>
          </w:tcPr>
          <w:p w14:paraId="0E6EA928" w14:textId="77777777" w:rsidR="0071685D" w:rsidRPr="00091ED4" w:rsidRDefault="0071685D">
            <w:pPr>
              <w:spacing w:before="100" w:beforeAutospacing="1" w:after="4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91ED4">
              <w:rPr>
                <w:rFonts w:ascii="Arial" w:hAnsi="Arial" w:cs="Arial"/>
                <w:b/>
                <w:bCs/>
                <w:color w:val="auto"/>
              </w:rPr>
              <w:t>Assessment</w:t>
            </w:r>
          </w:p>
        </w:tc>
        <w:tc>
          <w:tcPr>
            <w:tcW w:w="0" w:type="dxa"/>
            <w:shd w:val="clear" w:color="auto" w:fill="CCEFD9" w:themeFill="background2"/>
            <w:hideMark/>
          </w:tcPr>
          <w:p w14:paraId="465C1057" w14:textId="77777777" w:rsidR="0071685D" w:rsidRPr="00091ED4" w:rsidRDefault="0071685D">
            <w:pPr>
              <w:spacing w:before="100" w:beforeAutospacing="1"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91ED4">
              <w:rPr>
                <w:rFonts w:ascii="Arial" w:hAnsi="Arial" w:cs="Arial"/>
                <w:b/>
                <w:bCs/>
                <w:color w:val="auto"/>
              </w:rPr>
              <w:t>Assigned score</w:t>
            </w:r>
          </w:p>
        </w:tc>
        <w:tc>
          <w:tcPr>
            <w:tcW w:w="0" w:type="dxa"/>
            <w:shd w:val="clear" w:color="auto" w:fill="CCEFD9" w:themeFill="background2"/>
          </w:tcPr>
          <w:p w14:paraId="54EBA4E8" w14:textId="77777777" w:rsidR="0071685D" w:rsidRPr="00091ED4" w:rsidRDefault="0071685D">
            <w:pPr>
              <w:spacing w:before="100" w:beforeAutospacing="1"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91ED4">
              <w:rPr>
                <w:rFonts w:ascii="Arial" w:hAnsi="Arial" w:cs="Arial"/>
                <w:b/>
                <w:bCs/>
                <w:color w:val="auto"/>
              </w:rPr>
              <w:t>Weighted score</w:t>
            </w:r>
          </w:p>
        </w:tc>
      </w:tr>
      <w:tr w:rsidR="0071685D" w:rsidRPr="00F84571" w14:paraId="621A0590" w14:textId="77777777">
        <w:tc>
          <w:tcPr>
            <w:cnfStyle w:val="001000000000" w:firstRow="0" w:lastRow="0" w:firstColumn="1" w:lastColumn="0" w:oddVBand="0" w:evenVBand="0" w:oddHBand="0" w:evenHBand="0" w:firstRowFirstColumn="0" w:firstRowLastColumn="0" w:lastRowFirstColumn="0" w:lastRowLastColumn="0"/>
            <w:tcW w:w="9351" w:type="dxa"/>
            <w:gridSpan w:val="4"/>
          </w:tcPr>
          <w:p w14:paraId="11115C99" w14:textId="77777777" w:rsidR="0071685D" w:rsidRPr="005F73B5" w:rsidRDefault="0071685D">
            <w:pPr>
              <w:rPr>
                <w:rFonts w:ascii="Arial" w:hAnsi="Arial" w:cs="Arial"/>
              </w:rPr>
            </w:pPr>
            <w:r w:rsidRPr="005F73B5">
              <w:rPr>
                <w:rFonts w:ascii="Arial" w:hAnsi="Arial" w:cs="Arial"/>
                <w:i/>
                <w:iCs/>
              </w:rPr>
              <w:t>Assessment of Benefits</w:t>
            </w:r>
          </w:p>
        </w:tc>
      </w:tr>
      <w:tr w:rsidR="005F73B5" w:rsidRPr="00F84571" w14:paraId="3850ED40"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1B54570E" w14:textId="6710E648" w:rsidR="005F73B5" w:rsidRPr="005F73B5" w:rsidRDefault="005F73B5" w:rsidP="005F73B5">
            <w:pPr>
              <w:spacing w:after="120"/>
              <w:rPr>
                <w:rFonts w:ascii="Arial" w:hAnsi="Arial" w:cs="Arial"/>
              </w:rPr>
            </w:pPr>
            <w:r w:rsidRPr="0071685D">
              <w:rPr>
                <w:rFonts w:ascii="Arial" w:hAnsi="Arial" w:cs="Arial"/>
              </w:rPr>
              <w:t>Protect</w:t>
            </w:r>
            <w:r>
              <w:rPr>
                <w:rFonts w:ascii="Arial" w:hAnsi="Arial" w:cs="Arial"/>
              </w:rPr>
              <w:t>ion of life and</w:t>
            </w:r>
            <w:r w:rsidRPr="0071685D">
              <w:rPr>
                <w:rFonts w:ascii="Arial" w:hAnsi="Arial" w:cs="Arial"/>
              </w:rPr>
              <w:t xml:space="preserve"> </w:t>
            </w:r>
            <w:r>
              <w:rPr>
                <w:rFonts w:ascii="Arial" w:hAnsi="Arial" w:cs="Arial"/>
              </w:rPr>
              <w:t xml:space="preserve">human </w:t>
            </w:r>
            <w:r w:rsidRPr="0071685D">
              <w:rPr>
                <w:rFonts w:ascii="Arial" w:hAnsi="Arial" w:cs="Arial"/>
              </w:rPr>
              <w:t>safety</w:t>
            </w:r>
            <w:r>
              <w:rPr>
                <w:rFonts w:ascii="Arial" w:hAnsi="Arial" w:cs="Arial"/>
              </w:rPr>
              <w:t>,</w:t>
            </w:r>
            <w:r w:rsidRPr="0071685D">
              <w:rPr>
                <w:rFonts w:ascii="Arial" w:hAnsi="Arial" w:cs="Arial"/>
              </w:rPr>
              <w:t xml:space="preserve"> and </w:t>
            </w:r>
            <w:r>
              <w:rPr>
                <w:rFonts w:ascii="Arial" w:hAnsi="Arial" w:cs="Arial"/>
              </w:rPr>
              <w:t xml:space="preserve">protection of </w:t>
            </w:r>
            <w:r w:rsidRPr="0071685D">
              <w:rPr>
                <w:rFonts w:ascii="Arial" w:hAnsi="Arial" w:cs="Arial"/>
              </w:rPr>
              <w:t xml:space="preserve">private and public property </w:t>
            </w:r>
            <w:r>
              <w:rPr>
                <w:rFonts w:ascii="Arial" w:hAnsi="Arial" w:cs="Arial"/>
              </w:rPr>
              <w:t xml:space="preserve">from </w:t>
            </w:r>
            <w:r w:rsidRPr="0071685D">
              <w:rPr>
                <w:rFonts w:ascii="Arial" w:hAnsi="Arial" w:cs="Arial"/>
              </w:rPr>
              <w:t>fire loss (2</w:t>
            </w:r>
            <w:r>
              <w:rPr>
                <w:rFonts w:ascii="Arial" w:hAnsi="Arial" w:cs="Arial"/>
              </w:rPr>
              <w:t>0</w:t>
            </w:r>
            <w:r w:rsidRPr="0071685D">
              <w:rPr>
                <w:rFonts w:ascii="Arial" w:hAnsi="Arial" w:cs="Arial"/>
              </w:rPr>
              <w:t>%)</w:t>
            </w:r>
          </w:p>
        </w:tc>
        <w:tc>
          <w:tcPr>
            <w:tcW w:w="4610" w:type="dxa"/>
          </w:tcPr>
          <w:p w14:paraId="0D9C8397" w14:textId="76E1974A" w:rsidR="00985779" w:rsidRPr="005F73B5" w:rsidRDefault="00985779" w:rsidP="005F73B5">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performance</w:t>
            </w:r>
            <w:r w:rsidR="00BE70BB">
              <w:rPr>
                <w:rFonts w:ascii="Arial" w:hAnsi="Arial" w:cs="Arial"/>
              </w:rPr>
              <w:t>-</w:t>
            </w:r>
            <w:r>
              <w:rPr>
                <w:rFonts w:ascii="Arial" w:hAnsi="Arial" w:cs="Arial"/>
              </w:rPr>
              <w:t>based approach</w:t>
            </w:r>
            <w:r w:rsidR="00B3063C">
              <w:rPr>
                <w:rFonts w:ascii="Arial" w:hAnsi="Arial" w:cs="Arial"/>
              </w:rPr>
              <w:t xml:space="preserve"> </w:t>
            </w:r>
            <w:r>
              <w:rPr>
                <w:rFonts w:ascii="Arial" w:hAnsi="Arial" w:cs="Arial"/>
              </w:rPr>
              <w:t xml:space="preserve">may be less effective in relation to </w:t>
            </w:r>
            <w:r w:rsidR="00745231">
              <w:rPr>
                <w:rFonts w:ascii="Arial" w:hAnsi="Arial" w:cs="Arial"/>
              </w:rPr>
              <w:t>campfires</w:t>
            </w:r>
            <w:r>
              <w:rPr>
                <w:rFonts w:ascii="Arial" w:hAnsi="Arial" w:cs="Arial"/>
              </w:rPr>
              <w:t xml:space="preserve">/barbeques </w:t>
            </w:r>
            <w:r w:rsidR="006E3C07">
              <w:rPr>
                <w:rFonts w:ascii="Arial" w:hAnsi="Arial" w:cs="Arial"/>
              </w:rPr>
              <w:t>or certain activities such as angle grinding, weld</w:t>
            </w:r>
            <w:r w:rsidR="00F37F17">
              <w:rPr>
                <w:rFonts w:ascii="Arial" w:hAnsi="Arial" w:cs="Arial"/>
              </w:rPr>
              <w:t>ing</w:t>
            </w:r>
            <w:r w:rsidR="006E3C07">
              <w:rPr>
                <w:rFonts w:ascii="Arial" w:hAnsi="Arial" w:cs="Arial"/>
              </w:rPr>
              <w:t>, etc</w:t>
            </w:r>
            <w:r w:rsidR="00745231">
              <w:rPr>
                <w:rFonts w:ascii="Arial" w:hAnsi="Arial" w:cs="Arial"/>
              </w:rPr>
              <w:t>.</w:t>
            </w:r>
            <w:r w:rsidR="006E3C07">
              <w:rPr>
                <w:rFonts w:ascii="Arial" w:hAnsi="Arial" w:cs="Arial"/>
              </w:rPr>
              <w:t xml:space="preserve"> (particular when these are undertaken infrequently). These groups may not fully understand the fire risks and consider their fire or activity safe.</w:t>
            </w:r>
            <w:r w:rsidR="00F37F17">
              <w:rPr>
                <w:rFonts w:ascii="Arial" w:hAnsi="Arial" w:cs="Arial"/>
              </w:rPr>
              <w:t xml:space="preserve"> While guidance material could support this approach, a minority may not conduct their activities with sufficient safety. As noted earlier, even a single fire can lead to a high consequence event, a major bushfire. A score of 4 is assigned to this criterion, which nevertheless is an improvement over the base case.</w:t>
            </w:r>
          </w:p>
        </w:tc>
        <w:tc>
          <w:tcPr>
            <w:tcW w:w="1275" w:type="dxa"/>
          </w:tcPr>
          <w:p w14:paraId="4870E09E" w14:textId="2956B536"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p>
        </w:tc>
        <w:tc>
          <w:tcPr>
            <w:tcW w:w="1417" w:type="dxa"/>
          </w:tcPr>
          <w:p w14:paraId="2D65E00C" w14:textId="2F3F8D7C"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0.8</w:t>
            </w:r>
          </w:p>
        </w:tc>
      </w:tr>
      <w:tr w:rsidR="005F73B5" w:rsidRPr="00F84571" w14:paraId="7D911E85"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13AA6F45" w14:textId="040FE71A" w:rsidR="005F73B5" w:rsidRPr="005F73B5" w:rsidRDefault="005F73B5" w:rsidP="005F73B5">
            <w:pPr>
              <w:spacing w:before="100" w:beforeAutospacing="1" w:after="120"/>
              <w:rPr>
                <w:rFonts w:ascii="Arial" w:hAnsi="Arial" w:cs="Arial"/>
                <w:color w:val="000000"/>
              </w:rPr>
            </w:pPr>
            <w:r w:rsidRPr="005F73B5">
              <w:rPr>
                <w:rFonts w:ascii="Arial" w:hAnsi="Arial" w:cs="Arial"/>
              </w:rPr>
              <w:t>Protect the environment from damaging fire (</w:t>
            </w:r>
            <w:r w:rsidR="00752627">
              <w:rPr>
                <w:rFonts w:ascii="Arial" w:hAnsi="Arial" w:cs="Arial"/>
              </w:rPr>
              <w:t>20</w:t>
            </w:r>
            <w:r w:rsidRPr="005F73B5">
              <w:rPr>
                <w:rFonts w:ascii="Arial" w:hAnsi="Arial" w:cs="Arial"/>
              </w:rPr>
              <w:t>%)</w:t>
            </w:r>
          </w:p>
        </w:tc>
        <w:tc>
          <w:tcPr>
            <w:tcW w:w="4610" w:type="dxa"/>
          </w:tcPr>
          <w:p w14:paraId="0C7B5454" w14:textId="51A7D7BB" w:rsidR="005F73B5" w:rsidRPr="005F73B5" w:rsidRDefault="00E00191" w:rsidP="005F73B5">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regulatory framework established by this option seeks to avoid or minimise fire risks so that forest values will be protected. As seen above, risks associated with relying on individuals </w:t>
            </w:r>
            <w:r w:rsidR="008C5A79">
              <w:rPr>
                <w:rFonts w:ascii="Arial" w:hAnsi="Arial" w:cs="Arial"/>
              </w:rPr>
              <w:t>to</w:t>
            </w:r>
            <w:r w:rsidR="00434A48">
              <w:rPr>
                <w:rFonts w:ascii="Arial" w:hAnsi="Arial" w:cs="Arial"/>
              </w:rPr>
              <w:t xml:space="preserve"> know how to</w:t>
            </w:r>
            <w:r w:rsidR="008C5A79">
              <w:rPr>
                <w:rFonts w:ascii="Arial" w:hAnsi="Arial" w:cs="Arial"/>
              </w:rPr>
              <w:t xml:space="preserve"> </w:t>
            </w:r>
            <w:r>
              <w:rPr>
                <w:rFonts w:ascii="Arial" w:hAnsi="Arial" w:cs="Arial"/>
              </w:rPr>
              <w:t xml:space="preserve">light and maintain campfires </w:t>
            </w:r>
            <w:r w:rsidR="008C5A79">
              <w:rPr>
                <w:rFonts w:ascii="Arial" w:hAnsi="Arial" w:cs="Arial"/>
              </w:rPr>
              <w:t xml:space="preserve">in a </w:t>
            </w:r>
            <w:r w:rsidR="00434A48">
              <w:rPr>
                <w:rFonts w:ascii="Arial" w:hAnsi="Arial" w:cs="Arial"/>
              </w:rPr>
              <w:t>fire-</w:t>
            </w:r>
            <w:r w:rsidR="008C5A79">
              <w:rPr>
                <w:rFonts w:ascii="Arial" w:hAnsi="Arial" w:cs="Arial"/>
              </w:rPr>
              <w:t xml:space="preserve">safe </w:t>
            </w:r>
            <w:r w:rsidR="00434A48">
              <w:rPr>
                <w:rFonts w:ascii="Arial" w:hAnsi="Arial" w:cs="Arial"/>
              </w:rPr>
              <w:t>manner</w:t>
            </w:r>
            <w:r>
              <w:rPr>
                <w:rFonts w:ascii="Arial" w:hAnsi="Arial" w:cs="Arial"/>
              </w:rPr>
              <w:t xml:space="preserve"> are likely to increase fire risks. A commensurate score to safety of 4 is therefore assigned to this criterion.</w:t>
            </w:r>
          </w:p>
        </w:tc>
        <w:tc>
          <w:tcPr>
            <w:tcW w:w="1275" w:type="dxa"/>
          </w:tcPr>
          <w:p w14:paraId="725EDF13" w14:textId="109CAB09"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p>
        </w:tc>
        <w:tc>
          <w:tcPr>
            <w:tcW w:w="1417" w:type="dxa"/>
          </w:tcPr>
          <w:p w14:paraId="3CA0BD76" w14:textId="2B5382FD"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r w:rsidR="00752627">
              <w:rPr>
                <w:rFonts w:ascii="Arial" w:hAnsi="Arial" w:cs="Arial"/>
                <w:sz w:val="22"/>
                <w:szCs w:val="22"/>
              </w:rPr>
              <w:t>8</w:t>
            </w:r>
          </w:p>
        </w:tc>
      </w:tr>
      <w:tr w:rsidR="005F73B5" w:rsidRPr="00F84571" w14:paraId="1BA95DAC"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434CDF89" w14:textId="77777777" w:rsidR="005F73B5" w:rsidRPr="005F73B5" w:rsidRDefault="005F73B5" w:rsidP="005F73B5">
            <w:pPr>
              <w:spacing w:before="100" w:beforeAutospacing="1" w:after="40"/>
              <w:rPr>
                <w:rFonts w:ascii="Arial" w:hAnsi="Arial" w:cs="Arial"/>
              </w:rPr>
            </w:pPr>
            <w:r w:rsidRPr="005F73B5">
              <w:rPr>
                <w:rFonts w:ascii="Arial" w:hAnsi="Arial" w:cs="Arial"/>
              </w:rPr>
              <w:t>Provide assurance that commercial activities are conducted in a safe manner (10%)</w:t>
            </w:r>
          </w:p>
        </w:tc>
        <w:tc>
          <w:tcPr>
            <w:tcW w:w="4610" w:type="dxa"/>
          </w:tcPr>
          <w:p w14:paraId="77285120" w14:textId="367605EC" w:rsidR="005F73B5" w:rsidRPr="005F73B5" w:rsidRDefault="00F37F17" w:rsidP="006E3C0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Relatively complex, </w:t>
            </w:r>
            <w:r w:rsidR="005218DC">
              <w:rPr>
                <w:rFonts w:ascii="Arial" w:hAnsi="Arial" w:cs="Arial"/>
              </w:rPr>
              <w:t>non-standard</w:t>
            </w:r>
            <w:r>
              <w:rPr>
                <w:rFonts w:ascii="Arial" w:hAnsi="Arial" w:cs="Arial"/>
              </w:rPr>
              <w:t xml:space="preserve"> activities undertaken frequently (whose risk-owners understand the risk) may benefit from performance</w:t>
            </w:r>
            <w:r w:rsidR="002B3C2F">
              <w:rPr>
                <w:rFonts w:ascii="Arial" w:hAnsi="Arial" w:cs="Arial"/>
              </w:rPr>
              <w:t>-</w:t>
            </w:r>
            <w:r>
              <w:rPr>
                <w:rFonts w:ascii="Arial" w:hAnsi="Arial" w:cs="Arial"/>
              </w:rPr>
              <w:t xml:space="preserve">based standards. </w:t>
            </w:r>
            <w:r w:rsidR="006E3C07">
              <w:rPr>
                <w:rFonts w:ascii="Arial" w:hAnsi="Arial" w:cs="Arial"/>
              </w:rPr>
              <w:t xml:space="preserve">Consultation suggests that </w:t>
            </w:r>
            <w:r>
              <w:rPr>
                <w:rFonts w:ascii="Arial" w:hAnsi="Arial" w:cs="Arial"/>
              </w:rPr>
              <w:t>beekeepers, sawmills and quarries</w:t>
            </w:r>
            <w:r w:rsidR="006E3C07">
              <w:rPr>
                <w:rFonts w:ascii="Arial" w:hAnsi="Arial" w:cs="Arial"/>
              </w:rPr>
              <w:t xml:space="preserve"> have a good understanding of fire risks, and supported by guidance notes and authorised officer advice, safety under this option </w:t>
            </w:r>
            <w:r w:rsidR="00E5349F">
              <w:rPr>
                <w:rFonts w:ascii="Arial" w:hAnsi="Arial" w:cs="Arial"/>
              </w:rPr>
              <w:t>could be effective</w:t>
            </w:r>
            <w:r w:rsidR="006E3C07">
              <w:rPr>
                <w:rFonts w:ascii="Arial" w:hAnsi="Arial" w:cs="Arial"/>
              </w:rPr>
              <w:t>.</w:t>
            </w:r>
            <w:r w:rsidR="00E5349F">
              <w:rPr>
                <w:rFonts w:ascii="Arial" w:hAnsi="Arial" w:cs="Arial"/>
              </w:rPr>
              <w:t xml:space="preserve"> </w:t>
            </w:r>
            <w:r>
              <w:rPr>
                <w:rFonts w:ascii="Arial" w:hAnsi="Arial" w:cs="Arial"/>
              </w:rPr>
              <w:t>Consequently, a score of 6.5 is assigned to this criterion.</w:t>
            </w:r>
          </w:p>
        </w:tc>
        <w:tc>
          <w:tcPr>
            <w:tcW w:w="1275" w:type="dxa"/>
          </w:tcPr>
          <w:p w14:paraId="60BD27F7" w14:textId="15FA8C52"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6.5</w:t>
            </w:r>
          </w:p>
        </w:tc>
        <w:tc>
          <w:tcPr>
            <w:tcW w:w="1417" w:type="dxa"/>
          </w:tcPr>
          <w:p w14:paraId="53B32BEF" w14:textId="2EC51A7B"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0.65</w:t>
            </w:r>
          </w:p>
        </w:tc>
      </w:tr>
      <w:tr w:rsidR="005F73B5" w:rsidRPr="00F84571" w14:paraId="34E808D2" w14:textId="77777777">
        <w:tc>
          <w:tcPr>
            <w:cnfStyle w:val="001000000000" w:firstRow="0" w:lastRow="0" w:firstColumn="1" w:lastColumn="0" w:oddVBand="0" w:evenVBand="0" w:oddHBand="0" w:evenHBand="0" w:firstRowFirstColumn="0" w:firstRowLastColumn="0" w:lastRowFirstColumn="0" w:lastRowLastColumn="0"/>
            <w:tcW w:w="9351" w:type="dxa"/>
            <w:gridSpan w:val="4"/>
          </w:tcPr>
          <w:p w14:paraId="072BC317" w14:textId="77777777" w:rsidR="005F73B5" w:rsidRPr="005F73B5" w:rsidRDefault="005F73B5" w:rsidP="005F73B5">
            <w:pPr>
              <w:rPr>
                <w:rFonts w:ascii="Arial" w:hAnsi="Arial" w:cs="Arial"/>
              </w:rPr>
            </w:pPr>
            <w:r w:rsidRPr="005F73B5">
              <w:rPr>
                <w:rFonts w:ascii="Arial" w:hAnsi="Arial" w:cs="Arial"/>
                <w:i/>
                <w:iCs/>
              </w:rPr>
              <w:t>Assessment of Costs</w:t>
            </w:r>
          </w:p>
        </w:tc>
      </w:tr>
      <w:tr w:rsidR="005F73B5" w:rsidRPr="00F84571" w14:paraId="637D433A"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44A7345C" w14:textId="77777777" w:rsidR="005F73B5" w:rsidRPr="005F73B5" w:rsidRDefault="005F73B5" w:rsidP="005F73B5">
            <w:pPr>
              <w:spacing w:before="100" w:beforeAutospacing="1" w:after="40"/>
              <w:rPr>
                <w:rFonts w:ascii="Arial" w:hAnsi="Arial" w:cs="Arial"/>
              </w:rPr>
            </w:pPr>
            <w:r w:rsidRPr="005F73B5">
              <w:rPr>
                <w:rFonts w:ascii="Arial" w:hAnsi="Arial" w:cs="Arial"/>
              </w:rPr>
              <w:t>Business (20%)</w:t>
            </w:r>
          </w:p>
        </w:tc>
        <w:tc>
          <w:tcPr>
            <w:tcW w:w="4610" w:type="dxa"/>
          </w:tcPr>
          <w:p w14:paraId="35AD9F54" w14:textId="43A14AE3" w:rsidR="0084126E" w:rsidRDefault="0084126E" w:rsidP="005F73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rPr>
            </w:pPr>
            <w:r>
              <w:rPr>
                <w:rFonts w:cs="Arial"/>
              </w:rPr>
              <w:t>At noted earlier, e</w:t>
            </w:r>
            <w:r w:rsidRPr="0084126E">
              <w:rPr>
                <w:rFonts w:cs="Arial"/>
              </w:rPr>
              <w:t>lements of the current regulations contain performance-based</w:t>
            </w:r>
            <w:r w:rsidR="008127A4">
              <w:rPr>
                <w:rFonts w:cs="Arial"/>
              </w:rPr>
              <w:t xml:space="preserve"> </w:t>
            </w:r>
            <w:r w:rsidRPr="0084126E">
              <w:rPr>
                <w:rFonts w:cs="Arial"/>
              </w:rPr>
              <w:t>type regulations.</w:t>
            </w:r>
          </w:p>
          <w:p w14:paraId="5D907F9E" w14:textId="0AE76919" w:rsidR="005F73B5" w:rsidRPr="005F73B5" w:rsidRDefault="005F73B5" w:rsidP="008412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F73B5">
              <w:rPr>
                <w:rFonts w:cs="Arial"/>
              </w:rPr>
              <w:t xml:space="preserve">The main advantages that performance-based standards have over prescriptive regulation are the greater flexibility afforded to regulated parties in achieving the desired outcomes, and their ability to be used in situations where circumstances may change over time. </w:t>
            </w:r>
            <w:r w:rsidR="0084126E">
              <w:rPr>
                <w:rFonts w:cs="Arial"/>
              </w:rPr>
              <w:t xml:space="preserve">Often businesses have </w:t>
            </w:r>
            <w:r w:rsidR="003921D7">
              <w:rPr>
                <w:rFonts w:cs="Arial"/>
              </w:rPr>
              <w:t xml:space="preserve">a </w:t>
            </w:r>
            <w:r w:rsidR="0084126E">
              <w:rPr>
                <w:rFonts w:cs="Arial"/>
              </w:rPr>
              <w:t xml:space="preserve">good </w:t>
            </w:r>
            <w:r w:rsidR="003921D7">
              <w:rPr>
                <w:rFonts w:cs="Arial"/>
              </w:rPr>
              <w:t xml:space="preserve">understanding </w:t>
            </w:r>
            <w:r w:rsidR="0084126E">
              <w:rPr>
                <w:rFonts w:cs="Arial"/>
              </w:rPr>
              <w:t>of fire risks, and may purchase fire suppression equipment tailored to their risks. As seen in the quantitative assessment</w:t>
            </w:r>
            <w:r w:rsidR="00B3063C">
              <w:rPr>
                <w:rFonts w:cs="Arial"/>
              </w:rPr>
              <w:t>,</w:t>
            </w:r>
            <w:r w:rsidR="0084126E">
              <w:rPr>
                <w:rFonts w:cs="Arial"/>
              </w:rPr>
              <w:t xml:space="preserve"> modest cost saving</w:t>
            </w:r>
            <w:r w:rsidR="00B3063C">
              <w:rPr>
                <w:rFonts w:cs="Arial"/>
              </w:rPr>
              <w:t>s</w:t>
            </w:r>
            <w:r w:rsidR="0084126E">
              <w:rPr>
                <w:rFonts w:cs="Arial"/>
              </w:rPr>
              <w:t xml:space="preserve"> may be achieved under this scenario, and consequently a score of minus -2 is assigned to this criterion.</w:t>
            </w:r>
          </w:p>
        </w:tc>
        <w:tc>
          <w:tcPr>
            <w:tcW w:w="1275" w:type="dxa"/>
          </w:tcPr>
          <w:p w14:paraId="0B7CB435" w14:textId="7AE59C8A"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17" w:type="dxa"/>
          </w:tcPr>
          <w:p w14:paraId="4A1A06A2" w14:textId="384BC16F"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-0.4</w:t>
            </w:r>
          </w:p>
        </w:tc>
      </w:tr>
      <w:tr w:rsidR="005F73B5" w:rsidRPr="00F84571" w14:paraId="2657CE2F"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5788E1C2" w14:textId="77777777" w:rsidR="005F73B5" w:rsidRPr="005F73B5" w:rsidRDefault="005F73B5" w:rsidP="005F73B5">
            <w:pPr>
              <w:spacing w:before="100" w:beforeAutospacing="1" w:after="40"/>
              <w:rPr>
                <w:rFonts w:ascii="Arial" w:hAnsi="Arial" w:cs="Arial"/>
              </w:rPr>
            </w:pPr>
            <w:r w:rsidRPr="005F73B5">
              <w:rPr>
                <w:rFonts w:ascii="Arial" w:hAnsi="Arial" w:cs="Arial"/>
              </w:rPr>
              <w:t>Individuals (20%)</w:t>
            </w:r>
          </w:p>
        </w:tc>
        <w:tc>
          <w:tcPr>
            <w:tcW w:w="4610" w:type="dxa"/>
          </w:tcPr>
          <w:p w14:paraId="3949B993" w14:textId="48F65923" w:rsidR="005F73B5" w:rsidRPr="005F73B5" w:rsidRDefault="003A5130" w:rsidP="005F73B5">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It is likely that the majority of</w:t>
            </w:r>
            <w:r w:rsidR="0031106E">
              <w:rPr>
                <w:rFonts w:ascii="Arial" w:hAnsi="Arial" w:cs="Arial"/>
              </w:rPr>
              <w:t xml:space="preserve"> individual park visitor</w:t>
            </w:r>
            <w:r w:rsidR="00141B69">
              <w:rPr>
                <w:rFonts w:ascii="Arial" w:hAnsi="Arial" w:cs="Arial"/>
              </w:rPr>
              <w:t>s</w:t>
            </w:r>
            <w:r w:rsidR="0031106E">
              <w:rPr>
                <w:rFonts w:ascii="Arial" w:hAnsi="Arial" w:cs="Arial"/>
              </w:rPr>
              <w:t xml:space="preserve"> will construct a ‘safe’ fire. Information provided on fire safety by government and others is likely to ensure some level of safety. However, some individuals may consider their fire ‘safe’ and not carry out sufficient safety measures. This outcome is likely to lower costs for some individuals and </w:t>
            </w:r>
            <w:r w:rsidR="0084126E">
              <w:rPr>
                <w:rFonts w:ascii="Arial" w:hAnsi="Arial" w:cs="Arial"/>
              </w:rPr>
              <w:t xml:space="preserve">accordingly </w:t>
            </w:r>
            <w:r w:rsidR="0031106E">
              <w:rPr>
                <w:rFonts w:ascii="Arial" w:hAnsi="Arial" w:cs="Arial"/>
              </w:rPr>
              <w:t>a score of -1</w:t>
            </w:r>
            <w:r w:rsidR="0084126E">
              <w:rPr>
                <w:rFonts w:ascii="Arial" w:hAnsi="Arial" w:cs="Arial"/>
              </w:rPr>
              <w:t xml:space="preserve"> is assigned to this criterion (but is also reflected in the safety criterion above).</w:t>
            </w:r>
          </w:p>
        </w:tc>
        <w:tc>
          <w:tcPr>
            <w:tcW w:w="1275" w:type="dxa"/>
          </w:tcPr>
          <w:p w14:paraId="5C611E08" w14:textId="5CE543AE"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17" w:type="dxa"/>
          </w:tcPr>
          <w:p w14:paraId="14CA0CC0" w14:textId="250F2022"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-0.2</w:t>
            </w:r>
          </w:p>
        </w:tc>
      </w:tr>
      <w:tr w:rsidR="005F73B5" w:rsidRPr="00E2622B" w14:paraId="6F226291"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118DAFE7" w14:textId="77777777" w:rsidR="005F73B5" w:rsidRPr="005F73B5" w:rsidRDefault="005F73B5" w:rsidP="005F73B5">
            <w:pPr>
              <w:spacing w:before="100" w:beforeAutospacing="1" w:after="40"/>
              <w:rPr>
                <w:rFonts w:ascii="Arial" w:hAnsi="Arial" w:cs="Arial"/>
              </w:rPr>
            </w:pPr>
            <w:r w:rsidRPr="005F73B5">
              <w:rPr>
                <w:rFonts w:ascii="Arial" w:hAnsi="Arial" w:cs="Arial"/>
              </w:rPr>
              <w:t>Government (10%)</w:t>
            </w:r>
          </w:p>
        </w:tc>
        <w:tc>
          <w:tcPr>
            <w:tcW w:w="4610" w:type="dxa"/>
          </w:tcPr>
          <w:p w14:paraId="03A1E7B2" w14:textId="21B5B3BE" w:rsidR="005F73B5" w:rsidRPr="005F73B5" w:rsidRDefault="003A5130" w:rsidP="005F73B5">
            <w:pPr>
              <w:spacing w:before="100" w:beforeAutospacing="1"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Government costs are likely to be similar, or slightly higher, than under Option 1. Even though the same number of enforcement officers are assumed, if infringements</w:t>
            </w:r>
            <w:r w:rsidR="00483A78">
              <w:rPr>
                <w:rFonts w:ascii="Arial" w:hAnsi="Arial" w:cs="Arial"/>
              </w:rPr>
              <w:t xml:space="preserve"> or prosecutions</w:t>
            </w:r>
            <w:r>
              <w:rPr>
                <w:rFonts w:ascii="Arial" w:hAnsi="Arial" w:cs="Arial"/>
              </w:rPr>
              <w:t xml:space="preserve"> are disputed </w:t>
            </w:r>
            <w:r w:rsidR="006E1577">
              <w:rPr>
                <w:rFonts w:ascii="Arial" w:hAnsi="Arial" w:cs="Arial"/>
              </w:rPr>
              <w:t xml:space="preserve">in court </w:t>
            </w:r>
            <w:r>
              <w:rPr>
                <w:rFonts w:ascii="Arial" w:hAnsi="Arial" w:cs="Arial"/>
              </w:rPr>
              <w:t xml:space="preserve">over contested views concerning </w:t>
            </w:r>
            <w:r w:rsidR="005C1274">
              <w:rPr>
                <w:rFonts w:ascii="Arial" w:hAnsi="Arial" w:cs="Arial"/>
              </w:rPr>
              <w:t>what is and is</w:t>
            </w:r>
            <w:r w:rsidR="00B3063C">
              <w:rPr>
                <w:rFonts w:ascii="Arial" w:hAnsi="Arial" w:cs="Arial"/>
              </w:rPr>
              <w:t xml:space="preserve"> not</w:t>
            </w:r>
            <w:r w:rsidR="005C1274">
              <w:rPr>
                <w:rFonts w:ascii="Arial" w:hAnsi="Arial" w:cs="Arial"/>
              </w:rPr>
              <w:t xml:space="preserve"> complia</w:t>
            </w:r>
            <w:r w:rsidR="00B3063C">
              <w:rPr>
                <w:rFonts w:ascii="Arial" w:hAnsi="Arial" w:cs="Arial"/>
              </w:rPr>
              <w:t>nt</w:t>
            </w:r>
            <w:r w:rsidR="005C1274">
              <w:rPr>
                <w:rFonts w:ascii="Arial" w:hAnsi="Arial" w:cs="Arial"/>
              </w:rPr>
              <w:t xml:space="preserve">, </w:t>
            </w:r>
            <w:r>
              <w:rPr>
                <w:rFonts w:ascii="Arial" w:hAnsi="Arial" w:cs="Arial"/>
              </w:rPr>
              <w:t>then government administrative, legal</w:t>
            </w:r>
            <w:r w:rsidR="00B3063C">
              <w:rPr>
                <w:rFonts w:ascii="Arial" w:hAnsi="Arial" w:cs="Arial"/>
              </w:rPr>
              <w:t>,</w:t>
            </w:r>
            <w:r>
              <w:rPr>
                <w:rFonts w:ascii="Arial" w:hAnsi="Arial" w:cs="Arial"/>
              </w:rPr>
              <w:t xml:space="preserve"> and court costs may </w:t>
            </w:r>
            <w:r w:rsidR="00FE7E79">
              <w:rPr>
                <w:rFonts w:ascii="Arial" w:hAnsi="Arial" w:cs="Arial"/>
              </w:rPr>
              <w:t>be higher</w:t>
            </w:r>
            <w:r>
              <w:rPr>
                <w:rFonts w:ascii="Arial" w:hAnsi="Arial" w:cs="Arial"/>
              </w:rPr>
              <w:t xml:space="preserve">. Consequently, this option receives a marginally more negative score of -6.5. </w:t>
            </w:r>
          </w:p>
        </w:tc>
        <w:tc>
          <w:tcPr>
            <w:tcW w:w="1275" w:type="dxa"/>
          </w:tcPr>
          <w:p w14:paraId="754242AC" w14:textId="392E4749"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w:t>
            </w:r>
          </w:p>
        </w:tc>
        <w:tc>
          <w:tcPr>
            <w:tcW w:w="1417" w:type="dxa"/>
          </w:tcPr>
          <w:p w14:paraId="0A04A45E" w14:textId="7DE7ABFC"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-0.65</w:t>
            </w:r>
          </w:p>
        </w:tc>
      </w:tr>
      <w:tr w:rsidR="005F73B5" w:rsidRPr="00EE211A" w14:paraId="6A0B61F4" w14:textId="77777777" w:rsidTr="005F73B5">
        <w:tc>
          <w:tcPr>
            <w:cnfStyle w:val="001000000000" w:firstRow="0" w:lastRow="0" w:firstColumn="1" w:lastColumn="0" w:oddVBand="0" w:evenVBand="0" w:oddHBand="0" w:evenHBand="0" w:firstRowFirstColumn="0" w:firstRowLastColumn="0" w:lastRowFirstColumn="0" w:lastRowLastColumn="0"/>
            <w:tcW w:w="2049" w:type="dxa"/>
          </w:tcPr>
          <w:p w14:paraId="152C4C44" w14:textId="77777777" w:rsidR="005F73B5" w:rsidRPr="005F73B5" w:rsidRDefault="005F73B5" w:rsidP="005F73B5">
            <w:pPr>
              <w:spacing w:before="100" w:beforeAutospacing="1" w:after="120"/>
              <w:ind w:right="282"/>
              <w:rPr>
                <w:rFonts w:ascii="Arial" w:hAnsi="Arial" w:cs="Arial"/>
                <w:b/>
                <w:bCs/>
                <w:i/>
                <w:iCs/>
              </w:rPr>
            </w:pPr>
            <w:r w:rsidRPr="005F73B5">
              <w:rPr>
                <w:rFonts w:ascii="Arial" w:hAnsi="Arial" w:cs="Arial"/>
                <w:b/>
                <w:bCs/>
                <w:i/>
                <w:iCs/>
              </w:rPr>
              <w:t>Total</w:t>
            </w:r>
          </w:p>
        </w:tc>
        <w:tc>
          <w:tcPr>
            <w:tcW w:w="4610" w:type="dxa"/>
          </w:tcPr>
          <w:p w14:paraId="5F767C48" w14:textId="77777777" w:rsidR="005F73B5" w:rsidRPr="005F73B5" w:rsidRDefault="005F73B5" w:rsidP="005F73B5">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75" w:type="dxa"/>
          </w:tcPr>
          <w:p w14:paraId="5F8ABD1B" w14:textId="77777777" w:rsidR="005F73B5" w:rsidRPr="00E2622B" w:rsidRDefault="005F73B5" w:rsidP="005F73B5">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17" w:type="dxa"/>
          </w:tcPr>
          <w:p w14:paraId="6885A4AD" w14:textId="529B9F87" w:rsidR="005F73B5" w:rsidRPr="00E2622B" w:rsidRDefault="005F73B5" w:rsidP="005F73B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w:t>
            </w:r>
            <w:r w:rsidR="00752627">
              <w:rPr>
                <w:rFonts w:ascii="Arial" w:hAnsi="Arial" w:cs="Arial"/>
                <w:b/>
                <w:bCs/>
                <w:sz w:val="22"/>
                <w:szCs w:val="22"/>
              </w:rPr>
              <w:t>1.00</w:t>
            </w:r>
          </w:p>
        </w:tc>
      </w:tr>
    </w:tbl>
    <w:p w14:paraId="371B8A2D" w14:textId="4CCE42BC" w:rsidR="00056E2D" w:rsidRPr="001D0EAF" w:rsidRDefault="00056E2D" w:rsidP="00561361">
      <w:pPr>
        <w:pStyle w:val="Heading3"/>
      </w:pPr>
      <w:bookmarkStart w:id="87" w:name="_Toc187330560"/>
      <w:bookmarkEnd w:id="86"/>
      <w:r w:rsidRPr="001D0EAF">
        <w:t>Overall assessment</w:t>
      </w:r>
      <w:bookmarkEnd w:id="87"/>
    </w:p>
    <w:p w14:paraId="380C23E6" w14:textId="73CC0686" w:rsidR="00025735" w:rsidRDefault="001558D8" w:rsidP="001558D8">
      <w:pPr>
        <w:spacing w:after="113"/>
        <w:rPr>
          <w:rFonts w:cs="Calibri Light"/>
          <w:szCs w:val="22"/>
        </w:rPr>
      </w:pPr>
      <w:r w:rsidRPr="001558D8">
        <w:rPr>
          <w:rFonts w:cs="Calibri Light"/>
          <w:szCs w:val="22"/>
        </w:rPr>
        <w:t>Performance</w:t>
      </w:r>
      <w:r w:rsidR="00296A1D">
        <w:rPr>
          <w:rFonts w:cs="Calibri Light"/>
          <w:szCs w:val="22"/>
        </w:rPr>
        <w:t>-</w:t>
      </w:r>
      <w:r w:rsidRPr="001558D8">
        <w:rPr>
          <w:rFonts w:cs="Calibri Light"/>
          <w:szCs w:val="22"/>
        </w:rPr>
        <w:t xml:space="preserve">based regulations may have merit in </w:t>
      </w:r>
      <w:r>
        <w:rPr>
          <w:rFonts w:cs="Calibri Light"/>
          <w:szCs w:val="22"/>
        </w:rPr>
        <w:t xml:space="preserve">more complex </w:t>
      </w:r>
      <w:r w:rsidRPr="001558D8">
        <w:rPr>
          <w:rFonts w:cs="Calibri Light"/>
          <w:szCs w:val="22"/>
        </w:rPr>
        <w:t>situation</w:t>
      </w:r>
      <w:r>
        <w:rPr>
          <w:rFonts w:cs="Calibri Light"/>
          <w:szCs w:val="22"/>
        </w:rPr>
        <w:t>s where risks</w:t>
      </w:r>
      <w:r w:rsidRPr="001558D8">
        <w:rPr>
          <w:rFonts w:cs="Calibri Light"/>
          <w:szCs w:val="22"/>
        </w:rPr>
        <w:t xml:space="preserve"> </w:t>
      </w:r>
      <w:r>
        <w:rPr>
          <w:rFonts w:cs="Calibri Light"/>
          <w:szCs w:val="22"/>
        </w:rPr>
        <w:t xml:space="preserve">are well understood. In the case of businesses operating in or near forest, operators are in a good position to tailor appropriate fire prevention to their </w:t>
      </w:r>
      <w:r w:rsidR="00025735">
        <w:rPr>
          <w:rFonts w:cs="Calibri Light"/>
          <w:szCs w:val="22"/>
        </w:rPr>
        <w:t xml:space="preserve">particular </w:t>
      </w:r>
      <w:r>
        <w:rPr>
          <w:rFonts w:cs="Calibri Light"/>
          <w:szCs w:val="22"/>
        </w:rPr>
        <w:t>circumstances. The quant</w:t>
      </w:r>
      <w:r w:rsidR="00025735">
        <w:rPr>
          <w:rFonts w:cs="Calibri Light"/>
          <w:szCs w:val="22"/>
        </w:rPr>
        <w:t xml:space="preserve">itative assessment in this RIS suggests that some cost savings may be realised under this approach. A criticism of this approach is that </w:t>
      </w:r>
      <w:r w:rsidR="00025735">
        <w:rPr>
          <w:rFonts w:cs="Arial"/>
          <w:szCs w:val="22"/>
        </w:rPr>
        <w:t>t</w:t>
      </w:r>
      <w:r w:rsidR="00025735" w:rsidRPr="00DF380D">
        <w:rPr>
          <w:rFonts w:cs="Calibri Light"/>
          <w:szCs w:val="22"/>
        </w:rPr>
        <w:t>he greater flexibility and freedom offered by performance-based regulations can lead to uncertainty over whether their actions satisfy the standards set by the regulations.</w:t>
      </w:r>
      <w:r w:rsidR="00025735">
        <w:rPr>
          <w:rFonts w:cs="Calibri Light"/>
          <w:szCs w:val="22"/>
        </w:rPr>
        <w:t xml:space="preserve"> This in part could be overcome with supporting performance standards and guidance information</w:t>
      </w:r>
      <w:r w:rsidR="002879EF">
        <w:rPr>
          <w:rFonts w:cs="Calibri Light"/>
          <w:szCs w:val="22"/>
        </w:rPr>
        <w:t xml:space="preserve"> produced by regulators</w:t>
      </w:r>
      <w:r w:rsidR="00025735">
        <w:rPr>
          <w:rFonts w:cs="Calibri Light"/>
          <w:szCs w:val="22"/>
        </w:rPr>
        <w:t>.</w:t>
      </w:r>
    </w:p>
    <w:p w14:paraId="784E4E90" w14:textId="01BE4E6A" w:rsidR="001558D8" w:rsidRPr="001558D8" w:rsidRDefault="00025735" w:rsidP="00A7345F">
      <w:pPr>
        <w:spacing w:after="113"/>
        <w:rPr>
          <w:rFonts w:cs="Calibri Light"/>
          <w:szCs w:val="22"/>
        </w:rPr>
      </w:pPr>
      <w:r>
        <w:rPr>
          <w:rFonts w:cs="Calibri Light"/>
          <w:szCs w:val="22"/>
        </w:rPr>
        <w:t>However, in cases where risks are less complex</w:t>
      </w:r>
      <w:r>
        <w:rPr>
          <w:rStyle w:val="FootnoteReference"/>
          <w:rFonts w:cs="Calibri Light"/>
          <w:szCs w:val="22"/>
        </w:rPr>
        <w:footnoteReference w:id="63"/>
      </w:r>
      <w:r>
        <w:rPr>
          <w:rFonts w:cs="Calibri Light"/>
          <w:szCs w:val="22"/>
        </w:rPr>
        <w:t xml:space="preserve"> but not well understood</w:t>
      </w:r>
      <w:r w:rsidR="002E0A6F">
        <w:rPr>
          <w:rFonts w:cs="Calibri Light"/>
          <w:szCs w:val="22"/>
        </w:rPr>
        <w:t xml:space="preserve">, prescribed standards and specified requirements can provide an effective </w:t>
      </w:r>
      <w:r w:rsidR="009A3137">
        <w:rPr>
          <w:rFonts w:cs="Calibri Light"/>
          <w:szCs w:val="22"/>
        </w:rPr>
        <w:t xml:space="preserve">way of </w:t>
      </w:r>
      <w:r w:rsidR="00A7345F">
        <w:rPr>
          <w:rFonts w:cs="Calibri Light"/>
          <w:szCs w:val="22"/>
        </w:rPr>
        <w:t xml:space="preserve">managing risks. While campfire risks are </w:t>
      </w:r>
      <w:r w:rsidR="001558D8" w:rsidRPr="001558D8">
        <w:rPr>
          <w:rFonts w:cs="Calibri Light"/>
          <w:szCs w:val="22"/>
        </w:rPr>
        <w:t xml:space="preserve">generally </w:t>
      </w:r>
      <w:r w:rsidR="00F54DA7">
        <w:rPr>
          <w:rFonts w:cs="Calibri Light"/>
          <w:szCs w:val="22"/>
        </w:rPr>
        <w:t xml:space="preserve">less complex, </w:t>
      </w:r>
      <w:r w:rsidR="001558D8" w:rsidRPr="001558D8">
        <w:rPr>
          <w:rFonts w:cs="Calibri Light"/>
          <w:szCs w:val="22"/>
        </w:rPr>
        <w:t xml:space="preserve">members of the public may not have a good understanding of </w:t>
      </w:r>
      <w:r w:rsidR="00B3063C">
        <w:rPr>
          <w:rFonts w:cs="Calibri Light"/>
          <w:szCs w:val="22"/>
        </w:rPr>
        <w:t xml:space="preserve">these </w:t>
      </w:r>
      <w:r w:rsidR="001558D8" w:rsidRPr="001558D8">
        <w:rPr>
          <w:rFonts w:cs="Calibri Light"/>
          <w:szCs w:val="22"/>
        </w:rPr>
        <w:t>risk</w:t>
      </w:r>
      <w:r w:rsidR="00F54DA7">
        <w:rPr>
          <w:rFonts w:cs="Calibri Light"/>
          <w:szCs w:val="22"/>
        </w:rPr>
        <w:t>s</w:t>
      </w:r>
      <w:r w:rsidR="001558D8" w:rsidRPr="001558D8">
        <w:rPr>
          <w:rFonts w:cs="Calibri Light"/>
          <w:szCs w:val="22"/>
        </w:rPr>
        <w:t xml:space="preserve"> (</w:t>
      </w:r>
      <w:r w:rsidR="00374656">
        <w:rPr>
          <w:rFonts w:cs="Calibri Light"/>
          <w:szCs w:val="22"/>
        </w:rPr>
        <w:t>for example</w:t>
      </w:r>
      <w:r w:rsidR="001558D8" w:rsidRPr="001558D8">
        <w:rPr>
          <w:rFonts w:cs="Calibri Light"/>
          <w:szCs w:val="22"/>
        </w:rPr>
        <w:t xml:space="preserve"> a camper </w:t>
      </w:r>
      <w:r w:rsidR="00A7345F">
        <w:rPr>
          <w:rFonts w:cs="Calibri Light"/>
          <w:szCs w:val="22"/>
        </w:rPr>
        <w:t>may</w:t>
      </w:r>
      <w:r w:rsidR="001558D8" w:rsidRPr="001558D8">
        <w:rPr>
          <w:rFonts w:cs="Calibri Light"/>
          <w:szCs w:val="22"/>
        </w:rPr>
        <w:t xml:space="preserve"> only </w:t>
      </w:r>
      <w:r w:rsidR="00A7345F">
        <w:rPr>
          <w:rFonts w:cs="Calibri Light"/>
          <w:szCs w:val="22"/>
        </w:rPr>
        <w:t xml:space="preserve">a </w:t>
      </w:r>
      <w:r w:rsidR="001558D8" w:rsidRPr="001558D8">
        <w:rPr>
          <w:rFonts w:cs="Calibri Light"/>
          <w:szCs w:val="22"/>
        </w:rPr>
        <w:t>light a fire occasionally</w:t>
      </w:r>
      <w:r w:rsidR="00A7345F">
        <w:rPr>
          <w:rFonts w:cs="Calibri Light"/>
          <w:szCs w:val="22"/>
        </w:rPr>
        <w:t xml:space="preserve"> and be unfamiliar with local climatic conditions)</w:t>
      </w:r>
      <w:r w:rsidR="00F54DA7">
        <w:rPr>
          <w:rFonts w:cs="Calibri Light"/>
          <w:szCs w:val="22"/>
        </w:rPr>
        <w:t>.</w:t>
      </w:r>
    </w:p>
    <w:p w14:paraId="0F1C2178" w14:textId="4F5F291D" w:rsidR="00F54DA7" w:rsidRDefault="00025735" w:rsidP="00F54DA7">
      <w:pPr>
        <w:spacing w:after="113"/>
        <w:rPr>
          <w:rFonts w:cs="Calibri Light"/>
        </w:rPr>
      </w:pPr>
      <w:r w:rsidRPr="4F8250B5">
        <w:rPr>
          <w:rFonts w:cs="Arial"/>
        </w:rPr>
        <w:t xml:space="preserve">In terms of government costs, a potential issue with </w:t>
      </w:r>
      <w:r w:rsidR="00A3348B">
        <w:rPr>
          <w:rFonts w:cs="Arial"/>
        </w:rPr>
        <w:t xml:space="preserve">a </w:t>
      </w:r>
      <w:r w:rsidR="00F54DA7" w:rsidRPr="4F8250B5">
        <w:rPr>
          <w:rFonts w:cs="Calibri Light"/>
        </w:rPr>
        <w:t>performance</w:t>
      </w:r>
      <w:r w:rsidR="003C0AD7">
        <w:rPr>
          <w:rFonts w:cs="Calibri Light"/>
        </w:rPr>
        <w:t>-</w:t>
      </w:r>
      <w:r w:rsidR="00F54DA7" w:rsidRPr="4F8250B5">
        <w:rPr>
          <w:rFonts w:cs="Calibri Light"/>
        </w:rPr>
        <w:t>based</w:t>
      </w:r>
      <w:r w:rsidR="00056E2D" w:rsidRPr="4F8250B5">
        <w:rPr>
          <w:rFonts w:cs="Calibri Light"/>
        </w:rPr>
        <w:t xml:space="preserve"> </w:t>
      </w:r>
      <w:r w:rsidRPr="4F8250B5">
        <w:rPr>
          <w:rFonts w:cs="Calibri Light"/>
        </w:rPr>
        <w:t>approach</w:t>
      </w:r>
      <w:r w:rsidR="00056E2D" w:rsidRPr="4F8250B5">
        <w:rPr>
          <w:rFonts w:cs="Calibri Light"/>
        </w:rPr>
        <w:t xml:space="preserve"> is that </w:t>
      </w:r>
      <w:r w:rsidR="00EF6CBE">
        <w:rPr>
          <w:rFonts w:cs="Calibri Light"/>
        </w:rPr>
        <w:t>regulatory</w:t>
      </w:r>
      <w:r w:rsidR="00EF6CBE" w:rsidRPr="4F8250B5">
        <w:rPr>
          <w:rFonts w:cs="Calibri Light"/>
        </w:rPr>
        <w:t xml:space="preserve"> </w:t>
      </w:r>
      <w:r w:rsidR="00056E2D" w:rsidRPr="4F8250B5">
        <w:rPr>
          <w:rFonts w:cs="Calibri Light"/>
        </w:rPr>
        <w:t xml:space="preserve">and enforcement decisions </w:t>
      </w:r>
      <w:r w:rsidRPr="4F8250B5">
        <w:rPr>
          <w:rFonts w:cs="Calibri Light"/>
        </w:rPr>
        <w:t>c</w:t>
      </w:r>
      <w:r w:rsidR="00056E2D" w:rsidRPr="4F8250B5">
        <w:rPr>
          <w:rFonts w:cs="Calibri Light"/>
        </w:rPr>
        <w:t>ould lack specificity and could be open to dispute. Performance</w:t>
      </w:r>
      <w:r w:rsidR="00FE10C6">
        <w:rPr>
          <w:rFonts w:cs="Calibri Light"/>
        </w:rPr>
        <w:t>-</w:t>
      </w:r>
      <w:r w:rsidR="00056E2D" w:rsidRPr="4F8250B5">
        <w:rPr>
          <w:rFonts w:cs="Calibri Light"/>
        </w:rPr>
        <w:t xml:space="preserve">based standards may generate uncertainty because circumstances resulting in prosecutions may have a degree of subjectivity. </w:t>
      </w:r>
      <w:r w:rsidR="00F54DA7" w:rsidRPr="4F8250B5">
        <w:rPr>
          <w:rFonts w:cs="Calibri Light"/>
        </w:rPr>
        <w:t xml:space="preserve">This is likely to increase government compliance and enforcement costs. For these reasons, prescriptive rules stipulated for campfires and certain business activities </w:t>
      </w:r>
      <w:r w:rsidR="00F54DA7" w:rsidRPr="4F8250B5">
        <w:rPr>
          <w:rFonts w:cstheme="minorBidi"/>
        </w:rPr>
        <w:t>–</w:t>
      </w:r>
      <w:r w:rsidR="00F54DA7" w:rsidRPr="4F8250B5">
        <w:rPr>
          <w:rFonts w:cs="Calibri Light"/>
        </w:rPr>
        <w:t xml:space="preserve"> where risks are fairly similar </w:t>
      </w:r>
      <w:r w:rsidR="00F54DA7" w:rsidRPr="4F8250B5">
        <w:rPr>
          <w:rFonts w:cstheme="minorBidi"/>
        </w:rPr>
        <w:t>–</w:t>
      </w:r>
      <w:r w:rsidR="0035073D">
        <w:rPr>
          <w:rFonts w:cstheme="minorBidi"/>
        </w:rPr>
        <w:t xml:space="preserve"> </w:t>
      </w:r>
      <w:r w:rsidR="00F54DA7" w:rsidRPr="4F8250B5">
        <w:rPr>
          <w:rFonts w:cs="Calibri Light"/>
        </w:rPr>
        <w:t xml:space="preserve">are considered best suited because they remove uncertainty, and compliance is not difficult or costly. </w:t>
      </w:r>
    </w:p>
    <w:p w14:paraId="57F688B4" w14:textId="6CCAD381" w:rsidR="00F54DA7" w:rsidRDefault="00F54DA7" w:rsidP="00F54DA7">
      <w:pPr>
        <w:spacing w:after="113"/>
        <w:rPr>
          <w:rFonts w:cs="Calibri Light"/>
          <w:szCs w:val="22"/>
        </w:rPr>
      </w:pPr>
      <w:r>
        <w:rPr>
          <w:rFonts w:cs="Arial"/>
          <w:szCs w:val="22"/>
        </w:rPr>
        <w:t xml:space="preserve">Consequently, an </w:t>
      </w:r>
      <w:r w:rsidRPr="001558D8">
        <w:rPr>
          <w:rFonts w:cs="Arial"/>
          <w:szCs w:val="22"/>
        </w:rPr>
        <w:t xml:space="preserve">MCA assessment </w:t>
      </w:r>
      <w:r>
        <w:rPr>
          <w:rFonts w:cs="Arial"/>
          <w:szCs w:val="22"/>
        </w:rPr>
        <w:t xml:space="preserve">resulted in a score of </w:t>
      </w:r>
      <w:r w:rsidRPr="00F54DA7">
        <w:rPr>
          <w:rFonts w:cs="Arial"/>
          <w:b/>
          <w:bCs/>
          <w:szCs w:val="22"/>
        </w:rPr>
        <w:t>+</w:t>
      </w:r>
      <w:r w:rsidR="00752627">
        <w:rPr>
          <w:rFonts w:cs="Arial"/>
          <w:b/>
          <w:bCs/>
          <w:szCs w:val="22"/>
        </w:rPr>
        <w:t>1.0</w:t>
      </w:r>
      <w:r>
        <w:rPr>
          <w:rFonts w:cs="Arial"/>
          <w:szCs w:val="22"/>
        </w:rPr>
        <w:t xml:space="preserve">, which is an improvement over the base case, but is not preferred </w:t>
      </w:r>
      <w:r w:rsidR="00B3063C">
        <w:rPr>
          <w:rFonts w:cs="Arial"/>
          <w:szCs w:val="22"/>
        </w:rPr>
        <w:t>over</w:t>
      </w:r>
      <w:r>
        <w:rPr>
          <w:rFonts w:cs="Arial"/>
          <w:szCs w:val="22"/>
        </w:rPr>
        <w:t xml:space="preserve"> Option 1.</w:t>
      </w:r>
      <w:r w:rsidRPr="00F54DA7">
        <w:rPr>
          <w:rFonts w:cs="Calibri Light"/>
          <w:szCs w:val="22"/>
        </w:rPr>
        <w:t xml:space="preserve"> </w:t>
      </w:r>
    </w:p>
    <w:p w14:paraId="66B7E9E4" w14:textId="2DC5515D" w:rsidR="00056E2D" w:rsidRPr="001D0EAF" w:rsidRDefault="00056E2D" w:rsidP="00F54DA7">
      <w:pPr>
        <w:pStyle w:val="Heading2"/>
      </w:pPr>
      <w:bookmarkStart w:id="88" w:name="_Toc187330561"/>
      <w:r w:rsidRPr="001D0EAF">
        <w:t>Option 3</w:t>
      </w:r>
      <w:bookmarkEnd w:id="88"/>
    </w:p>
    <w:p w14:paraId="3894BC8D" w14:textId="58A89825" w:rsidR="00056E2D" w:rsidRDefault="00056E2D" w:rsidP="00056E2D">
      <w:r>
        <w:t>This option takes a non-regulatory approach involving providing education and information about fire use and safety, guidance notes, more reliance on markets</w:t>
      </w:r>
      <w:r w:rsidR="00AA7CFB">
        <w:t>,</w:t>
      </w:r>
      <w:r>
        <w:t xml:space="preserve"> and other permit conditions. Many of these regulatory tools currently exist, so this option involves a greater penetration of knowledge of existing </w:t>
      </w:r>
      <w:r w:rsidR="00AD1E0D">
        <w:t xml:space="preserve">educational </w:t>
      </w:r>
      <w:r>
        <w:t>material and enhanced information campaigns</w:t>
      </w:r>
      <w:r w:rsidR="00CD4EE0">
        <w:t xml:space="preserve"> to provide a ‘nudge’ toward safety fire behaviour</w:t>
      </w:r>
      <w:r>
        <w:t xml:space="preserve">. </w:t>
      </w:r>
    </w:p>
    <w:p w14:paraId="3D124497" w14:textId="112F589D" w:rsidR="00056E2D" w:rsidRDefault="00056E2D" w:rsidP="00056E2D">
      <w:r>
        <w:t xml:space="preserve">Certain regulatory costs would still be incurred under requirements of the Act, for example, </w:t>
      </w:r>
      <w:r w:rsidR="00752627">
        <w:t xml:space="preserve">for purposes of analysis in this option it is assumed that </w:t>
      </w:r>
      <w:r>
        <w:t xml:space="preserve">persons </w:t>
      </w:r>
      <w:r w:rsidR="00752627">
        <w:t>would still require</w:t>
      </w:r>
      <w:r>
        <w:t xml:space="preserve"> </w:t>
      </w:r>
      <w:r w:rsidRPr="00752627">
        <w:t>a written authority to light a fire in relation to sawmills and other</w:t>
      </w:r>
      <w:r>
        <w:t xml:space="preserve"> operations. It </w:t>
      </w:r>
      <w:r w:rsidR="00482CB7">
        <w:t>is also not proposed to</w:t>
      </w:r>
      <w:r>
        <w:t xml:space="preserve"> remove the power of an authorised officer to order the extinguishment of a fire</w:t>
      </w:r>
      <w:r w:rsidR="00474026">
        <w:t xml:space="preserve">, as this is a power in the </w:t>
      </w:r>
      <w:r w:rsidR="0055751E" w:rsidRPr="00DE5476">
        <w:t xml:space="preserve">Forests </w:t>
      </w:r>
      <w:r w:rsidR="00474026" w:rsidRPr="00DE5476">
        <w:t>Act</w:t>
      </w:r>
      <w:r w:rsidR="00474026">
        <w:t xml:space="preserve">, and would require a legislative amendment by the Victorian Parliament (which is outside of </w:t>
      </w:r>
      <w:r w:rsidR="00065DAA">
        <w:t>the</w:t>
      </w:r>
      <w:r w:rsidR="00474026">
        <w:t xml:space="preserve"> scope</w:t>
      </w:r>
      <w:r w:rsidR="00065DAA">
        <w:t xml:space="preserve"> of </w:t>
      </w:r>
      <w:r w:rsidR="00474026">
        <w:t>this RIS)</w:t>
      </w:r>
      <w:r>
        <w:t>.</w:t>
      </w:r>
    </w:p>
    <w:p w14:paraId="00DE26C2" w14:textId="057F77DF" w:rsidR="00056E2D" w:rsidRPr="003E11D0" w:rsidRDefault="00056E2D" w:rsidP="00056E2D">
      <w:r>
        <w:t>As with the other options, the base case of ‘reasonable’ person responsibilities, insurance requirements, and exposure to legal risks would also modify behaviour.</w:t>
      </w:r>
    </w:p>
    <w:p w14:paraId="6581820B" w14:textId="5F04420B" w:rsidR="00056E2D" w:rsidRPr="001D0EAF" w:rsidRDefault="00056E2D" w:rsidP="00561361">
      <w:pPr>
        <w:pStyle w:val="Heading3"/>
      </w:pPr>
      <w:bookmarkStart w:id="89" w:name="_Toc187330562"/>
      <w:r w:rsidRPr="001D0EAF">
        <w:t>Costs</w:t>
      </w:r>
      <w:bookmarkEnd w:id="89"/>
    </w:p>
    <w:p w14:paraId="3466C839" w14:textId="2DC7C132" w:rsidR="00056E2D" w:rsidRPr="00796DD1" w:rsidRDefault="00056E2D" w:rsidP="00056E2D">
      <w:r>
        <w:t>People would continue to incur costs ‘voluntarily’ to reduce fire risks, however since these are not prescribed</w:t>
      </w:r>
      <w:r w:rsidR="002E0A6F">
        <w:t>,</w:t>
      </w:r>
      <w:r>
        <w:t xml:space="preserve"> they are not counted for the purposes of this RIS. However, the application of some </w:t>
      </w:r>
      <w:r w:rsidR="006C29EA">
        <w:t xml:space="preserve">50 </w:t>
      </w:r>
      <w:r>
        <w:t>written authorities to burn would result in a regulatory cost of around $</w:t>
      </w:r>
      <w:r w:rsidR="008832CE">
        <w:t>5,200</w:t>
      </w:r>
      <w:r>
        <w:t xml:space="preserve"> per annum</w:t>
      </w:r>
      <w:r w:rsidR="008832CE">
        <w:t xml:space="preserve">, or $37,000 (PV) over a </w:t>
      </w:r>
      <w:r w:rsidR="0055751E">
        <w:t>10-year</w:t>
      </w:r>
      <w:r w:rsidR="008832CE">
        <w:t xml:space="preserve"> period</w:t>
      </w:r>
      <w:r>
        <w:t>.</w:t>
      </w:r>
    </w:p>
    <w:p w14:paraId="661C0B0C" w14:textId="349666E6" w:rsidR="00056E2D" w:rsidRDefault="00056E2D" w:rsidP="00056E2D">
      <w:r>
        <w:t xml:space="preserve">The government currently provides detailed information and education campaigns on fire prevention. Under the activities covered by the current Regulations, bushfires </w:t>
      </w:r>
      <w:r w:rsidR="00CD4EE0">
        <w:t>caused by</w:t>
      </w:r>
      <w:r>
        <w:t xml:space="preserve"> campfires and barbeques present the highest risks. Enforcement data under the current Regulations over the past 10 years also shows that more than 99 per cent of infringements were issued </w:t>
      </w:r>
      <w:r w:rsidR="00CD4EE0">
        <w:t xml:space="preserve">were </w:t>
      </w:r>
      <w:r>
        <w:t>in relation to campfires and barbeques</w:t>
      </w:r>
      <w:r w:rsidR="00A85F2B">
        <w:t xml:space="preserve">, and 16 per cent fires in forests </w:t>
      </w:r>
      <w:r w:rsidR="00A31A50">
        <w:t>were</w:t>
      </w:r>
      <w:r w:rsidR="00A85F2B">
        <w:t xml:space="preserve"> caused by campfires</w:t>
      </w:r>
      <w:r>
        <w:t xml:space="preserve">. </w:t>
      </w:r>
      <w:r w:rsidR="00AA7CFB">
        <w:t>T</w:t>
      </w:r>
      <w:r>
        <w:t xml:space="preserve">his illustrates </w:t>
      </w:r>
      <w:r w:rsidR="00AA7CFB">
        <w:t xml:space="preserve">that </w:t>
      </w:r>
      <w:r w:rsidR="008832CE">
        <w:t xml:space="preserve">some </w:t>
      </w:r>
      <w:r>
        <w:t>individuals still lack knowledge of fire behaviour and associated risks</w:t>
      </w:r>
      <w:r w:rsidR="00CD4EE0">
        <w:t>, or in some cases simply refuse to comply</w:t>
      </w:r>
      <w:r>
        <w:t xml:space="preserve">. </w:t>
      </w:r>
    </w:p>
    <w:p w14:paraId="5CE0AB1E" w14:textId="1EF4689F" w:rsidR="00056E2D" w:rsidRDefault="00056E2D" w:rsidP="00056E2D">
      <w:r>
        <w:t>The cost of information and education campaign</w:t>
      </w:r>
      <w:r w:rsidR="007A73E6">
        <w:t>s</w:t>
      </w:r>
      <w:r>
        <w:t xml:space="preserve"> varies by the scale and media used, ranging from </w:t>
      </w:r>
      <w:r w:rsidR="005D225E">
        <w:t>$100,000</w:t>
      </w:r>
      <w:r>
        <w:t xml:space="preserve"> </w:t>
      </w:r>
      <w:r w:rsidR="005D225E">
        <w:t xml:space="preserve">to more than </w:t>
      </w:r>
      <w:r w:rsidR="00DA120D">
        <w:t>$</w:t>
      </w:r>
      <w:r w:rsidR="005D225E">
        <w:t>25</w:t>
      </w:r>
      <w:r>
        <w:t xml:space="preserve"> million.</w:t>
      </w:r>
      <w:r w:rsidR="00DA120D">
        <w:rPr>
          <w:rStyle w:val="FootnoteReference"/>
        </w:rPr>
        <w:footnoteReference w:id="64"/>
      </w:r>
      <w:r>
        <w:t xml:space="preserve"> The ‘</w:t>
      </w:r>
      <w:r w:rsidR="005D225E">
        <w:t>How Safe is Your Car?’</w:t>
      </w:r>
      <w:r w:rsidR="007A73E6">
        <w:t xml:space="preserve"> campaign</w:t>
      </w:r>
      <w:r>
        <w:t xml:space="preserve">, which aims to </w:t>
      </w:r>
      <w:r w:rsidR="00DA120D">
        <w:t>educate drivers on vehicle safety</w:t>
      </w:r>
      <w:r>
        <w:t xml:space="preserve">, is illustrative of </w:t>
      </w:r>
      <w:r w:rsidR="00DA120D">
        <w:t>a relatively small-scale</w:t>
      </w:r>
      <w:r>
        <w:t xml:space="preserve"> campaign</w:t>
      </w:r>
      <w:r w:rsidR="00DA120D">
        <w:t xml:space="preserve"> aimed at managing road safety risks</w:t>
      </w:r>
      <w:r>
        <w:t xml:space="preserve">. </w:t>
      </w:r>
      <w:r w:rsidR="007A73E6">
        <w:t>For</w:t>
      </w:r>
      <w:r>
        <w:t xml:space="preserve"> this RIS, an annual government information provision </w:t>
      </w:r>
      <w:r w:rsidR="00784071">
        <w:t>cost</w:t>
      </w:r>
      <w:r>
        <w:t xml:space="preserve"> of $</w:t>
      </w:r>
      <w:r w:rsidR="00DA120D">
        <w:t>590</w:t>
      </w:r>
      <w:r>
        <w:t>,000</w:t>
      </w:r>
      <w:r w:rsidR="00905753">
        <w:rPr>
          <w:rStyle w:val="FootnoteReference"/>
        </w:rPr>
        <w:footnoteReference w:id="65"/>
      </w:r>
      <w:r>
        <w:t xml:space="preserve"> is assumed</w:t>
      </w:r>
      <w:r w:rsidR="00DA120D">
        <w:t>.</w:t>
      </w:r>
    </w:p>
    <w:p w14:paraId="32117CFC" w14:textId="0D7C721F" w:rsidR="00056E2D" w:rsidRDefault="00056E2D" w:rsidP="00905753">
      <w:r w:rsidRPr="00796DD1">
        <w:t xml:space="preserve">Enforcement costs </w:t>
      </w:r>
      <w:r>
        <w:t xml:space="preserve">would be </w:t>
      </w:r>
      <w:r w:rsidR="00DA120D">
        <w:t xml:space="preserve">lower under </w:t>
      </w:r>
      <w:r w:rsidR="004C56DE">
        <w:t>this</w:t>
      </w:r>
      <w:r w:rsidR="00DA120D">
        <w:t xml:space="preserve"> option</w:t>
      </w:r>
      <w:r w:rsidR="00784071">
        <w:t>,</w:t>
      </w:r>
      <w:r w:rsidR="00DA120D">
        <w:t xml:space="preserve"> but government costs would still be incurred </w:t>
      </w:r>
      <w:r>
        <w:t>since authorised officers would still need to conduct patrols to ensure that campfires and barbeques are safe</w:t>
      </w:r>
      <w:r w:rsidR="00DA120D">
        <w:t xml:space="preserve"> (authorised officer currently provide </w:t>
      </w:r>
      <w:r w:rsidR="00C33364">
        <w:t>advice, as well as</w:t>
      </w:r>
      <w:r w:rsidR="00DA120D">
        <w:t xml:space="preserve"> informal and official warnings)</w:t>
      </w:r>
      <w:r>
        <w:t xml:space="preserve">. </w:t>
      </w:r>
      <w:r w:rsidR="00905753">
        <w:t>However, since the government costs cited in the RIS specifically relate to activities surrounding penalties and infringements</w:t>
      </w:r>
      <w:r w:rsidR="00CD4EE0">
        <w:t>,</w:t>
      </w:r>
      <w:r w:rsidR="00905753">
        <w:t xml:space="preserve"> for the purposes of analysis in this RIS enforcement costs are assumed to be zero.</w:t>
      </w:r>
    </w:p>
    <w:p w14:paraId="63F49647" w14:textId="4A194299" w:rsidR="00056E2D" w:rsidRDefault="00056E2D" w:rsidP="00056E2D">
      <w:r>
        <w:t xml:space="preserve">The regulatory costs </w:t>
      </w:r>
      <w:r w:rsidR="00CD4EE0">
        <w:t xml:space="preserve">associated with processing written authorities to burn are </w:t>
      </w:r>
      <w:r>
        <w:t>around $</w:t>
      </w:r>
      <w:r w:rsidR="00905753">
        <w:t>5</w:t>
      </w:r>
      <w:r>
        <w:t>,</w:t>
      </w:r>
      <w:r w:rsidR="00905753">
        <w:t>2</w:t>
      </w:r>
      <w:r>
        <w:t>00 per annum, or $</w:t>
      </w:r>
      <w:r w:rsidR="00905753">
        <w:t>37,000</w:t>
      </w:r>
      <w:r>
        <w:t xml:space="preserve"> PV over a </w:t>
      </w:r>
      <w:r w:rsidR="0094019F">
        <w:t>10-year</w:t>
      </w:r>
      <w:r>
        <w:t xml:space="preserve"> period. If the costs of a government information campaign are included in the option, then annual </w:t>
      </w:r>
      <w:r w:rsidR="00905753">
        <w:t xml:space="preserve">government </w:t>
      </w:r>
      <w:r>
        <w:t>costs would be in the order of $</w:t>
      </w:r>
      <w:r w:rsidR="003353C0">
        <w:t xml:space="preserve">150,000 over a </w:t>
      </w:r>
      <w:r w:rsidR="000D7861">
        <w:t>five-year</w:t>
      </w:r>
      <w:r w:rsidR="003353C0">
        <w:t xml:space="preserve"> period</w:t>
      </w:r>
      <w:r w:rsidR="00A76CE6">
        <w:t xml:space="preserve"> (</w:t>
      </w:r>
      <w:r>
        <w:t xml:space="preserve">this figure is illustrative </w:t>
      </w:r>
      <w:r w:rsidR="00071CEE">
        <w:t xml:space="preserve">and </w:t>
      </w:r>
      <w:r w:rsidR="00A76CE6">
        <w:t>is</w:t>
      </w:r>
      <w:r w:rsidR="00071CEE">
        <w:t xml:space="preserve"> based on an analogous campaign, “Know the Drill Before You Grill”</w:t>
      </w:r>
      <w:r w:rsidR="003353C0">
        <w:rPr>
          <w:rStyle w:val="FootnoteReference"/>
        </w:rPr>
        <w:footnoteReference w:id="66"/>
      </w:r>
      <w:r>
        <w:t>,</w:t>
      </w:r>
      <w:r w:rsidR="00071CEE">
        <w:t xml:space="preserve"> a gas barbeque safety campaign</w:t>
      </w:r>
      <w:r>
        <w:t>).</w:t>
      </w:r>
      <w:r w:rsidR="00A31A50">
        <w:t xml:space="preserve"> These costs are shown in the table below.</w:t>
      </w:r>
    </w:p>
    <w:p w14:paraId="074BA4A5" w14:textId="65979851" w:rsidR="00A31A50" w:rsidRDefault="00A31A50" w:rsidP="00A31A50">
      <w:pPr>
        <w:pStyle w:val="Caption"/>
      </w:pPr>
      <w:r>
        <w:t xml:space="preserve">Table </w:t>
      </w:r>
      <w:r w:rsidR="004B43E9">
        <w:t>14</w:t>
      </w:r>
      <w:r>
        <w:t xml:space="preserve">: Option 3 </w:t>
      </w:r>
      <w:r>
        <w:rPr>
          <w:rFonts w:cstheme="minorHAnsi"/>
        </w:rPr>
        <w:t>−</w:t>
      </w:r>
      <w:r>
        <w:t xml:space="preserve"> Regulatory and government costs</w:t>
      </w:r>
    </w:p>
    <w:tbl>
      <w:tblPr>
        <w:tblStyle w:val="TableGrid"/>
        <w:tblW w:w="0" w:type="auto"/>
        <w:tblLook w:val="04A0" w:firstRow="1" w:lastRow="0" w:firstColumn="1" w:lastColumn="0" w:noHBand="0" w:noVBand="1"/>
      </w:tblPr>
      <w:tblGrid>
        <w:gridCol w:w="6237"/>
        <w:gridCol w:w="1560"/>
        <w:gridCol w:w="1701"/>
      </w:tblGrid>
      <w:tr w:rsidR="00A31A50" w:rsidRPr="00A31A50" w14:paraId="01129F03" w14:textId="56F2C7B9" w:rsidTr="00A3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auto"/>
            </w:tcBorders>
            <w:shd w:val="clear" w:color="auto" w:fill="E8E8E8" w:themeFill="text1" w:themeFillTint="1A"/>
          </w:tcPr>
          <w:p w14:paraId="12ACBB85" w14:textId="16685368" w:rsidR="00A31A50" w:rsidRPr="00A31A50" w:rsidRDefault="00A31A50" w:rsidP="00A31A50">
            <w:pPr>
              <w:pStyle w:val="BodyText"/>
              <w:rPr>
                <w:b/>
                <w:bCs/>
                <w:color w:val="auto"/>
              </w:rPr>
            </w:pPr>
            <w:r w:rsidRPr="00A31A50">
              <w:rPr>
                <w:b/>
                <w:bCs/>
                <w:color w:val="auto"/>
              </w:rPr>
              <w:t>Description of costs</w:t>
            </w:r>
          </w:p>
        </w:tc>
        <w:tc>
          <w:tcPr>
            <w:tcW w:w="1560" w:type="dxa"/>
            <w:tcBorders>
              <w:bottom w:val="single" w:sz="4" w:space="0" w:color="auto"/>
            </w:tcBorders>
            <w:shd w:val="clear" w:color="auto" w:fill="E8E8E8" w:themeFill="text1" w:themeFillTint="1A"/>
          </w:tcPr>
          <w:p w14:paraId="07A2869B" w14:textId="031A3FBE" w:rsidR="00A31A50" w:rsidRPr="00A31A50" w:rsidRDefault="00A31A50" w:rsidP="00A31A50">
            <w:pPr>
              <w:pStyle w:val="BodyText"/>
              <w:jc w:val="center"/>
              <w:cnfStyle w:val="100000000000" w:firstRow="1" w:lastRow="0" w:firstColumn="0" w:lastColumn="0" w:oddVBand="0" w:evenVBand="0" w:oddHBand="0" w:evenHBand="0" w:firstRowFirstColumn="0" w:firstRowLastColumn="0" w:lastRowFirstColumn="0" w:lastRowLastColumn="0"/>
              <w:rPr>
                <w:b/>
                <w:bCs/>
                <w:color w:val="auto"/>
              </w:rPr>
            </w:pPr>
            <w:r w:rsidRPr="00A31A50">
              <w:rPr>
                <w:b/>
                <w:bCs/>
                <w:color w:val="auto"/>
              </w:rPr>
              <w:t>Annual costs ($)</w:t>
            </w:r>
          </w:p>
        </w:tc>
        <w:tc>
          <w:tcPr>
            <w:tcW w:w="1701" w:type="dxa"/>
            <w:tcBorders>
              <w:bottom w:val="single" w:sz="4" w:space="0" w:color="auto"/>
            </w:tcBorders>
            <w:shd w:val="clear" w:color="auto" w:fill="E8E8E8" w:themeFill="text1" w:themeFillTint="1A"/>
          </w:tcPr>
          <w:p w14:paraId="3AE4D847" w14:textId="3F21E729" w:rsidR="00A31A50" w:rsidRPr="00A31A50" w:rsidRDefault="00747D34" w:rsidP="00A31A50">
            <w:pPr>
              <w:pStyle w:val="BodyText"/>
              <w:jc w:val="center"/>
              <w:cnfStyle w:val="100000000000" w:firstRow="1" w:lastRow="0" w:firstColumn="0" w:lastColumn="0" w:oddVBand="0" w:evenVBand="0" w:oddHBand="0" w:evenHBand="0" w:firstRowFirstColumn="0" w:firstRowLastColumn="0" w:lastRowFirstColumn="0" w:lastRowLastColumn="0"/>
              <w:rPr>
                <w:b/>
                <w:bCs/>
                <w:color w:val="auto"/>
              </w:rPr>
            </w:pPr>
            <w:r w:rsidRPr="00A31A50">
              <w:rPr>
                <w:b/>
                <w:bCs/>
                <w:color w:val="auto"/>
              </w:rPr>
              <w:t>10-year</w:t>
            </w:r>
            <w:r w:rsidR="00A31A50" w:rsidRPr="00A31A50">
              <w:rPr>
                <w:b/>
                <w:bCs/>
                <w:color w:val="auto"/>
              </w:rPr>
              <w:t xml:space="preserve"> costs ($</w:t>
            </w:r>
            <w:r w:rsidR="00124DB6">
              <w:rPr>
                <w:b/>
                <w:bCs/>
                <w:color w:val="auto"/>
              </w:rPr>
              <w:t>PV</w:t>
            </w:r>
            <w:r w:rsidR="00A31A50" w:rsidRPr="00A31A50">
              <w:rPr>
                <w:b/>
                <w:bCs/>
                <w:color w:val="auto"/>
              </w:rPr>
              <w:t>)</w:t>
            </w:r>
          </w:p>
        </w:tc>
      </w:tr>
      <w:tr w:rsidR="00A31A50" w14:paraId="45BBD2B5" w14:textId="7849EDFC" w:rsidTr="00A31A5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tcBorders>
          </w:tcPr>
          <w:p w14:paraId="426ADA21" w14:textId="224EF7B0" w:rsidR="00A31A50" w:rsidRDefault="00A31A50" w:rsidP="00A31A50">
            <w:pPr>
              <w:pStyle w:val="BodyText"/>
            </w:pPr>
            <w:r>
              <w:t xml:space="preserve">Regulatory costs </w:t>
            </w:r>
            <w:r>
              <w:rPr>
                <w:rFonts w:cstheme="minorHAnsi"/>
              </w:rPr>
              <w:t>–</w:t>
            </w:r>
            <w:r>
              <w:t xml:space="preserve"> application costs written authority to </w:t>
            </w:r>
            <w:r w:rsidR="00025F06">
              <w:t>light a fire</w:t>
            </w:r>
          </w:p>
        </w:tc>
        <w:tc>
          <w:tcPr>
            <w:tcW w:w="1560" w:type="dxa"/>
            <w:tcBorders>
              <w:top w:val="single" w:sz="4" w:space="0" w:color="auto"/>
            </w:tcBorders>
          </w:tcPr>
          <w:p w14:paraId="183F0BFE" w14:textId="697369B9" w:rsidR="00A31A50" w:rsidRDefault="00124DB6" w:rsidP="00124DB6">
            <w:pPr>
              <w:pStyle w:val="BodyText"/>
              <w:ind w:right="512"/>
              <w:jc w:val="right"/>
              <w:cnfStyle w:val="000000000000" w:firstRow="0" w:lastRow="0" w:firstColumn="0" w:lastColumn="0" w:oddVBand="0" w:evenVBand="0" w:oddHBand="0" w:evenHBand="0" w:firstRowFirstColumn="0" w:firstRowLastColumn="0" w:lastRowFirstColumn="0" w:lastRowLastColumn="0"/>
            </w:pPr>
            <w:r>
              <w:t>5,200</w:t>
            </w:r>
          </w:p>
        </w:tc>
        <w:tc>
          <w:tcPr>
            <w:tcW w:w="1701" w:type="dxa"/>
            <w:tcBorders>
              <w:top w:val="single" w:sz="4" w:space="0" w:color="auto"/>
            </w:tcBorders>
          </w:tcPr>
          <w:p w14:paraId="473BE6B7" w14:textId="2CEFFED8" w:rsidR="00A31A50" w:rsidRDefault="00124DB6" w:rsidP="00124DB6">
            <w:pPr>
              <w:pStyle w:val="BodyText"/>
              <w:ind w:right="512"/>
              <w:jc w:val="right"/>
              <w:cnfStyle w:val="000000000000" w:firstRow="0" w:lastRow="0" w:firstColumn="0" w:lastColumn="0" w:oddVBand="0" w:evenVBand="0" w:oddHBand="0" w:evenHBand="0" w:firstRowFirstColumn="0" w:firstRowLastColumn="0" w:lastRowFirstColumn="0" w:lastRowLastColumn="0"/>
            </w:pPr>
            <w:r>
              <w:t>37,000</w:t>
            </w:r>
          </w:p>
        </w:tc>
      </w:tr>
      <w:tr w:rsidR="00A31A50" w14:paraId="25BCC48B" w14:textId="600ED238" w:rsidTr="00A31A50">
        <w:tc>
          <w:tcPr>
            <w:cnfStyle w:val="001000000000" w:firstRow="0" w:lastRow="0" w:firstColumn="1" w:lastColumn="0" w:oddVBand="0" w:evenVBand="0" w:oddHBand="0" w:evenHBand="0" w:firstRowFirstColumn="0" w:firstRowLastColumn="0" w:lastRowFirstColumn="0" w:lastRowLastColumn="0"/>
            <w:tcW w:w="6237" w:type="dxa"/>
          </w:tcPr>
          <w:p w14:paraId="518F55E0" w14:textId="7847C105" w:rsidR="00A31A50" w:rsidRDefault="00025F06" w:rsidP="00A31A50">
            <w:pPr>
              <w:pStyle w:val="BodyText"/>
            </w:pPr>
            <w:r>
              <w:t xml:space="preserve">Government costs </w:t>
            </w:r>
            <w:r w:rsidR="00124DB6">
              <w:t>–</w:t>
            </w:r>
            <w:r>
              <w:t xml:space="preserve"> </w:t>
            </w:r>
            <w:r w:rsidR="00124DB6">
              <w:t>campfire/b</w:t>
            </w:r>
            <w:r w:rsidR="001A3B2D">
              <w:t>ar</w:t>
            </w:r>
            <w:r w:rsidR="00124DB6">
              <w:t>b</w:t>
            </w:r>
            <w:r w:rsidR="001A3B2D">
              <w:t>e</w:t>
            </w:r>
            <w:r w:rsidR="00124DB6">
              <w:t>q</w:t>
            </w:r>
            <w:r w:rsidR="001A3B2D">
              <w:t>ue</w:t>
            </w:r>
            <w:r w:rsidR="00124DB6">
              <w:t xml:space="preserve"> safety campaign</w:t>
            </w:r>
          </w:p>
        </w:tc>
        <w:tc>
          <w:tcPr>
            <w:tcW w:w="1560" w:type="dxa"/>
          </w:tcPr>
          <w:p w14:paraId="02DE5057" w14:textId="5CFDDD67" w:rsidR="00A31A50" w:rsidRDefault="003353C0" w:rsidP="00124DB6">
            <w:pPr>
              <w:pStyle w:val="BodyText"/>
              <w:ind w:right="512"/>
              <w:jc w:val="right"/>
              <w:cnfStyle w:val="000000000000" w:firstRow="0" w:lastRow="0" w:firstColumn="0" w:lastColumn="0" w:oddVBand="0" w:evenVBand="0" w:oddHBand="0" w:evenHBand="0" w:firstRowFirstColumn="0" w:firstRowLastColumn="0" w:lastRowFirstColumn="0" w:lastRowLastColumn="0"/>
            </w:pPr>
            <w:r>
              <w:t>150,00</w:t>
            </w:r>
          </w:p>
        </w:tc>
        <w:tc>
          <w:tcPr>
            <w:tcW w:w="1701" w:type="dxa"/>
          </w:tcPr>
          <w:p w14:paraId="33A3A315" w14:textId="5B2DBA86" w:rsidR="00A31A50" w:rsidRDefault="00D07050" w:rsidP="00124DB6">
            <w:pPr>
              <w:pStyle w:val="BodyText"/>
              <w:ind w:right="453"/>
              <w:jc w:val="right"/>
              <w:cnfStyle w:val="000000000000" w:firstRow="0" w:lastRow="0" w:firstColumn="0" w:lastColumn="0" w:oddVBand="0" w:evenVBand="0" w:oddHBand="0" w:evenHBand="0" w:firstRowFirstColumn="0" w:firstRowLastColumn="0" w:lastRowFirstColumn="0" w:lastRowLastColumn="0"/>
            </w:pPr>
            <w:r>
              <w:t>615,000</w:t>
            </w:r>
          </w:p>
        </w:tc>
      </w:tr>
      <w:tr w:rsidR="00A31A50" w14:paraId="22DB6632" w14:textId="27B43652" w:rsidTr="00A31A50">
        <w:tc>
          <w:tcPr>
            <w:cnfStyle w:val="001000000000" w:firstRow="0" w:lastRow="0" w:firstColumn="1" w:lastColumn="0" w:oddVBand="0" w:evenVBand="0" w:oddHBand="0" w:evenHBand="0" w:firstRowFirstColumn="0" w:firstRowLastColumn="0" w:lastRowFirstColumn="0" w:lastRowLastColumn="0"/>
            <w:tcW w:w="6237" w:type="dxa"/>
          </w:tcPr>
          <w:p w14:paraId="55CCBF0C" w14:textId="3228A1DE" w:rsidR="00A31A50" w:rsidRPr="00025F06" w:rsidRDefault="00025F06" w:rsidP="00A31A50">
            <w:pPr>
              <w:pStyle w:val="BodyText"/>
              <w:rPr>
                <w:b/>
                <w:bCs/>
                <w:i/>
                <w:iCs/>
              </w:rPr>
            </w:pPr>
            <w:r w:rsidRPr="00025F06">
              <w:rPr>
                <w:b/>
                <w:bCs/>
                <w:i/>
                <w:iCs/>
              </w:rPr>
              <w:t>Total</w:t>
            </w:r>
          </w:p>
        </w:tc>
        <w:tc>
          <w:tcPr>
            <w:tcW w:w="1560" w:type="dxa"/>
          </w:tcPr>
          <w:p w14:paraId="2ACA02D5" w14:textId="77777777" w:rsidR="00A31A50" w:rsidRDefault="00A31A50" w:rsidP="00124DB6">
            <w:pPr>
              <w:pStyle w:val="BodyText"/>
              <w:ind w:right="512"/>
              <w:jc w:val="right"/>
              <w:cnfStyle w:val="000000000000" w:firstRow="0" w:lastRow="0" w:firstColumn="0" w:lastColumn="0" w:oddVBand="0" w:evenVBand="0" w:oddHBand="0" w:evenHBand="0" w:firstRowFirstColumn="0" w:firstRowLastColumn="0" w:lastRowFirstColumn="0" w:lastRowLastColumn="0"/>
            </w:pPr>
          </w:p>
        </w:tc>
        <w:tc>
          <w:tcPr>
            <w:tcW w:w="1701" w:type="dxa"/>
          </w:tcPr>
          <w:p w14:paraId="4794AB86" w14:textId="655A0B86" w:rsidR="00A31A50" w:rsidRPr="00124DB6" w:rsidRDefault="00124DB6" w:rsidP="00124DB6">
            <w:pPr>
              <w:pStyle w:val="BodyText"/>
              <w:ind w:right="512"/>
              <w:jc w:val="right"/>
              <w:cnfStyle w:val="000000000000" w:firstRow="0" w:lastRow="0" w:firstColumn="0" w:lastColumn="0" w:oddVBand="0" w:evenVBand="0" w:oddHBand="0" w:evenHBand="0" w:firstRowFirstColumn="0" w:firstRowLastColumn="0" w:lastRowFirstColumn="0" w:lastRowLastColumn="0"/>
              <w:rPr>
                <w:b/>
                <w:bCs/>
              </w:rPr>
            </w:pPr>
            <w:r w:rsidRPr="00124DB6">
              <w:rPr>
                <w:b/>
                <w:bCs/>
              </w:rPr>
              <w:t>6</w:t>
            </w:r>
            <w:r w:rsidR="00D07050">
              <w:rPr>
                <w:b/>
                <w:bCs/>
              </w:rPr>
              <w:t>52</w:t>
            </w:r>
            <w:r w:rsidRPr="00124DB6">
              <w:rPr>
                <w:b/>
                <w:bCs/>
              </w:rPr>
              <w:t>,000</w:t>
            </w:r>
          </w:p>
        </w:tc>
      </w:tr>
    </w:tbl>
    <w:p w14:paraId="39360D9E" w14:textId="730E8DCB" w:rsidR="00056E2D" w:rsidRDefault="00056E2D" w:rsidP="00056E2D">
      <w:r w:rsidRPr="008B71B9">
        <w:t xml:space="preserve">Therefore, the total costs of this proposal would be in the order of </w:t>
      </w:r>
      <w:r w:rsidRPr="00D07050">
        <w:rPr>
          <w:b/>
          <w:bCs/>
        </w:rPr>
        <w:t>$</w:t>
      </w:r>
      <w:r w:rsidR="00D07050" w:rsidRPr="00D07050">
        <w:rPr>
          <w:b/>
          <w:bCs/>
        </w:rPr>
        <w:t>652</w:t>
      </w:r>
      <w:r w:rsidRPr="00D07050">
        <w:rPr>
          <w:b/>
          <w:bCs/>
        </w:rPr>
        <w:t>,000</w:t>
      </w:r>
      <w:r w:rsidRPr="008B71B9">
        <w:t xml:space="preserve"> </w:t>
      </w:r>
      <w:r w:rsidR="00D07050">
        <w:t>(PV) over a 10-year period, consisting of regulatory costs at $37,000 and government</w:t>
      </w:r>
      <w:r w:rsidR="00CD4EE0">
        <w:t xml:space="preserve"> information campaign </w:t>
      </w:r>
      <w:r w:rsidR="00D07050">
        <w:t>costs of $615,000</w:t>
      </w:r>
      <w:r w:rsidRPr="008B71B9">
        <w:t>.</w:t>
      </w:r>
    </w:p>
    <w:p w14:paraId="69B5287C" w14:textId="17A5EA82" w:rsidR="00056E2D" w:rsidRPr="001D0EAF" w:rsidRDefault="00056E2D" w:rsidP="00561361">
      <w:pPr>
        <w:pStyle w:val="Heading3"/>
      </w:pPr>
      <w:bookmarkStart w:id="90" w:name="_Toc187330563"/>
      <w:r w:rsidRPr="001D0EAF">
        <w:t>Benefits</w:t>
      </w:r>
      <w:bookmarkEnd w:id="90"/>
    </w:p>
    <w:p w14:paraId="65DEFED4" w14:textId="4C08C92E" w:rsidR="00056E2D" w:rsidRDefault="008458C2" w:rsidP="00056E2D">
      <w:r>
        <w:t xml:space="preserve">A key </w:t>
      </w:r>
      <w:r w:rsidR="00056E2D">
        <w:t xml:space="preserve">benefit of this option </w:t>
      </w:r>
      <w:r>
        <w:t>is</w:t>
      </w:r>
      <w:r w:rsidR="00056E2D">
        <w:t xml:space="preserve"> that there are many non-regulatory tools already in place, as described in the base case. These can be effective, particularly where persons are members of an industry body. For example, the Apiary Association of Victoria emphasises fire risks to its members, and posts CFA material</w:t>
      </w:r>
      <w:r w:rsidR="003F2B6D">
        <w:t xml:space="preserve"> such as the</w:t>
      </w:r>
      <w:r w:rsidR="00056E2D">
        <w:t xml:space="preserve"> </w:t>
      </w:r>
      <w:r w:rsidR="00056E2D" w:rsidRPr="00CD4EE0">
        <w:rPr>
          <w:i/>
          <w:iCs/>
        </w:rPr>
        <w:t>Guidance for Beekeepers during the Fire Danger Period and Total Fire Ban Days in the Country Area of Victoria</w:t>
      </w:r>
      <w:r>
        <w:t>, o</w:t>
      </w:r>
      <w:r w:rsidR="00056E2D">
        <w:t>n its website. Membership buy-in and awareness has resulted in no recorded fires in forests caused by beekeepers</w:t>
      </w:r>
      <w:r>
        <w:t xml:space="preserve"> in many years</w:t>
      </w:r>
      <w:r w:rsidR="00056E2D">
        <w:t>.</w:t>
      </w:r>
    </w:p>
    <w:p w14:paraId="36E2E66E" w14:textId="48887205" w:rsidR="00056E2D" w:rsidRDefault="00056E2D" w:rsidP="00056E2D">
      <w:r>
        <w:t xml:space="preserve">An advantage of this options is that government </w:t>
      </w:r>
      <w:r w:rsidR="00E32957">
        <w:t xml:space="preserve">and </w:t>
      </w:r>
      <w:r>
        <w:t>industry bodies could keep park visitors and industry up to date and reinforce messages about fire risk</w:t>
      </w:r>
      <w:r w:rsidR="00CD4EE0">
        <w:t>s</w:t>
      </w:r>
      <w:r>
        <w:t xml:space="preserve">. The message could be tailored to </w:t>
      </w:r>
      <w:r w:rsidR="008458C2">
        <w:t>consider</w:t>
      </w:r>
      <w:r>
        <w:t xml:space="preserve"> changes </w:t>
      </w:r>
      <w:r w:rsidR="006772BA">
        <w:t xml:space="preserve">to </w:t>
      </w:r>
      <w:r w:rsidR="00CD4EE0">
        <w:t>climate conditions</w:t>
      </w:r>
      <w:r>
        <w:t xml:space="preserve"> or advances in fire suppression technology.</w:t>
      </w:r>
    </w:p>
    <w:p w14:paraId="6C8F4092" w14:textId="2E49F4F4" w:rsidR="008458C2" w:rsidRDefault="008458C2" w:rsidP="00035661">
      <w:pPr>
        <w:pStyle w:val="Heading4"/>
        <w:tabs>
          <w:tab w:val="clear" w:pos="426"/>
        </w:tabs>
        <w:ind w:left="0"/>
      </w:pPr>
      <w:bookmarkStart w:id="91" w:name="_Toc187330564"/>
      <w:r>
        <w:t xml:space="preserve">MCA Assessment: Option </w:t>
      </w:r>
      <w:r w:rsidR="00AD62FD">
        <w:t>3</w:t>
      </w:r>
      <w:r>
        <w:t xml:space="preserve"> </w:t>
      </w:r>
      <w:r>
        <w:rPr>
          <w:rFonts w:cstheme="minorHAnsi"/>
        </w:rPr>
        <w:t>–</w:t>
      </w:r>
      <w:r>
        <w:t xml:space="preserve"> </w:t>
      </w:r>
      <w:r w:rsidR="00AD62FD">
        <w:t>non-regulatory</w:t>
      </w:r>
      <w:r>
        <w:t xml:space="preserve"> approach</w:t>
      </w:r>
      <w:bookmarkEnd w:id="91"/>
    </w:p>
    <w:p w14:paraId="707BE8D3" w14:textId="255FC8A3" w:rsidR="00CD4EE0" w:rsidRDefault="00CD4EE0" w:rsidP="00CD4EE0">
      <w:pPr>
        <w:pStyle w:val="BodyText"/>
      </w:pPr>
      <w:r>
        <w:t>Given the difficulty is assessing some costs and the benefits, a</w:t>
      </w:r>
      <w:r w:rsidR="00B87385">
        <w:t>n</w:t>
      </w:r>
      <w:r>
        <w:t xml:space="preserve"> MCA a</w:t>
      </w:r>
      <w:r w:rsidR="00B87385">
        <w:t>ssessment of this option was conducted</w:t>
      </w:r>
      <w:r w:rsidR="00284A6B">
        <w:t xml:space="preserve"> (see </w:t>
      </w:r>
      <w:r w:rsidR="007F76FC">
        <w:t>T</w:t>
      </w:r>
      <w:r w:rsidR="00284A6B">
        <w:t>able</w:t>
      </w:r>
      <w:r w:rsidR="007F76FC">
        <w:t xml:space="preserve"> 15</w:t>
      </w:r>
      <w:r w:rsidR="00284A6B">
        <w:t xml:space="preserve"> below)</w:t>
      </w:r>
      <w:r w:rsidR="007F76FC">
        <w:t>.</w:t>
      </w:r>
    </w:p>
    <w:p w14:paraId="4EAD1B79" w14:textId="1BE9F52F" w:rsidR="008458C2" w:rsidRDefault="00AD62FD" w:rsidP="00AD62FD">
      <w:pPr>
        <w:pStyle w:val="Caption"/>
      </w:pPr>
      <w:r>
        <w:t xml:space="preserve">Table </w:t>
      </w:r>
      <w:r w:rsidR="00DC2749">
        <w:t>15</w:t>
      </w:r>
      <w:r w:rsidR="008458C2">
        <w:t xml:space="preserve">: MCA Assessment – Option </w:t>
      </w:r>
      <w:r>
        <w:t>3</w:t>
      </w:r>
    </w:p>
    <w:tbl>
      <w:tblPr>
        <w:tblStyle w:val="TableGrid"/>
        <w:tblW w:w="9351" w:type="dxa"/>
        <w:tblLook w:val="04A0" w:firstRow="1" w:lastRow="0" w:firstColumn="1" w:lastColumn="0" w:noHBand="0" w:noVBand="1"/>
      </w:tblPr>
      <w:tblGrid>
        <w:gridCol w:w="2049"/>
        <w:gridCol w:w="4610"/>
        <w:gridCol w:w="1275"/>
        <w:gridCol w:w="1417"/>
      </w:tblGrid>
      <w:tr w:rsidR="0071685D" w:rsidRPr="00E2622B" w14:paraId="02DA20D7" w14:textId="77777777" w:rsidTr="0009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CCEFD9" w:themeFill="background2"/>
            <w:hideMark/>
          </w:tcPr>
          <w:p w14:paraId="78286864" w14:textId="77777777" w:rsidR="0071685D" w:rsidRPr="00091ED4" w:rsidRDefault="0071685D">
            <w:pPr>
              <w:spacing w:before="100" w:beforeAutospacing="1" w:after="40"/>
              <w:rPr>
                <w:rFonts w:ascii="Arial" w:hAnsi="Arial" w:cs="Arial"/>
                <w:color w:val="auto"/>
              </w:rPr>
            </w:pPr>
            <w:r w:rsidRPr="00091ED4">
              <w:rPr>
                <w:rFonts w:ascii="Arial" w:hAnsi="Arial" w:cs="Arial"/>
                <w:b/>
                <w:bCs/>
                <w:color w:val="auto"/>
              </w:rPr>
              <w:t>Criterion/weighting</w:t>
            </w:r>
          </w:p>
        </w:tc>
        <w:tc>
          <w:tcPr>
            <w:tcW w:w="0" w:type="dxa"/>
            <w:shd w:val="clear" w:color="auto" w:fill="CCEFD9" w:themeFill="background2"/>
            <w:hideMark/>
          </w:tcPr>
          <w:p w14:paraId="4139C402" w14:textId="77777777" w:rsidR="0071685D" w:rsidRPr="00091ED4" w:rsidRDefault="0071685D">
            <w:pPr>
              <w:spacing w:before="100" w:beforeAutospacing="1" w:after="4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91ED4">
              <w:rPr>
                <w:rFonts w:ascii="Arial" w:hAnsi="Arial" w:cs="Arial"/>
                <w:b/>
                <w:bCs/>
                <w:color w:val="auto"/>
              </w:rPr>
              <w:t>Assessment</w:t>
            </w:r>
          </w:p>
        </w:tc>
        <w:tc>
          <w:tcPr>
            <w:tcW w:w="0" w:type="dxa"/>
            <w:shd w:val="clear" w:color="auto" w:fill="CCEFD9" w:themeFill="background2"/>
            <w:hideMark/>
          </w:tcPr>
          <w:p w14:paraId="602147FB" w14:textId="77777777" w:rsidR="0071685D" w:rsidRPr="00091ED4" w:rsidRDefault="0071685D">
            <w:pPr>
              <w:spacing w:before="100" w:beforeAutospacing="1"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91ED4">
              <w:rPr>
                <w:rFonts w:ascii="Arial" w:hAnsi="Arial" w:cs="Arial"/>
                <w:b/>
                <w:bCs/>
                <w:color w:val="auto"/>
              </w:rPr>
              <w:t>Assigned score</w:t>
            </w:r>
          </w:p>
        </w:tc>
        <w:tc>
          <w:tcPr>
            <w:tcW w:w="0" w:type="dxa"/>
            <w:shd w:val="clear" w:color="auto" w:fill="CCEFD9" w:themeFill="background2"/>
          </w:tcPr>
          <w:p w14:paraId="77D35E6B" w14:textId="77777777" w:rsidR="0071685D" w:rsidRPr="00091ED4" w:rsidRDefault="0071685D">
            <w:pPr>
              <w:spacing w:before="100" w:beforeAutospacing="1"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91ED4">
              <w:rPr>
                <w:rFonts w:ascii="Arial" w:hAnsi="Arial" w:cs="Arial"/>
                <w:b/>
                <w:bCs/>
                <w:color w:val="auto"/>
              </w:rPr>
              <w:t>Weighted score</w:t>
            </w:r>
          </w:p>
        </w:tc>
      </w:tr>
      <w:tr w:rsidR="0071685D" w:rsidRPr="00F84571" w14:paraId="4DD1D270" w14:textId="77777777">
        <w:tc>
          <w:tcPr>
            <w:cnfStyle w:val="001000000000" w:firstRow="0" w:lastRow="0" w:firstColumn="1" w:lastColumn="0" w:oddVBand="0" w:evenVBand="0" w:oddHBand="0" w:evenHBand="0" w:firstRowFirstColumn="0" w:firstRowLastColumn="0" w:lastRowFirstColumn="0" w:lastRowLastColumn="0"/>
            <w:tcW w:w="9351" w:type="dxa"/>
            <w:gridSpan w:val="4"/>
          </w:tcPr>
          <w:p w14:paraId="052A963A" w14:textId="77777777" w:rsidR="0071685D" w:rsidRPr="00E2622B" w:rsidRDefault="0071685D">
            <w:pPr>
              <w:rPr>
                <w:rFonts w:ascii="Arial" w:hAnsi="Arial" w:cs="Arial"/>
              </w:rPr>
            </w:pPr>
            <w:r>
              <w:rPr>
                <w:rFonts w:ascii="Arial" w:hAnsi="Arial" w:cs="Arial"/>
                <w:i/>
                <w:iCs/>
              </w:rPr>
              <w:t xml:space="preserve">Assessment of </w:t>
            </w:r>
            <w:r w:rsidRPr="00E2622B">
              <w:rPr>
                <w:rFonts w:ascii="Arial" w:hAnsi="Arial" w:cs="Arial"/>
                <w:i/>
                <w:iCs/>
              </w:rPr>
              <w:t>Benefits</w:t>
            </w:r>
          </w:p>
        </w:tc>
      </w:tr>
      <w:tr w:rsidR="0071685D" w:rsidRPr="00F84571" w14:paraId="6520DD03"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0582F955" w14:textId="36A8DE1B" w:rsidR="0071685D" w:rsidRPr="00E2622B" w:rsidRDefault="0071685D">
            <w:pPr>
              <w:spacing w:after="120"/>
              <w:rPr>
                <w:rFonts w:ascii="Arial" w:hAnsi="Arial" w:cs="Arial"/>
                <w:sz w:val="22"/>
                <w:szCs w:val="22"/>
              </w:rPr>
            </w:pPr>
            <w:r w:rsidRPr="00A41F5F">
              <w:rPr>
                <w:rFonts w:ascii="Arial" w:hAnsi="Arial" w:cs="Arial"/>
              </w:rPr>
              <w:t>Protect the safety and private and public property of Victorians from fire loss</w:t>
            </w:r>
            <w:r w:rsidRPr="00E2622B">
              <w:rPr>
                <w:rFonts w:ascii="Arial" w:hAnsi="Arial" w:cs="Arial"/>
                <w:sz w:val="22"/>
                <w:szCs w:val="22"/>
              </w:rPr>
              <w:t xml:space="preserve"> </w:t>
            </w:r>
            <w:r w:rsidRPr="00E2622B">
              <w:rPr>
                <w:rFonts w:ascii="Arial" w:hAnsi="Arial" w:cs="Arial"/>
              </w:rPr>
              <w:t>(2</w:t>
            </w:r>
            <w:r w:rsidR="00912435">
              <w:rPr>
                <w:rFonts w:ascii="Arial" w:hAnsi="Arial" w:cs="Arial"/>
              </w:rPr>
              <w:t>0</w:t>
            </w:r>
            <w:r w:rsidRPr="00E2622B">
              <w:rPr>
                <w:rFonts w:ascii="Arial" w:hAnsi="Arial" w:cs="Arial"/>
              </w:rPr>
              <w:t>%)</w:t>
            </w:r>
          </w:p>
        </w:tc>
        <w:tc>
          <w:tcPr>
            <w:tcW w:w="4610" w:type="dxa"/>
          </w:tcPr>
          <w:p w14:paraId="44C26DC4" w14:textId="4B43EEB5" w:rsidR="0071685D" w:rsidRPr="00863ED2" w:rsidRDefault="009C0631"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63ED2">
              <w:rPr>
                <w:rFonts w:ascii="Arial" w:hAnsi="Arial" w:cs="Arial"/>
              </w:rPr>
              <w:t xml:space="preserve">Almost all infringements under the current Regulations are in relation to campfires/barbeques. It has also been noted that </w:t>
            </w:r>
            <w:r w:rsidR="00A85F2B">
              <w:rPr>
                <w:rFonts w:ascii="Arial" w:hAnsi="Arial" w:cs="Arial"/>
              </w:rPr>
              <w:t>16 per cent of</w:t>
            </w:r>
            <w:r w:rsidRPr="00863ED2">
              <w:rPr>
                <w:rFonts w:ascii="Arial" w:hAnsi="Arial" w:cs="Arial"/>
              </w:rPr>
              <w:t xml:space="preserve"> bushfires are thought to have been caused by campfires. A targeted information and educational campaign of campfire safety could result in some improvements in campfire safety. </w:t>
            </w:r>
          </w:p>
          <w:p w14:paraId="66C91904" w14:textId="7FF78AC1" w:rsidR="009C0631" w:rsidRPr="00863ED2" w:rsidRDefault="00863ED2"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63ED2">
              <w:rPr>
                <w:rFonts w:ascii="Arial" w:hAnsi="Arial" w:cs="Arial"/>
              </w:rPr>
              <w:t xml:space="preserve">An information campaign should improve fire safety for those </w:t>
            </w:r>
            <w:r w:rsidR="00BE1DDA">
              <w:rPr>
                <w:rFonts w:ascii="Arial" w:hAnsi="Arial" w:cs="Arial"/>
              </w:rPr>
              <w:t xml:space="preserve">people </w:t>
            </w:r>
            <w:r w:rsidRPr="00863ED2">
              <w:rPr>
                <w:rFonts w:ascii="Arial" w:hAnsi="Arial" w:cs="Arial"/>
              </w:rPr>
              <w:t xml:space="preserve">who are willing to </w:t>
            </w:r>
            <w:r w:rsidR="00465F0E" w:rsidRPr="00863ED2">
              <w:rPr>
                <w:rFonts w:ascii="Arial" w:hAnsi="Arial" w:cs="Arial"/>
              </w:rPr>
              <w:t>comply but</w:t>
            </w:r>
            <w:r w:rsidRPr="00863ED2">
              <w:rPr>
                <w:rFonts w:ascii="Arial" w:hAnsi="Arial" w:cs="Arial"/>
              </w:rPr>
              <w:t xml:space="preserve"> lack appropriate information</w:t>
            </w:r>
            <w:r w:rsidR="00284A6B">
              <w:rPr>
                <w:rFonts w:ascii="Arial" w:hAnsi="Arial" w:cs="Arial"/>
              </w:rPr>
              <w:t xml:space="preserve"> to do so</w:t>
            </w:r>
            <w:r w:rsidRPr="00863ED2">
              <w:rPr>
                <w:rFonts w:ascii="Arial" w:hAnsi="Arial" w:cs="Arial"/>
              </w:rPr>
              <w:t xml:space="preserve">. </w:t>
            </w:r>
            <w:r w:rsidR="00465F0E">
              <w:rPr>
                <w:rFonts w:ascii="Arial" w:hAnsi="Arial" w:cs="Arial"/>
              </w:rPr>
              <w:t>However, it</w:t>
            </w:r>
            <w:r w:rsidRPr="00863ED2">
              <w:rPr>
                <w:rFonts w:ascii="Arial" w:hAnsi="Arial" w:cs="Arial"/>
              </w:rPr>
              <w:t xml:space="preserve"> will not change the behaviour of the small cohort </w:t>
            </w:r>
            <w:r w:rsidR="007B25EC">
              <w:rPr>
                <w:rFonts w:ascii="Arial" w:hAnsi="Arial" w:cs="Arial"/>
              </w:rPr>
              <w:t xml:space="preserve">of persons </w:t>
            </w:r>
            <w:r w:rsidRPr="00863ED2">
              <w:rPr>
                <w:rFonts w:ascii="Arial" w:hAnsi="Arial" w:cs="Arial"/>
              </w:rPr>
              <w:t xml:space="preserve">who are unwilling to comply with guidance material. In addition, in the absence of </w:t>
            </w:r>
            <w:r w:rsidR="003D7DD2">
              <w:rPr>
                <w:rFonts w:ascii="Arial" w:hAnsi="Arial" w:cs="Arial"/>
              </w:rPr>
              <w:t>the</w:t>
            </w:r>
            <w:r w:rsidRPr="00863ED2">
              <w:rPr>
                <w:rFonts w:ascii="Arial" w:hAnsi="Arial" w:cs="Arial"/>
              </w:rPr>
              <w:t xml:space="preserve"> deterrent of penalty infringements, there is little incentive for the latter group </w:t>
            </w:r>
            <w:r w:rsidR="00041016">
              <w:rPr>
                <w:rFonts w:ascii="Arial" w:hAnsi="Arial" w:cs="Arial"/>
              </w:rPr>
              <w:t>who are unwilling to comply,</w:t>
            </w:r>
            <w:r w:rsidRPr="00863ED2">
              <w:rPr>
                <w:rFonts w:ascii="Arial" w:hAnsi="Arial" w:cs="Arial"/>
              </w:rPr>
              <w:t xml:space="preserve"> to change their behaviour.</w:t>
            </w:r>
          </w:p>
          <w:p w14:paraId="0CA3F697" w14:textId="27DEFB00" w:rsidR="00863ED2" w:rsidRPr="00863ED2" w:rsidRDefault="00863ED2"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63ED2">
              <w:rPr>
                <w:rFonts w:ascii="Arial" w:hAnsi="Arial" w:cs="Arial"/>
              </w:rPr>
              <w:t xml:space="preserve">Government information campaigns can be effective in changing behaviour. At the margin Option 3 is </w:t>
            </w:r>
            <w:r w:rsidR="001E7C94">
              <w:rPr>
                <w:rFonts w:ascii="Arial" w:hAnsi="Arial" w:cs="Arial"/>
              </w:rPr>
              <w:t>likely</w:t>
            </w:r>
            <w:r w:rsidR="001E7C94" w:rsidRPr="00863ED2">
              <w:rPr>
                <w:rFonts w:ascii="Arial" w:hAnsi="Arial" w:cs="Arial"/>
              </w:rPr>
              <w:t xml:space="preserve"> </w:t>
            </w:r>
            <w:r w:rsidRPr="00863ED2">
              <w:rPr>
                <w:rFonts w:ascii="Arial" w:hAnsi="Arial" w:cs="Arial"/>
              </w:rPr>
              <w:t>to be an improvement over the base case. Consequently, a positive score of 2 is assigned to this criterion.</w:t>
            </w:r>
          </w:p>
        </w:tc>
        <w:tc>
          <w:tcPr>
            <w:tcW w:w="1275" w:type="dxa"/>
          </w:tcPr>
          <w:p w14:paraId="0937C7FD" w14:textId="4A97AEF2" w:rsidR="0071685D" w:rsidRPr="00EC3AED"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AED">
              <w:rPr>
                <w:rFonts w:ascii="Arial" w:hAnsi="Arial" w:cs="Arial"/>
              </w:rPr>
              <w:t>2</w:t>
            </w:r>
          </w:p>
        </w:tc>
        <w:tc>
          <w:tcPr>
            <w:tcW w:w="1417" w:type="dxa"/>
          </w:tcPr>
          <w:p w14:paraId="3BFFF32D" w14:textId="071BF2B6" w:rsidR="0071685D" w:rsidRPr="00EC3AED"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AED">
              <w:rPr>
                <w:rFonts w:ascii="Arial" w:hAnsi="Arial" w:cs="Arial"/>
              </w:rPr>
              <w:t>0.4</w:t>
            </w:r>
          </w:p>
        </w:tc>
      </w:tr>
      <w:tr w:rsidR="0071685D" w:rsidRPr="00F84571" w14:paraId="4FBF2007"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38CBA9DC" w14:textId="71B96794" w:rsidR="0071685D" w:rsidRPr="00091ED4" w:rsidRDefault="0071685D" w:rsidP="00091ED4">
            <w:pPr>
              <w:spacing w:after="120"/>
              <w:rPr>
                <w:rFonts w:ascii="Arial" w:hAnsi="Arial" w:cs="Arial"/>
              </w:rPr>
            </w:pPr>
            <w:r w:rsidRPr="00A41F5F">
              <w:rPr>
                <w:rFonts w:ascii="Arial" w:hAnsi="Arial" w:cs="Arial"/>
              </w:rPr>
              <w:t>Protect the environment from damaging fire</w:t>
            </w:r>
            <w:r>
              <w:rPr>
                <w:rFonts w:ascii="Arial" w:hAnsi="Arial" w:cs="Arial"/>
              </w:rPr>
              <w:t xml:space="preserve"> (</w:t>
            </w:r>
            <w:r w:rsidR="00901B32">
              <w:rPr>
                <w:rFonts w:ascii="Arial" w:hAnsi="Arial" w:cs="Arial"/>
              </w:rPr>
              <w:t>20</w:t>
            </w:r>
            <w:r>
              <w:rPr>
                <w:rFonts w:ascii="Arial" w:hAnsi="Arial" w:cs="Arial"/>
              </w:rPr>
              <w:t>%)</w:t>
            </w:r>
          </w:p>
        </w:tc>
        <w:tc>
          <w:tcPr>
            <w:tcW w:w="4610" w:type="dxa"/>
          </w:tcPr>
          <w:p w14:paraId="78403ABB" w14:textId="35EF9296" w:rsidR="0071685D" w:rsidRPr="00863ED2" w:rsidRDefault="00863ED2"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small improvement in campfire safety</w:t>
            </w:r>
            <w:r w:rsidR="00E800E3">
              <w:rPr>
                <w:rFonts w:ascii="Arial" w:hAnsi="Arial" w:cs="Arial"/>
              </w:rPr>
              <w:t xml:space="preserve"> </w:t>
            </w:r>
            <w:r w:rsidR="00067F0A">
              <w:rPr>
                <w:rFonts w:ascii="Arial" w:hAnsi="Arial" w:cs="Arial"/>
              </w:rPr>
              <w:t xml:space="preserve">over </w:t>
            </w:r>
            <w:r w:rsidR="007E6808">
              <w:rPr>
                <w:rFonts w:ascii="Arial" w:hAnsi="Arial" w:cs="Arial"/>
              </w:rPr>
              <w:t>the base</w:t>
            </w:r>
            <w:r w:rsidR="00E800E3">
              <w:rPr>
                <w:rFonts w:ascii="Arial" w:hAnsi="Arial" w:cs="Arial"/>
              </w:rPr>
              <w:t xml:space="preserve"> case may occur. T</w:t>
            </w:r>
            <w:r>
              <w:rPr>
                <w:rFonts w:ascii="Arial" w:hAnsi="Arial" w:cs="Arial"/>
              </w:rPr>
              <w:t xml:space="preserve">he highest risk activity covered </w:t>
            </w:r>
            <w:r w:rsidR="00E800E3">
              <w:rPr>
                <w:rFonts w:ascii="Arial" w:hAnsi="Arial" w:cs="Arial"/>
              </w:rPr>
              <w:t xml:space="preserve">is likely to already be covered </w:t>
            </w:r>
            <w:r>
              <w:rPr>
                <w:rFonts w:ascii="Arial" w:hAnsi="Arial" w:cs="Arial"/>
              </w:rPr>
              <w:t xml:space="preserve">under the current </w:t>
            </w:r>
            <w:r w:rsidR="007E6808">
              <w:rPr>
                <w:rFonts w:ascii="Arial" w:hAnsi="Arial" w:cs="Arial"/>
              </w:rPr>
              <w:t>arrangement and</w:t>
            </w:r>
            <w:r w:rsidR="00E800E3">
              <w:rPr>
                <w:rFonts w:ascii="Arial" w:hAnsi="Arial" w:cs="Arial"/>
              </w:rPr>
              <w:t xml:space="preserve"> </w:t>
            </w:r>
            <w:r>
              <w:rPr>
                <w:rFonts w:ascii="Arial" w:hAnsi="Arial" w:cs="Arial"/>
              </w:rPr>
              <w:t>should reduce t</w:t>
            </w:r>
            <w:r w:rsidR="00FB7887">
              <w:rPr>
                <w:rFonts w:ascii="Arial" w:hAnsi="Arial" w:cs="Arial"/>
              </w:rPr>
              <w:t>he</w:t>
            </w:r>
            <w:r>
              <w:rPr>
                <w:rFonts w:ascii="Arial" w:hAnsi="Arial" w:cs="Arial"/>
              </w:rPr>
              <w:t xml:space="preserve"> incidence and frequency </w:t>
            </w:r>
            <w:r w:rsidR="00FB7887">
              <w:rPr>
                <w:rFonts w:ascii="Arial" w:hAnsi="Arial" w:cs="Arial"/>
              </w:rPr>
              <w:t xml:space="preserve">of fires </w:t>
            </w:r>
            <w:r>
              <w:rPr>
                <w:rFonts w:ascii="Arial" w:hAnsi="Arial" w:cs="Arial"/>
              </w:rPr>
              <w:t>over time. As highlighted in this RIS</w:t>
            </w:r>
            <w:r w:rsidR="00FB7887">
              <w:rPr>
                <w:rFonts w:ascii="Arial" w:hAnsi="Arial" w:cs="Arial"/>
              </w:rPr>
              <w:t xml:space="preserve">, bushfires caused from campfires are </w:t>
            </w:r>
            <w:r w:rsidR="00A27A17">
              <w:rPr>
                <w:rFonts w:ascii="Arial" w:hAnsi="Arial" w:cs="Arial"/>
              </w:rPr>
              <w:t xml:space="preserve">a </w:t>
            </w:r>
            <w:r w:rsidR="00FB7887">
              <w:rPr>
                <w:rFonts w:ascii="Arial" w:hAnsi="Arial" w:cs="Arial"/>
              </w:rPr>
              <w:t>medium probability, extreme consequence event. Any reduction of bushfires reduces damage to forests. Consequently, a score of 2 is assigned to this criterion.</w:t>
            </w:r>
          </w:p>
        </w:tc>
        <w:tc>
          <w:tcPr>
            <w:tcW w:w="1275" w:type="dxa"/>
          </w:tcPr>
          <w:p w14:paraId="531A01A8" w14:textId="381F5747" w:rsidR="0071685D" w:rsidRPr="00EC3AED"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AED">
              <w:rPr>
                <w:rFonts w:ascii="Arial" w:hAnsi="Arial" w:cs="Arial"/>
              </w:rPr>
              <w:t>2</w:t>
            </w:r>
          </w:p>
        </w:tc>
        <w:tc>
          <w:tcPr>
            <w:tcW w:w="1417" w:type="dxa"/>
          </w:tcPr>
          <w:p w14:paraId="27BE6F43" w14:textId="13C38874" w:rsidR="0071685D" w:rsidRPr="00EC3AED"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AED">
              <w:rPr>
                <w:rFonts w:ascii="Arial" w:hAnsi="Arial" w:cs="Arial"/>
              </w:rPr>
              <w:t>0.</w:t>
            </w:r>
            <w:r w:rsidR="005719EE">
              <w:rPr>
                <w:rFonts w:ascii="Arial" w:hAnsi="Arial" w:cs="Arial"/>
              </w:rPr>
              <w:t>4</w:t>
            </w:r>
          </w:p>
        </w:tc>
      </w:tr>
      <w:tr w:rsidR="0071685D" w:rsidRPr="00F84571" w14:paraId="69BD10A6"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723C7957" w14:textId="77777777" w:rsidR="0071685D" w:rsidRPr="00091ED4" w:rsidRDefault="0071685D" w:rsidP="00091ED4">
            <w:pPr>
              <w:spacing w:after="120"/>
              <w:rPr>
                <w:rFonts w:ascii="Arial" w:hAnsi="Arial" w:cs="Arial"/>
              </w:rPr>
            </w:pPr>
            <w:r w:rsidRPr="00A41F5F">
              <w:rPr>
                <w:rFonts w:ascii="Arial" w:hAnsi="Arial" w:cs="Arial"/>
              </w:rPr>
              <w:t>Provide assurance that commercial activities are conducted in a safe manner</w:t>
            </w:r>
            <w:r>
              <w:rPr>
                <w:rFonts w:ascii="Arial" w:hAnsi="Arial" w:cs="Arial"/>
              </w:rPr>
              <w:t xml:space="preserve"> (10%)</w:t>
            </w:r>
          </w:p>
        </w:tc>
        <w:tc>
          <w:tcPr>
            <w:tcW w:w="4610" w:type="dxa"/>
          </w:tcPr>
          <w:p w14:paraId="150805C7" w14:textId="2B67178E" w:rsidR="0071685D" w:rsidRPr="00863ED2" w:rsidRDefault="00323EF5"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63ED2">
              <w:rPr>
                <w:rFonts w:ascii="Arial" w:hAnsi="Arial" w:cs="Arial"/>
              </w:rPr>
              <w:t>Normal business a</w:t>
            </w:r>
            <w:r w:rsidR="00B0551F" w:rsidRPr="00863ED2">
              <w:rPr>
                <w:rFonts w:ascii="Arial" w:hAnsi="Arial" w:cs="Arial"/>
              </w:rPr>
              <w:t>rrangements</w:t>
            </w:r>
            <w:r w:rsidRPr="00863ED2">
              <w:rPr>
                <w:rFonts w:ascii="Arial" w:hAnsi="Arial" w:cs="Arial"/>
              </w:rPr>
              <w:t xml:space="preserve"> would continue. This includes voluntary best-practice fire safety, advice from industry associations, insurance requirements. Since this position reflects the base case a score of zero is assigned.</w:t>
            </w:r>
          </w:p>
        </w:tc>
        <w:tc>
          <w:tcPr>
            <w:tcW w:w="1275" w:type="dxa"/>
          </w:tcPr>
          <w:p w14:paraId="6FD270D7" w14:textId="2563FEB5" w:rsidR="0071685D" w:rsidRPr="00EC3AED"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AED">
              <w:rPr>
                <w:rFonts w:ascii="Arial" w:hAnsi="Arial" w:cs="Arial"/>
              </w:rPr>
              <w:t>0</w:t>
            </w:r>
          </w:p>
        </w:tc>
        <w:tc>
          <w:tcPr>
            <w:tcW w:w="1417" w:type="dxa"/>
          </w:tcPr>
          <w:p w14:paraId="773FE83B" w14:textId="481ACEC0" w:rsidR="0071685D" w:rsidRPr="00EC3AED"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AED">
              <w:rPr>
                <w:rFonts w:ascii="Arial" w:hAnsi="Arial" w:cs="Arial"/>
              </w:rPr>
              <w:t>0</w:t>
            </w:r>
          </w:p>
        </w:tc>
      </w:tr>
      <w:tr w:rsidR="0071685D" w:rsidRPr="00F84571" w14:paraId="268F9A42" w14:textId="77777777">
        <w:tc>
          <w:tcPr>
            <w:cnfStyle w:val="001000000000" w:firstRow="0" w:lastRow="0" w:firstColumn="1" w:lastColumn="0" w:oddVBand="0" w:evenVBand="0" w:oddHBand="0" w:evenHBand="0" w:firstRowFirstColumn="0" w:firstRowLastColumn="0" w:lastRowFirstColumn="0" w:lastRowLastColumn="0"/>
            <w:tcW w:w="9351" w:type="dxa"/>
            <w:gridSpan w:val="4"/>
          </w:tcPr>
          <w:p w14:paraId="1CDEB342" w14:textId="77777777" w:rsidR="0071685D" w:rsidRPr="00E2622B" w:rsidRDefault="0071685D">
            <w:pPr>
              <w:rPr>
                <w:rFonts w:ascii="Arial" w:hAnsi="Arial" w:cs="Arial"/>
              </w:rPr>
            </w:pPr>
            <w:r>
              <w:rPr>
                <w:rFonts w:ascii="Arial" w:hAnsi="Arial" w:cs="Arial"/>
                <w:i/>
                <w:iCs/>
              </w:rPr>
              <w:t>Assessment of Costs</w:t>
            </w:r>
          </w:p>
        </w:tc>
      </w:tr>
      <w:tr w:rsidR="0071685D" w:rsidRPr="00F84571" w14:paraId="476EB487"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6E1DA10D" w14:textId="77777777" w:rsidR="0071685D" w:rsidRPr="00E2622B" w:rsidRDefault="0071685D" w:rsidP="00091ED4">
            <w:pPr>
              <w:spacing w:after="120"/>
              <w:rPr>
                <w:rFonts w:ascii="Arial" w:hAnsi="Arial" w:cs="Arial"/>
              </w:rPr>
            </w:pPr>
            <w:r>
              <w:rPr>
                <w:rFonts w:ascii="Arial" w:hAnsi="Arial" w:cs="Arial"/>
              </w:rPr>
              <w:t>Business (20%)</w:t>
            </w:r>
          </w:p>
        </w:tc>
        <w:tc>
          <w:tcPr>
            <w:tcW w:w="4610" w:type="dxa"/>
          </w:tcPr>
          <w:p w14:paraId="01B87014" w14:textId="0278A5B2" w:rsidR="0071685D" w:rsidRPr="00E2622B" w:rsidRDefault="00323EF5"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Under this option no equipment or clearing requirements would be prescribe</w:t>
            </w:r>
            <w:r w:rsidR="00952451">
              <w:rPr>
                <w:rFonts w:ascii="Arial" w:hAnsi="Arial" w:cs="Arial"/>
              </w:rPr>
              <w:t>d</w:t>
            </w:r>
            <w:r>
              <w:rPr>
                <w:rFonts w:ascii="Arial" w:hAnsi="Arial" w:cs="Arial"/>
              </w:rPr>
              <w:t xml:space="preserve">, hence such costs are not attributable to the regulations (a very </w:t>
            </w:r>
            <w:r w:rsidR="004E226B">
              <w:rPr>
                <w:rFonts w:ascii="Arial" w:hAnsi="Arial" w:cs="Arial"/>
              </w:rPr>
              <w:t>small</w:t>
            </w:r>
            <w:r>
              <w:rPr>
                <w:rFonts w:ascii="Arial" w:hAnsi="Arial" w:cs="Arial"/>
              </w:rPr>
              <w:t xml:space="preserve"> </w:t>
            </w:r>
            <w:r w:rsidR="004E226B">
              <w:rPr>
                <w:rFonts w:ascii="Arial" w:hAnsi="Arial" w:cs="Arial"/>
              </w:rPr>
              <w:t xml:space="preserve">administrative </w:t>
            </w:r>
            <w:r>
              <w:rPr>
                <w:rFonts w:ascii="Arial" w:hAnsi="Arial" w:cs="Arial"/>
              </w:rPr>
              <w:t>cost</w:t>
            </w:r>
            <w:r w:rsidR="004E226B">
              <w:rPr>
                <w:rFonts w:ascii="Arial" w:hAnsi="Arial" w:cs="Arial"/>
              </w:rPr>
              <w:t xml:space="preserve"> is incurred by business in relation to applying for authority to light a fire).</w:t>
            </w:r>
          </w:p>
        </w:tc>
        <w:tc>
          <w:tcPr>
            <w:tcW w:w="1275" w:type="dxa"/>
          </w:tcPr>
          <w:p w14:paraId="1BB06897" w14:textId="414FAA28" w:rsidR="0071685D" w:rsidRPr="00E2622B" w:rsidRDefault="00323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B0551F">
              <w:rPr>
                <w:rFonts w:ascii="Arial" w:hAnsi="Arial" w:cs="Arial"/>
              </w:rPr>
              <w:t>0</w:t>
            </w:r>
            <w:r>
              <w:rPr>
                <w:rFonts w:ascii="Arial" w:hAnsi="Arial" w:cs="Arial"/>
              </w:rPr>
              <w:t>.25</w:t>
            </w:r>
          </w:p>
        </w:tc>
        <w:tc>
          <w:tcPr>
            <w:tcW w:w="1417" w:type="dxa"/>
          </w:tcPr>
          <w:p w14:paraId="59A91A9C" w14:textId="754414EA" w:rsidR="0071685D" w:rsidRPr="00E2622B" w:rsidRDefault="004E226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-0.05</w:t>
            </w:r>
          </w:p>
        </w:tc>
      </w:tr>
      <w:tr w:rsidR="0071685D" w:rsidRPr="00F84571" w14:paraId="0C4CB525"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7D10816C" w14:textId="77777777" w:rsidR="0071685D" w:rsidRPr="00E2622B" w:rsidRDefault="0071685D" w:rsidP="00091ED4">
            <w:pPr>
              <w:spacing w:after="120"/>
              <w:rPr>
                <w:rFonts w:ascii="Arial" w:hAnsi="Arial" w:cs="Arial"/>
              </w:rPr>
            </w:pPr>
            <w:r>
              <w:rPr>
                <w:rFonts w:ascii="Arial" w:hAnsi="Arial" w:cs="Arial"/>
              </w:rPr>
              <w:t>Individuals (20%)</w:t>
            </w:r>
          </w:p>
        </w:tc>
        <w:tc>
          <w:tcPr>
            <w:tcW w:w="4610" w:type="dxa"/>
          </w:tcPr>
          <w:p w14:paraId="7D41F907" w14:textId="6CE041B5" w:rsidR="0071685D" w:rsidRPr="00E2622B" w:rsidRDefault="004E226B"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information campaign should result in improved fire safety</w:t>
            </w:r>
            <w:r w:rsidR="009C0631">
              <w:rPr>
                <w:rFonts w:ascii="Arial" w:hAnsi="Arial" w:cs="Arial"/>
              </w:rPr>
              <w:t xml:space="preserve">. </w:t>
            </w:r>
            <w:r w:rsidR="00214EFE">
              <w:rPr>
                <w:rFonts w:ascii="Arial" w:hAnsi="Arial" w:cs="Arial"/>
              </w:rPr>
              <w:t xml:space="preserve">People who currently light unsafe fires </w:t>
            </w:r>
            <w:r>
              <w:rPr>
                <w:rFonts w:ascii="Arial" w:hAnsi="Arial" w:cs="Arial"/>
              </w:rPr>
              <w:t xml:space="preserve">will incur </w:t>
            </w:r>
            <w:r w:rsidR="009C0631">
              <w:rPr>
                <w:rFonts w:ascii="Arial" w:hAnsi="Arial" w:cs="Arial"/>
              </w:rPr>
              <w:t xml:space="preserve">additional </w:t>
            </w:r>
            <w:r>
              <w:rPr>
                <w:rFonts w:ascii="Arial" w:hAnsi="Arial" w:cs="Arial"/>
              </w:rPr>
              <w:t>(notional</w:t>
            </w:r>
            <w:r w:rsidR="009C0631">
              <w:rPr>
                <w:rFonts w:ascii="Arial" w:hAnsi="Arial" w:cs="Arial"/>
              </w:rPr>
              <w:t>)</w:t>
            </w:r>
            <w:r>
              <w:rPr>
                <w:rFonts w:ascii="Arial" w:hAnsi="Arial" w:cs="Arial"/>
              </w:rPr>
              <w:t xml:space="preserve"> costs</w:t>
            </w:r>
            <w:r w:rsidR="009C0631">
              <w:rPr>
                <w:rFonts w:ascii="Arial" w:hAnsi="Arial" w:cs="Arial"/>
              </w:rPr>
              <w:t xml:space="preserve"> (</w:t>
            </w:r>
            <w:r w:rsidR="00374656">
              <w:rPr>
                <w:rFonts w:ascii="Arial" w:hAnsi="Arial" w:cs="Arial"/>
              </w:rPr>
              <w:t>for example</w:t>
            </w:r>
            <w:r w:rsidR="009C0631">
              <w:rPr>
                <w:rFonts w:ascii="Arial" w:hAnsi="Arial" w:cs="Arial"/>
              </w:rPr>
              <w:t xml:space="preserve"> extra time clearing inflammable material). The additional activities are easy to comply</w:t>
            </w:r>
            <w:r w:rsidR="004935E2">
              <w:rPr>
                <w:rFonts w:ascii="Arial" w:hAnsi="Arial" w:cs="Arial"/>
              </w:rPr>
              <w:t xml:space="preserve"> with</w:t>
            </w:r>
            <w:r w:rsidR="009C0631">
              <w:rPr>
                <w:rFonts w:ascii="Arial" w:hAnsi="Arial" w:cs="Arial"/>
              </w:rPr>
              <w:t xml:space="preserve">, taking only a small amount </w:t>
            </w:r>
            <w:r w:rsidR="00265E33">
              <w:rPr>
                <w:rFonts w:ascii="Arial" w:hAnsi="Arial" w:cs="Arial"/>
              </w:rPr>
              <w:t xml:space="preserve">of </w:t>
            </w:r>
            <w:r w:rsidR="009C0631">
              <w:rPr>
                <w:rFonts w:ascii="Arial" w:hAnsi="Arial" w:cs="Arial"/>
              </w:rPr>
              <w:t>time. Consequently, a small negative score of -0.5 is assigned to this criterion.</w:t>
            </w:r>
          </w:p>
        </w:tc>
        <w:tc>
          <w:tcPr>
            <w:tcW w:w="1275" w:type="dxa"/>
          </w:tcPr>
          <w:p w14:paraId="66FB77DA" w14:textId="180EDB3B" w:rsidR="0071685D" w:rsidRPr="00E2622B"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w:t>
            </w:r>
          </w:p>
        </w:tc>
        <w:tc>
          <w:tcPr>
            <w:tcW w:w="1417" w:type="dxa"/>
          </w:tcPr>
          <w:p w14:paraId="5831DF34" w14:textId="5DCD5B6F" w:rsidR="0071685D" w:rsidRPr="00E2622B"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r w:rsidR="004E226B">
              <w:rPr>
                <w:rFonts w:ascii="Arial" w:hAnsi="Arial" w:cs="Arial"/>
              </w:rPr>
              <w:t>1</w:t>
            </w:r>
          </w:p>
        </w:tc>
      </w:tr>
      <w:tr w:rsidR="0071685D" w:rsidRPr="00E2622B" w14:paraId="271E3940"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75CE0B74" w14:textId="77777777" w:rsidR="0071685D" w:rsidRPr="00E2622B" w:rsidRDefault="0071685D" w:rsidP="00091ED4">
            <w:pPr>
              <w:spacing w:after="120"/>
              <w:rPr>
                <w:rFonts w:ascii="Arial" w:hAnsi="Arial" w:cs="Arial"/>
              </w:rPr>
            </w:pPr>
            <w:r w:rsidRPr="00E2622B">
              <w:rPr>
                <w:rFonts w:ascii="Arial" w:hAnsi="Arial" w:cs="Arial"/>
              </w:rPr>
              <w:t>Government</w:t>
            </w:r>
            <w:r>
              <w:rPr>
                <w:rFonts w:ascii="Arial" w:hAnsi="Arial" w:cs="Arial"/>
              </w:rPr>
              <w:t xml:space="preserve"> (10%)</w:t>
            </w:r>
          </w:p>
        </w:tc>
        <w:tc>
          <w:tcPr>
            <w:tcW w:w="4610" w:type="dxa"/>
          </w:tcPr>
          <w:p w14:paraId="7C9A5820" w14:textId="6A7D97AA" w:rsidR="0071685D" w:rsidRPr="00E2622B" w:rsidRDefault="004E226B" w:rsidP="00091ED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This option results in the lowest cost for government, with the largest element relating to information campaign costs. These costs are around half of those of Option 1, therefore a score of -3 is assigned to this criterion.</w:t>
            </w:r>
          </w:p>
        </w:tc>
        <w:tc>
          <w:tcPr>
            <w:tcW w:w="1275" w:type="dxa"/>
          </w:tcPr>
          <w:p w14:paraId="4833AE8C" w14:textId="30EE0F3E" w:rsidR="0071685D" w:rsidRPr="00E2622B"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tc>
        <w:tc>
          <w:tcPr>
            <w:tcW w:w="1417" w:type="dxa"/>
          </w:tcPr>
          <w:p w14:paraId="01BC127F" w14:textId="52CA3818" w:rsidR="0071685D" w:rsidRPr="00E2622B"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-0.3</w:t>
            </w:r>
          </w:p>
        </w:tc>
      </w:tr>
      <w:tr w:rsidR="0071685D" w:rsidRPr="00EE211A" w14:paraId="47D2C20A" w14:textId="77777777" w:rsidTr="00AD62FD">
        <w:tc>
          <w:tcPr>
            <w:cnfStyle w:val="001000000000" w:firstRow="0" w:lastRow="0" w:firstColumn="1" w:lastColumn="0" w:oddVBand="0" w:evenVBand="0" w:oddHBand="0" w:evenHBand="0" w:firstRowFirstColumn="0" w:firstRowLastColumn="0" w:lastRowFirstColumn="0" w:lastRowLastColumn="0"/>
            <w:tcW w:w="2049" w:type="dxa"/>
          </w:tcPr>
          <w:p w14:paraId="4D871F0C" w14:textId="77777777" w:rsidR="0071685D" w:rsidRPr="00E2622B" w:rsidRDefault="0071685D">
            <w:pPr>
              <w:spacing w:before="100" w:beforeAutospacing="1" w:after="120"/>
              <w:ind w:right="282"/>
              <w:rPr>
                <w:rFonts w:ascii="Arial" w:hAnsi="Arial" w:cs="Arial"/>
                <w:b/>
                <w:bCs/>
                <w:i/>
                <w:iCs/>
                <w:sz w:val="22"/>
                <w:szCs w:val="22"/>
              </w:rPr>
            </w:pPr>
            <w:r w:rsidRPr="00E2622B">
              <w:rPr>
                <w:rFonts w:ascii="Arial" w:hAnsi="Arial" w:cs="Arial"/>
                <w:b/>
                <w:bCs/>
                <w:i/>
                <w:iCs/>
                <w:sz w:val="22"/>
                <w:szCs w:val="22"/>
              </w:rPr>
              <w:t>Total</w:t>
            </w:r>
          </w:p>
        </w:tc>
        <w:tc>
          <w:tcPr>
            <w:tcW w:w="4610" w:type="dxa"/>
          </w:tcPr>
          <w:p w14:paraId="53BEF530" w14:textId="77777777" w:rsidR="0071685D" w:rsidRPr="00E2622B" w:rsidRDefault="0071685D">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75" w:type="dxa"/>
          </w:tcPr>
          <w:p w14:paraId="5FD10681" w14:textId="77777777" w:rsidR="0071685D" w:rsidRPr="00E2622B" w:rsidRDefault="0071685D">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17" w:type="dxa"/>
          </w:tcPr>
          <w:p w14:paraId="70F37B6C" w14:textId="2E2EA3BE" w:rsidR="0071685D" w:rsidRPr="00E2622B" w:rsidRDefault="00B0551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+0.</w:t>
            </w:r>
            <w:r w:rsidR="00752627">
              <w:rPr>
                <w:rFonts w:ascii="Arial" w:hAnsi="Arial" w:cs="Arial"/>
                <w:b/>
                <w:bCs/>
                <w:sz w:val="22"/>
                <w:szCs w:val="22"/>
              </w:rPr>
              <w:t>3</w:t>
            </w:r>
            <w:r w:rsidR="004E226B">
              <w:rPr>
                <w:rFonts w:ascii="Arial" w:hAnsi="Arial" w:cs="Arial"/>
                <w:b/>
                <w:bCs/>
                <w:sz w:val="22"/>
                <w:szCs w:val="22"/>
              </w:rPr>
              <w:t>5</w:t>
            </w:r>
          </w:p>
        </w:tc>
      </w:tr>
    </w:tbl>
    <w:p w14:paraId="39AED484" w14:textId="14FB74E3" w:rsidR="00056E2D" w:rsidRPr="001D0EAF" w:rsidRDefault="0071685D" w:rsidP="00561361">
      <w:pPr>
        <w:pStyle w:val="Heading3"/>
      </w:pPr>
      <w:bookmarkStart w:id="92" w:name="_Toc187330565"/>
      <w:r>
        <w:t>O</w:t>
      </w:r>
      <w:r w:rsidR="00056E2D" w:rsidRPr="001D0EAF">
        <w:t>verall assessment</w:t>
      </w:r>
      <w:bookmarkEnd w:id="92"/>
    </w:p>
    <w:p w14:paraId="031B9B88" w14:textId="4810DD8C" w:rsidR="00056E2D" w:rsidRDefault="00056E2D" w:rsidP="00056E2D">
      <w:r>
        <w:t xml:space="preserve">It is likely that non-regulatory options, including enhanced government information provision, would manage some fire risks in a relatively effective way. </w:t>
      </w:r>
      <w:r w:rsidR="00B108FA">
        <w:t>It was confirmed during consultation that i</w:t>
      </w:r>
      <w:r>
        <w:t xml:space="preserve">ndustry bodies provide their members with information concerning fire risks in their sector. The relatively small number of sawmills also have regular contact with DEECA and the CFA and effective guidance </w:t>
      </w:r>
      <w:r w:rsidR="008F3361">
        <w:t>is</w:t>
      </w:r>
      <w:r>
        <w:t xml:space="preserve"> provided.</w:t>
      </w:r>
      <w:r w:rsidR="00B87385">
        <w:t xml:space="preserve"> The main problem with this option is that not all persons are members of industry bodies or user groups, particular</w:t>
      </w:r>
      <w:r w:rsidR="007F715A">
        <w:t>ly</w:t>
      </w:r>
      <w:r w:rsidR="00B87385">
        <w:t xml:space="preserve"> those who may undertake high risk activities such as grinding and welding.</w:t>
      </w:r>
    </w:p>
    <w:p w14:paraId="552A6022" w14:textId="6D59E04E" w:rsidR="00056E2D" w:rsidRDefault="00AE1E8C" w:rsidP="00056E2D">
      <w:r>
        <w:t xml:space="preserve">Campfires pose a particularly high risk if not </w:t>
      </w:r>
      <w:r w:rsidR="00284A6B">
        <w:t xml:space="preserve">safely </w:t>
      </w:r>
      <w:r>
        <w:t xml:space="preserve">lit and maintained. </w:t>
      </w:r>
      <w:r w:rsidR="00FC43F0">
        <w:t>T</w:t>
      </w:r>
      <w:r>
        <w:t>he majority of visitors light safe fire</w:t>
      </w:r>
      <w:r w:rsidR="00EE0718">
        <w:t>s</w:t>
      </w:r>
      <w:r>
        <w:t xml:space="preserve">, </w:t>
      </w:r>
      <w:r w:rsidR="008C089B">
        <w:t xml:space="preserve">but </w:t>
      </w:r>
      <w:r>
        <w:t>some do not. Often this is based on a lack of knowledge of fire behaviour. A campfire/barbeques safety campaign should improve information gaps for this group.</w:t>
      </w:r>
      <w:r w:rsidR="00056E2D">
        <w:t xml:space="preserve"> </w:t>
      </w:r>
      <w:r w:rsidR="00212C0D">
        <w:t xml:space="preserve">However, </w:t>
      </w:r>
      <w:r w:rsidR="00EE101B">
        <w:t>w</w:t>
      </w:r>
      <w:r w:rsidR="00056E2D">
        <w:t>hile education and information can be very effective in community messag</w:t>
      </w:r>
      <w:r w:rsidR="008F3361">
        <w:t>ing</w:t>
      </w:r>
      <w:r w:rsidR="00056E2D">
        <w:t xml:space="preserve">, it </w:t>
      </w:r>
      <w:r w:rsidR="0002086D">
        <w:t xml:space="preserve">largely </w:t>
      </w:r>
      <w:r w:rsidR="00056E2D">
        <w:t xml:space="preserve">relies on an individual’s willingness to seek this information and act accordingly. </w:t>
      </w:r>
      <w:r w:rsidR="003A09A5">
        <w:t>Further,</w:t>
      </w:r>
      <w:r w:rsidR="00056E2D" w:rsidDel="003A09A5">
        <w:t xml:space="preserve"> </w:t>
      </w:r>
      <w:r w:rsidR="003A09A5">
        <w:t>the large number of short-term international visitors enjoying Victoria’s forests can make penetration of community education difficult</w:t>
      </w:r>
      <w:r w:rsidR="00AA1C06">
        <w:t>.</w:t>
      </w:r>
      <w:r w:rsidR="003A09A5">
        <w:t xml:space="preserve"> </w:t>
      </w:r>
      <w:r w:rsidR="00EE101B">
        <w:t>Some</w:t>
      </w:r>
      <w:r>
        <w:t xml:space="preserve"> park visitors </w:t>
      </w:r>
      <w:r w:rsidR="00EE101B">
        <w:t>will</w:t>
      </w:r>
      <w:r>
        <w:t xml:space="preserve"> not comply. For this group</w:t>
      </w:r>
      <w:r w:rsidR="00F04DA9">
        <w:t xml:space="preserve">, </w:t>
      </w:r>
      <w:r>
        <w:t>l</w:t>
      </w:r>
      <w:r w:rsidR="00056E2D">
        <w:t>imited enforcement mechanisms may</w:t>
      </w:r>
      <w:r w:rsidR="00FD0BD2">
        <w:t xml:space="preserve"> </w:t>
      </w:r>
      <w:r w:rsidR="00256998">
        <w:t>not</w:t>
      </w:r>
      <w:r w:rsidR="00FD0BD2">
        <w:t xml:space="preserve"> incentiv</w:t>
      </w:r>
      <w:r w:rsidR="00256998">
        <w:t>ise</w:t>
      </w:r>
      <w:r w:rsidR="00AF0032">
        <w:t xml:space="preserve"> </w:t>
      </w:r>
      <w:r w:rsidR="00056E2D">
        <w:t>responsibl</w:t>
      </w:r>
      <w:r w:rsidR="00ED1E79">
        <w:t>e behaviour</w:t>
      </w:r>
      <w:r w:rsidR="00056E2D">
        <w:t>.</w:t>
      </w:r>
    </w:p>
    <w:p w14:paraId="55B6ED3E" w14:textId="167883CA" w:rsidR="00056E2D" w:rsidRPr="00C13200" w:rsidRDefault="00056E2D" w:rsidP="00056E2D">
      <w:r>
        <w:t>Nevertheless, a non-regulatory approach is likely to have some effect in reducing fire risks</w:t>
      </w:r>
      <w:r w:rsidR="00AE1E8C">
        <w:t>,</w:t>
      </w:r>
      <w:r w:rsidR="00F90D24">
        <w:t xml:space="preserve"> </w:t>
      </w:r>
      <w:r w:rsidR="008F3361">
        <w:t>compared to the base case</w:t>
      </w:r>
      <w:r w:rsidR="00FC7C2F">
        <w:t>. A</w:t>
      </w:r>
      <w:r w:rsidR="008F3361">
        <w:t xml:space="preserve">n enhanced educational campaign </w:t>
      </w:r>
      <w:r w:rsidR="00FC7C2F">
        <w:t>should lead to</w:t>
      </w:r>
      <w:r w:rsidR="008F3361">
        <w:t xml:space="preserve"> improved fire safety behaviour by filling information</w:t>
      </w:r>
      <w:r w:rsidR="00E93ED8">
        <w:t xml:space="preserve"> gaps</w:t>
      </w:r>
      <w:r w:rsidR="00E93ED8" w:rsidRPr="00E93ED8">
        <w:t xml:space="preserve"> </w:t>
      </w:r>
      <w:r w:rsidR="00E93ED8">
        <w:t>for those willing to comply</w:t>
      </w:r>
      <w:r>
        <w:t>.</w:t>
      </w:r>
    </w:p>
    <w:p w14:paraId="65B83BC9" w14:textId="20AD4053" w:rsidR="00056E2D" w:rsidRPr="001D0EAF" w:rsidRDefault="00056E2D" w:rsidP="00561361">
      <w:pPr>
        <w:pStyle w:val="Heading2"/>
      </w:pPr>
      <w:bookmarkStart w:id="93" w:name="_Toc187330566"/>
      <w:r w:rsidRPr="001D0EAF">
        <w:t>Determining the preferred option</w:t>
      </w:r>
      <w:bookmarkEnd w:id="93"/>
    </w:p>
    <w:p w14:paraId="67DA8D2C" w14:textId="4D4C28C9" w:rsidR="00056E2D" w:rsidRDefault="00056E2D" w:rsidP="00056E2D">
      <w:r>
        <w:t xml:space="preserve">While each of the options assessed in the sections above are likely to provide </w:t>
      </w:r>
      <w:r w:rsidR="00E93ED8">
        <w:t xml:space="preserve">some </w:t>
      </w:r>
      <w:r>
        <w:t>benefits, the preferred option should be based on the option that provides the greatest benefit to the community as a whole.</w:t>
      </w:r>
      <w:r w:rsidR="00E93ED8">
        <w:t xml:space="preserve"> The costs of each option and MCA assessment scores are summarised below.</w:t>
      </w:r>
    </w:p>
    <w:p w14:paraId="645068DC" w14:textId="0B31AE9D" w:rsidR="00E93ED8" w:rsidRPr="00AF66B6" w:rsidRDefault="00E93ED8" w:rsidP="00E93ED8">
      <w:pPr>
        <w:pStyle w:val="Caption"/>
      </w:pPr>
      <w:r w:rsidRPr="00AF66B6">
        <w:t xml:space="preserve">Table </w:t>
      </w:r>
      <w:r w:rsidR="00DC2749" w:rsidRPr="00AF66B6">
        <w:t>16</w:t>
      </w:r>
      <w:r w:rsidRPr="00AF66B6">
        <w:t>: Summary of regulatory and government costs, 10-year period ($PV)</w:t>
      </w:r>
    </w:p>
    <w:tbl>
      <w:tblPr>
        <w:tblStyle w:val="TableGrid"/>
        <w:tblW w:w="0" w:type="auto"/>
        <w:jc w:val="center"/>
        <w:tblLook w:val="04A0" w:firstRow="1" w:lastRow="0" w:firstColumn="1" w:lastColumn="0" w:noHBand="0" w:noVBand="1"/>
      </w:tblPr>
      <w:tblGrid>
        <w:gridCol w:w="871"/>
        <w:gridCol w:w="4686"/>
        <w:gridCol w:w="1412"/>
        <w:gridCol w:w="1405"/>
        <w:gridCol w:w="1265"/>
      </w:tblGrid>
      <w:tr w:rsidR="00AF66B6" w:rsidRPr="00AF66B6" w14:paraId="1DBE704B" w14:textId="77777777" w:rsidTr="00AF66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Borders>
              <w:bottom w:val="single" w:sz="4" w:space="0" w:color="auto"/>
            </w:tcBorders>
            <w:shd w:val="clear" w:color="auto" w:fill="E8E8E8" w:themeFill="text1" w:themeFillTint="1A"/>
          </w:tcPr>
          <w:p w14:paraId="7BD3A991" w14:textId="77777777" w:rsidR="00E93ED8" w:rsidRPr="00AF66B6" w:rsidRDefault="00E93ED8">
            <w:pPr>
              <w:rPr>
                <w:b/>
                <w:bCs/>
                <w:color w:val="auto"/>
              </w:rPr>
            </w:pPr>
            <w:r w:rsidRPr="00AF66B6">
              <w:rPr>
                <w:b/>
                <w:bCs/>
                <w:color w:val="auto"/>
              </w:rPr>
              <w:t>Option</w:t>
            </w:r>
          </w:p>
        </w:tc>
        <w:tc>
          <w:tcPr>
            <w:tcW w:w="4686" w:type="dxa"/>
            <w:tcBorders>
              <w:bottom w:val="single" w:sz="4" w:space="0" w:color="auto"/>
            </w:tcBorders>
            <w:shd w:val="clear" w:color="auto" w:fill="E8E8E8" w:themeFill="text1" w:themeFillTint="1A"/>
          </w:tcPr>
          <w:p w14:paraId="021D243A" w14:textId="77777777" w:rsidR="00E93ED8" w:rsidRPr="00AF66B6" w:rsidRDefault="00E93ED8">
            <w:pP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Description</w:t>
            </w:r>
          </w:p>
        </w:tc>
        <w:tc>
          <w:tcPr>
            <w:tcW w:w="1412" w:type="dxa"/>
            <w:tcBorders>
              <w:bottom w:val="single" w:sz="4" w:space="0" w:color="auto"/>
            </w:tcBorders>
            <w:shd w:val="clear" w:color="auto" w:fill="E8E8E8" w:themeFill="text1" w:themeFillTint="1A"/>
          </w:tcPr>
          <w:p w14:paraId="330384FC" w14:textId="473C068E" w:rsidR="00E93ED8" w:rsidRPr="00AF66B6" w:rsidRDefault="00E93ED8" w:rsidP="007664F0">
            <w:pPr>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Regulatory Costs</w:t>
            </w:r>
            <w:r w:rsidR="007664F0" w:rsidRPr="00AF66B6">
              <w:rPr>
                <w:b/>
                <w:bCs/>
                <w:color w:val="auto"/>
              </w:rPr>
              <w:t xml:space="preserve"> ($)</w:t>
            </w:r>
          </w:p>
        </w:tc>
        <w:tc>
          <w:tcPr>
            <w:tcW w:w="1405" w:type="dxa"/>
            <w:tcBorders>
              <w:bottom w:val="single" w:sz="4" w:space="0" w:color="auto"/>
            </w:tcBorders>
            <w:shd w:val="clear" w:color="auto" w:fill="E8E8E8" w:themeFill="text1" w:themeFillTint="1A"/>
          </w:tcPr>
          <w:p w14:paraId="29118F11" w14:textId="42565EFB" w:rsidR="00E93ED8" w:rsidRPr="00AF66B6" w:rsidRDefault="00E93ED8" w:rsidP="007664F0">
            <w:pPr>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Government Costs</w:t>
            </w:r>
            <w:r w:rsidR="007664F0" w:rsidRPr="00AF66B6">
              <w:rPr>
                <w:b/>
                <w:bCs/>
                <w:color w:val="auto"/>
              </w:rPr>
              <w:t xml:space="preserve"> ($)</w:t>
            </w:r>
          </w:p>
        </w:tc>
        <w:tc>
          <w:tcPr>
            <w:tcW w:w="1265" w:type="dxa"/>
            <w:tcBorders>
              <w:bottom w:val="single" w:sz="4" w:space="0" w:color="auto"/>
            </w:tcBorders>
            <w:shd w:val="clear" w:color="auto" w:fill="E8E8E8" w:themeFill="text1" w:themeFillTint="1A"/>
          </w:tcPr>
          <w:p w14:paraId="21AA4FA7" w14:textId="0686A964" w:rsidR="00E93ED8" w:rsidRPr="00AF66B6" w:rsidRDefault="00E93ED8" w:rsidP="007664F0">
            <w:pPr>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Total Costs</w:t>
            </w:r>
            <w:r w:rsidR="007664F0" w:rsidRPr="00AF66B6">
              <w:rPr>
                <w:b/>
                <w:bCs/>
                <w:color w:val="auto"/>
              </w:rPr>
              <w:t xml:space="preserve"> ($)</w:t>
            </w:r>
          </w:p>
        </w:tc>
      </w:tr>
      <w:tr w:rsidR="00E93ED8" w14:paraId="2DBD2738" w14:textId="77777777" w:rsidTr="007664F0">
        <w:trPr>
          <w:jc w:val="center"/>
        </w:trPr>
        <w:tc>
          <w:tcPr>
            <w:cnfStyle w:val="001000000000" w:firstRow="0" w:lastRow="0" w:firstColumn="1" w:lastColumn="0" w:oddVBand="0" w:evenVBand="0" w:oddHBand="0" w:evenHBand="0" w:firstRowFirstColumn="0" w:firstRowLastColumn="0" w:lastRowFirstColumn="0" w:lastRowLastColumn="0"/>
            <w:tcW w:w="871" w:type="dxa"/>
            <w:tcBorders>
              <w:top w:val="single" w:sz="4" w:space="0" w:color="auto"/>
            </w:tcBorders>
          </w:tcPr>
          <w:p w14:paraId="2DE6B0AF" w14:textId="77777777" w:rsidR="00E93ED8" w:rsidRDefault="00E93ED8">
            <w:pPr>
              <w:jc w:val="center"/>
            </w:pPr>
            <w:r>
              <w:t>1</w:t>
            </w:r>
          </w:p>
        </w:tc>
        <w:tc>
          <w:tcPr>
            <w:tcW w:w="4686" w:type="dxa"/>
            <w:tcBorders>
              <w:top w:val="single" w:sz="4" w:space="0" w:color="auto"/>
            </w:tcBorders>
          </w:tcPr>
          <w:p w14:paraId="0614EF56" w14:textId="77777777" w:rsidR="00E93ED8" w:rsidRDefault="00E93ED8">
            <w:pPr>
              <w:cnfStyle w:val="000000000000" w:firstRow="0" w:lastRow="0" w:firstColumn="0" w:lastColumn="0" w:oddVBand="0" w:evenVBand="0" w:oddHBand="0" w:evenHBand="0" w:firstRowFirstColumn="0" w:firstRowLastColumn="0" w:lastRowFirstColumn="0" w:lastRowLastColumn="0"/>
            </w:pPr>
            <w:r>
              <w:t>Proposed Regulations – current regulations with amendments</w:t>
            </w:r>
          </w:p>
        </w:tc>
        <w:tc>
          <w:tcPr>
            <w:tcW w:w="1412" w:type="dxa"/>
            <w:tcBorders>
              <w:top w:val="single" w:sz="4" w:space="0" w:color="auto"/>
            </w:tcBorders>
          </w:tcPr>
          <w:p w14:paraId="6C2E6DD6" w14:textId="77777777" w:rsidR="00E93ED8" w:rsidRPr="007127D4" w:rsidRDefault="00E93ED8">
            <w:pPr>
              <w:jc w:val="center"/>
              <w:cnfStyle w:val="000000000000" w:firstRow="0" w:lastRow="0" w:firstColumn="0" w:lastColumn="0" w:oddVBand="0" w:evenVBand="0" w:oddHBand="0" w:evenHBand="0" w:firstRowFirstColumn="0" w:firstRowLastColumn="0" w:lastRowFirstColumn="0" w:lastRowLastColumn="0"/>
            </w:pPr>
            <w:r w:rsidRPr="000E18A0">
              <w:rPr>
                <w:rFonts w:asciiTheme="majorHAnsi" w:hAnsiTheme="majorHAnsi" w:cstheme="majorHAnsi"/>
              </w:rPr>
              <w:t>425</w:t>
            </w:r>
            <w:r>
              <w:rPr>
                <w:rFonts w:asciiTheme="majorHAnsi" w:hAnsiTheme="majorHAnsi" w:cstheme="majorHAnsi"/>
              </w:rPr>
              <w:t>,</w:t>
            </w:r>
            <w:r w:rsidRPr="000E18A0">
              <w:rPr>
                <w:rFonts w:asciiTheme="majorHAnsi" w:hAnsiTheme="majorHAnsi" w:cstheme="majorHAnsi"/>
              </w:rPr>
              <w:t>791</w:t>
            </w:r>
          </w:p>
        </w:tc>
        <w:tc>
          <w:tcPr>
            <w:tcW w:w="1405" w:type="dxa"/>
            <w:tcBorders>
              <w:top w:val="single" w:sz="4" w:space="0" w:color="auto"/>
            </w:tcBorders>
          </w:tcPr>
          <w:p w14:paraId="4C38A267" w14:textId="77777777" w:rsidR="00E93ED8" w:rsidRDefault="00E93ED8">
            <w:pPr>
              <w:jc w:val="center"/>
              <w:cnfStyle w:val="000000000000" w:firstRow="0" w:lastRow="0" w:firstColumn="0" w:lastColumn="0" w:oddVBand="0" w:evenVBand="0" w:oddHBand="0" w:evenHBand="0" w:firstRowFirstColumn="0" w:firstRowLastColumn="0" w:lastRowFirstColumn="0" w:lastRowLastColumn="0"/>
            </w:pPr>
            <w:r w:rsidRPr="004929C2">
              <w:t>1,335,032</w:t>
            </w:r>
          </w:p>
        </w:tc>
        <w:tc>
          <w:tcPr>
            <w:tcW w:w="1265" w:type="dxa"/>
            <w:tcBorders>
              <w:top w:val="single" w:sz="4" w:space="0" w:color="auto"/>
            </w:tcBorders>
          </w:tcPr>
          <w:p w14:paraId="33BB2668" w14:textId="77777777" w:rsidR="00E93ED8" w:rsidRDefault="00E93ED8">
            <w:pPr>
              <w:jc w:val="center"/>
              <w:cnfStyle w:val="000000000000" w:firstRow="0" w:lastRow="0" w:firstColumn="0" w:lastColumn="0" w:oddVBand="0" w:evenVBand="0" w:oddHBand="0" w:evenHBand="0" w:firstRowFirstColumn="0" w:firstRowLastColumn="0" w:lastRowFirstColumn="0" w:lastRowLastColumn="0"/>
            </w:pPr>
            <w:r w:rsidRPr="004929C2">
              <w:t>1</w:t>
            </w:r>
            <w:r>
              <w:t>,</w:t>
            </w:r>
            <w:r w:rsidRPr="004929C2">
              <w:t>760</w:t>
            </w:r>
            <w:r>
              <w:t>,</w:t>
            </w:r>
            <w:r w:rsidRPr="004929C2">
              <w:t>824</w:t>
            </w:r>
          </w:p>
        </w:tc>
      </w:tr>
      <w:tr w:rsidR="00E93ED8" w14:paraId="5BBDCE97" w14:textId="77777777" w:rsidTr="007664F0">
        <w:trPr>
          <w:jc w:val="center"/>
        </w:trPr>
        <w:tc>
          <w:tcPr>
            <w:cnfStyle w:val="001000000000" w:firstRow="0" w:lastRow="0" w:firstColumn="1" w:lastColumn="0" w:oddVBand="0" w:evenVBand="0" w:oddHBand="0" w:evenHBand="0" w:firstRowFirstColumn="0" w:firstRowLastColumn="0" w:lastRowFirstColumn="0" w:lastRowLastColumn="0"/>
            <w:tcW w:w="871" w:type="dxa"/>
          </w:tcPr>
          <w:p w14:paraId="4C96551A" w14:textId="77777777" w:rsidR="00E93ED8" w:rsidRDefault="00E93ED8">
            <w:pPr>
              <w:jc w:val="center"/>
            </w:pPr>
            <w:r>
              <w:t>2</w:t>
            </w:r>
          </w:p>
        </w:tc>
        <w:tc>
          <w:tcPr>
            <w:tcW w:w="4686" w:type="dxa"/>
          </w:tcPr>
          <w:p w14:paraId="3E4BA468" w14:textId="77777777" w:rsidR="00E93ED8" w:rsidRDefault="00E93ED8">
            <w:pPr>
              <w:cnfStyle w:val="000000000000" w:firstRow="0" w:lastRow="0" w:firstColumn="0" w:lastColumn="0" w:oddVBand="0" w:evenVBand="0" w:oddHBand="0" w:evenHBand="0" w:firstRowFirstColumn="0" w:firstRowLastColumn="0" w:lastRowFirstColumn="0" w:lastRowLastColumn="0"/>
            </w:pPr>
            <w:r>
              <w:t>Performance-based regulations</w:t>
            </w:r>
          </w:p>
        </w:tc>
        <w:tc>
          <w:tcPr>
            <w:tcW w:w="1412" w:type="dxa"/>
          </w:tcPr>
          <w:p w14:paraId="76EEFB13" w14:textId="77777777" w:rsidR="00E93ED8" w:rsidRDefault="00E93ED8">
            <w:pPr>
              <w:jc w:val="center"/>
              <w:cnfStyle w:val="000000000000" w:firstRow="0" w:lastRow="0" w:firstColumn="0" w:lastColumn="0" w:oddVBand="0" w:evenVBand="0" w:oddHBand="0" w:evenHBand="0" w:firstRowFirstColumn="0" w:firstRowLastColumn="0" w:lastRowFirstColumn="0" w:lastRowLastColumn="0"/>
            </w:pPr>
            <w:r w:rsidRPr="004929C2">
              <w:t>383</w:t>
            </w:r>
            <w:r>
              <w:t>,</w:t>
            </w:r>
            <w:r w:rsidRPr="004929C2">
              <w:t>650</w:t>
            </w:r>
          </w:p>
        </w:tc>
        <w:tc>
          <w:tcPr>
            <w:tcW w:w="1405" w:type="dxa"/>
          </w:tcPr>
          <w:p w14:paraId="49230B2D" w14:textId="77777777" w:rsidR="00E93ED8" w:rsidRDefault="00E93ED8">
            <w:pPr>
              <w:jc w:val="center"/>
              <w:cnfStyle w:val="000000000000" w:firstRow="0" w:lastRow="0" w:firstColumn="0" w:lastColumn="0" w:oddVBand="0" w:evenVBand="0" w:oddHBand="0" w:evenHBand="0" w:firstRowFirstColumn="0" w:firstRowLastColumn="0" w:lastRowFirstColumn="0" w:lastRowLastColumn="0"/>
            </w:pPr>
            <w:r w:rsidRPr="004929C2">
              <w:t>1,335,032</w:t>
            </w:r>
          </w:p>
        </w:tc>
        <w:tc>
          <w:tcPr>
            <w:tcW w:w="1265" w:type="dxa"/>
          </w:tcPr>
          <w:p w14:paraId="6070A02D" w14:textId="77777777" w:rsidR="00E93ED8" w:rsidRDefault="00E93ED8">
            <w:pPr>
              <w:jc w:val="center"/>
              <w:cnfStyle w:val="000000000000" w:firstRow="0" w:lastRow="0" w:firstColumn="0" w:lastColumn="0" w:oddVBand="0" w:evenVBand="0" w:oddHBand="0" w:evenHBand="0" w:firstRowFirstColumn="0" w:firstRowLastColumn="0" w:lastRowFirstColumn="0" w:lastRowLastColumn="0"/>
            </w:pPr>
            <w:r w:rsidRPr="004929C2">
              <w:t>1</w:t>
            </w:r>
            <w:r>
              <w:t>,</w:t>
            </w:r>
            <w:r w:rsidRPr="004929C2">
              <w:t>718</w:t>
            </w:r>
            <w:r>
              <w:t>,</w:t>
            </w:r>
            <w:r w:rsidRPr="004929C2">
              <w:t>682</w:t>
            </w:r>
          </w:p>
        </w:tc>
      </w:tr>
      <w:tr w:rsidR="00E93ED8" w14:paraId="792D731D" w14:textId="77777777" w:rsidTr="007664F0">
        <w:trPr>
          <w:jc w:val="center"/>
        </w:trPr>
        <w:tc>
          <w:tcPr>
            <w:cnfStyle w:val="001000000000" w:firstRow="0" w:lastRow="0" w:firstColumn="1" w:lastColumn="0" w:oddVBand="0" w:evenVBand="0" w:oddHBand="0" w:evenHBand="0" w:firstRowFirstColumn="0" w:firstRowLastColumn="0" w:lastRowFirstColumn="0" w:lastRowLastColumn="0"/>
            <w:tcW w:w="871" w:type="dxa"/>
          </w:tcPr>
          <w:p w14:paraId="1BAB5472" w14:textId="77777777" w:rsidR="00E93ED8" w:rsidRDefault="00E93ED8">
            <w:pPr>
              <w:jc w:val="center"/>
            </w:pPr>
            <w:r>
              <w:t>3</w:t>
            </w:r>
          </w:p>
        </w:tc>
        <w:tc>
          <w:tcPr>
            <w:tcW w:w="4686" w:type="dxa"/>
          </w:tcPr>
          <w:p w14:paraId="16D347DF" w14:textId="77777777" w:rsidR="00E93ED8" w:rsidRDefault="00E93ED8">
            <w:pPr>
              <w:cnfStyle w:val="000000000000" w:firstRow="0" w:lastRow="0" w:firstColumn="0" w:lastColumn="0" w:oddVBand="0" w:evenVBand="0" w:oddHBand="0" w:evenHBand="0" w:firstRowFirstColumn="0" w:firstRowLastColumn="0" w:lastRowFirstColumn="0" w:lastRowLastColumn="0"/>
            </w:pPr>
            <w:r>
              <w:t>Non-regulatory approach</w:t>
            </w:r>
          </w:p>
        </w:tc>
        <w:tc>
          <w:tcPr>
            <w:tcW w:w="1412" w:type="dxa"/>
          </w:tcPr>
          <w:p w14:paraId="4279012A" w14:textId="77777777" w:rsidR="00E93ED8" w:rsidRDefault="00E93ED8">
            <w:pPr>
              <w:jc w:val="center"/>
              <w:cnfStyle w:val="000000000000" w:firstRow="0" w:lastRow="0" w:firstColumn="0" w:lastColumn="0" w:oddVBand="0" w:evenVBand="0" w:oddHBand="0" w:evenHBand="0" w:firstRowFirstColumn="0" w:firstRowLastColumn="0" w:lastRowFirstColumn="0" w:lastRowLastColumn="0"/>
            </w:pPr>
            <w:r w:rsidRPr="004929C2">
              <w:t>36</w:t>
            </w:r>
            <w:r>
              <w:t>,</w:t>
            </w:r>
            <w:r w:rsidRPr="004929C2">
              <w:t>762</w:t>
            </w:r>
          </w:p>
        </w:tc>
        <w:tc>
          <w:tcPr>
            <w:tcW w:w="1405" w:type="dxa"/>
          </w:tcPr>
          <w:p w14:paraId="372E8937" w14:textId="4ED96B0E" w:rsidR="00E93ED8" w:rsidRDefault="00256998">
            <w:pPr>
              <w:jc w:val="center"/>
              <w:cnfStyle w:val="000000000000" w:firstRow="0" w:lastRow="0" w:firstColumn="0" w:lastColumn="0" w:oddVBand="0" w:evenVBand="0" w:oddHBand="0" w:evenHBand="0" w:firstRowFirstColumn="0" w:firstRowLastColumn="0" w:lastRowFirstColumn="0" w:lastRowLastColumn="0"/>
            </w:pPr>
            <w:r w:rsidRPr="00256998">
              <w:t>615</w:t>
            </w:r>
            <w:r>
              <w:t>,</w:t>
            </w:r>
            <w:r w:rsidRPr="00256998">
              <w:t>029</w:t>
            </w:r>
          </w:p>
        </w:tc>
        <w:tc>
          <w:tcPr>
            <w:tcW w:w="1265" w:type="dxa"/>
          </w:tcPr>
          <w:p w14:paraId="0F52DE79" w14:textId="12260BB5" w:rsidR="00E93ED8" w:rsidRDefault="00256998" w:rsidP="007664F0">
            <w:pPr>
              <w:ind w:right="-111"/>
              <w:jc w:val="center"/>
              <w:cnfStyle w:val="000000000000" w:firstRow="0" w:lastRow="0" w:firstColumn="0" w:lastColumn="0" w:oddVBand="0" w:evenVBand="0" w:oddHBand="0" w:evenHBand="0" w:firstRowFirstColumn="0" w:firstRowLastColumn="0" w:lastRowFirstColumn="0" w:lastRowLastColumn="0"/>
            </w:pPr>
            <w:r w:rsidRPr="00256998">
              <w:t>651</w:t>
            </w:r>
            <w:r>
              <w:t>,</w:t>
            </w:r>
            <w:r w:rsidRPr="00256998">
              <w:t>755</w:t>
            </w:r>
          </w:p>
        </w:tc>
      </w:tr>
    </w:tbl>
    <w:p w14:paraId="07F7ACF7" w14:textId="22B333E0" w:rsidR="00E93ED8" w:rsidRDefault="00E93ED8" w:rsidP="00E93ED8">
      <w:pPr>
        <w:pStyle w:val="Caption"/>
      </w:pPr>
      <w:r>
        <w:t>Table 1</w:t>
      </w:r>
      <w:r w:rsidR="00DC2749">
        <w:t>7</w:t>
      </w:r>
      <w:r>
        <w:t>: Summary of MCA assessment – cost ratio to probability of effectively reducing risks</w:t>
      </w:r>
    </w:p>
    <w:tbl>
      <w:tblPr>
        <w:tblStyle w:val="TableGrid"/>
        <w:tblW w:w="0" w:type="auto"/>
        <w:jc w:val="center"/>
        <w:tblLook w:val="04A0" w:firstRow="1" w:lastRow="0" w:firstColumn="1" w:lastColumn="0" w:noHBand="0" w:noVBand="1"/>
      </w:tblPr>
      <w:tblGrid>
        <w:gridCol w:w="1383"/>
        <w:gridCol w:w="3408"/>
        <w:gridCol w:w="3069"/>
        <w:gridCol w:w="1779"/>
      </w:tblGrid>
      <w:tr w:rsidR="00AF66B6" w:rsidRPr="00AF66B6" w14:paraId="310B72ED" w14:textId="77777777" w:rsidTr="00547104">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383" w:type="dxa"/>
            <w:tcBorders>
              <w:bottom w:val="single" w:sz="4" w:space="0" w:color="auto"/>
            </w:tcBorders>
            <w:shd w:val="clear" w:color="auto" w:fill="E8E8E8" w:themeFill="text1" w:themeFillTint="1A"/>
            <w:vAlign w:val="center"/>
          </w:tcPr>
          <w:p w14:paraId="17A9ACE8" w14:textId="7DFA506E" w:rsidR="009B2879" w:rsidRPr="00AF66B6" w:rsidRDefault="009B2879" w:rsidP="009B2879">
            <w:pPr>
              <w:spacing w:before="0" w:after="0" w:line="240" w:lineRule="auto"/>
              <w:rPr>
                <w:b/>
                <w:bCs/>
                <w:color w:val="auto"/>
              </w:rPr>
            </w:pPr>
            <w:r w:rsidRPr="00AF66B6">
              <w:rPr>
                <w:b/>
                <w:bCs/>
                <w:color w:val="auto"/>
              </w:rPr>
              <w:t xml:space="preserve"> Option</w:t>
            </w:r>
          </w:p>
        </w:tc>
        <w:tc>
          <w:tcPr>
            <w:tcW w:w="3408" w:type="dxa"/>
            <w:tcBorders>
              <w:bottom w:val="single" w:sz="4" w:space="0" w:color="auto"/>
            </w:tcBorders>
            <w:shd w:val="clear" w:color="auto" w:fill="E8E8E8" w:themeFill="text1" w:themeFillTint="1A"/>
            <w:vAlign w:val="center"/>
          </w:tcPr>
          <w:p w14:paraId="635B0D15" w14:textId="77777777" w:rsidR="009B2879" w:rsidRPr="00AF66B6" w:rsidRDefault="009B2879" w:rsidP="009B2879">
            <w:pPr>
              <w:spacing w:before="0" w:after="0" w:line="240" w:lineRule="auto"/>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Description</w:t>
            </w:r>
          </w:p>
        </w:tc>
        <w:tc>
          <w:tcPr>
            <w:tcW w:w="3069" w:type="dxa"/>
            <w:tcBorders>
              <w:bottom w:val="single" w:sz="4" w:space="0" w:color="auto"/>
            </w:tcBorders>
            <w:shd w:val="clear" w:color="auto" w:fill="E8E8E8" w:themeFill="text1" w:themeFillTint="1A"/>
            <w:vAlign w:val="center"/>
          </w:tcPr>
          <w:p w14:paraId="3711BF70" w14:textId="77777777" w:rsidR="009B2879" w:rsidRPr="00AF66B6" w:rsidRDefault="009B2879" w:rsidP="009B2879">
            <w:pPr>
              <w:spacing w:before="0" w:after="0" w:line="240" w:lineRule="auto"/>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MCA Criteria</w:t>
            </w:r>
          </w:p>
        </w:tc>
        <w:tc>
          <w:tcPr>
            <w:tcW w:w="1779" w:type="dxa"/>
            <w:tcBorders>
              <w:bottom w:val="single" w:sz="4" w:space="0" w:color="auto"/>
            </w:tcBorders>
            <w:shd w:val="clear" w:color="auto" w:fill="E8E8E8" w:themeFill="text1" w:themeFillTint="1A"/>
            <w:vAlign w:val="center"/>
          </w:tcPr>
          <w:p w14:paraId="3EE9F93D" w14:textId="77777777" w:rsidR="009B2879" w:rsidRPr="00AF66B6" w:rsidRDefault="009B2879" w:rsidP="009B28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bCs/>
                <w:color w:val="auto"/>
              </w:rPr>
            </w:pPr>
            <w:r w:rsidRPr="00AF66B6">
              <w:rPr>
                <w:b/>
                <w:bCs/>
                <w:color w:val="auto"/>
              </w:rPr>
              <w:t>Weighted score</w:t>
            </w:r>
          </w:p>
        </w:tc>
      </w:tr>
      <w:tr w:rsidR="009B2879" w14:paraId="1EEC703A" w14:textId="77777777" w:rsidTr="009B2879">
        <w:trPr>
          <w:jc w:val="center"/>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auto"/>
            </w:tcBorders>
          </w:tcPr>
          <w:p w14:paraId="1F44B8CE" w14:textId="77777777" w:rsidR="009B2879" w:rsidRPr="009B2879" w:rsidRDefault="009B2879" w:rsidP="009B2879">
            <w:pPr>
              <w:spacing w:before="0" w:after="0" w:line="240" w:lineRule="auto"/>
              <w:jc w:val="center"/>
              <w:rPr>
                <w:rFonts w:cstheme="minorHAnsi"/>
              </w:rPr>
            </w:pPr>
            <w:r w:rsidRPr="009B2879">
              <w:rPr>
                <w:rFonts w:cstheme="minorHAnsi"/>
              </w:rPr>
              <w:t>1</w:t>
            </w:r>
          </w:p>
        </w:tc>
        <w:tc>
          <w:tcPr>
            <w:tcW w:w="3408" w:type="dxa"/>
            <w:tcBorders>
              <w:top w:val="single" w:sz="4" w:space="0" w:color="auto"/>
            </w:tcBorders>
          </w:tcPr>
          <w:p w14:paraId="2A726DFC"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rPr>
              <w:t>Proposed Regulations – current regulations with amendments</w:t>
            </w:r>
          </w:p>
          <w:p w14:paraId="02F22A67"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p w14:paraId="1F515A55"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069" w:type="dxa"/>
            <w:tcBorders>
              <w:top w:val="single" w:sz="4" w:space="0" w:color="auto"/>
            </w:tcBorders>
          </w:tcPr>
          <w:p w14:paraId="0F03291B"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life</w:t>
            </w:r>
          </w:p>
          <w:p w14:paraId="074C9A19"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environment</w:t>
            </w:r>
            <w:r w:rsidRPr="009B2879">
              <w:rPr>
                <w:rFonts w:cstheme="minorHAnsi"/>
                <w:color w:val="000000"/>
              </w:rPr>
              <w:t xml:space="preserve"> </w:t>
            </w:r>
          </w:p>
          <w:p w14:paraId="20C067C8"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assurance</w:t>
            </w:r>
            <w:r w:rsidRPr="009B2879">
              <w:rPr>
                <w:rFonts w:cstheme="minorHAnsi"/>
                <w:color w:val="000000"/>
              </w:rPr>
              <w:t xml:space="preserve"> </w:t>
            </w:r>
          </w:p>
          <w:p w14:paraId="105A2E10"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costs</w:t>
            </w:r>
            <w:r w:rsidRPr="009B2879">
              <w:rPr>
                <w:rFonts w:cstheme="minorHAnsi"/>
                <w:color w:val="000000"/>
              </w:rPr>
              <w:t xml:space="preserve"> </w:t>
            </w:r>
          </w:p>
          <w:p w14:paraId="6EA5DD72"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Individual costs</w:t>
            </w:r>
            <w:r w:rsidRPr="009B2879">
              <w:rPr>
                <w:rFonts w:cstheme="minorHAnsi"/>
                <w:color w:val="000000"/>
              </w:rPr>
              <w:t xml:space="preserve"> </w:t>
            </w:r>
          </w:p>
          <w:p w14:paraId="6C2D631C"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Government costs</w:t>
            </w:r>
          </w:p>
          <w:p w14:paraId="24401D63" w14:textId="3F0DD274" w:rsidR="009B2879" w:rsidRPr="009B2879" w:rsidRDefault="009B2879" w:rsidP="009B287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i/>
                <w:iCs/>
              </w:rPr>
            </w:pPr>
            <w:r w:rsidRPr="009B2879">
              <w:rPr>
                <w:rFonts w:cstheme="minorHAnsi"/>
                <w:b/>
                <w:bCs/>
                <w:i/>
                <w:iCs/>
                <w:color w:val="000000"/>
              </w:rPr>
              <w:t>Total</w:t>
            </w:r>
          </w:p>
        </w:tc>
        <w:tc>
          <w:tcPr>
            <w:tcW w:w="1779" w:type="dxa"/>
            <w:tcBorders>
              <w:top w:val="single" w:sz="4" w:space="0" w:color="auto"/>
            </w:tcBorders>
          </w:tcPr>
          <w:p w14:paraId="704AFEB0" w14:textId="63171426" w:rsidR="009B2879" w:rsidRDefault="009B2879"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p w14:paraId="754414A7" w14:textId="353BBE8F" w:rsidR="009B2879" w:rsidRDefault="009B2879"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p w14:paraId="36B8CBA9" w14:textId="0DA6B129" w:rsidR="009B2879" w:rsidRDefault="009B2879"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p w14:paraId="16BF2619" w14:textId="0BDC05CF" w:rsidR="009B2879" w:rsidRDefault="009B2879"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p w14:paraId="6FCF9A47" w14:textId="408FE086" w:rsidR="009B2879" w:rsidRDefault="009B2879"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6077B05E" w14:textId="6FF80138" w:rsidR="009B2879" w:rsidRDefault="009B2879"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p w14:paraId="425A57F0" w14:textId="19FA5B3A" w:rsidR="009B2879" w:rsidRPr="009B2879" w:rsidRDefault="009B2879" w:rsidP="00AF66B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b/>
                <w:bCs/>
              </w:rPr>
              <w:t>+1.8</w:t>
            </w:r>
          </w:p>
        </w:tc>
      </w:tr>
      <w:tr w:rsidR="009B2879" w14:paraId="583390BE" w14:textId="77777777" w:rsidTr="009B2879">
        <w:trPr>
          <w:jc w:val="center"/>
        </w:trPr>
        <w:tc>
          <w:tcPr>
            <w:cnfStyle w:val="001000000000" w:firstRow="0" w:lastRow="0" w:firstColumn="1" w:lastColumn="0" w:oddVBand="0" w:evenVBand="0" w:oddHBand="0" w:evenHBand="0" w:firstRowFirstColumn="0" w:firstRowLastColumn="0" w:lastRowFirstColumn="0" w:lastRowLastColumn="0"/>
            <w:tcW w:w="1383" w:type="dxa"/>
          </w:tcPr>
          <w:p w14:paraId="6F9A12F8" w14:textId="77777777" w:rsidR="009B2879" w:rsidRPr="009B2879" w:rsidRDefault="009B2879" w:rsidP="009B2879">
            <w:pPr>
              <w:spacing w:before="0" w:after="0" w:line="240" w:lineRule="auto"/>
              <w:jc w:val="center"/>
              <w:rPr>
                <w:rFonts w:cstheme="minorHAnsi"/>
              </w:rPr>
            </w:pPr>
            <w:r w:rsidRPr="009B2879">
              <w:rPr>
                <w:rFonts w:cstheme="minorHAnsi"/>
              </w:rPr>
              <w:t>2</w:t>
            </w:r>
          </w:p>
        </w:tc>
        <w:tc>
          <w:tcPr>
            <w:tcW w:w="3408" w:type="dxa"/>
          </w:tcPr>
          <w:p w14:paraId="04D6B340"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rPr>
              <w:t>Performance-based regulations</w:t>
            </w:r>
          </w:p>
        </w:tc>
        <w:tc>
          <w:tcPr>
            <w:tcW w:w="3069" w:type="dxa"/>
          </w:tcPr>
          <w:p w14:paraId="3BA75B2B"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life</w:t>
            </w:r>
          </w:p>
          <w:p w14:paraId="1E614DF3"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environment</w:t>
            </w:r>
            <w:r w:rsidRPr="009B2879">
              <w:rPr>
                <w:rFonts w:cstheme="minorHAnsi"/>
                <w:color w:val="000000"/>
              </w:rPr>
              <w:t xml:space="preserve"> </w:t>
            </w:r>
          </w:p>
          <w:p w14:paraId="15F82824"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assurance</w:t>
            </w:r>
            <w:r w:rsidRPr="009B2879">
              <w:rPr>
                <w:rFonts w:cstheme="minorHAnsi"/>
                <w:color w:val="000000"/>
              </w:rPr>
              <w:t xml:space="preserve"> </w:t>
            </w:r>
          </w:p>
          <w:p w14:paraId="6C289DC7"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costs</w:t>
            </w:r>
            <w:r w:rsidRPr="009B2879">
              <w:rPr>
                <w:rFonts w:cstheme="minorHAnsi"/>
                <w:color w:val="000000"/>
              </w:rPr>
              <w:t xml:space="preserve"> </w:t>
            </w:r>
          </w:p>
          <w:p w14:paraId="6D39DE0A"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Individual costs</w:t>
            </w:r>
            <w:r w:rsidRPr="009B2879">
              <w:rPr>
                <w:rFonts w:cstheme="minorHAnsi"/>
                <w:color w:val="000000"/>
              </w:rPr>
              <w:t xml:space="preserve"> </w:t>
            </w:r>
          </w:p>
          <w:p w14:paraId="5B143183" w14:textId="42DDC139" w:rsidR="00BE07FA"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Government costs</w:t>
            </w:r>
          </w:p>
          <w:p w14:paraId="336C96D1" w14:textId="77777777" w:rsidR="009B2879" w:rsidRPr="009B2879" w:rsidRDefault="009B2879" w:rsidP="00BE07F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b/>
                <w:bCs/>
                <w:i/>
                <w:iCs/>
                <w:color w:val="000000"/>
              </w:rPr>
              <w:t>Total</w:t>
            </w:r>
          </w:p>
        </w:tc>
        <w:tc>
          <w:tcPr>
            <w:tcW w:w="1779" w:type="dxa"/>
          </w:tcPr>
          <w:p w14:paraId="375073D4" w14:textId="77777777" w:rsidR="009B2879" w:rsidRDefault="00BE07FA"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0.8</w:t>
            </w:r>
          </w:p>
          <w:p w14:paraId="7DDDF4DE" w14:textId="15F85F75" w:rsidR="00BE07FA" w:rsidRDefault="00BE07FA"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0.8</w:t>
            </w:r>
          </w:p>
          <w:p w14:paraId="754B645B" w14:textId="78CFD362" w:rsidR="00BE07FA" w:rsidRDefault="00BE07FA"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0.65</w:t>
            </w:r>
          </w:p>
          <w:p w14:paraId="43C6B596" w14:textId="4ADD9D9D" w:rsidR="00BE07FA" w:rsidRDefault="00BE07FA"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67ED0CC2" w14:textId="09EB9EA4" w:rsidR="00BE07FA" w:rsidRDefault="00BE07FA"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w:t>
            </w:r>
          </w:p>
          <w:p w14:paraId="1485EDF7" w14:textId="348A90B2" w:rsidR="00BE07FA" w:rsidRDefault="00BE07FA" w:rsidP="00AF66B6">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-0.65</w:t>
            </w:r>
          </w:p>
          <w:p w14:paraId="232EDF27" w14:textId="11ADC3F1" w:rsidR="00BE07FA" w:rsidRPr="00BE07FA" w:rsidRDefault="00BE07FA"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E07FA">
              <w:rPr>
                <w:rFonts w:cstheme="minorHAnsi"/>
                <w:b/>
                <w:bCs/>
              </w:rPr>
              <w:t>+1.00</w:t>
            </w:r>
          </w:p>
        </w:tc>
      </w:tr>
      <w:tr w:rsidR="009B2879" w14:paraId="458A2082" w14:textId="77777777" w:rsidTr="009B2879">
        <w:trPr>
          <w:jc w:val="center"/>
        </w:trPr>
        <w:tc>
          <w:tcPr>
            <w:cnfStyle w:val="001000000000" w:firstRow="0" w:lastRow="0" w:firstColumn="1" w:lastColumn="0" w:oddVBand="0" w:evenVBand="0" w:oddHBand="0" w:evenHBand="0" w:firstRowFirstColumn="0" w:firstRowLastColumn="0" w:lastRowFirstColumn="0" w:lastRowLastColumn="0"/>
            <w:tcW w:w="1383" w:type="dxa"/>
          </w:tcPr>
          <w:p w14:paraId="4D449DFE" w14:textId="77777777" w:rsidR="009B2879" w:rsidRPr="009B2879" w:rsidRDefault="009B2879" w:rsidP="009B2879">
            <w:pPr>
              <w:spacing w:before="0" w:after="0" w:line="240" w:lineRule="auto"/>
              <w:jc w:val="center"/>
              <w:rPr>
                <w:rFonts w:cstheme="minorHAnsi"/>
              </w:rPr>
            </w:pPr>
            <w:r w:rsidRPr="009B2879">
              <w:rPr>
                <w:rFonts w:cstheme="minorHAnsi"/>
              </w:rPr>
              <w:t>3</w:t>
            </w:r>
          </w:p>
        </w:tc>
        <w:tc>
          <w:tcPr>
            <w:tcW w:w="3408" w:type="dxa"/>
          </w:tcPr>
          <w:p w14:paraId="5C6DF25D"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rPr>
              <w:t>Non-regulatory approach</w:t>
            </w:r>
          </w:p>
        </w:tc>
        <w:tc>
          <w:tcPr>
            <w:tcW w:w="3069" w:type="dxa"/>
          </w:tcPr>
          <w:p w14:paraId="00F7B281"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life</w:t>
            </w:r>
          </w:p>
          <w:p w14:paraId="3987B4BD"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Protection of environment</w:t>
            </w:r>
            <w:r w:rsidRPr="009B2879">
              <w:rPr>
                <w:rFonts w:cstheme="minorHAnsi"/>
                <w:color w:val="000000"/>
              </w:rPr>
              <w:t xml:space="preserve"> </w:t>
            </w:r>
          </w:p>
          <w:p w14:paraId="262D8124"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assurance</w:t>
            </w:r>
            <w:r w:rsidRPr="009B2879">
              <w:rPr>
                <w:rFonts w:cstheme="minorHAnsi"/>
                <w:color w:val="000000"/>
              </w:rPr>
              <w:t xml:space="preserve"> </w:t>
            </w:r>
          </w:p>
          <w:p w14:paraId="3AC01626"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Business costs</w:t>
            </w:r>
            <w:r w:rsidRPr="009B2879">
              <w:rPr>
                <w:rFonts w:cstheme="minorHAnsi"/>
                <w:color w:val="000000"/>
              </w:rPr>
              <w:t xml:space="preserve"> </w:t>
            </w:r>
          </w:p>
          <w:p w14:paraId="761E8200"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Individual costs</w:t>
            </w:r>
            <w:r w:rsidRPr="009B2879">
              <w:rPr>
                <w:rFonts w:cstheme="minorHAnsi"/>
                <w:color w:val="000000"/>
              </w:rPr>
              <w:t xml:space="preserve"> </w:t>
            </w:r>
          </w:p>
          <w:p w14:paraId="0B6E1DCF" w14:textId="77777777" w:rsidR="009B2879" w:rsidRPr="009B2879" w:rsidRDefault="009B2879" w:rsidP="009B2879">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F08AD">
              <w:rPr>
                <w:rFonts w:cstheme="minorHAnsi"/>
                <w:color w:val="000000"/>
              </w:rPr>
              <w:t>Government costs</w:t>
            </w:r>
          </w:p>
          <w:p w14:paraId="1A7A3F94" w14:textId="77777777" w:rsidR="009B2879" w:rsidRPr="009B2879" w:rsidRDefault="009B2879" w:rsidP="00AF66B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9B2879">
              <w:rPr>
                <w:rFonts w:cstheme="minorHAnsi"/>
                <w:b/>
                <w:bCs/>
                <w:i/>
                <w:iCs/>
                <w:color w:val="000000"/>
              </w:rPr>
              <w:t>Total</w:t>
            </w:r>
          </w:p>
        </w:tc>
        <w:tc>
          <w:tcPr>
            <w:tcW w:w="1779" w:type="dxa"/>
          </w:tcPr>
          <w:p w14:paraId="251B8115" w14:textId="77777777" w:rsidR="009B2879"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6C950E96" w14:textId="77777777" w:rsidR="00AF66B6"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p w14:paraId="37E98FA2" w14:textId="77777777" w:rsidR="00AF66B6"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w:t>
            </w:r>
          </w:p>
          <w:p w14:paraId="45E72D25" w14:textId="77777777" w:rsidR="00AF66B6"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-0.05</w:t>
            </w:r>
          </w:p>
          <w:p w14:paraId="4851A9AB" w14:textId="77777777" w:rsidR="00AF66B6"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-0.1</w:t>
            </w:r>
          </w:p>
          <w:p w14:paraId="559AF71C" w14:textId="77777777" w:rsidR="00AF66B6"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w:t>
            </w:r>
          </w:p>
          <w:p w14:paraId="4F45D85C" w14:textId="1269C90C" w:rsidR="00AF66B6" w:rsidRPr="00AF66B6" w:rsidRDefault="00AF66B6" w:rsidP="009B2879">
            <w:pPr>
              <w:spacing w:before="0" w:after="0" w:line="240" w:lineRule="auto"/>
              <w:ind w:right="14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6B6">
              <w:rPr>
                <w:rFonts w:cstheme="minorHAnsi"/>
                <w:b/>
                <w:bCs/>
              </w:rPr>
              <w:t>+0.35</w:t>
            </w:r>
          </w:p>
        </w:tc>
      </w:tr>
    </w:tbl>
    <w:p w14:paraId="0643D831" w14:textId="09D5AF0F" w:rsidR="00E93ED8" w:rsidRDefault="00E93ED8" w:rsidP="00AF66B6">
      <w:pPr>
        <w:spacing w:before="240"/>
      </w:pPr>
      <w:r>
        <w:t xml:space="preserve">While Option 1 has the higher cost, it has the highest likelihood of reducing fire risk to justify the costs. While Options 2 and 3 may still result in benefits that outweigh costs, the likelihood that they achieve the government’s objectives is lower. This is primarily because Options 2 and 3 do not adequately manage the risks associated with campfires. The proposed Regulations prescribe certain requirements for all campfires that have been proven to reduce the risks of fire spreading. They are also supported by significant penalties, at </w:t>
      </w:r>
      <w:r w:rsidR="00B337A5">
        <w:t xml:space="preserve">50 </w:t>
      </w:r>
      <w:r>
        <w:t>penalty units or $</w:t>
      </w:r>
      <w:r w:rsidR="00A05338">
        <w:t>9</w:t>
      </w:r>
      <w:r w:rsidR="00434373">
        <w:t>,</w:t>
      </w:r>
      <w:r w:rsidR="00A05338">
        <w:t>879.50</w:t>
      </w:r>
      <w:r>
        <w:t>. As noted earlier,</w:t>
      </w:r>
      <w:r w:rsidR="00434373">
        <w:t xml:space="preserve"> </w:t>
      </w:r>
      <w:r w:rsidRPr="00434373">
        <w:t>bushfires</w:t>
      </w:r>
      <w:r>
        <w:t xml:space="preserve"> caused by campfires</w:t>
      </w:r>
      <w:r w:rsidR="00434373">
        <w:t xml:space="preserve"> poses a significant risk</w:t>
      </w:r>
      <w:r>
        <w:t>. The proposed regulations provide certainty, are easy to comply with, and impose a relatively low regulatory burden. Options 2 and 3 could be relatively effective in managing non-campfire/barbeque fires, but the risks would not be lower than in Option 1 because some operators (typically individuals undertaking welding, grinding, etc) may not have networks to provide incentives and share</w:t>
      </w:r>
      <w:r w:rsidR="007664F0">
        <w:t>d</w:t>
      </w:r>
      <w:r>
        <w:t xml:space="preserve"> information.</w:t>
      </w:r>
    </w:p>
    <w:p w14:paraId="65A00C22" w14:textId="0FEE4F55" w:rsidR="00E2497C" w:rsidRDefault="00024798" w:rsidP="00056E2D">
      <w:r>
        <w:t>Option 3 largely represents t</w:t>
      </w:r>
      <w:r w:rsidR="006965F0">
        <w:t>he</w:t>
      </w:r>
      <w:r>
        <w:t xml:space="preserve"> base </w:t>
      </w:r>
      <w:r w:rsidR="009E6FB0">
        <w:t>case but</w:t>
      </w:r>
      <w:r>
        <w:t xml:space="preserve"> supported by enhanced information material and education</w:t>
      </w:r>
      <w:r w:rsidR="00E2497C">
        <w:t xml:space="preserve"> to provide a ‘nudge’ </w:t>
      </w:r>
      <w:r w:rsidR="00E93ED8">
        <w:t>to encourage</w:t>
      </w:r>
      <w:r w:rsidR="00E2497C">
        <w:t xml:space="preserve"> persons to manage fire risks</w:t>
      </w:r>
      <w:r>
        <w:t>. It is</w:t>
      </w:r>
      <w:r w:rsidR="003F5491">
        <w:t xml:space="preserve"> </w:t>
      </w:r>
      <w:r>
        <w:t xml:space="preserve">the </w:t>
      </w:r>
      <w:r w:rsidR="00443781">
        <w:t>lowest</w:t>
      </w:r>
      <w:r>
        <w:t xml:space="preserve">-cost option, </w:t>
      </w:r>
      <w:r w:rsidR="003F5491">
        <w:t>noting however that</w:t>
      </w:r>
      <w:r>
        <w:t xml:space="preserve"> the scale of information provision </w:t>
      </w:r>
      <w:r w:rsidR="006965F0">
        <w:t>costs could be higher than the other options</w:t>
      </w:r>
      <w:r w:rsidR="007664F0">
        <w:t xml:space="preserve"> if the information campaign </w:t>
      </w:r>
      <w:r w:rsidR="008A01AE">
        <w:t>were</w:t>
      </w:r>
      <w:r w:rsidR="007664F0">
        <w:t xml:space="preserve"> more extensive</w:t>
      </w:r>
      <w:r>
        <w:t>. As with the other options, it could be reasonabl</w:t>
      </w:r>
      <w:r w:rsidR="001F381B">
        <w:t>y</w:t>
      </w:r>
      <w:r>
        <w:t xml:space="preserve"> effective because most people ‘do the right thing’. However, without statutory enforcement tools</w:t>
      </w:r>
      <w:r w:rsidR="00F71998">
        <w:t xml:space="preserve"> to regulate behaviour (</w:t>
      </w:r>
      <w:r>
        <w:t>especially in relation to campfires and barbeque</w:t>
      </w:r>
      <w:r w:rsidR="00F71998">
        <w:t>)</w:t>
      </w:r>
      <w:r>
        <w:t>, there is little incentive for those who engage in risky or irresponsible activities to modify their behaviour</w:t>
      </w:r>
      <w:r w:rsidR="00D9485E">
        <w:t>. As seen earlier, even single fires can result in high-consequence events.</w:t>
      </w:r>
    </w:p>
    <w:p w14:paraId="431FC6D6" w14:textId="1F4F043F" w:rsidR="00E93ED8" w:rsidRDefault="00E93ED8" w:rsidP="00056E2D">
      <w:r>
        <w:t>Therefore, Option 1, the Proposed Regulations, is assessed as the preferred option.</w:t>
      </w:r>
    </w:p>
    <w:p w14:paraId="6031488D" w14:textId="40FD0D27" w:rsidR="00AD1E0D" w:rsidRDefault="007127D4" w:rsidP="00AD1E0D">
      <w:pPr>
        <w:pStyle w:val="Heading3"/>
      </w:pPr>
      <w:bookmarkStart w:id="94" w:name="_Toc187330567"/>
      <w:r>
        <w:t xml:space="preserve">Supplementary assessment </w:t>
      </w:r>
      <w:r w:rsidR="000E18A0">
        <w:rPr>
          <w:rFonts w:cstheme="majorHAnsi"/>
        </w:rPr>
        <w:t>–</w:t>
      </w:r>
      <w:r>
        <w:t xml:space="preserve"> </w:t>
      </w:r>
      <w:r w:rsidR="000E18A0">
        <w:t>Break-even Analysis</w:t>
      </w:r>
      <w:bookmarkEnd w:id="94"/>
    </w:p>
    <w:p w14:paraId="6E0DAEE6" w14:textId="6E48C784" w:rsidR="009E5E3F" w:rsidRDefault="009E5E3F" w:rsidP="009E5E3F">
      <w:pPr>
        <w:rPr>
          <w:rFonts w:ascii="Arial" w:hAnsi="Arial" w:cs="Arial"/>
        </w:rPr>
      </w:pPr>
      <w:r>
        <w:t>T</w:t>
      </w:r>
      <w:r w:rsidR="000E18A0">
        <w:t>o</w:t>
      </w:r>
      <w:r>
        <w:t xml:space="preserve"> supplement the MCA analysis</w:t>
      </w:r>
      <w:r w:rsidR="00E93ED8">
        <w:t xml:space="preserve"> and </w:t>
      </w:r>
      <w:r w:rsidR="00033674">
        <w:t xml:space="preserve">to </w:t>
      </w:r>
      <w:r w:rsidR="00E93ED8">
        <w:t>test the findings above</w:t>
      </w:r>
      <w:r>
        <w:t>, a break-even analysis (BEA) was conducted</w:t>
      </w:r>
      <w:r w:rsidR="006A3EEA">
        <w:t xml:space="preserve"> to determine</w:t>
      </w:r>
      <w:r w:rsidRPr="00A41F5F">
        <w:rPr>
          <w:rFonts w:ascii="Arial" w:hAnsi="Arial" w:cs="Arial"/>
        </w:rPr>
        <w:t xml:space="preserve"> at what level of benefit </w:t>
      </w:r>
      <w:r w:rsidR="003516B7">
        <w:rPr>
          <w:rFonts w:ascii="Arial" w:hAnsi="Arial" w:cs="Arial"/>
        </w:rPr>
        <w:t>and</w:t>
      </w:r>
      <w:r w:rsidRPr="00A41F5F">
        <w:rPr>
          <w:rFonts w:ascii="Arial" w:hAnsi="Arial" w:cs="Arial"/>
        </w:rPr>
        <w:t xml:space="preserve"> costs </w:t>
      </w:r>
      <w:r w:rsidR="00A444BA" w:rsidRPr="00A41F5F">
        <w:rPr>
          <w:rFonts w:ascii="Arial" w:hAnsi="Arial" w:cs="Arial"/>
        </w:rPr>
        <w:t xml:space="preserve">will </w:t>
      </w:r>
      <w:r w:rsidR="00C03FB4">
        <w:rPr>
          <w:rFonts w:ascii="Arial" w:hAnsi="Arial" w:cs="Arial"/>
        </w:rPr>
        <w:t xml:space="preserve">be </w:t>
      </w:r>
      <w:r w:rsidRPr="00A41F5F">
        <w:rPr>
          <w:rFonts w:ascii="Arial" w:hAnsi="Arial" w:cs="Arial"/>
        </w:rPr>
        <w:t>equal.</w:t>
      </w:r>
      <w:r>
        <w:rPr>
          <w:rFonts w:ascii="Arial" w:hAnsi="Arial" w:cs="Arial"/>
        </w:rPr>
        <w:t xml:space="preserve"> </w:t>
      </w:r>
      <w:r w:rsidRPr="00A41F5F">
        <w:rPr>
          <w:rFonts w:ascii="Arial" w:hAnsi="Arial" w:cs="Arial"/>
        </w:rPr>
        <w:t>If the benefits are several orders of magnitude greater than the costs, then it is likely that benefits will outweigh the costs</w:t>
      </w:r>
      <w:r>
        <w:rPr>
          <w:rFonts w:ascii="Arial" w:hAnsi="Arial" w:cs="Arial"/>
        </w:rPr>
        <w:t>.</w:t>
      </w:r>
    </w:p>
    <w:p w14:paraId="480A5AA6" w14:textId="77777777" w:rsidR="00F20393" w:rsidRPr="00A26683" w:rsidRDefault="00F20393" w:rsidP="00F20393">
      <w:pPr>
        <w:pStyle w:val="ListParagraph"/>
        <w:spacing w:before="0"/>
        <w:ind w:left="0"/>
        <w:contextualSpacing w:val="0"/>
      </w:pPr>
      <w:r>
        <w:t xml:space="preserve">A basic break-even analysis was conducted reflecting elements of the objectives. While prevention of fires cannot be solely attributable to the proposed Regulations, they do provide an important part of the </w:t>
      </w:r>
      <w:r w:rsidRPr="00552FCA">
        <w:t xml:space="preserve">Victoria’s </w:t>
      </w:r>
      <w:r>
        <w:t>b</w:t>
      </w:r>
      <w:r w:rsidRPr="00552FCA">
        <w:t xml:space="preserve">ushfire </w:t>
      </w:r>
      <w:r>
        <w:t>r</w:t>
      </w:r>
      <w:r w:rsidRPr="00552FCA">
        <w:t xml:space="preserve">isk </w:t>
      </w:r>
      <w:r>
        <w:t>m</w:t>
      </w:r>
      <w:r w:rsidRPr="00552FCA">
        <w:t xml:space="preserve">anagement </w:t>
      </w:r>
      <w:r>
        <w:t>strategy.</w:t>
      </w:r>
    </w:p>
    <w:p w14:paraId="1DFBA5F8" w14:textId="35399083" w:rsidR="009E5E3F" w:rsidRDefault="009E5E3F" w:rsidP="009E5E3F">
      <w:pPr>
        <w:rPr>
          <w:rFonts w:ascii="Arial" w:hAnsi="Arial" w:cs="Arial"/>
        </w:rPr>
      </w:pPr>
      <w:r>
        <w:rPr>
          <w:rFonts w:ascii="Arial" w:hAnsi="Arial" w:cs="Arial"/>
        </w:rPr>
        <w:t xml:space="preserve">The total incremental costs of the proposed Regulations were estimated to be $1.76 million over a 10-year period. As an illustration, a BEA is undertaken below for each of the main government objectives of the proposed Regulations; namely protection of human life and property; protection of the environment, and providing </w:t>
      </w:r>
      <w:r w:rsidRPr="0071685D">
        <w:rPr>
          <w:rFonts w:ascii="Arial" w:hAnsi="Arial" w:cs="Arial"/>
        </w:rPr>
        <w:t>assurance that commercial activities are conducted in a safe manner</w:t>
      </w:r>
      <w:r>
        <w:rPr>
          <w:rFonts w:ascii="Arial" w:hAnsi="Arial" w:cs="Arial"/>
        </w:rPr>
        <w:t>:</w:t>
      </w:r>
    </w:p>
    <w:p w14:paraId="5A1ACAAC" w14:textId="144B48B3" w:rsidR="009E5E3F" w:rsidRPr="006D7558" w:rsidRDefault="009E5E3F" w:rsidP="0057567B">
      <w:pPr>
        <w:pStyle w:val="ListParagraph"/>
        <w:numPr>
          <w:ilvl w:val="0"/>
          <w:numId w:val="27"/>
        </w:numPr>
        <w:spacing w:before="0"/>
        <w:ind w:left="714" w:hanging="357"/>
        <w:contextualSpacing w:val="0"/>
      </w:pPr>
      <w:r>
        <w:rPr>
          <w:rFonts w:ascii="Arial" w:hAnsi="Arial" w:cs="Arial"/>
        </w:rPr>
        <w:t>human life</w:t>
      </w:r>
      <w:r w:rsidR="006D7558">
        <w:rPr>
          <w:rFonts w:ascii="Arial" w:hAnsi="Arial" w:cs="Arial"/>
        </w:rPr>
        <w:t xml:space="preserve"> </w:t>
      </w:r>
      <w:r>
        <w:rPr>
          <w:rFonts w:ascii="Arial" w:hAnsi="Arial" w:cs="Arial"/>
        </w:rPr>
        <w:t>– tragically bushfires have resulted in loss of human life.</w:t>
      </w:r>
      <w:r>
        <w:rPr>
          <w:rStyle w:val="FootnoteReference"/>
          <w:rFonts w:ascii="Arial" w:hAnsi="Arial" w:cs="Arial"/>
        </w:rPr>
        <w:footnoteReference w:id="67"/>
      </w:r>
      <w:r>
        <w:rPr>
          <w:rFonts w:ascii="Arial" w:hAnsi="Arial" w:cs="Arial"/>
        </w:rPr>
        <w:t xml:space="preserve"> The Commonwealth Office of Impact Analysis has provided an estimate of the value of a statistical life at </w:t>
      </w:r>
      <w:r w:rsidRPr="00EC3AED">
        <w:rPr>
          <w:rFonts w:eastAsiaTheme="minorHAnsi" w:cstheme="minorBidi"/>
          <w:lang w:eastAsia="en-US"/>
        </w:rPr>
        <w:t>$5.4 million.</w:t>
      </w:r>
      <w:r>
        <w:rPr>
          <w:rFonts w:eastAsiaTheme="minorHAnsi" w:cstheme="minorBidi"/>
          <w:sz w:val="18"/>
          <w:szCs w:val="18"/>
          <w:lang w:eastAsia="en-US"/>
        </w:rPr>
        <w:t xml:space="preserve"> </w:t>
      </w:r>
      <w:r w:rsidRPr="00A26683">
        <w:rPr>
          <w:rFonts w:eastAsiaTheme="minorHAnsi" w:cstheme="minorBidi"/>
          <w:lang w:eastAsia="en-US"/>
        </w:rPr>
        <w:t xml:space="preserve">This value does not purport to value the life of an individual person (which is inestimable) but can be used for statistical purposes in public policy to assess the merits of a particular policy. Given that the total cost of the regulations is $1.76 million over a 10-year period, if the regulations result in the preventions of 0.3 of a life each decade, or a single life over a </w:t>
      </w:r>
      <w:r w:rsidR="00747D34" w:rsidRPr="00A26683">
        <w:rPr>
          <w:rFonts w:eastAsiaTheme="minorHAnsi" w:cstheme="minorBidi"/>
          <w:lang w:eastAsia="en-US"/>
        </w:rPr>
        <w:t>30-year</w:t>
      </w:r>
      <w:r w:rsidRPr="00A26683">
        <w:rPr>
          <w:rFonts w:eastAsiaTheme="minorHAnsi" w:cstheme="minorBidi"/>
          <w:lang w:eastAsia="en-US"/>
        </w:rPr>
        <w:t xml:space="preserve"> period, then the cost of the regulations would be equal to the benefits.</w:t>
      </w:r>
    </w:p>
    <w:p w14:paraId="159A0EE3" w14:textId="6DFBD81C" w:rsidR="006D7558" w:rsidRPr="006D7558" w:rsidRDefault="006D7558" w:rsidP="0057567B">
      <w:pPr>
        <w:pStyle w:val="ListParagraph"/>
        <w:numPr>
          <w:ilvl w:val="0"/>
          <w:numId w:val="27"/>
        </w:numPr>
        <w:spacing w:before="0"/>
        <w:ind w:left="714" w:hanging="357"/>
        <w:contextualSpacing w:val="0"/>
      </w:pPr>
      <w:r>
        <w:rPr>
          <w:rFonts w:eastAsiaTheme="minorHAnsi" w:cstheme="minorBidi"/>
          <w:lang w:eastAsia="en-US"/>
        </w:rPr>
        <w:t xml:space="preserve">property </w:t>
      </w:r>
      <w:r>
        <w:rPr>
          <w:rFonts w:ascii="Arial" w:hAnsi="Arial" w:cs="Arial"/>
        </w:rPr>
        <w:t xml:space="preserve">– </w:t>
      </w:r>
      <w:r w:rsidR="00BB54AB">
        <w:rPr>
          <w:rFonts w:ascii="Arial" w:hAnsi="Arial" w:cs="Arial"/>
        </w:rPr>
        <w:t xml:space="preserve">fire does not respect fence lines or </w:t>
      </w:r>
      <w:r w:rsidR="00951255">
        <w:rPr>
          <w:rFonts w:ascii="Arial" w:hAnsi="Arial" w:cs="Arial"/>
        </w:rPr>
        <w:t>land tenures</w:t>
      </w:r>
      <w:r w:rsidR="00BB54AB">
        <w:rPr>
          <w:rFonts w:ascii="Arial" w:hAnsi="Arial" w:cs="Arial"/>
        </w:rPr>
        <w:t xml:space="preserve"> (public/private land). Agriculture Victoria has estimated that the Black Summer Fires cost rural businesses $326 million (structures, fencing, crop and stock loss). </w:t>
      </w:r>
      <w:r w:rsidR="00137252">
        <w:rPr>
          <w:rFonts w:ascii="Arial" w:hAnsi="Arial" w:cs="Arial"/>
        </w:rPr>
        <w:t xml:space="preserve">The Insurance Council of Australia </w:t>
      </w:r>
      <w:r w:rsidR="006D0F25">
        <w:rPr>
          <w:rFonts w:ascii="Arial" w:hAnsi="Arial" w:cs="Arial"/>
        </w:rPr>
        <w:t>(ICA) also note that claims from this fire event were $2.3 billion, with around one third from commercial customers (i.e., around</w:t>
      </w:r>
      <w:r w:rsidR="00137252">
        <w:rPr>
          <w:rFonts w:ascii="Arial" w:hAnsi="Arial" w:cs="Arial"/>
        </w:rPr>
        <w:t xml:space="preserve"> $</w:t>
      </w:r>
      <w:r w:rsidR="006D0F25">
        <w:rPr>
          <w:rFonts w:ascii="Arial" w:hAnsi="Arial" w:cs="Arial"/>
        </w:rPr>
        <w:t>760 million).</w:t>
      </w:r>
      <w:r w:rsidR="00137252">
        <w:rPr>
          <w:rFonts w:ascii="Arial" w:hAnsi="Arial" w:cs="Arial"/>
        </w:rPr>
        <w:t xml:space="preserve"> </w:t>
      </w:r>
      <w:r w:rsidR="00BB54AB">
        <w:rPr>
          <w:rFonts w:ascii="Arial" w:hAnsi="Arial" w:cs="Arial"/>
        </w:rPr>
        <w:t xml:space="preserve">This catastrophic fire was a single event, so even if the proposed Regulations could prevent a fraction of this loss </w:t>
      </w:r>
      <w:r w:rsidR="00137252">
        <w:rPr>
          <w:rFonts w:ascii="Arial" w:hAnsi="Arial" w:cs="Arial"/>
        </w:rPr>
        <w:t xml:space="preserve">there would be appear to be a </w:t>
      </w:r>
      <w:r w:rsidR="006D0F25">
        <w:rPr>
          <w:rFonts w:ascii="Arial" w:hAnsi="Arial" w:cs="Arial"/>
        </w:rPr>
        <w:t xml:space="preserve">positive </w:t>
      </w:r>
      <w:r w:rsidR="00137252">
        <w:rPr>
          <w:rFonts w:ascii="Arial" w:hAnsi="Arial" w:cs="Arial"/>
        </w:rPr>
        <w:t xml:space="preserve">benefit in the regulations. </w:t>
      </w:r>
    </w:p>
    <w:p w14:paraId="6833971C" w14:textId="4AE3000A" w:rsidR="006D7558" w:rsidRPr="00BB54AB" w:rsidRDefault="006D7558" w:rsidP="0057567B">
      <w:pPr>
        <w:pStyle w:val="ListParagraph"/>
        <w:numPr>
          <w:ilvl w:val="0"/>
          <w:numId w:val="27"/>
        </w:numPr>
        <w:spacing w:before="0"/>
        <w:ind w:left="714" w:hanging="357"/>
        <w:contextualSpacing w:val="0"/>
      </w:pPr>
      <w:r>
        <w:rPr>
          <w:rFonts w:ascii="Arial" w:hAnsi="Arial" w:cs="Arial"/>
        </w:rPr>
        <w:t xml:space="preserve">environment – </w:t>
      </w:r>
      <w:r w:rsidR="00F6228C">
        <w:rPr>
          <w:rFonts w:ascii="Arial" w:hAnsi="Arial" w:cs="Arial"/>
        </w:rPr>
        <w:t xml:space="preserve">the Commonwealth </w:t>
      </w:r>
      <w:bookmarkStart w:id="95" w:name="_Hlk186573499"/>
      <w:r w:rsidR="00F6228C">
        <w:rPr>
          <w:rFonts w:ascii="Arial" w:hAnsi="Arial" w:cs="Arial"/>
        </w:rPr>
        <w:t>De</w:t>
      </w:r>
      <w:r w:rsidR="00526D8D">
        <w:rPr>
          <w:rFonts w:ascii="Arial" w:hAnsi="Arial" w:cs="Arial"/>
        </w:rPr>
        <w:t>partment of Climate Change, Energy, the Environment and Water</w:t>
      </w:r>
      <w:bookmarkEnd w:id="95"/>
      <w:r w:rsidR="00526D8D">
        <w:rPr>
          <w:rFonts w:ascii="Arial" w:hAnsi="Arial" w:cs="Arial"/>
        </w:rPr>
        <w:t xml:space="preserve"> estimates that </w:t>
      </w:r>
      <w:r w:rsidR="00526D8D" w:rsidRPr="00526D8D">
        <w:rPr>
          <w:rFonts w:ascii="Arial" w:hAnsi="Arial" w:cs="Arial"/>
        </w:rPr>
        <w:t xml:space="preserve">around 130 tonnes of CO2-e </w:t>
      </w:r>
      <w:r w:rsidR="00526D8D">
        <w:rPr>
          <w:rFonts w:ascii="Arial" w:hAnsi="Arial" w:cs="Arial"/>
        </w:rPr>
        <w:t xml:space="preserve">are emitted </w:t>
      </w:r>
      <w:r w:rsidR="00526D8D" w:rsidRPr="00526D8D">
        <w:rPr>
          <w:rFonts w:ascii="Arial" w:hAnsi="Arial" w:cs="Arial"/>
        </w:rPr>
        <w:t>per hectare of forest burnt</w:t>
      </w:r>
      <w:r w:rsidR="00526D8D">
        <w:rPr>
          <w:rFonts w:ascii="Arial" w:hAnsi="Arial" w:cs="Arial"/>
        </w:rPr>
        <w:t>.</w:t>
      </w:r>
      <w:r w:rsidR="00526D8D">
        <w:rPr>
          <w:rStyle w:val="FootnoteReference"/>
          <w:rFonts w:ascii="Arial" w:hAnsi="Arial" w:cs="Arial"/>
        </w:rPr>
        <w:footnoteReference w:id="68"/>
      </w:r>
      <w:r w:rsidR="00526D8D">
        <w:rPr>
          <w:rFonts w:ascii="Arial" w:hAnsi="Arial" w:cs="Arial"/>
        </w:rPr>
        <w:t xml:space="preserve"> </w:t>
      </w:r>
      <w:r w:rsidR="00FD38ED">
        <w:rPr>
          <w:rFonts w:ascii="Arial" w:hAnsi="Arial" w:cs="Arial"/>
        </w:rPr>
        <w:t xml:space="preserve">Assuming a valuation of $128 per </w:t>
      </w:r>
      <w:r w:rsidR="00FD38ED" w:rsidRPr="00526D8D">
        <w:rPr>
          <w:rFonts w:ascii="Arial" w:hAnsi="Arial" w:cs="Arial"/>
        </w:rPr>
        <w:t xml:space="preserve">tonnes of CO2-e </w:t>
      </w:r>
      <w:r w:rsidR="00A83F3A">
        <w:rPr>
          <w:rFonts w:ascii="Arial" w:hAnsi="Arial" w:cs="Arial"/>
        </w:rPr>
        <w:t>emissions</w:t>
      </w:r>
      <w:r w:rsidR="00FD38ED">
        <w:rPr>
          <w:rStyle w:val="FootnoteReference"/>
          <w:rFonts w:ascii="Arial" w:hAnsi="Arial" w:cs="Arial"/>
        </w:rPr>
        <w:footnoteReference w:id="69"/>
      </w:r>
      <w:r w:rsidR="00FD38ED">
        <w:rPr>
          <w:rFonts w:ascii="Arial" w:hAnsi="Arial" w:cs="Arial"/>
        </w:rPr>
        <w:t xml:space="preserve">, </w:t>
      </w:r>
      <w:r w:rsidR="00A83F3A">
        <w:rPr>
          <w:rFonts w:ascii="Arial" w:hAnsi="Arial" w:cs="Arial"/>
        </w:rPr>
        <w:t xml:space="preserve">this provides an environmental cost of $16,640 for each hectare of forest burnt. Under this scenario, a breakeven point of about 106 hectares of ‘avoided’ forest fire attributable to the regulations would equal $1.76 million </w:t>
      </w:r>
      <w:r w:rsidR="00D31D26">
        <w:rPr>
          <w:rFonts w:ascii="Arial" w:hAnsi="Arial" w:cs="Arial"/>
        </w:rPr>
        <w:t xml:space="preserve">(the </w:t>
      </w:r>
      <w:r w:rsidR="00A83F3A">
        <w:rPr>
          <w:rFonts w:ascii="Arial" w:hAnsi="Arial" w:cs="Arial"/>
        </w:rPr>
        <w:t xml:space="preserve">cost </w:t>
      </w:r>
      <w:r w:rsidR="00D31D26">
        <w:rPr>
          <w:rFonts w:ascii="Arial" w:hAnsi="Arial" w:cs="Arial"/>
        </w:rPr>
        <w:t>imposed by</w:t>
      </w:r>
      <w:r w:rsidR="00A83F3A">
        <w:rPr>
          <w:rFonts w:ascii="Arial" w:hAnsi="Arial" w:cs="Arial"/>
        </w:rPr>
        <w:t xml:space="preserve"> the regulation</w:t>
      </w:r>
      <w:r w:rsidR="00D31D26">
        <w:rPr>
          <w:rFonts w:ascii="Arial" w:hAnsi="Arial" w:cs="Arial"/>
        </w:rPr>
        <w:t>)</w:t>
      </w:r>
      <w:r w:rsidR="00A83F3A">
        <w:rPr>
          <w:rFonts w:ascii="Arial" w:hAnsi="Arial" w:cs="Arial"/>
        </w:rPr>
        <w:t xml:space="preserve">. </w:t>
      </w:r>
      <w:r w:rsidR="00E74D41">
        <w:rPr>
          <w:rFonts w:ascii="Arial" w:hAnsi="Arial" w:cs="Arial"/>
        </w:rPr>
        <w:t>In terms of scale, the 2019-20 Black Summer Fires burnt 1.5 million hectares in Victoria, so avoiding 106 hectares of forest fires attributable to the Regulation would appear realistic.</w:t>
      </w:r>
    </w:p>
    <w:p w14:paraId="1757FCC2" w14:textId="7940542E" w:rsidR="00BB54AB" w:rsidRPr="00A26683" w:rsidRDefault="00BB54AB" w:rsidP="00BB54AB">
      <w:pPr>
        <w:spacing w:before="0"/>
      </w:pPr>
      <w:r>
        <w:t xml:space="preserve">The three scenarios listed </w:t>
      </w:r>
      <w:r w:rsidR="000604AD">
        <w:t xml:space="preserve">above </w:t>
      </w:r>
      <w:r>
        <w:t xml:space="preserve">describe </w:t>
      </w:r>
      <w:r w:rsidR="007F3E0C">
        <w:t xml:space="preserve">key areas of the government objectives, and </w:t>
      </w:r>
      <w:r w:rsidR="000604AD">
        <w:t xml:space="preserve">seek to </w:t>
      </w:r>
      <w:r w:rsidR="000604AD" w:rsidRPr="000604AD">
        <w:t xml:space="preserve">illustrate the </w:t>
      </w:r>
      <w:r w:rsidR="007F3E0C">
        <w:t xml:space="preserve">level of </w:t>
      </w:r>
      <w:r w:rsidR="000604AD" w:rsidRPr="000604AD">
        <w:t xml:space="preserve">benefits required for the proposed </w:t>
      </w:r>
      <w:r w:rsidR="007F3E0C">
        <w:t>R</w:t>
      </w:r>
      <w:r w:rsidR="000604AD" w:rsidRPr="000604AD">
        <w:t xml:space="preserve">egulations to break even in each category. In practice, the </w:t>
      </w:r>
      <w:r w:rsidR="007F3E0C">
        <w:t>proposed R</w:t>
      </w:r>
      <w:r w:rsidR="000604AD" w:rsidRPr="000604AD">
        <w:t xml:space="preserve">egulations </w:t>
      </w:r>
      <w:r w:rsidR="007F3E0C">
        <w:t>are likely to</w:t>
      </w:r>
      <w:r w:rsidR="000604AD" w:rsidRPr="000604AD">
        <w:t xml:space="preserve"> deliver benefits across multiple categories, further increasing the likelihood that the benefits would outweigh the costs</w:t>
      </w:r>
      <w:r w:rsidR="007F3E0C">
        <w:t>.</w:t>
      </w:r>
    </w:p>
    <w:p w14:paraId="7F114F78" w14:textId="62F223EF" w:rsidR="00E93ED8" w:rsidRDefault="00E93ED8" w:rsidP="00E93ED8">
      <w:r>
        <w:t>This assessment confirms that the regulatory and government costs associated with Option 1</w:t>
      </w:r>
      <w:r w:rsidR="009454F8">
        <w:t xml:space="preserve"> are outweighed by the potential significant benefits arising from </w:t>
      </w:r>
      <w:r w:rsidR="009454F8" w:rsidRPr="00D84C40">
        <w:t>provide for the protecti</w:t>
      </w:r>
      <w:r w:rsidR="009454F8">
        <w:t>ng</w:t>
      </w:r>
      <w:r w:rsidR="009454F8" w:rsidRPr="00D84C40">
        <w:t xml:space="preserve"> State forests, protected public land and national parks from damage by fire</w:t>
      </w:r>
      <w:r w:rsidR="009454F8">
        <w:t>.</w:t>
      </w:r>
    </w:p>
    <w:p w14:paraId="4A9C6CFB" w14:textId="77777777" w:rsidR="009E5E3F" w:rsidRDefault="009E5E3F" w:rsidP="00351BDD"/>
    <w:p w14:paraId="43865613" w14:textId="3D219A09" w:rsidR="009E5E3F" w:rsidRDefault="009E5E3F" w:rsidP="00351BDD">
      <w:pPr>
        <w:sectPr w:rsidR="009E5E3F" w:rsidSect="005C24D2">
          <w:pgSz w:w="11907" w:h="16839" w:code="9"/>
          <w:pgMar w:top="1134" w:right="1134" w:bottom="1134" w:left="1134" w:header="283" w:footer="283" w:gutter="0"/>
          <w:cols w:space="720"/>
          <w:noEndnote/>
          <w:docGrid w:linePitch="360"/>
        </w:sectPr>
      </w:pPr>
    </w:p>
    <w:p w14:paraId="21E3201C" w14:textId="17BA09F0" w:rsidR="003472FB" w:rsidRPr="00AB5B0C" w:rsidRDefault="003472FB" w:rsidP="003472FB">
      <w:pPr>
        <w:pStyle w:val="Heading1"/>
      </w:pPr>
      <w:bookmarkStart w:id="96" w:name="_Toc187330568"/>
      <w:r w:rsidRPr="00AB5B0C">
        <w:t>Preferred Option</w:t>
      </w:r>
      <w:bookmarkEnd w:id="96"/>
    </w:p>
    <w:p w14:paraId="215387BF" w14:textId="77777777" w:rsidR="003472FB" w:rsidRDefault="003472FB" w:rsidP="003472FB">
      <w:r>
        <w:t>This chapter summarise the preferred option. It describes the characteristics of the preferred option, including small business and competition impacts.</w:t>
      </w:r>
    </w:p>
    <w:p w14:paraId="1C8B7F5C" w14:textId="0EDA7A3B" w:rsidR="003472FB" w:rsidRPr="00AB5B0C" w:rsidRDefault="003472FB" w:rsidP="003472FB">
      <w:pPr>
        <w:pStyle w:val="Heading2"/>
      </w:pPr>
      <w:bookmarkStart w:id="97" w:name="_Toc187330569"/>
      <w:r w:rsidRPr="00AB5B0C">
        <w:t>The proposed Regulations</w:t>
      </w:r>
      <w:bookmarkEnd w:id="97"/>
    </w:p>
    <w:p w14:paraId="2EA19F26" w14:textId="79175559" w:rsidR="003472FB" w:rsidRDefault="003472FB" w:rsidP="003472FB">
      <w:r>
        <w:t xml:space="preserve">Based on the analysis and assessment in the previous chapter, DEECA proposes to remake the current Regulations with </w:t>
      </w:r>
      <w:r w:rsidR="003F7E7A">
        <w:t>some</w:t>
      </w:r>
      <w:r>
        <w:t xml:space="preserve"> </w:t>
      </w:r>
      <w:r w:rsidR="006C22C2">
        <w:t>amendments</w:t>
      </w:r>
      <w:r>
        <w:t>, as outlined in Option 1 above.</w:t>
      </w:r>
    </w:p>
    <w:p w14:paraId="09634D86" w14:textId="77777777" w:rsidR="003472FB" w:rsidRDefault="003472FB" w:rsidP="003472FB">
      <w:r>
        <w:t>This means that the proposed Regulations will:</w:t>
      </w:r>
    </w:p>
    <w:p w14:paraId="41A1C38E" w14:textId="132277EF" w:rsidR="003472FB" w:rsidRDefault="003472FB" w:rsidP="0057567B">
      <w:pPr>
        <w:pStyle w:val="ListParagraph"/>
        <w:numPr>
          <w:ilvl w:val="0"/>
          <w:numId w:val="19"/>
        </w:numPr>
        <w:spacing w:before="0" w:line="240" w:lineRule="auto"/>
        <w:contextualSpacing w:val="0"/>
      </w:pPr>
      <w:r>
        <w:t>prohibit fires without written permission for the entire year in State forests, national parks and protected public land, and during the prohibited period for other fire protected areas, except for activities that are otherwise authorised (</w:t>
      </w:r>
      <w:r w:rsidR="00374656">
        <w:t>for example</w:t>
      </w:r>
      <w:r>
        <w:t xml:space="preserve"> campfires, </w:t>
      </w:r>
      <w:r w:rsidR="00953038">
        <w:t>barbeque</w:t>
      </w:r>
      <w:r>
        <w:t xml:space="preserve">s, and permitted operations </w:t>
      </w:r>
      <w:r w:rsidR="004719C1">
        <w:t xml:space="preserve">such </w:t>
      </w:r>
      <w:r>
        <w:t xml:space="preserve">as sawmills and beehives), or in some circumstances </w:t>
      </w:r>
      <w:r w:rsidR="008F57CC">
        <w:t>were</w:t>
      </w:r>
      <w:r>
        <w:t xml:space="preserve"> provided for under </w:t>
      </w:r>
      <w:r w:rsidRPr="00851C27">
        <w:t xml:space="preserve">an agreement under Part 6 of the </w:t>
      </w:r>
      <w:r w:rsidRPr="00851C27">
        <w:rPr>
          <w:i/>
          <w:iCs/>
        </w:rPr>
        <w:t>Traditional Owner Settlement Act 2010</w:t>
      </w:r>
    </w:p>
    <w:p w14:paraId="75D7E910" w14:textId="5363CE36" w:rsidR="003472FB" w:rsidRDefault="003472FB" w:rsidP="0057567B">
      <w:pPr>
        <w:pStyle w:val="ListParagraph"/>
        <w:numPr>
          <w:ilvl w:val="0"/>
          <w:numId w:val="19"/>
        </w:numPr>
        <w:spacing w:before="0" w:line="240" w:lineRule="auto"/>
        <w:contextualSpacing w:val="0"/>
      </w:pPr>
      <w:r>
        <w:t xml:space="preserve">specify the physical requirements for using campfires and </w:t>
      </w:r>
      <w:r w:rsidR="00953038">
        <w:t>barbeque</w:t>
      </w:r>
      <w:r>
        <w:t>s within the fire protected area (other than State forests, national parks and protected public land, which are already controlled under the Act)</w:t>
      </w:r>
    </w:p>
    <w:p w14:paraId="7714F9C7" w14:textId="77777777" w:rsidR="003472FB" w:rsidRDefault="003472FB" w:rsidP="0057567B">
      <w:pPr>
        <w:pStyle w:val="ListParagraph"/>
        <w:numPr>
          <w:ilvl w:val="0"/>
          <w:numId w:val="19"/>
        </w:numPr>
        <w:spacing w:before="0" w:line="240" w:lineRule="auto"/>
        <w:contextualSpacing w:val="0"/>
      </w:pPr>
      <w:r>
        <w:t>set requirements for the use of certain types of equipment in forest areas</w:t>
      </w:r>
    </w:p>
    <w:p w14:paraId="7ABF47F1" w14:textId="77777777" w:rsidR="003472FB" w:rsidRDefault="003472FB" w:rsidP="0057567B">
      <w:pPr>
        <w:pStyle w:val="ListParagraph"/>
        <w:numPr>
          <w:ilvl w:val="0"/>
          <w:numId w:val="19"/>
        </w:numPr>
        <w:spacing w:before="0" w:line="240" w:lineRule="auto"/>
        <w:contextualSpacing w:val="0"/>
      </w:pPr>
      <w:r>
        <w:t>set specific requirements for sawmill operations and beekeepers to have fire extinguishment equipment</w:t>
      </w:r>
    </w:p>
    <w:p w14:paraId="1737E41C" w14:textId="14197ABC" w:rsidR="003472FB" w:rsidRDefault="003472FB" w:rsidP="0057567B">
      <w:pPr>
        <w:pStyle w:val="ListParagraph"/>
        <w:numPr>
          <w:ilvl w:val="0"/>
          <w:numId w:val="19"/>
        </w:numPr>
        <w:spacing w:before="0" w:line="240" w:lineRule="auto"/>
        <w:contextualSpacing w:val="0"/>
      </w:pPr>
      <w:r>
        <w:t>include a general obligation</w:t>
      </w:r>
      <w:r w:rsidR="008202C4">
        <w:t xml:space="preserve"> for those that light fires</w:t>
      </w:r>
      <w:r>
        <w:t xml:space="preserve"> to extinguish them</w:t>
      </w:r>
      <w:r w:rsidR="003F7E7A">
        <w:t>.</w:t>
      </w:r>
    </w:p>
    <w:p w14:paraId="5636CDE1" w14:textId="463AA748" w:rsidR="003472FB" w:rsidRDefault="003472FB" w:rsidP="003472FB">
      <w:r>
        <w:t>DEECA estimates that, compared to the base case of not remaking any regulations, the proposed Regulations will impose incremental additional costs in the order of $</w:t>
      </w:r>
      <w:r w:rsidR="003F7E7A">
        <w:t>1.73 million</w:t>
      </w:r>
      <w:r>
        <w:t xml:space="preserve"> (over a 10</w:t>
      </w:r>
      <w:r w:rsidR="00E52B3F">
        <w:t>-</w:t>
      </w:r>
      <w:r>
        <w:t>year period). This is mostly in the form of the financial cost o</w:t>
      </w:r>
      <w:r w:rsidR="003F7E7A">
        <w:t xml:space="preserve">n </w:t>
      </w:r>
      <w:r>
        <w:t>business operations who will need to buy equipment</w:t>
      </w:r>
      <w:r w:rsidR="003F7E7A">
        <w:t xml:space="preserve">. Around 70 per cent of the total costs are government enforcement costs (borne by the community rather than </w:t>
      </w:r>
      <w:r w:rsidR="008F57CC">
        <w:t>regulated parties</w:t>
      </w:r>
      <w:r w:rsidR="008A6B24">
        <w:t xml:space="preserve"> </w:t>
      </w:r>
      <w:r w:rsidR="008A6B24">
        <w:rPr>
          <w:rFonts w:cstheme="minorHAnsi"/>
        </w:rPr>
        <w:t>−</w:t>
      </w:r>
      <w:r w:rsidR="008A6B24">
        <w:t xml:space="preserve"> this may be justified on the grounds the protecting Victorian forests </w:t>
      </w:r>
      <w:r w:rsidR="004B0CD1">
        <w:t xml:space="preserve">and surrounding communities </w:t>
      </w:r>
      <w:r w:rsidR="008A6B24">
        <w:t>from fire damage is a public good</w:t>
      </w:r>
      <w:r w:rsidR="003F7E7A">
        <w:t>).</w:t>
      </w:r>
    </w:p>
    <w:p w14:paraId="0F850410" w14:textId="14899B0D" w:rsidR="003472FB" w:rsidRPr="004A22A7" w:rsidRDefault="003472FB" w:rsidP="003472FB">
      <w:r>
        <w:t>Against these costs, DEECA expects the benefits of making the proposed Regulations to include protecting</w:t>
      </w:r>
      <w:r w:rsidRPr="00BD1582">
        <w:t xml:space="preserve"> human li</w:t>
      </w:r>
      <w:r>
        <w:t>fe</w:t>
      </w:r>
      <w:r w:rsidRPr="00BD1582">
        <w:t xml:space="preserve">, preventing loss of private and public property, protecting the environment from damaging fire, </w:t>
      </w:r>
      <w:r w:rsidR="0007066E">
        <w:t xml:space="preserve">and </w:t>
      </w:r>
      <w:r w:rsidRPr="00BD1582">
        <w:t>providing assurance that commercial activities are conducted in a safe manner</w:t>
      </w:r>
      <w:r w:rsidR="009A1131">
        <w:t xml:space="preserve">. </w:t>
      </w:r>
      <w:r w:rsidR="004E37AA">
        <w:t>Further, it will</w:t>
      </w:r>
      <w:r w:rsidR="00D37893">
        <w:t xml:space="preserve"> </w:t>
      </w:r>
      <w:r w:rsidR="006D1791">
        <w:t xml:space="preserve">provide additional benefits in line with the outcomes </w:t>
      </w:r>
      <w:r w:rsidR="003F145C">
        <w:t>o</w:t>
      </w:r>
      <w:r w:rsidR="006D1791">
        <w:t xml:space="preserve">f Victoria’s Bushfire Management Strategy including </w:t>
      </w:r>
      <w:r w:rsidR="003F145C">
        <w:t>removing barriers to Aboriginal self-determination in bushfire management and supporting shared responsibility.</w:t>
      </w:r>
      <w:r w:rsidRPr="00BD1582">
        <w:t xml:space="preserve"> </w:t>
      </w:r>
      <w:r>
        <w:t>While it is not possible to quantify many of these benefits, DEECA considers that, given the potential costs of loss and damage that would occur from even a single uncontrolled bushfire (including the costs of responding to fires), that even a small reduction in the risk of uncontrolled fires from the proposed Regulations justifies the relatively small cost burden.</w:t>
      </w:r>
    </w:p>
    <w:p w14:paraId="7CF98CAF" w14:textId="4D4B33F3" w:rsidR="003472FB" w:rsidRPr="00AB5B0C" w:rsidRDefault="003472FB" w:rsidP="003472FB">
      <w:pPr>
        <w:pStyle w:val="Heading2"/>
      </w:pPr>
      <w:bookmarkStart w:id="98" w:name="_Toc187330570"/>
      <w:r w:rsidRPr="00AB5B0C">
        <w:t>Competition Assessment</w:t>
      </w:r>
      <w:bookmarkEnd w:id="98"/>
    </w:p>
    <w:p w14:paraId="0C972298" w14:textId="2681EBF0" w:rsidR="003472FB" w:rsidRDefault="003472FB" w:rsidP="003472FB">
      <w:r>
        <w:t>Victoria is party to the Competition Principles Agreement, which requires that any new primary or subordinate legislation should not restrict competition unless it can be demonstrated that the Government’s objectives can only be achieved by restricting competition and that the benefits of the restriction outweigh the costs.</w:t>
      </w:r>
      <w:r>
        <w:rPr>
          <w:rStyle w:val="FootnoteReference"/>
        </w:rPr>
        <w:footnoteReference w:id="70"/>
      </w:r>
    </w:p>
    <w:p w14:paraId="1D16CF01" w14:textId="198909E6" w:rsidR="003472FB" w:rsidRDefault="003472FB" w:rsidP="003472FB">
      <w:r>
        <w:t xml:space="preserve">In some cases, legislation or regulation can affect competition by preventing or limiting the ability of businesses and individuals to enter and compete within particular markets. The primary cost of a restriction on competition is that it can reduce the incentives for businesses to act in ways that benefit consumers, </w:t>
      </w:r>
      <w:r w:rsidR="008A01AE">
        <w:t>which</w:t>
      </w:r>
      <w:r>
        <w:t xml:space="preserve"> can result in lower innovation and productivity, reduced choice of products and/or higher prices. Ways in which legislation or regulations may restrict competition include creating barriers to entry for new firms, controls on the amount, quality or price of products or services, increases in business costs for some firms but not others, or otherwise advantaging some firms over others in the same market.</w:t>
      </w:r>
      <w:r>
        <w:rPr>
          <w:rStyle w:val="FootnoteReference"/>
        </w:rPr>
        <w:footnoteReference w:id="71"/>
      </w:r>
    </w:p>
    <w:p w14:paraId="0F100C2B" w14:textId="61BBC807" w:rsidR="003472FB" w:rsidRDefault="003472FB" w:rsidP="003472FB">
      <w:r>
        <w:t xml:space="preserve">DEECA has assessed that the </w:t>
      </w:r>
      <w:r w:rsidR="008A6B24">
        <w:t xml:space="preserve">competition </w:t>
      </w:r>
      <w:r>
        <w:t xml:space="preserve">impact of the proposed Regulations, if any, is expected to be immaterial. The proposed Regulations do impose an additional cost on some </w:t>
      </w:r>
      <w:r w:rsidR="0024329C">
        <w:t>activities of</w:t>
      </w:r>
      <w:r>
        <w:t xml:space="preserve"> businesses (around 5 sawmills and 165 beekeepers), but these costs are small compared to overall business costs, and unlikely to be reflected in any competitive disadvantage.</w:t>
      </w:r>
    </w:p>
    <w:p w14:paraId="75AF86F0" w14:textId="77777777" w:rsidR="003472FB" w:rsidRPr="00537D1E" w:rsidRDefault="003472FB" w:rsidP="003472FB">
      <w:r>
        <w:t>Even so, if there is any minor impact on competition, DEECA notes that, given the risks and extent of damage done by fires in forest areas, the impact on competition would be justified, given the overall small costs, as demonstrated by the analysis in this RIS.</w:t>
      </w:r>
    </w:p>
    <w:p w14:paraId="69D8A3AA" w14:textId="001075A6" w:rsidR="003472FB" w:rsidRPr="00AB5B0C" w:rsidRDefault="003472FB" w:rsidP="003472FB">
      <w:pPr>
        <w:pStyle w:val="Heading2"/>
      </w:pPr>
      <w:bookmarkStart w:id="99" w:name="_Toc187330571"/>
      <w:r w:rsidRPr="00AB5B0C">
        <w:t>Small Business Impacts</w:t>
      </w:r>
      <w:bookmarkEnd w:id="99"/>
    </w:p>
    <w:p w14:paraId="370BA1FA" w14:textId="53E7E5C3" w:rsidR="003472FB" w:rsidRDefault="003472FB" w:rsidP="003472FB">
      <w:r w:rsidRPr="0076451B">
        <w:t xml:space="preserve">This section considers whether the proposed </w:t>
      </w:r>
      <w:r>
        <w:t>Regulation</w:t>
      </w:r>
      <w:r w:rsidRPr="0076451B">
        <w:t xml:space="preserve"> is likely to have a disproportion</w:t>
      </w:r>
      <w:r w:rsidR="00731B23">
        <w:t>ate</w:t>
      </w:r>
      <w:r w:rsidRPr="0076451B">
        <w:t xml:space="preserve"> impact on small businesses.</w:t>
      </w:r>
      <w:r>
        <w:rPr>
          <w:rStyle w:val="FootnoteReference"/>
        </w:rPr>
        <w:footnoteReference w:id="72"/>
      </w:r>
      <w:r w:rsidRPr="0076451B">
        <w:t xml:space="preserve"> Small businesses may experience disproportionate effects from regulatory requirements for a range of reasons, including limited resources to interpret compliance requirements, or to keep pace with regulatory changes and the cumulative effect of different requirements.</w:t>
      </w:r>
    </w:p>
    <w:p w14:paraId="67D6D7BA" w14:textId="16E6BF26" w:rsidR="00686D0D" w:rsidRDefault="003472FB" w:rsidP="003472FB">
      <w:r>
        <w:t>Most of the businesses covered by the proposed Regulations would be considered small business. However, compliance with the regulations is generally straightforward, and does not require large capital outlays or onerous reporting requirement</w:t>
      </w:r>
      <w:r w:rsidR="009D2E44">
        <w:t>s</w:t>
      </w:r>
      <w:r>
        <w:t xml:space="preserve">. </w:t>
      </w:r>
    </w:p>
    <w:p w14:paraId="5451B8E7" w14:textId="381EF3F4" w:rsidR="003472FB" w:rsidRDefault="003472FB" w:rsidP="003472FB">
      <w:r>
        <w:t>Stakeholder consultation with small businesses subject to the regulations confirmed that the regulations did not impose a disproportionate burden on them.</w:t>
      </w:r>
    </w:p>
    <w:p w14:paraId="437C2FD6" w14:textId="77777777" w:rsidR="00A401FB" w:rsidRDefault="00A401FB" w:rsidP="00A401FB">
      <w:pPr>
        <w:pStyle w:val="Heading1"/>
        <w:rPr>
          <w:sz w:val="32"/>
        </w:rPr>
        <w:sectPr w:rsidR="00A401FB" w:rsidSect="005C24D2">
          <w:pgSz w:w="11907" w:h="16839" w:code="9"/>
          <w:pgMar w:top="1134" w:right="1134" w:bottom="1134" w:left="1134" w:header="283" w:footer="283" w:gutter="0"/>
          <w:cols w:space="720"/>
          <w:noEndnote/>
          <w:docGrid w:linePitch="360"/>
        </w:sectPr>
      </w:pPr>
    </w:p>
    <w:p w14:paraId="06714DB7" w14:textId="77777777" w:rsidR="00A401FB" w:rsidRPr="00AB5B0C" w:rsidRDefault="00A401FB" w:rsidP="00A401FB">
      <w:pPr>
        <w:pStyle w:val="Heading1"/>
      </w:pPr>
      <w:bookmarkStart w:id="100" w:name="_Toc187330572"/>
      <w:r w:rsidRPr="00AB5B0C">
        <w:t>Implementation and Evaluation</w:t>
      </w:r>
      <w:bookmarkEnd w:id="100"/>
    </w:p>
    <w:p w14:paraId="43BF1E34" w14:textId="323C1160" w:rsidR="00A401FB" w:rsidRPr="00AB5B0C" w:rsidRDefault="00A401FB" w:rsidP="00A401FB">
      <w:pPr>
        <w:pStyle w:val="Heading2"/>
      </w:pPr>
      <w:bookmarkStart w:id="101" w:name="_Toc187330573"/>
      <w:r w:rsidRPr="00AB5B0C">
        <w:t>Implementation</w:t>
      </w:r>
      <w:bookmarkEnd w:id="101"/>
    </w:p>
    <w:p w14:paraId="15F677A0" w14:textId="26EC4108" w:rsidR="00A401FB" w:rsidRDefault="00A401FB" w:rsidP="00A401FB">
      <w:pPr>
        <w:rPr>
          <w:rFonts w:cs="Calibri Light"/>
          <w:szCs w:val="22"/>
        </w:rPr>
      </w:pPr>
      <w:r w:rsidRPr="00537B28">
        <w:rPr>
          <w:rFonts w:cs="Calibri Light"/>
          <w:szCs w:val="22"/>
        </w:rPr>
        <w:t xml:space="preserve">The current Regulations have operated for 11 </w:t>
      </w:r>
      <w:r w:rsidR="00F92308" w:rsidRPr="00537B28">
        <w:rPr>
          <w:rFonts w:cs="Calibri Light"/>
          <w:szCs w:val="22"/>
        </w:rPr>
        <w:t>years and</w:t>
      </w:r>
      <w:r>
        <w:rPr>
          <w:rFonts w:cs="Calibri Light"/>
          <w:szCs w:val="22"/>
        </w:rPr>
        <w:t xml:space="preserve"> </w:t>
      </w:r>
      <w:r w:rsidRPr="00537B28">
        <w:rPr>
          <w:rFonts w:cs="Calibri Light"/>
          <w:szCs w:val="22"/>
        </w:rPr>
        <w:t xml:space="preserve">are </w:t>
      </w:r>
      <w:r>
        <w:rPr>
          <w:rFonts w:cs="Calibri Light"/>
          <w:szCs w:val="22"/>
        </w:rPr>
        <w:t xml:space="preserve">essentially the same as the </w:t>
      </w:r>
      <w:r w:rsidRPr="00537B28">
        <w:rPr>
          <w:rFonts w:cs="Calibri Light"/>
          <w:szCs w:val="22"/>
        </w:rPr>
        <w:t xml:space="preserve">regulations </w:t>
      </w:r>
      <w:r>
        <w:rPr>
          <w:rFonts w:cs="Calibri Light"/>
          <w:szCs w:val="22"/>
        </w:rPr>
        <w:t>that have been in place for 30 years.</w:t>
      </w:r>
    </w:p>
    <w:p w14:paraId="2B57FA96" w14:textId="65587130" w:rsidR="00A401FB" w:rsidRDefault="00A401FB" w:rsidP="00A401FB">
      <w:pPr>
        <w:rPr>
          <w:rFonts w:cs="Calibri Light"/>
          <w:szCs w:val="22"/>
        </w:rPr>
      </w:pPr>
      <w:r w:rsidRPr="00537B28">
        <w:rPr>
          <w:rFonts w:cs="Calibri Light"/>
          <w:szCs w:val="22"/>
        </w:rPr>
        <w:t xml:space="preserve">Given that the proposed Regulations are substantially similar to the current arrangements, no implementation issues are expected to arise for the proposed </w:t>
      </w:r>
      <w:r w:rsidR="00653DBA">
        <w:rPr>
          <w:rFonts w:cs="Calibri Light"/>
          <w:szCs w:val="22"/>
        </w:rPr>
        <w:t>R</w:t>
      </w:r>
      <w:r w:rsidRPr="00537B28">
        <w:rPr>
          <w:rFonts w:cs="Calibri Light"/>
          <w:szCs w:val="22"/>
        </w:rPr>
        <w:t>egulations.</w:t>
      </w:r>
    </w:p>
    <w:p w14:paraId="69350E94" w14:textId="77777777" w:rsidR="00A401FB" w:rsidRPr="00537B28" w:rsidRDefault="00A401FB" w:rsidP="00A401FB">
      <w:pPr>
        <w:rPr>
          <w:rFonts w:cs="Calibri Light"/>
          <w:szCs w:val="22"/>
        </w:rPr>
      </w:pPr>
      <w:r w:rsidRPr="00537B28">
        <w:rPr>
          <w:rFonts w:cs="Calibri Light"/>
          <w:szCs w:val="22"/>
        </w:rPr>
        <w:t>However, in relation to minor changes, DEECA and the Conservation Regulator will work with affected parties to communicate these changes. This will include:</w:t>
      </w:r>
    </w:p>
    <w:p w14:paraId="337D258C" w14:textId="73A53981" w:rsidR="00A401FB" w:rsidRPr="00F14EF2" w:rsidRDefault="00A401FB" w:rsidP="00653DBA">
      <w:pPr>
        <w:pStyle w:val="ListParagraph"/>
        <w:numPr>
          <w:ilvl w:val="0"/>
          <w:numId w:val="20"/>
        </w:numPr>
        <w:spacing w:before="0" w:line="240" w:lineRule="auto"/>
        <w:ind w:left="714" w:hanging="357"/>
        <w:contextualSpacing w:val="0"/>
      </w:pPr>
      <w:r>
        <w:t>h</w:t>
      </w:r>
      <w:r w:rsidRPr="00F14EF2">
        <w:t>ighlighting changes in camping education collateral, including on the Victorian Government website that</w:t>
      </w:r>
      <w:r w:rsidR="008A27BE">
        <w:t xml:space="preserve"> campfires must be </w:t>
      </w:r>
      <w:r w:rsidR="005F2D5C">
        <w:t>in</w:t>
      </w:r>
      <w:r w:rsidRPr="00F14EF2">
        <w:t xml:space="preserve"> </w:t>
      </w:r>
      <w:r w:rsidR="00934826">
        <w:t>properly constructed fireplaces</w:t>
      </w:r>
      <w:r w:rsidR="00AF11F9">
        <w:t>. Reference to</w:t>
      </w:r>
      <w:r w:rsidR="002D40DF">
        <w:t xml:space="preserve"> </w:t>
      </w:r>
      <w:r w:rsidR="00934826">
        <w:t>trenches</w:t>
      </w:r>
      <w:r w:rsidR="00AF11F9">
        <w:t xml:space="preserve"> will be removed</w:t>
      </w:r>
      <w:r w:rsidR="00A65C1A">
        <w:t xml:space="preserve"> to </w:t>
      </w:r>
      <w:r w:rsidR="00FE6F89">
        <w:t xml:space="preserve">ensure </w:t>
      </w:r>
      <w:r w:rsidR="00AE305C">
        <w:t xml:space="preserve">consistency with the </w:t>
      </w:r>
      <w:r w:rsidR="008C338A" w:rsidRPr="008C338A">
        <w:t>Forests (Recreation) (Temporary) Regulations 2021</w:t>
      </w:r>
      <w:r w:rsidR="008C338A">
        <w:t xml:space="preserve"> </w:t>
      </w:r>
      <w:r w:rsidR="00957672">
        <w:t>and</w:t>
      </w:r>
      <w:r w:rsidR="00A65C1A">
        <w:t xml:space="preserve"> reduce the risk of </w:t>
      </w:r>
      <w:r w:rsidR="0061197D">
        <w:t>damage to Aboriginal Cultural Heritage and environmental values.</w:t>
      </w:r>
    </w:p>
    <w:p w14:paraId="63164745" w14:textId="360D4979" w:rsidR="00A401FB" w:rsidRPr="00537B28" w:rsidRDefault="00A401FB" w:rsidP="00653DBA">
      <w:pPr>
        <w:pStyle w:val="ListParagraph"/>
        <w:numPr>
          <w:ilvl w:val="0"/>
          <w:numId w:val="20"/>
        </w:numPr>
        <w:spacing w:before="0" w:line="240" w:lineRule="auto"/>
        <w:ind w:left="714" w:hanging="357"/>
        <w:contextualSpacing w:val="0"/>
      </w:pPr>
      <w:r>
        <w:t>c</w:t>
      </w:r>
      <w:r w:rsidRPr="00F14EF2">
        <w:t>ommunicating</w:t>
      </w:r>
      <w:r w:rsidRPr="00537B28">
        <w:t xml:space="preserve"> to industry groups and associations that protection gear for apiarists and engines will now be needed for the full prohibited period</w:t>
      </w:r>
    </w:p>
    <w:p w14:paraId="68B912FB" w14:textId="5176B66C" w:rsidR="00A401FB" w:rsidRDefault="00A401FB" w:rsidP="00653DBA">
      <w:pPr>
        <w:pStyle w:val="ListParagraph"/>
        <w:numPr>
          <w:ilvl w:val="0"/>
          <w:numId w:val="20"/>
        </w:numPr>
        <w:spacing w:before="0" w:line="240" w:lineRule="auto"/>
        <w:ind w:left="714" w:hanging="357"/>
        <w:contextualSpacing w:val="0"/>
      </w:pPr>
      <w:r>
        <w:t>r</w:t>
      </w:r>
      <w:r w:rsidRPr="00537B28">
        <w:t>eporting back through existing DEECA channels to Registered</w:t>
      </w:r>
      <w:r>
        <w:t xml:space="preserve"> </w:t>
      </w:r>
      <w:r w:rsidRPr="00537B28">
        <w:t xml:space="preserve">Aboriginal Parties </w:t>
      </w:r>
      <w:r w:rsidR="008A6EF1">
        <w:t xml:space="preserve">and non-formally recognised </w:t>
      </w:r>
      <w:r w:rsidR="00B21460">
        <w:t>Traditional Owners</w:t>
      </w:r>
      <w:r w:rsidR="008D4F5C">
        <w:t xml:space="preserve"> </w:t>
      </w:r>
      <w:r w:rsidRPr="00537B28">
        <w:t>.</w:t>
      </w:r>
    </w:p>
    <w:p w14:paraId="1F1A1D20" w14:textId="77777777" w:rsidR="00A401FB" w:rsidRPr="00537B28" w:rsidRDefault="00A401FB" w:rsidP="00A401FB">
      <w:r w:rsidRPr="00537B28">
        <w:t xml:space="preserve">DEECA will work to inform and educate park and forest visitors on any changes to regulations regarding campfire use, including working to update the Victorian Government website guidance and other </w:t>
      </w:r>
      <w:r>
        <w:t>information materials</w:t>
      </w:r>
      <w:r w:rsidRPr="00537B28">
        <w:t xml:space="preserve"> on campfire use.</w:t>
      </w:r>
    </w:p>
    <w:p w14:paraId="47DC045B" w14:textId="77777777" w:rsidR="00A401FB" w:rsidRPr="00537B28" w:rsidRDefault="00A401FB" w:rsidP="00A401FB">
      <w:r w:rsidRPr="00537B28">
        <w:t xml:space="preserve">DEECA will work closely with industry groups to communicate changes to safety equipment provisions in the Regulations regarding use of engines and for beekeeping. </w:t>
      </w:r>
    </w:p>
    <w:p w14:paraId="5E9FE595" w14:textId="6D625727" w:rsidR="00A401FB" w:rsidRPr="00537B28" w:rsidRDefault="00A401FB" w:rsidP="00A401FB">
      <w:r w:rsidRPr="00537B28">
        <w:t>Overall compliance with the proposed Regulations is expected to be high, however the large spatial area occupied by Victorian fire protected</w:t>
      </w:r>
      <w:r w:rsidR="00E43BD4">
        <w:t xml:space="preserve"> areas</w:t>
      </w:r>
      <w:r w:rsidRPr="00537B28">
        <w:t xml:space="preserve"> makes aberrant or non-compliant behaviour difficult to manage in all situations.</w:t>
      </w:r>
      <w:r>
        <w:t xml:space="preserve"> Relevant agencies and officers take an informed risk-based approach to enforcement, and use of infringements and penalties.</w:t>
      </w:r>
    </w:p>
    <w:p w14:paraId="37376CC1" w14:textId="167C2420" w:rsidR="00A401FB" w:rsidRPr="00AB5B0C" w:rsidRDefault="00A401FB" w:rsidP="00A401FB">
      <w:pPr>
        <w:pStyle w:val="Heading2"/>
      </w:pPr>
      <w:bookmarkStart w:id="102" w:name="_Toc166926480"/>
      <w:bookmarkStart w:id="103" w:name="_Toc187330574"/>
      <w:r w:rsidRPr="00AB5B0C">
        <w:t>Evaluation</w:t>
      </w:r>
      <w:bookmarkEnd w:id="102"/>
      <w:bookmarkEnd w:id="103"/>
    </w:p>
    <w:p w14:paraId="645409F8" w14:textId="77777777" w:rsidR="00A401FB" w:rsidRPr="00537B28" w:rsidRDefault="00A401FB" w:rsidP="00A401FB">
      <w:pPr>
        <w:rPr>
          <w:rFonts w:cs="Calibri Light"/>
          <w:szCs w:val="22"/>
        </w:rPr>
      </w:pPr>
      <w:r w:rsidRPr="00537B28">
        <w:rPr>
          <w:rFonts w:cs="Calibri Light"/>
          <w:szCs w:val="22"/>
        </w:rPr>
        <w:t xml:space="preserve">Consistent with the Victorian Government’s commitment to better regulation and a culture of continuous improvement, agencies must evaluate all regulations. Evaluation involves improving knowledge about the problem to improve regulatory effectiveness over time. Monitoring and evaluation forms part of DEECA’s </w:t>
      </w:r>
      <w:r>
        <w:rPr>
          <w:rFonts w:cs="Calibri Light"/>
          <w:szCs w:val="22"/>
        </w:rPr>
        <w:t xml:space="preserve">approach to </w:t>
      </w:r>
      <w:r w:rsidRPr="00537B28">
        <w:rPr>
          <w:rFonts w:cs="Calibri Light"/>
          <w:szCs w:val="22"/>
        </w:rPr>
        <w:t>continuous improvement.</w:t>
      </w:r>
    </w:p>
    <w:p w14:paraId="070F517A" w14:textId="77777777" w:rsidR="00A401FB" w:rsidRPr="00537B28" w:rsidRDefault="00A401FB" w:rsidP="00A401FB">
      <w:r w:rsidRPr="00537B28">
        <w:t>DEECA evaluates its management of bushfire risk through complex planning, monitoring and evaluation frameworks, drawing on a range of information sources (internal and corporate datasets, commissioned studies, monitoring reports, and expert/professional opinion) to inform responses.</w:t>
      </w:r>
    </w:p>
    <w:p w14:paraId="71B57BC0" w14:textId="77777777" w:rsidR="00A401FB" w:rsidRPr="00537B28" w:rsidRDefault="00A401FB" w:rsidP="00A401FB">
      <w:pPr>
        <w:rPr>
          <w:rFonts w:cs="Calibri Light"/>
          <w:szCs w:val="22"/>
        </w:rPr>
      </w:pPr>
      <w:r w:rsidRPr="00537B28">
        <w:rPr>
          <w:rFonts w:cs="Calibri Light"/>
          <w:szCs w:val="22"/>
        </w:rPr>
        <w:t>DEECA’s evaluation of the proposed Regulations will include:</w:t>
      </w:r>
    </w:p>
    <w:p w14:paraId="5A596B0F" w14:textId="77777777" w:rsidR="00A401FB" w:rsidRPr="00B3246F" w:rsidRDefault="00A401FB" w:rsidP="0057567B">
      <w:pPr>
        <w:pStyle w:val="m-7433572371409599280gmail-msolistparagraph"/>
        <w:numPr>
          <w:ilvl w:val="0"/>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Compliance operations and activities, which may identify regulatory breaches that result in warnings and infringement notices being issued, and court proceedings being commenced. The effectiveness of these activities will be measured in the number of breaches against the regulations.</w:t>
      </w:r>
    </w:p>
    <w:p w14:paraId="336D1776" w14:textId="77777777" w:rsidR="00A401FB" w:rsidRPr="00B3246F" w:rsidRDefault="00A401FB" w:rsidP="0057567B">
      <w:pPr>
        <w:pStyle w:val="m-7433572371409599280gmail-msolistparagraph"/>
        <w:numPr>
          <w:ilvl w:val="0"/>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A risk-based approach of:</w:t>
      </w:r>
    </w:p>
    <w:p w14:paraId="7B29CAC0" w14:textId="36C87F60" w:rsidR="00A401FB" w:rsidRPr="00B3246F" w:rsidRDefault="00A401FB" w:rsidP="0057567B">
      <w:pPr>
        <w:pStyle w:val="m-7433572371409599280gmail-msolistparagraph"/>
        <w:numPr>
          <w:ilvl w:val="1"/>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educational program and resources provided to park and forest visitors through the established permit system, and published online and at park information sites</w:t>
      </w:r>
    </w:p>
    <w:p w14:paraId="0D54337F" w14:textId="3341FD9E" w:rsidR="00A401FB" w:rsidRPr="00B3246F" w:rsidRDefault="00A401FB" w:rsidP="0057567B">
      <w:pPr>
        <w:pStyle w:val="m-7433572371409599280gmail-msolistparagraph"/>
        <w:numPr>
          <w:ilvl w:val="1"/>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 xml:space="preserve">proactive patrols that target specific areas, especially </w:t>
      </w:r>
      <w:r w:rsidR="00AE0E30">
        <w:rPr>
          <w:rFonts w:asciiTheme="minorHAnsi" w:hAnsiTheme="minorHAnsi" w:cs="Calibri Light"/>
          <w:sz w:val="20"/>
          <w:szCs w:val="20"/>
        </w:rPr>
        <w:t xml:space="preserve">important </w:t>
      </w:r>
      <w:r w:rsidRPr="00B3246F">
        <w:rPr>
          <w:rFonts w:asciiTheme="minorHAnsi" w:hAnsiTheme="minorHAnsi" w:cs="Calibri Light"/>
          <w:sz w:val="20"/>
          <w:szCs w:val="20"/>
        </w:rPr>
        <w:t>areas of cultural significance and biodiversity value</w:t>
      </w:r>
    </w:p>
    <w:p w14:paraId="72483978" w14:textId="06312BBC" w:rsidR="00A401FB" w:rsidRPr="00B3246F" w:rsidRDefault="00A401FB" w:rsidP="0057567B">
      <w:pPr>
        <w:pStyle w:val="m-7433572371409599280gmail-msolistparagraph"/>
        <w:numPr>
          <w:ilvl w:val="1"/>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 xml:space="preserve">increased compliance effort on peak visitation days particularly during windows of increased fire weather, for example around public holidays like Christmas, Australia Day and Easter throughout the year, which ensures that park visitors are responsible and compliant with laws </w:t>
      </w:r>
      <w:r w:rsidR="005A06AC">
        <w:rPr>
          <w:rFonts w:asciiTheme="minorHAnsi" w:hAnsiTheme="minorHAnsi" w:cs="Calibri Light"/>
          <w:sz w:val="20"/>
          <w:szCs w:val="20"/>
        </w:rPr>
        <w:t xml:space="preserve">and </w:t>
      </w:r>
      <w:r w:rsidR="0086216E">
        <w:rPr>
          <w:rFonts w:asciiTheme="minorHAnsi" w:hAnsiTheme="minorHAnsi" w:cs="Calibri Light"/>
          <w:sz w:val="20"/>
          <w:szCs w:val="20"/>
        </w:rPr>
        <w:t>regulations</w:t>
      </w:r>
    </w:p>
    <w:p w14:paraId="57D1A27C" w14:textId="77777777" w:rsidR="00A401FB" w:rsidRPr="00B3246F" w:rsidRDefault="00A401FB" w:rsidP="0057567B">
      <w:pPr>
        <w:pStyle w:val="m-7433572371409599280gmail-msolistparagraph"/>
        <w:numPr>
          <w:ilvl w:val="0"/>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The effectiveness of compliance effort and educational resources will be measured by:</w:t>
      </w:r>
    </w:p>
    <w:p w14:paraId="36A9F7EE" w14:textId="77777777" w:rsidR="00A401FB" w:rsidRPr="00B3246F" w:rsidRDefault="00A401FB" w:rsidP="0057567B">
      <w:pPr>
        <w:pStyle w:val="m-7433572371409599280gmail-msolistparagraph"/>
        <w:numPr>
          <w:ilvl w:val="1"/>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the successful completion rate of the number of permits applied for</w:t>
      </w:r>
    </w:p>
    <w:p w14:paraId="319938DB" w14:textId="77777777" w:rsidR="00A401FB" w:rsidRPr="00B3246F" w:rsidRDefault="00A401FB" w:rsidP="0057567B">
      <w:pPr>
        <w:pStyle w:val="m-7433572371409599280gmail-msolistparagraph"/>
        <w:numPr>
          <w:ilvl w:val="1"/>
          <w:numId w:val="21"/>
        </w:numPr>
        <w:spacing w:before="0" w:beforeAutospacing="0" w:after="120" w:afterAutospacing="0"/>
        <w:rPr>
          <w:rFonts w:asciiTheme="minorHAnsi" w:hAnsiTheme="minorHAnsi"/>
          <w:sz w:val="20"/>
          <w:szCs w:val="20"/>
        </w:rPr>
      </w:pPr>
      <w:r w:rsidRPr="00B3246F">
        <w:rPr>
          <w:rFonts w:asciiTheme="minorHAnsi" w:hAnsiTheme="minorHAnsi" w:cs="Calibri Light"/>
          <w:sz w:val="20"/>
          <w:szCs w:val="20"/>
        </w:rPr>
        <w:t>the number of subsequent permit renewals.</w:t>
      </w:r>
    </w:p>
    <w:p w14:paraId="3575EDF9" w14:textId="3C01EB08" w:rsidR="00A55EF7" w:rsidRDefault="00A55EF7" w:rsidP="00A401FB">
      <w:pPr>
        <w:autoSpaceDE w:val="0"/>
        <w:autoSpaceDN w:val="0"/>
        <w:adjustRightInd w:val="0"/>
        <w:rPr>
          <w:rFonts w:cs="Calibri Light"/>
          <w:szCs w:val="22"/>
        </w:rPr>
      </w:pPr>
      <w:r>
        <w:rPr>
          <w:rFonts w:cs="Calibri Light"/>
          <w:szCs w:val="22"/>
        </w:rPr>
        <w:t xml:space="preserve">DEECA will also continue to release </w:t>
      </w:r>
      <w:r w:rsidR="00FC15A9">
        <w:rPr>
          <w:rFonts w:cs="Calibri Light"/>
          <w:szCs w:val="22"/>
        </w:rPr>
        <w:t>the annual Victoria’s Bushfire Risk Management Report</w:t>
      </w:r>
      <w:r w:rsidR="006F6351">
        <w:rPr>
          <w:rFonts w:cs="Calibri Light"/>
          <w:szCs w:val="22"/>
        </w:rPr>
        <w:t>. The report provides information on bushfire risk management delivery and outcomes across public and private land in Victoria for each financial year. It covers state, regional and more localised (district/municipal) levels where appropriate.</w:t>
      </w:r>
      <w:r w:rsidR="00FC15A9">
        <w:rPr>
          <w:rFonts w:cs="Calibri Light"/>
          <w:szCs w:val="22"/>
        </w:rPr>
        <w:t xml:space="preserve"> </w:t>
      </w:r>
    </w:p>
    <w:p w14:paraId="1AAE86BD" w14:textId="71C872A9" w:rsidR="00A401FB" w:rsidRDefault="00A401FB" w:rsidP="00A401FB">
      <w:r w:rsidRPr="00537B28">
        <w:t xml:space="preserve">Given that the proposed Regulations are similar to those which have been in place for more than </w:t>
      </w:r>
      <w:r w:rsidR="008A6B24">
        <w:t>three</w:t>
      </w:r>
      <w:r w:rsidRPr="00537B28">
        <w:t xml:space="preserve"> decades, a formal mid-term review is not </w:t>
      </w:r>
      <w:r w:rsidR="00316157">
        <w:t xml:space="preserve">considered </w:t>
      </w:r>
      <w:r w:rsidRPr="00537B28">
        <w:t xml:space="preserve">necessary. However, DEECA will monitor the operation of new provisions and changes </w:t>
      </w:r>
      <w:r w:rsidR="00747D34" w:rsidRPr="00537B28">
        <w:t>closely</w:t>
      </w:r>
      <w:r w:rsidR="00747D34">
        <w:t xml:space="preserve"> and</w:t>
      </w:r>
      <w:r w:rsidR="00316157">
        <w:t xml:space="preserve"> will evaluate the regulations in 8 or 9 years’ time prior to sunsetting</w:t>
      </w:r>
      <w:r w:rsidRPr="00537B28">
        <w:t>.</w:t>
      </w:r>
    </w:p>
    <w:p w14:paraId="4A7D414A" w14:textId="77777777" w:rsidR="002053A4" w:rsidRDefault="002053A4" w:rsidP="002053A4">
      <w:pPr>
        <w:pStyle w:val="Heading1"/>
        <w:rPr>
          <w:sz w:val="32"/>
        </w:rPr>
        <w:sectPr w:rsidR="002053A4" w:rsidSect="002053A4">
          <w:headerReference w:type="default" r:id="rId61"/>
          <w:footerReference w:type="even" r:id="rId62"/>
          <w:footerReference w:type="default" r:id="rId63"/>
          <w:footerReference w:type="first" r:id="rId64"/>
          <w:pgSz w:w="11906" w:h="16838"/>
          <w:pgMar w:top="1440" w:right="1440" w:bottom="1440" w:left="1440" w:header="708" w:footer="708" w:gutter="0"/>
          <w:cols w:space="708"/>
          <w:docGrid w:linePitch="360"/>
        </w:sectPr>
      </w:pPr>
    </w:p>
    <w:p w14:paraId="19B34EF8" w14:textId="77777777" w:rsidR="002053A4" w:rsidRPr="00AB5B0C" w:rsidRDefault="002053A4" w:rsidP="002053A4">
      <w:pPr>
        <w:pStyle w:val="Heading1"/>
      </w:pPr>
      <w:bookmarkStart w:id="104" w:name="_Toc187330575"/>
      <w:r w:rsidRPr="00AB5B0C">
        <w:t>Compliance and enforcement</w:t>
      </w:r>
      <w:bookmarkEnd w:id="104"/>
    </w:p>
    <w:p w14:paraId="3876475F" w14:textId="77777777" w:rsidR="00653DBA" w:rsidRDefault="002053A4" w:rsidP="002053A4">
      <w:r w:rsidRPr="00AE7739">
        <w:t xml:space="preserve">Parks Victoria Authorised Officers enforce these regulations on land that is managed under the </w:t>
      </w:r>
      <w:r w:rsidRPr="00EC3AED">
        <w:rPr>
          <w:i/>
          <w:iCs/>
        </w:rPr>
        <w:t>National Parks Act 1975</w:t>
      </w:r>
      <w:r w:rsidRPr="00AE7739">
        <w:t xml:space="preserve"> (predominantly, in this case, national park land). DEECA Authorised Officers enforce the regulations in State forest, protected public land and in the fire protected area outside the regulated fire area</w:t>
      </w:r>
      <w:r>
        <w:t xml:space="preserve">, </w:t>
      </w:r>
      <w:r w:rsidR="003B231B">
        <w:t>including</w:t>
      </w:r>
      <w:r>
        <w:t xml:space="preserve"> the Conservation Regulator</w:t>
      </w:r>
      <w:r w:rsidRPr="00AE7739">
        <w:t xml:space="preserve">. There are currently </w:t>
      </w:r>
      <w:r w:rsidR="00A74203">
        <w:rPr>
          <w:iCs/>
        </w:rPr>
        <w:t>227</w:t>
      </w:r>
      <w:r w:rsidR="00A74203" w:rsidRPr="00A626D7">
        <w:rPr>
          <w:i/>
        </w:rPr>
        <w:t xml:space="preserve"> </w:t>
      </w:r>
      <w:r w:rsidRPr="00AE7739">
        <w:t>Authorised Parks Victoria officers</w:t>
      </w:r>
      <w:r>
        <w:t>, 83</w:t>
      </w:r>
      <w:r w:rsidRPr="00AE7739">
        <w:t xml:space="preserve"> DEECA </w:t>
      </w:r>
      <w:r>
        <w:t>a</w:t>
      </w:r>
      <w:r w:rsidRPr="00AE7739">
        <w:t xml:space="preserve">uthorised </w:t>
      </w:r>
      <w:r>
        <w:t>o</w:t>
      </w:r>
      <w:r w:rsidRPr="00AE7739">
        <w:t xml:space="preserve">fficers, </w:t>
      </w:r>
      <w:r>
        <w:t>and 69 Conservation Regulators authorised officers</w:t>
      </w:r>
      <w:r w:rsidRPr="00AE7739">
        <w:t>, making a total o</w:t>
      </w:r>
      <w:r w:rsidRPr="00556AB9">
        <w:t xml:space="preserve">f </w:t>
      </w:r>
      <w:r w:rsidR="00556AB9" w:rsidRPr="00556AB9">
        <w:t xml:space="preserve">379 </w:t>
      </w:r>
      <w:r w:rsidRPr="00556AB9">
        <w:t xml:space="preserve">field </w:t>
      </w:r>
      <w:r w:rsidRPr="00AE7739">
        <w:t xml:space="preserve">staff. Authorised Officers are appointed under section 83 of the </w:t>
      </w:r>
      <w:r w:rsidRPr="00EC3AED">
        <w:rPr>
          <w:i/>
          <w:iCs/>
        </w:rPr>
        <w:t>Conservation</w:t>
      </w:r>
      <w:r w:rsidR="00774D04" w:rsidRPr="00EC3AED">
        <w:rPr>
          <w:i/>
          <w:iCs/>
        </w:rPr>
        <w:t>,</w:t>
      </w:r>
      <w:r w:rsidRPr="00EC3AED">
        <w:rPr>
          <w:i/>
          <w:iCs/>
        </w:rPr>
        <w:t xml:space="preserve"> Forests and Land Act 1987</w:t>
      </w:r>
      <w:r w:rsidRPr="00AE7739">
        <w:t xml:space="preserve">. Victoria Police may also assist in ensuring compliance. </w:t>
      </w:r>
    </w:p>
    <w:p w14:paraId="0EE92E54" w14:textId="6C8B2344" w:rsidR="002053A4" w:rsidRDefault="002053A4" w:rsidP="002053A4">
      <w:r w:rsidRPr="00AE7739">
        <w:t xml:space="preserve">Enforcement is conducted through a combination of regular patrols by </w:t>
      </w:r>
      <w:r w:rsidR="00C56459" w:rsidRPr="00AE7739">
        <w:t>field-based</w:t>
      </w:r>
      <w:r w:rsidRPr="00AE7739">
        <w:t xml:space="preserve"> staff to co-ordinate compliance efforts</w:t>
      </w:r>
      <w:r w:rsidR="00653DBA">
        <w:t xml:space="preserve"> and targeted </w:t>
      </w:r>
      <w:r w:rsidR="001A3B2D">
        <w:t>activities</w:t>
      </w:r>
      <w:r w:rsidRPr="00AE7739">
        <w:t>.</w:t>
      </w:r>
      <w:r>
        <w:t xml:space="preserve"> These arrangements will continue. </w:t>
      </w:r>
    </w:p>
    <w:p w14:paraId="22A302C4" w14:textId="01E33675" w:rsidR="002053A4" w:rsidRDefault="002053A4" w:rsidP="002053A4">
      <w:r>
        <w:t>The table below shows the infringement</w:t>
      </w:r>
      <w:r w:rsidR="00556AB9">
        <w:t>s</w:t>
      </w:r>
      <w:r>
        <w:t xml:space="preserve"> </w:t>
      </w:r>
      <w:r w:rsidR="00556AB9">
        <w:t xml:space="preserve">and </w:t>
      </w:r>
      <w:r>
        <w:t xml:space="preserve">prosecutions under the </w:t>
      </w:r>
      <w:r w:rsidR="000E46CA">
        <w:t>Forests Act</w:t>
      </w:r>
      <w:r>
        <w:t xml:space="preserve"> over the past 10</w:t>
      </w:r>
      <w:r w:rsidR="00653DBA">
        <w:t> </w:t>
      </w:r>
      <w:r>
        <w:t>years.</w:t>
      </w:r>
      <w:r w:rsidR="008B7832">
        <w:t xml:space="preserve"> While only two infringements are directly attributable to the </w:t>
      </w:r>
      <w:r w:rsidR="008126DB">
        <w:t>R</w:t>
      </w:r>
      <w:r w:rsidR="008B7832">
        <w:t>egulations themselves (use of a stationary engine), the infringements and prosecutions underscore ongoing behaviour that continues to give rise to fire risks in or near Victorian Forests.</w:t>
      </w:r>
    </w:p>
    <w:p w14:paraId="62ADE029" w14:textId="729C0E49" w:rsidR="002053A4" w:rsidRPr="00C608AB" w:rsidRDefault="002053A4" w:rsidP="00C608AB">
      <w:pPr>
        <w:pStyle w:val="Caption"/>
        <w:rPr>
          <w:b w:val="0"/>
        </w:rPr>
      </w:pPr>
      <w:r w:rsidRPr="00B15A6C">
        <w:t xml:space="preserve">Table </w:t>
      </w:r>
      <w:r w:rsidR="006A6A33">
        <w:t>1</w:t>
      </w:r>
      <w:r w:rsidR="00DC2749">
        <w:t>8</w:t>
      </w:r>
      <w:r w:rsidRPr="00B15A6C">
        <w:t>: Infringements and prosecutions</w:t>
      </w:r>
      <w:r w:rsidR="008B7832">
        <w:t xml:space="preserve"> under the</w:t>
      </w:r>
      <w:r w:rsidR="002A7049">
        <w:t xml:space="preserve"> Regulations and</w:t>
      </w:r>
      <w:r w:rsidR="008B7832">
        <w:t xml:space="preserve"> Forest</w:t>
      </w:r>
      <w:r w:rsidR="002A7049">
        <w:t>s</w:t>
      </w:r>
      <w:r w:rsidR="008B7832">
        <w:t xml:space="preserve"> Act</w:t>
      </w:r>
      <w:r w:rsidRPr="00B15A6C">
        <w:t>, June 2014 – Nov</w:t>
      </w:r>
      <w:r w:rsidR="00872753">
        <w:t xml:space="preserve"> </w:t>
      </w:r>
      <w:r w:rsidRPr="00B15A6C">
        <w:t>2024</w:t>
      </w:r>
    </w:p>
    <w:tbl>
      <w:tblPr>
        <w:tblStyle w:val="TableGrid"/>
        <w:tblW w:w="0" w:type="auto"/>
        <w:tblLook w:val="04A0" w:firstRow="1" w:lastRow="0" w:firstColumn="1" w:lastColumn="0" w:noHBand="0" w:noVBand="1"/>
      </w:tblPr>
      <w:tblGrid>
        <w:gridCol w:w="7933"/>
        <w:gridCol w:w="1093"/>
      </w:tblGrid>
      <w:tr w:rsidR="00872753" w:rsidRPr="00872753" w14:paraId="40659FB8" w14:textId="77777777" w:rsidTr="00872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E8E8E8" w:themeFill="text1" w:themeFillTint="1A"/>
          </w:tcPr>
          <w:p w14:paraId="437D5F42" w14:textId="77777777" w:rsidR="002053A4" w:rsidRPr="00872753" w:rsidRDefault="002053A4" w:rsidP="00BE5CCD">
            <w:pPr>
              <w:spacing w:before="0"/>
              <w:rPr>
                <w:b/>
                <w:bCs/>
                <w:color w:val="auto"/>
              </w:rPr>
            </w:pPr>
            <w:r w:rsidRPr="00872753">
              <w:rPr>
                <w:b/>
                <w:bCs/>
                <w:color w:val="auto"/>
              </w:rPr>
              <w:t>Description of offence</w:t>
            </w:r>
          </w:p>
        </w:tc>
        <w:tc>
          <w:tcPr>
            <w:tcW w:w="0" w:type="auto"/>
            <w:tcBorders>
              <w:bottom w:val="single" w:sz="4" w:space="0" w:color="auto"/>
            </w:tcBorders>
            <w:shd w:val="clear" w:color="auto" w:fill="E8E8E8" w:themeFill="text1" w:themeFillTint="1A"/>
          </w:tcPr>
          <w:p w14:paraId="3BBC4310" w14:textId="77777777" w:rsidR="002053A4" w:rsidRPr="00872753" w:rsidRDefault="002053A4" w:rsidP="00BE5CCD">
            <w:pPr>
              <w:spacing w:before="0"/>
              <w:cnfStyle w:val="100000000000" w:firstRow="1" w:lastRow="0" w:firstColumn="0" w:lastColumn="0" w:oddVBand="0" w:evenVBand="0" w:oddHBand="0" w:evenHBand="0" w:firstRowFirstColumn="0" w:firstRowLastColumn="0" w:lastRowFirstColumn="0" w:lastRowLastColumn="0"/>
              <w:rPr>
                <w:b/>
                <w:bCs/>
                <w:color w:val="auto"/>
              </w:rPr>
            </w:pPr>
            <w:r w:rsidRPr="00872753">
              <w:rPr>
                <w:b/>
                <w:bCs/>
                <w:color w:val="auto"/>
              </w:rPr>
              <w:t>Numbers</w:t>
            </w:r>
          </w:p>
        </w:tc>
      </w:tr>
      <w:tr w:rsidR="002053A4" w:rsidRPr="00E95B72" w14:paraId="04928D67" w14:textId="77777777" w:rsidTr="008727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CCEFD9" w:themeFill="background2"/>
          </w:tcPr>
          <w:p w14:paraId="15AD26B2" w14:textId="77777777" w:rsidR="002053A4" w:rsidRPr="00E95B72" w:rsidRDefault="002053A4" w:rsidP="00BE5CCD">
            <w:pPr>
              <w:spacing w:before="0"/>
              <w:rPr>
                <w:b/>
                <w:bCs/>
                <w:i/>
                <w:iCs/>
              </w:rPr>
            </w:pPr>
            <w:r w:rsidRPr="00E95B72">
              <w:rPr>
                <w:b/>
                <w:bCs/>
                <w:i/>
                <w:iCs/>
              </w:rPr>
              <w:t xml:space="preserve">Infringements </w:t>
            </w:r>
          </w:p>
        </w:tc>
        <w:tc>
          <w:tcPr>
            <w:tcW w:w="0" w:type="auto"/>
            <w:tcBorders>
              <w:top w:val="single" w:sz="4" w:space="0" w:color="auto"/>
            </w:tcBorders>
            <w:shd w:val="clear" w:color="auto" w:fill="CCEFD9" w:themeFill="background2"/>
          </w:tcPr>
          <w:p w14:paraId="2EB22DC4" w14:textId="77777777" w:rsidR="002053A4" w:rsidRPr="00E95B72" w:rsidRDefault="002053A4" w:rsidP="00BE5CCD">
            <w:pPr>
              <w:spacing w:before="0"/>
              <w:cnfStyle w:val="000000000000" w:firstRow="0" w:lastRow="0" w:firstColumn="0" w:lastColumn="0" w:oddVBand="0" w:evenVBand="0" w:oddHBand="0" w:evenHBand="0" w:firstRowFirstColumn="0" w:firstRowLastColumn="0" w:lastRowFirstColumn="0" w:lastRowLastColumn="0"/>
              <w:rPr>
                <w:b/>
                <w:bCs/>
                <w:i/>
                <w:iCs/>
              </w:rPr>
            </w:pPr>
          </w:p>
        </w:tc>
      </w:tr>
      <w:tr w:rsidR="002053A4" w:rsidRPr="00E95B72" w14:paraId="05B8413F"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054749B1" w14:textId="77777777" w:rsidR="002053A4" w:rsidRPr="00E95B72" w:rsidRDefault="002053A4" w:rsidP="00BE5CCD">
            <w:pPr>
              <w:spacing w:before="0"/>
            </w:pPr>
            <w:bookmarkStart w:id="105" w:name="_Hlk183267692"/>
            <w:r w:rsidRPr="00E95B72">
              <w:t>A campfire or barbeque using solid fuel and that is in the open air in a regulated fire area must not be outside the line of sight of the campfire or barbeque; or be more than 50 metres from the perimeter of the campfire or barbeque</w:t>
            </w:r>
          </w:p>
        </w:tc>
        <w:tc>
          <w:tcPr>
            <w:tcW w:w="0" w:type="auto"/>
          </w:tcPr>
          <w:p w14:paraId="1AE2B14B"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688</w:t>
            </w:r>
          </w:p>
        </w:tc>
      </w:tr>
      <w:tr w:rsidR="002053A4" w:rsidRPr="00E95B72" w14:paraId="097CB1BF"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08ABCDCE" w14:textId="77777777" w:rsidR="002053A4" w:rsidRPr="00E95B72" w:rsidRDefault="002053A4" w:rsidP="00BE5CCD">
            <w:pPr>
              <w:spacing w:before="0"/>
            </w:pPr>
            <w:r w:rsidRPr="00E95B72">
              <w:t>Exceed the maximum area of a campfire or barbeque using solid fuel or the maximum dimension of any piece of solid fuel used</w:t>
            </w:r>
          </w:p>
        </w:tc>
        <w:tc>
          <w:tcPr>
            <w:tcW w:w="0" w:type="auto"/>
          </w:tcPr>
          <w:p w14:paraId="420308FD"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177</w:t>
            </w:r>
          </w:p>
        </w:tc>
      </w:tr>
      <w:tr w:rsidR="002053A4" w:rsidRPr="00E95B72" w14:paraId="02E3A693"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0FBBAC14" w14:textId="3B084771" w:rsidR="002053A4" w:rsidRPr="00E95B72" w:rsidRDefault="002053A4" w:rsidP="00BE5CCD">
            <w:pPr>
              <w:spacing w:before="0"/>
            </w:pPr>
            <w:r w:rsidRPr="00E95B72">
              <w:t>Light, kindle or maintain campfire or barbeque using solid fuel and in the open air in regulated fire area unless ground and airspace within distance of 3</w:t>
            </w:r>
            <w:r w:rsidR="00653DBA">
              <w:t xml:space="preserve"> </w:t>
            </w:r>
            <w:r w:rsidRPr="00E95B72">
              <w:t>m</w:t>
            </w:r>
            <w:r w:rsidR="00653DBA">
              <w:t>etres</w:t>
            </w:r>
            <w:r w:rsidRPr="00E95B72">
              <w:t xml:space="preserve"> from outer perimeter and uppermost point of fire are clear of flammable material</w:t>
            </w:r>
          </w:p>
        </w:tc>
        <w:tc>
          <w:tcPr>
            <w:tcW w:w="0" w:type="auto"/>
          </w:tcPr>
          <w:p w14:paraId="2DC53DE1"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122</w:t>
            </w:r>
          </w:p>
        </w:tc>
      </w:tr>
      <w:tr w:rsidR="002053A4" w:rsidRPr="00E95B72" w14:paraId="15C7F16F"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727A13F7" w14:textId="3E9223A9" w:rsidR="002053A4" w:rsidRPr="00E95B72" w:rsidRDefault="002053A4" w:rsidP="00BE5CCD">
            <w:pPr>
              <w:spacing w:before="0"/>
            </w:pPr>
            <w:r w:rsidRPr="00E95B72">
              <w:t>Light, kindle or maintain campfire or barbeque using liquid fuel, gaseous fuel or chemical solid fuel and is in open air in regulated fire area unless ground and airspace within distance of 1.5</w:t>
            </w:r>
            <w:r w:rsidR="00653DBA">
              <w:t xml:space="preserve"> </w:t>
            </w:r>
            <w:r w:rsidRPr="00E95B72">
              <w:t>m</w:t>
            </w:r>
            <w:r w:rsidR="00653DBA">
              <w:t>etres</w:t>
            </w:r>
            <w:r w:rsidRPr="00E95B72">
              <w:t xml:space="preserve"> are clear of flammable material</w:t>
            </w:r>
          </w:p>
        </w:tc>
        <w:tc>
          <w:tcPr>
            <w:tcW w:w="0" w:type="auto"/>
          </w:tcPr>
          <w:p w14:paraId="505CDE46"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7</w:t>
            </w:r>
          </w:p>
        </w:tc>
      </w:tr>
      <w:tr w:rsidR="002053A4" w:rsidRPr="00E95B72" w14:paraId="73B895E8"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3285E62C" w14:textId="672D2B44" w:rsidR="002053A4" w:rsidRPr="00E95B72" w:rsidRDefault="002053A4" w:rsidP="00BE5CCD">
            <w:pPr>
              <w:spacing w:before="0"/>
            </w:pPr>
            <w:r w:rsidRPr="00E95B72">
              <w:t xml:space="preserve">Use </w:t>
            </w:r>
            <w:r w:rsidR="00653DBA">
              <w:t xml:space="preserve">of </w:t>
            </w:r>
            <w:r w:rsidRPr="00E95B72">
              <w:t>a stationary engine in a fire protected area during the prohibited period</w:t>
            </w:r>
          </w:p>
        </w:tc>
        <w:tc>
          <w:tcPr>
            <w:tcW w:w="0" w:type="auto"/>
          </w:tcPr>
          <w:p w14:paraId="55DBFE53"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2</w:t>
            </w:r>
          </w:p>
        </w:tc>
      </w:tr>
      <w:bookmarkEnd w:id="105"/>
      <w:tr w:rsidR="002053A4" w:rsidRPr="00E95B72" w14:paraId="64301B73" w14:textId="77777777" w:rsidTr="002A7049">
        <w:tc>
          <w:tcPr>
            <w:cnfStyle w:val="001000000000" w:firstRow="0" w:lastRow="0" w:firstColumn="1" w:lastColumn="0" w:oddVBand="0" w:evenVBand="0" w:oddHBand="0" w:evenHBand="0" w:firstRowFirstColumn="0" w:firstRowLastColumn="0" w:lastRowFirstColumn="0" w:lastRowLastColumn="0"/>
            <w:tcW w:w="0" w:type="auto"/>
            <w:shd w:val="clear" w:color="auto" w:fill="CCEFD9" w:themeFill="background2"/>
          </w:tcPr>
          <w:p w14:paraId="0B5BEABB" w14:textId="77777777" w:rsidR="002053A4" w:rsidRPr="00E95B72" w:rsidRDefault="002053A4" w:rsidP="00BE5CCD">
            <w:pPr>
              <w:spacing w:before="0"/>
              <w:rPr>
                <w:b/>
                <w:bCs/>
                <w:i/>
                <w:iCs/>
              </w:rPr>
            </w:pPr>
            <w:r w:rsidRPr="00E95B72">
              <w:rPr>
                <w:b/>
                <w:bCs/>
                <w:i/>
                <w:iCs/>
              </w:rPr>
              <w:t xml:space="preserve">Prosecutions </w:t>
            </w:r>
          </w:p>
        </w:tc>
        <w:tc>
          <w:tcPr>
            <w:tcW w:w="0" w:type="auto"/>
            <w:shd w:val="clear" w:color="auto" w:fill="CCEFD9" w:themeFill="background2"/>
          </w:tcPr>
          <w:p w14:paraId="6048CEBD"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rPr>
                <w:b/>
                <w:bCs/>
                <w:i/>
                <w:iCs/>
              </w:rPr>
            </w:pPr>
          </w:p>
        </w:tc>
      </w:tr>
      <w:tr w:rsidR="002053A4" w:rsidRPr="00E95B72" w14:paraId="26D59BA0"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2499EF1C" w14:textId="77777777" w:rsidR="002053A4" w:rsidRPr="00E95B72" w:rsidRDefault="002053A4" w:rsidP="00BE5CCD">
            <w:pPr>
              <w:spacing w:before="0"/>
            </w:pPr>
            <w:r w:rsidRPr="00E95B72">
              <w:t>Exceed the maximum area of a campfire or barbeque using solid fuel or the maximum dimension of any piece of solid fuel used</w:t>
            </w:r>
          </w:p>
        </w:tc>
        <w:tc>
          <w:tcPr>
            <w:tcW w:w="0" w:type="auto"/>
          </w:tcPr>
          <w:p w14:paraId="4076C0F7"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3</w:t>
            </w:r>
          </w:p>
        </w:tc>
      </w:tr>
      <w:tr w:rsidR="002053A4" w:rsidRPr="00E95B72" w14:paraId="5D093A41"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6BBFFF12" w14:textId="77777777" w:rsidR="002053A4" w:rsidRPr="00E95B72" w:rsidRDefault="002053A4" w:rsidP="00BE5CCD">
            <w:pPr>
              <w:spacing w:before="0"/>
            </w:pPr>
            <w:r w:rsidRPr="00E95B72">
              <w:t>Light of fire without authority</w:t>
            </w:r>
          </w:p>
        </w:tc>
        <w:tc>
          <w:tcPr>
            <w:tcW w:w="0" w:type="auto"/>
          </w:tcPr>
          <w:p w14:paraId="3FA94D5A"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24</w:t>
            </w:r>
          </w:p>
        </w:tc>
      </w:tr>
      <w:tr w:rsidR="002053A4" w:rsidRPr="00E95B72" w14:paraId="3EC0D7B1"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460CB12B" w14:textId="77777777" w:rsidR="002053A4" w:rsidRPr="00E95B72" w:rsidRDefault="002053A4" w:rsidP="00BE5CCD">
            <w:pPr>
              <w:spacing w:before="0"/>
            </w:pPr>
            <w:r w:rsidRPr="00E95B72">
              <w:t>Light, kindle or maintain campfire or barbeque using solid fuel and in the open air in regulated fire area unless ground and airspace within distance of 3m from outer perimeter and uppermost point of fire are clear of flammable material</w:t>
            </w:r>
          </w:p>
        </w:tc>
        <w:tc>
          <w:tcPr>
            <w:tcW w:w="0" w:type="auto"/>
          </w:tcPr>
          <w:p w14:paraId="6FF5AB7D"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22</w:t>
            </w:r>
          </w:p>
        </w:tc>
      </w:tr>
      <w:tr w:rsidR="002053A4" w:rsidRPr="00E95B72" w14:paraId="4582F0C2" w14:textId="77777777" w:rsidTr="002A7049">
        <w:tc>
          <w:tcPr>
            <w:cnfStyle w:val="001000000000" w:firstRow="0" w:lastRow="0" w:firstColumn="1" w:lastColumn="0" w:oddVBand="0" w:evenVBand="0" w:oddHBand="0" w:evenHBand="0" w:firstRowFirstColumn="0" w:firstRowLastColumn="0" w:lastRowFirstColumn="0" w:lastRowLastColumn="0"/>
            <w:tcW w:w="0" w:type="auto"/>
          </w:tcPr>
          <w:p w14:paraId="071F6FC1" w14:textId="77777777" w:rsidR="002053A4" w:rsidRPr="00E95B72" w:rsidRDefault="002053A4" w:rsidP="00BE5CCD">
            <w:pPr>
              <w:spacing w:before="0"/>
            </w:pPr>
            <w:r w:rsidRPr="00E95B72">
              <w:t>Outside line of sight</w:t>
            </w:r>
          </w:p>
        </w:tc>
        <w:tc>
          <w:tcPr>
            <w:tcW w:w="0" w:type="auto"/>
          </w:tcPr>
          <w:p w14:paraId="5C0EF968" w14:textId="77777777" w:rsidR="002053A4" w:rsidRPr="00E95B72" w:rsidRDefault="002053A4" w:rsidP="00653DBA">
            <w:pPr>
              <w:spacing w:before="0"/>
              <w:jc w:val="center"/>
              <w:cnfStyle w:val="000000000000" w:firstRow="0" w:lastRow="0" w:firstColumn="0" w:lastColumn="0" w:oddVBand="0" w:evenVBand="0" w:oddHBand="0" w:evenHBand="0" w:firstRowFirstColumn="0" w:firstRowLastColumn="0" w:lastRowFirstColumn="0" w:lastRowLastColumn="0"/>
            </w:pPr>
            <w:r w:rsidRPr="00E95B72">
              <w:t>25</w:t>
            </w:r>
          </w:p>
        </w:tc>
      </w:tr>
    </w:tbl>
    <w:p w14:paraId="4B5B247B" w14:textId="77777777" w:rsidR="002053A4" w:rsidRPr="00537B28" w:rsidRDefault="002053A4" w:rsidP="002053A4">
      <w:pPr>
        <w:autoSpaceDE w:val="0"/>
        <w:autoSpaceDN w:val="0"/>
        <w:adjustRightInd w:val="0"/>
        <w:spacing w:after="0"/>
        <w:rPr>
          <w:rFonts w:cs="Calibri Light"/>
          <w:szCs w:val="22"/>
        </w:rPr>
      </w:pPr>
    </w:p>
    <w:p w14:paraId="02937301" w14:textId="77777777" w:rsidR="002053A4" w:rsidRPr="00537B28" w:rsidRDefault="002053A4" w:rsidP="002053A4">
      <w:pPr>
        <w:rPr>
          <w:rFonts w:cs="Calibri Light"/>
          <w:szCs w:val="22"/>
        </w:rPr>
        <w:sectPr w:rsidR="002053A4" w:rsidRPr="00537B28" w:rsidSect="002053A4">
          <w:pgSz w:w="11906" w:h="16838"/>
          <w:pgMar w:top="1440" w:right="1440" w:bottom="1440" w:left="1440" w:header="708" w:footer="708" w:gutter="0"/>
          <w:cols w:space="708"/>
          <w:docGrid w:linePitch="360"/>
        </w:sectPr>
      </w:pPr>
    </w:p>
    <w:p w14:paraId="6DAFAB8D" w14:textId="4CE85F59" w:rsidR="002053A4" w:rsidRPr="00AB5B0C" w:rsidRDefault="002053A4" w:rsidP="002053A4">
      <w:pPr>
        <w:pStyle w:val="Heading1"/>
      </w:pPr>
      <w:bookmarkStart w:id="106" w:name="_Toc230939967"/>
      <w:bookmarkStart w:id="107" w:name="_Toc164599113"/>
      <w:bookmarkStart w:id="108" w:name="_Toc166926481"/>
      <w:bookmarkStart w:id="109" w:name="_Toc187330576"/>
      <w:r w:rsidRPr="00AB5B0C">
        <w:t>Consultation</w:t>
      </w:r>
      <w:bookmarkEnd w:id="106"/>
      <w:bookmarkEnd w:id="107"/>
      <w:bookmarkEnd w:id="108"/>
      <w:bookmarkEnd w:id="109"/>
    </w:p>
    <w:p w14:paraId="0755374A" w14:textId="74E1933C" w:rsidR="002053A4" w:rsidRPr="00537B28" w:rsidRDefault="002053A4" w:rsidP="002053A4">
      <w:pPr>
        <w:rPr>
          <w:rFonts w:cs="Calibri Light"/>
          <w:szCs w:val="22"/>
        </w:rPr>
      </w:pPr>
      <w:r w:rsidRPr="00537B28">
        <w:rPr>
          <w:rFonts w:cs="Calibri Light"/>
          <w:szCs w:val="22"/>
        </w:rPr>
        <w:t xml:space="preserve">During </w:t>
      </w:r>
      <w:r w:rsidRPr="00537B28">
        <w:rPr>
          <w:rFonts w:cs="Calibri Light"/>
          <w:bCs/>
          <w:szCs w:val="22"/>
          <w:lang w:val="en-US"/>
        </w:rPr>
        <w:t>the</w:t>
      </w:r>
      <w:r w:rsidRPr="00537B28">
        <w:rPr>
          <w:rFonts w:cs="Calibri Light"/>
          <w:szCs w:val="22"/>
        </w:rPr>
        <w:t xml:space="preserve"> development of this RIS </w:t>
      </w:r>
      <w:r w:rsidR="004763D3">
        <w:rPr>
          <w:rFonts w:cs="Calibri Light"/>
          <w:szCs w:val="22"/>
        </w:rPr>
        <w:t>of the following</w:t>
      </w:r>
      <w:r w:rsidRPr="00537B28">
        <w:rPr>
          <w:rFonts w:cs="Calibri Light"/>
          <w:szCs w:val="22"/>
        </w:rPr>
        <w:t xml:space="preserve"> stakeholders </w:t>
      </w:r>
      <w:r w:rsidR="004763D3">
        <w:rPr>
          <w:rFonts w:cs="Calibri Light"/>
          <w:szCs w:val="22"/>
        </w:rPr>
        <w:t xml:space="preserve">and Registered Aboriginal Parties </w:t>
      </w:r>
      <w:r w:rsidRPr="00537B28">
        <w:rPr>
          <w:rFonts w:cs="Calibri Light"/>
          <w:szCs w:val="22"/>
        </w:rPr>
        <w:t>were contacted seeking preliminary views on how the current Regulations could be improved. These groups included:</w:t>
      </w:r>
    </w:p>
    <w:p w14:paraId="6B36CE0C" w14:textId="77777777" w:rsidR="002053A4" w:rsidRPr="00E074E6" w:rsidRDefault="002053A4" w:rsidP="0057567B">
      <w:pPr>
        <w:pStyle w:val="ListParagraph"/>
        <w:numPr>
          <w:ilvl w:val="0"/>
          <w:numId w:val="23"/>
        </w:numPr>
        <w:spacing w:before="0" w:line="240" w:lineRule="auto"/>
        <w:ind w:left="284" w:hanging="284"/>
        <w:contextualSpacing w:val="0"/>
      </w:pPr>
      <w:r w:rsidRPr="00E074E6">
        <w:t>Victorian Apiarist Association Inc, and affiliated organisations in Gippsland and Central Victoria</w:t>
      </w:r>
    </w:p>
    <w:p w14:paraId="308B9D18" w14:textId="77777777" w:rsidR="002053A4" w:rsidRPr="00E074E6" w:rsidRDefault="002053A4" w:rsidP="0057567B">
      <w:pPr>
        <w:pStyle w:val="ListParagraph"/>
        <w:numPr>
          <w:ilvl w:val="0"/>
          <w:numId w:val="23"/>
        </w:numPr>
        <w:spacing w:before="0" w:line="240" w:lineRule="auto"/>
        <w:ind w:left="284" w:hanging="284"/>
        <w:contextualSpacing w:val="0"/>
      </w:pPr>
      <w:r>
        <w:t>A</w:t>
      </w:r>
      <w:r w:rsidRPr="00E074E6">
        <w:t xml:space="preserve"> sawmill operator</w:t>
      </w:r>
    </w:p>
    <w:p w14:paraId="31DD0DA9" w14:textId="77777777" w:rsidR="002053A4" w:rsidRDefault="002053A4" w:rsidP="0057567B">
      <w:pPr>
        <w:pStyle w:val="ListParagraph"/>
        <w:numPr>
          <w:ilvl w:val="0"/>
          <w:numId w:val="23"/>
        </w:numPr>
        <w:spacing w:before="0" w:line="240" w:lineRule="auto"/>
        <w:ind w:left="284" w:hanging="284"/>
        <w:contextualSpacing w:val="0"/>
      </w:pPr>
      <w:r w:rsidRPr="00CD0007">
        <w:t>Construction Material Processors Association</w:t>
      </w:r>
    </w:p>
    <w:p w14:paraId="0861DD8C" w14:textId="77777777" w:rsidR="002053A4" w:rsidRDefault="002053A4" w:rsidP="002A7049">
      <w:pPr>
        <w:spacing w:before="0" w:line="240" w:lineRule="auto"/>
      </w:pPr>
      <w:r>
        <w:t>The views are included in the relevant parts of the RIS.</w:t>
      </w:r>
    </w:p>
    <w:p w14:paraId="2C88A2AB" w14:textId="2A0D3ACA" w:rsidR="002053A4" w:rsidRPr="00537B28" w:rsidRDefault="002053A4" w:rsidP="002053A4">
      <w:r w:rsidRPr="00537B28">
        <w:t xml:space="preserve">The following Registered Aboriginal Parties </w:t>
      </w:r>
      <w:r w:rsidR="00A950DD">
        <w:t>have received an initial invitation and will continue to be consulted</w:t>
      </w:r>
      <w:r>
        <w:t xml:space="preserve"> on the Regulations</w:t>
      </w:r>
      <w:r w:rsidR="00A950DD">
        <w:t xml:space="preserve"> throughout </w:t>
      </w:r>
      <w:r w:rsidR="00AA602A">
        <w:t xml:space="preserve">the </w:t>
      </w:r>
      <w:r w:rsidR="00A950DD">
        <w:t>public consultation</w:t>
      </w:r>
      <w:r w:rsidR="00067BE0">
        <w:t xml:space="preserve"> period</w:t>
      </w:r>
      <w:r w:rsidRPr="00537B28">
        <w:t>:</w:t>
      </w:r>
    </w:p>
    <w:p w14:paraId="10D54341" w14:textId="77777777" w:rsidR="002053A4" w:rsidRPr="0024611F" w:rsidRDefault="002053A4" w:rsidP="0057567B">
      <w:pPr>
        <w:pStyle w:val="ListParagraph"/>
        <w:numPr>
          <w:ilvl w:val="0"/>
          <w:numId w:val="24"/>
        </w:numPr>
        <w:spacing w:before="0" w:line="240" w:lineRule="auto"/>
        <w:ind w:left="426"/>
        <w:contextualSpacing w:val="0"/>
      </w:pPr>
      <w:r w:rsidRPr="00537B28">
        <w:t xml:space="preserve">Barengi Gadjin </w:t>
      </w:r>
      <w:r w:rsidRPr="0024611F">
        <w:t>Land Council Aboriginal Corporation</w:t>
      </w:r>
    </w:p>
    <w:p w14:paraId="6081D2E1" w14:textId="77777777" w:rsidR="002053A4" w:rsidRPr="0024611F" w:rsidRDefault="002053A4" w:rsidP="0057567B">
      <w:pPr>
        <w:pStyle w:val="ListParagraph"/>
        <w:numPr>
          <w:ilvl w:val="0"/>
          <w:numId w:val="24"/>
        </w:numPr>
        <w:spacing w:before="0" w:line="240" w:lineRule="auto"/>
        <w:ind w:left="426"/>
        <w:contextualSpacing w:val="0"/>
      </w:pPr>
      <w:r w:rsidRPr="0024611F">
        <w:t>Bunurong Land Council Aboriginal Corporation</w:t>
      </w:r>
    </w:p>
    <w:p w14:paraId="6F83D967" w14:textId="77777777" w:rsidR="002053A4" w:rsidRPr="0024611F" w:rsidRDefault="002053A4" w:rsidP="0057567B">
      <w:pPr>
        <w:pStyle w:val="ListParagraph"/>
        <w:numPr>
          <w:ilvl w:val="0"/>
          <w:numId w:val="24"/>
        </w:numPr>
        <w:spacing w:before="0" w:line="240" w:lineRule="auto"/>
        <w:ind w:left="426"/>
        <w:contextualSpacing w:val="0"/>
      </w:pPr>
      <w:r w:rsidRPr="0024611F">
        <w:t xml:space="preserve">Dja Dja Wurrung Clans Aboriginal Corporation </w:t>
      </w:r>
    </w:p>
    <w:p w14:paraId="30383230" w14:textId="77777777" w:rsidR="002053A4" w:rsidRPr="0024611F" w:rsidRDefault="002053A4" w:rsidP="0057567B">
      <w:pPr>
        <w:pStyle w:val="ListParagraph"/>
        <w:numPr>
          <w:ilvl w:val="0"/>
          <w:numId w:val="24"/>
        </w:numPr>
        <w:spacing w:before="0" w:line="240" w:lineRule="auto"/>
        <w:ind w:left="426"/>
        <w:contextualSpacing w:val="0"/>
      </w:pPr>
      <w:r w:rsidRPr="0024611F">
        <w:t>Eastern Maar Aboriginal Corporation</w:t>
      </w:r>
    </w:p>
    <w:p w14:paraId="76EA3952" w14:textId="77777777" w:rsidR="002053A4" w:rsidRPr="0024611F" w:rsidRDefault="002053A4" w:rsidP="0057567B">
      <w:pPr>
        <w:pStyle w:val="ListParagraph"/>
        <w:numPr>
          <w:ilvl w:val="0"/>
          <w:numId w:val="24"/>
        </w:numPr>
        <w:spacing w:before="0" w:line="240" w:lineRule="auto"/>
        <w:ind w:left="426"/>
        <w:contextualSpacing w:val="0"/>
      </w:pPr>
      <w:r w:rsidRPr="0024611F">
        <w:t>First People of Millewa-Mallee Aboriginal Corporation</w:t>
      </w:r>
    </w:p>
    <w:p w14:paraId="12A5EF7C" w14:textId="77777777" w:rsidR="002053A4" w:rsidRPr="0024611F" w:rsidRDefault="002053A4" w:rsidP="0057567B">
      <w:pPr>
        <w:pStyle w:val="ListParagraph"/>
        <w:numPr>
          <w:ilvl w:val="0"/>
          <w:numId w:val="24"/>
        </w:numPr>
        <w:spacing w:before="0" w:line="240" w:lineRule="auto"/>
        <w:ind w:left="426"/>
        <w:contextualSpacing w:val="0"/>
      </w:pPr>
      <w:r w:rsidRPr="0024611F">
        <w:t>Gunaikurnai Land and Waters Aboriginal Corporation</w:t>
      </w:r>
    </w:p>
    <w:p w14:paraId="02E122B8" w14:textId="77777777" w:rsidR="002053A4" w:rsidRPr="0024611F" w:rsidRDefault="002053A4" w:rsidP="0057567B">
      <w:pPr>
        <w:pStyle w:val="ListParagraph"/>
        <w:numPr>
          <w:ilvl w:val="0"/>
          <w:numId w:val="24"/>
        </w:numPr>
        <w:spacing w:before="0" w:line="240" w:lineRule="auto"/>
        <w:ind w:left="426"/>
        <w:contextualSpacing w:val="0"/>
      </w:pPr>
      <w:r w:rsidRPr="0024611F">
        <w:t xml:space="preserve">Gunditj Mirring Traditional Owners Aboriginal Corporation </w:t>
      </w:r>
    </w:p>
    <w:p w14:paraId="11FDA8F0" w14:textId="77777777" w:rsidR="002053A4" w:rsidRPr="0024611F" w:rsidRDefault="002053A4" w:rsidP="0057567B">
      <w:pPr>
        <w:pStyle w:val="ListParagraph"/>
        <w:numPr>
          <w:ilvl w:val="0"/>
          <w:numId w:val="24"/>
        </w:numPr>
        <w:spacing w:before="0" w:line="240" w:lineRule="auto"/>
        <w:ind w:left="426"/>
        <w:contextualSpacing w:val="0"/>
      </w:pPr>
      <w:r w:rsidRPr="0024611F">
        <w:t>Taungurung Land and Waters Council Aboriginal Corporation</w:t>
      </w:r>
    </w:p>
    <w:p w14:paraId="4B46CC97" w14:textId="77777777" w:rsidR="002053A4" w:rsidRDefault="002053A4" w:rsidP="0057567B">
      <w:pPr>
        <w:pStyle w:val="ListParagraph"/>
        <w:numPr>
          <w:ilvl w:val="0"/>
          <w:numId w:val="24"/>
        </w:numPr>
        <w:spacing w:before="0" w:line="240" w:lineRule="auto"/>
        <w:ind w:left="426"/>
        <w:contextualSpacing w:val="0"/>
      </w:pPr>
      <w:r w:rsidRPr="0024611F">
        <w:t>Wadawurrung Traditional Owners Aboriginal Corporation</w:t>
      </w:r>
    </w:p>
    <w:p w14:paraId="626F7509" w14:textId="12F4F0B9" w:rsidR="00AF509F" w:rsidRPr="0024611F" w:rsidRDefault="00AF509F" w:rsidP="0057567B">
      <w:pPr>
        <w:pStyle w:val="ListParagraph"/>
        <w:numPr>
          <w:ilvl w:val="0"/>
          <w:numId w:val="24"/>
        </w:numPr>
        <w:spacing w:before="0" w:line="240" w:lineRule="auto"/>
        <w:ind w:left="426"/>
        <w:contextualSpacing w:val="0"/>
      </w:pPr>
      <w:r w:rsidRPr="00AF509F">
        <w:t>Wamba Wemba Aboriginal Corporation</w:t>
      </w:r>
    </w:p>
    <w:p w14:paraId="4FB1ECD1" w14:textId="77777777" w:rsidR="002053A4" w:rsidRPr="0024611F" w:rsidRDefault="002053A4" w:rsidP="0057567B">
      <w:pPr>
        <w:pStyle w:val="ListParagraph"/>
        <w:numPr>
          <w:ilvl w:val="0"/>
          <w:numId w:val="24"/>
        </w:numPr>
        <w:spacing w:before="0" w:line="240" w:lineRule="auto"/>
        <w:ind w:left="426"/>
        <w:contextualSpacing w:val="0"/>
      </w:pPr>
      <w:r w:rsidRPr="0024611F">
        <w:t>Wurundjeri Woi-wurrung Cultural Heritage Aboriginal Corporation</w:t>
      </w:r>
    </w:p>
    <w:p w14:paraId="77D6EBA8" w14:textId="77777777" w:rsidR="002053A4" w:rsidRDefault="002053A4" w:rsidP="0057567B">
      <w:pPr>
        <w:pStyle w:val="ListParagraph"/>
        <w:numPr>
          <w:ilvl w:val="0"/>
          <w:numId w:val="24"/>
        </w:numPr>
        <w:spacing w:before="0" w:line="240" w:lineRule="auto"/>
        <w:ind w:left="426"/>
        <w:contextualSpacing w:val="0"/>
      </w:pPr>
      <w:r w:rsidRPr="0024611F">
        <w:t>Yorta Yorta Nation Aboriginal</w:t>
      </w:r>
      <w:r w:rsidRPr="00537B28">
        <w:t xml:space="preserve"> Corporation</w:t>
      </w:r>
    </w:p>
    <w:p w14:paraId="3C35BC3B" w14:textId="2E82F906" w:rsidR="002053A4" w:rsidRDefault="002053A4" w:rsidP="002053A4">
      <w:pPr>
        <w:rPr>
          <w:rFonts w:cs="Calibri Light"/>
          <w:szCs w:val="22"/>
        </w:rPr>
      </w:pPr>
      <w:r w:rsidRPr="00537B28">
        <w:rPr>
          <w:rFonts w:cs="Calibri Light"/>
          <w:szCs w:val="22"/>
        </w:rPr>
        <w:t xml:space="preserve">Key themes that emerged from </w:t>
      </w:r>
      <w:r>
        <w:rPr>
          <w:rFonts w:cs="Calibri Light"/>
          <w:szCs w:val="22"/>
        </w:rPr>
        <w:t>industry and Tradition</w:t>
      </w:r>
      <w:r w:rsidR="00AF0F10">
        <w:rPr>
          <w:rFonts w:cs="Calibri Light"/>
          <w:szCs w:val="22"/>
        </w:rPr>
        <w:t>al</w:t>
      </w:r>
      <w:r>
        <w:rPr>
          <w:rFonts w:cs="Calibri Light"/>
          <w:szCs w:val="22"/>
        </w:rPr>
        <w:t xml:space="preserve"> Owner</w:t>
      </w:r>
      <w:r w:rsidRPr="00537B28">
        <w:rPr>
          <w:rFonts w:cs="Calibri Light"/>
          <w:szCs w:val="22"/>
        </w:rPr>
        <w:t xml:space="preserve"> consultation include</w:t>
      </w:r>
      <w:r>
        <w:rPr>
          <w:rFonts w:cs="Calibri Light"/>
          <w:szCs w:val="22"/>
        </w:rPr>
        <w:t>d:</w:t>
      </w:r>
    </w:p>
    <w:p w14:paraId="7482ECB6" w14:textId="043157AA" w:rsidR="002053A4" w:rsidRDefault="002053A4" w:rsidP="0057567B">
      <w:pPr>
        <w:pStyle w:val="ListParagraph"/>
        <w:numPr>
          <w:ilvl w:val="0"/>
          <w:numId w:val="22"/>
        </w:numPr>
        <w:spacing w:before="0" w:line="240" w:lineRule="auto"/>
        <w:ind w:left="426" w:hanging="426"/>
        <w:contextualSpacing w:val="0"/>
        <w:rPr>
          <w:rFonts w:cs="Calibri Light"/>
          <w:szCs w:val="22"/>
        </w:rPr>
      </w:pPr>
      <w:r>
        <w:rPr>
          <w:rFonts w:cs="Calibri Light"/>
          <w:szCs w:val="22"/>
        </w:rPr>
        <w:t>providing beekeeper</w:t>
      </w:r>
      <w:r w:rsidR="00BF39CD">
        <w:rPr>
          <w:rFonts w:cs="Calibri Light"/>
          <w:szCs w:val="22"/>
        </w:rPr>
        <w:t>s</w:t>
      </w:r>
      <w:r>
        <w:rPr>
          <w:rFonts w:cs="Calibri Light"/>
          <w:szCs w:val="22"/>
        </w:rPr>
        <w:t xml:space="preserve"> with the option of carrying a fire extinguisher in lieu of a knapsack</w:t>
      </w:r>
    </w:p>
    <w:p w14:paraId="5DBFF4AE" w14:textId="77777777" w:rsidR="002053A4" w:rsidRDefault="002053A4" w:rsidP="0057567B">
      <w:pPr>
        <w:pStyle w:val="ListParagraph"/>
        <w:numPr>
          <w:ilvl w:val="0"/>
          <w:numId w:val="22"/>
        </w:numPr>
        <w:spacing w:before="0" w:line="240" w:lineRule="auto"/>
        <w:ind w:left="426" w:hanging="426"/>
        <w:contextualSpacing w:val="0"/>
        <w:rPr>
          <w:rFonts w:cs="Calibri Light"/>
          <w:szCs w:val="22"/>
        </w:rPr>
      </w:pPr>
      <w:r>
        <w:rPr>
          <w:rFonts w:cs="Calibri Light"/>
          <w:szCs w:val="22"/>
        </w:rPr>
        <w:t>including the regulatory requirements on the licence</w:t>
      </w:r>
    </w:p>
    <w:p w14:paraId="281AAD13" w14:textId="3A972BED" w:rsidR="002053A4" w:rsidRDefault="002053A4" w:rsidP="0057567B">
      <w:pPr>
        <w:pStyle w:val="ListParagraph"/>
        <w:numPr>
          <w:ilvl w:val="0"/>
          <w:numId w:val="22"/>
        </w:numPr>
        <w:spacing w:before="0" w:line="240" w:lineRule="auto"/>
        <w:ind w:left="426" w:hanging="426"/>
        <w:contextualSpacing w:val="0"/>
        <w:rPr>
          <w:rFonts w:cs="Calibri Light"/>
          <w:szCs w:val="22"/>
        </w:rPr>
      </w:pPr>
      <w:r>
        <w:rPr>
          <w:rFonts w:cs="Calibri Light"/>
          <w:szCs w:val="22"/>
        </w:rPr>
        <w:t>changes to the start times when safety fuses and fuse lighters are allowed</w:t>
      </w:r>
      <w:r w:rsidR="00653DBA">
        <w:rPr>
          <w:rFonts w:cs="Calibri Light"/>
          <w:szCs w:val="22"/>
        </w:rPr>
        <w:t>, and</w:t>
      </w:r>
    </w:p>
    <w:p w14:paraId="0458BC31" w14:textId="547CF60B" w:rsidR="002053A4" w:rsidRPr="00CD0007" w:rsidRDefault="002053A4" w:rsidP="0057567B">
      <w:pPr>
        <w:pStyle w:val="ListParagraph"/>
        <w:numPr>
          <w:ilvl w:val="0"/>
          <w:numId w:val="22"/>
        </w:numPr>
        <w:spacing w:before="0" w:line="240" w:lineRule="auto"/>
        <w:ind w:left="426" w:hanging="426"/>
        <w:contextualSpacing w:val="0"/>
        <w:rPr>
          <w:rFonts w:cs="Calibri Light"/>
          <w:szCs w:val="22"/>
        </w:rPr>
      </w:pPr>
      <w:r w:rsidRPr="007144E5">
        <w:rPr>
          <w:rFonts w:cs="Calibri Light"/>
          <w:szCs w:val="22"/>
        </w:rPr>
        <w:t>Traditional Owner groups highlighted</w:t>
      </w:r>
      <w:r>
        <w:rPr>
          <w:rFonts w:cs="Calibri Light"/>
          <w:szCs w:val="22"/>
        </w:rPr>
        <w:t xml:space="preserve"> </w:t>
      </w:r>
      <w:r w:rsidRPr="007144E5">
        <w:rPr>
          <w:rFonts w:cs="Calibri Light"/>
          <w:szCs w:val="22"/>
        </w:rPr>
        <w:t xml:space="preserve">the risk to </w:t>
      </w:r>
      <w:r w:rsidR="00BF39CD">
        <w:rPr>
          <w:rFonts w:cs="Calibri Light"/>
          <w:szCs w:val="22"/>
        </w:rPr>
        <w:t>Abo</w:t>
      </w:r>
      <w:r w:rsidR="006158E3">
        <w:rPr>
          <w:rFonts w:cs="Calibri Light"/>
          <w:szCs w:val="22"/>
        </w:rPr>
        <w:t>riginal C</w:t>
      </w:r>
      <w:r w:rsidR="00BF39CD" w:rsidRPr="007144E5">
        <w:rPr>
          <w:rFonts w:cs="Calibri Light"/>
          <w:szCs w:val="22"/>
        </w:rPr>
        <w:t xml:space="preserve">ultural </w:t>
      </w:r>
      <w:r w:rsidR="006158E3">
        <w:rPr>
          <w:rFonts w:cs="Calibri Light"/>
          <w:szCs w:val="22"/>
        </w:rPr>
        <w:t>H</w:t>
      </w:r>
      <w:r w:rsidR="006158E3" w:rsidRPr="007144E5">
        <w:rPr>
          <w:rFonts w:cs="Calibri Light"/>
          <w:szCs w:val="22"/>
        </w:rPr>
        <w:t xml:space="preserve">eritage </w:t>
      </w:r>
      <w:r w:rsidRPr="007144E5">
        <w:rPr>
          <w:rFonts w:cs="Calibri Light"/>
          <w:szCs w:val="22"/>
        </w:rPr>
        <w:t>and proximity of sites of cultural significance to waterways</w:t>
      </w:r>
      <w:r w:rsidR="00653DBA">
        <w:rPr>
          <w:rFonts w:cs="Calibri Light"/>
          <w:szCs w:val="22"/>
        </w:rPr>
        <w:t>.</w:t>
      </w:r>
    </w:p>
    <w:p w14:paraId="5B3864B0" w14:textId="7148AE79" w:rsidR="002053A4" w:rsidRPr="00537B28" w:rsidRDefault="002053A4" w:rsidP="002053A4">
      <w:pPr>
        <w:rPr>
          <w:rFonts w:cs="Calibri Light"/>
          <w:szCs w:val="22"/>
          <w:lang w:val="en-US"/>
        </w:rPr>
      </w:pPr>
      <w:r>
        <w:rPr>
          <w:rFonts w:cs="Calibri Light"/>
          <w:szCs w:val="22"/>
        </w:rPr>
        <w:t xml:space="preserve">Areas of </w:t>
      </w:r>
      <w:r w:rsidRPr="00537B28">
        <w:rPr>
          <w:rFonts w:cs="Calibri Light"/>
          <w:szCs w:val="22"/>
        </w:rPr>
        <w:t xml:space="preserve">DEECA, including the Conservation Regulator, </w:t>
      </w:r>
      <w:r>
        <w:rPr>
          <w:rFonts w:cs="Calibri Light"/>
          <w:szCs w:val="22"/>
        </w:rPr>
        <w:t>were</w:t>
      </w:r>
      <w:r w:rsidRPr="00537B28">
        <w:rPr>
          <w:rFonts w:cs="Calibri Light"/>
          <w:szCs w:val="22"/>
        </w:rPr>
        <w:t xml:space="preserve"> extensively consulted to draw on </w:t>
      </w:r>
      <w:r w:rsidRPr="00537B28" w:rsidDel="00B341DE">
        <w:rPr>
          <w:rFonts w:cs="Calibri Light"/>
          <w:szCs w:val="22"/>
        </w:rPr>
        <w:t xml:space="preserve">its </w:t>
      </w:r>
      <w:r w:rsidRPr="00537B28">
        <w:rPr>
          <w:rFonts w:cs="Calibri Light"/>
          <w:szCs w:val="22"/>
        </w:rPr>
        <w:t>experience of the operation of the current Regulations and also provided statistics and data on numbers of infringements and penalties.</w:t>
      </w:r>
    </w:p>
    <w:p w14:paraId="0228DC21" w14:textId="5BEF388A" w:rsidR="006D6AD8" w:rsidRDefault="002053A4" w:rsidP="002053A4">
      <w:pPr>
        <w:rPr>
          <w:rFonts w:cs="Calibri Light"/>
          <w:szCs w:val="22"/>
        </w:rPr>
      </w:pPr>
      <w:r w:rsidRPr="00537B28">
        <w:rPr>
          <w:rFonts w:cs="Calibri Light"/>
          <w:szCs w:val="22"/>
        </w:rPr>
        <w:t>The Regulations project team established an internal DEECA working group to review the current Regulations and has consulted subject matter experts across the Bushfire and Forest Services Group, Legal and Legislation Division, First Peoples Self-Determination</w:t>
      </w:r>
      <w:r w:rsidR="00B341DE">
        <w:rPr>
          <w:rFonts w:cs="Calibri Light"/>
          <w:szCs w:val="22"/>
        </w:rPr>
        <w:t xml:space="preserve"> Division</w:t>
      </w:r>
      <w:r w:rsidRPr="00537B28">
        <w:rPr>
          <w:rFonts w:cs="Calibri Light"/>
          <w:szCs w:val="22"/>
        </w:rPr>
        <w:t xml:space="preserve">, </w:t>
      </w:r>
      <w:r w:rsidRPr="007612AD">
        <w:rPr>
          <w:rFonts w:cs="Calibri Light"/>
          <w:szCs w:val="22"/>
        </w:rPr>
        <w:t>Parks Victoria,</w:t>
      </w:r>
      <w:r w:rsidRPr="00537B28">
        <w:rPr>
          <w:rFonts w:cs="Calibri Light"/>
          <w:szCs w:val="22"/>
        </w:rPr>
        <w:t xml:space="preserve"> Forestry </w:t>
      </w:r>
      <w:r w:rsidR="00AC7657">
        <w:rPr>
          <w:rFonts w:cs="Calibri Light"/>
          <w:szCs w:val="22"/>
        </w:rPr>
        <w:t>Industry</w:t>
      </w:r>
      <w:r w:rsidRPr="00537B28">
        <w:rPr>
          <w:rFonts w:cs="Calibri Light"/>
          <w:szCs w:val="22"/>
        </w:rPr>
        <w:t>, Agriculture Victoria, Public Land, and Regions. The DEECA-facilitated Cultural Fire Community of Practice was also consulted.</w:t>
      </w:r>
    </w:p>
    <w:p w14:paraId="0901867E" w14:textId="77777777" w:rsidR="006D6AD8" w:rsidRDefault="006D6AD8" w:rsidP="006D6AD8">
      <w:pPr>
        <w:pStyle w:val="Heading1"/>
        <w:numPr>
          <w:ilvl w:val="0"/>
          <w:numId w:val="0"/>
        </w:numPr>
        <w:sectPr w:rsidR="006D6AD8" w:rsidSect="005C24D2">
          <w:pgSz w:w="11907" w:h="16839" w:code="9"/>
          <w:pgMar w:top="1134" w:right="1134" w:bottom="1134" w:left="1134" w:header="283" w:footer="283" w:gutter="0"/>
          <w:cols w:space="720"/>
          <w:noEndnote/>
          <w:docGrid w:linePitch="360"/>
        </w:sectPr>
      </w:pPr>
    </w:p>
    <w:p w14:paraId="74919775" w14:textId="77777777" w:rsidR="006D6AD8" w:rsidRPr="00AB5B0C" w:rsidRDefault="006D6AD8" w:rsidP="006D6AD8">
      <w:pPr>
        <w:pStyle w:val="Heading1"/>
        <w:numPr>
          <w:ilvl w:val="0"/>
          <w:numId w:val="0"/>
        </w:numPr>
      </w:pPr>
      <w:bookmarkStart w:id="110" w:name="_Toc187330577"/>
      <w:r w:rsidRPr="00AB5B0C">
        <w:t>Appendix A: Cost calculations</w:t>
      </w:r>
      <w:bookmarkEnd w:id="110"/>
    </w:p>
    <w:p w14:paraId="3329426C" w14:textId="7230DA59" w:rsidR="00F3478F" w:rsidRPr="00F3478F" w:rsidRDefault="00F3478F" w:rsidP="00F3478F">
      <w:r>
        <w:t>The Standard Cost Model (SCM) is a method for determining the administrative burdens for businesses imposed by regulation. Its inputs include a: tariff (the cost of a person’s time or cost of equipment); time taken to undertake a regulatory task; population (how many persons or businesses are affected by the regulatory); and frequency (how often a regulatory event occurs annually). These inputs are multiplied to obtain an industry or sector cost of the regulation.</w:t>
      </w:r>
    </w:p>
    <w:p w14:paraId="106C4990" w14:textId="2290B681" w:rsidR="006D6AD8" w:rsidRPr="0082592A" w:rsidRDefault="006D6AD8" w:rsidP="00680FDF">
      <w:pPr>
        <w:pStyle w:val="Heading4"/>
        <w:numPr>
          <w:ilvl w:val="0"/>
          <w:numId w:val="0"/>
        </w:numPr>
      </w:pPr>
      <w:bookmarkStart w:id="111" w:name="_Toc187330578"/>
      <w:r w:rsidRPr="0082592A">
        <w:t>Tariff</w:t>
      </w:r>
      <w:r>
        <w:t xml:space="preserve"> – Value of </w:t>
      </w:r>
      <w:r w:rsidR="001A3B2D">
        <w:t>regulated partie</w:t>
      </w:r>
      <w:r>
        <w:t>s’ time and cost of fire suppression equipment</w:t>
      </w:r>
      <w:bookmarkEnd w:id="111"/>
    </w:p>
    <w:p w14:paraId="254ECCA4" w14:textId="35C9F398" w:rsidR="006D6AD8" w:rsidRDefault="006D6AD8" w:rsidP="006D6AD8">
      <w:r>
        <w:t>As a proxy for valuing an hour of a</w:t>
      </w:r>
      <w:r w:rsidR="00532935">
        <w:t xml:space="preserve"> regulated party’s</w:t>
      </w:r>
      <w:r>
        <w:t xml:space="preserve"> time, the following formula is given:</w:t>
      </w:r>
    </w:p>
    <w:p w14:paraId="5B0D7350" w14:textId="77777777" w:rsidR="006D6AD8" w:rsidRDefault="006D6AD8" w:rsidP="006D6AD8">
      <w:pPr>
        <w:ind w:left="567"/>
      </w:pPr>
      <w:r>
        <w:t>HRx = (AEx/AWx x AHx), where:</w:t>
      </w:r>
    </w:p>
    <w:p w14:paraId="2E0DA5B2" w14:textId="77777777" w:rsidR="006D6AD8" w:rsidRDefault="006D6AD8" w:rsidP="006D6AD8">
      <w:pPr>
        <w:ind w:left="567"/>
      </w:pPr>
      <w:r>
        <w:t xml:space="preserve">AEx = average weekly earnings multiplied by 52; </w:t>
      </w:r>
    </w:p>
    <w:p w14:paraId="5C9A6B23" w14:textId="77777777" w:rsidR="006D6AD8" w:rsidRDefault="006D6AD8" w:rsidP="006D6AD8">
      <w:pPr>
        <w:ind w:left="567"/>
      </w:pPr>
      <w:r>
        <w:t xml:space="preserve">AWx = number of weeks worked per annum (44 weeks); </w:t>
      </w:r>
    </w:p>
    <w:p w14:paraId="2B0D16E0" w14:textId="77777777" w:rsidR="006D6AD8" w:rsidRDefault="006D6AD8" w:rsidP="006D6AD8">
      <w:pPr>
        <w:ind w:left="567"/>
      </w:pPr>
      <w:r>
        <w:t>AHx = average weekly hours for full time workers (41 hours)</w:t>
      </w:r>
    </w:p>
    <w:p w14:paraId="30335E33" w14:textId="1F92D734" w:rsidR="006D6AD8" w:rsidRDefault="006D6AD8" w:rsidP="006D6AD8">
      <w:r>
        <w:t xml:space="preserve">This provides an hourly value of a person’s time of </w:t>
      </w:r>
      <w:r w:rsidRPr="0082592A">
        <w:t>$59.81</w:t>
      </w:r>
      <w:r>
        <w:t xml:space="preserve"> (i.e. $1,923.40</w:t>
      </w:r>
      <w:r w:rsidRPr="00EE389F">
        <w:rPr>
          <w:rStyle w:val="FootnoteReference"/>
          <w:rFonts w:cs="Calibri Light"/>
          <w:szCs w:val="22"/>
        </w:rPr>
        <w:footnoteReference w:id="73"/>
      </w:r>
      <w:r w:rsidRPr="00EE389F">
        <w:rPr>
          <w:rFonts w:cs="Calibri Light"/>
          <w:szCs w:val="22"/>
        </w:rPr>
        <w:t xml:space="preserve"> </w:t>
      </w:r>
      <w:r>
        <w:t xml:space="preserve">x 52 divided by (44 x 41)). In the case of businesses, labour on-costs are included. The $59.81 figure is grossed-up by a factor of 1.75 to take account of these costs. This provides an hourly rate for businesses of </w:t>
      </w:r>
      <w:r w:rsidRPr="00E22799">
        <w:rPr>
          <w:b/>
          <w:bCs/>
        </w:rPr>
        <w:t>$104.68</w:t>
      </w:r>
      <w:r>
        <w:t>.</w:t>
      </w:r>
    </w:p>
    <w:p w14:paraId="3DB1A7AA" w14:textId="77777777" w:rsidR="006D6AD8" w:rsidRDefault="006D6AD8" w:rsidP="006D6AD8">
      <w:r>
        <w:t>The calculations of substantive compliance costs (e.g. the requirement to possess equipment) raises the issue of ‘incremental costs’ imposed by the regulations. It became clear during consultation that in the vast majority of cases, businesses would have acquired such equipment in any case. In fact, most businesses appeared to exceed the minimum requirements.</w:t>
      </w:r>
    </w:p>
    <w:p w14:paraId="6379F621" w14:textId="37BE9466" w:rsidR="006D6AD8" w:rsidRDefault="006D6AD8" w:rsidP="006D6AD8">
      <w:r>
        <w:t xml:space="preserve">The cost of equipment for bee farming is estimated at </w:t>
      </w:r>
      <w:r w:rsidRPr="006E2735">
        <w:rPr>
          <w:b/>
          <w:bCs/>
        </w:rPr>
        <w:t>$410</w:t>
      </w:r>
      <w:r>
        <w:t xml:space="preserve">. This consists of the cost of a rakehoe ($100), firefighting knapsack ($300), dry chemical fire extinguisher ($90), and steel bucket ($20). For the purposes of this RIS the frequency of purchase of these goods is once per 10 years. This is a conservative estimate since </w:t>
      </w:r>
      <w:r w:rsidR="00AC17BA">
        <w:t>well-maintained</w:t>
      </w:r>
      <w:r>
        <w:t xml:space="preserve"> rakehoes, buckets and knapsacks can potentially last for decades. Fire extinguishers should be replaced every 10-12 years.</w:t>
      </w:r>
    </w:p>
    <w:p w14:paraId="45A6AA5C" w14:textId="1C415298" w:rsidR="006D6AD8" w:rsidRDefault="00AC17BA" w:rsidP="006D6AD8">
      <w:r>
        <w:t xml:space="preserve">Required fire </w:t>
      </w:r>
      <w:r w:rsidR="006D6AD8">
        <w:t>suppression equipment in relation to stationery and non-stationery engines, and for certain activities such as w</w:t>
      </w:r>
      <w:r w:rsidR="006D6AD8" w:rsidRPr="006E2735">
        <w:t>elding, grinding, soldering or gas-cutting equipment</w:t>
      </w:r>
      <w:r w:rsidR="006D6AD8">
        <w:t xml:space="preserve">, if there is no adequate supply of water, </w:t>
      </w:r>
      <w:r w:rsidR="00EC005A">
        <w:t xml:space="preserve">is </w:t>
      </w:r>
      <w:r w:rsidR="006D6AD8">
        <w:t xml:space="preserve">a knapsack </w:t>
      </w:r>
      <w:r w:rsidR="006D6AD8" w:rsidRPr="00BD5A23">
        <w:rPr>
          <w:i/>
          <w:iCs/>
        </w:rPr>
        <w:t>or</w:t>
      </w:r>
      <w:r w:rsidR="006D6AD8">
        <w:t xml:space="preserve"> a </w:t>
      </w:r>
      <w:r w:rsidR="00964E96">
        <w:t>9-litre</w:t>
      </w:r>
      <w:r w:rsidR="006D6AD8">
        <w:t xml:space="preserve"> dry chemical fire extinguisher. The lowest compliance options of the fire extinguisher ($90) </w:t>
      </w:r>
      <w:r w:rsidR="008F57CC">
        <w:t>are</w:t>
      </w:r>
      <w:r w:rsidR="006D6AD8">
        <w:t xml:space="preserve"> used to estimate these costs. Costs of fire suppression equipment were obtained from a desktop search of products on the internet sold by hardware stores and specialist firefighting equipment retailers.</w:t>
      </w:r>
    </w:p>
    <w:p w14:paraId="76FDA7E9" w14:textId="77777777" w:rsidR="006D6AD8" w:rsidRPr="003C3142" w:rsidRDefault="006D6AD8" w:rsidP="00680FDF">
      <w:pPr>
        <w:pStyle w:val="Heading4"/>
        <w:numPr>
          <w:ilvl w:val="0"/>
          <w:numId w:val="0"/>
        </w:numPr>
      </w:pPr>
      <w:bookmarkStart w:id="112" w:name="_Toc187330579"/>
      <w:r w:rsidRPr="003C3142">
        <w:t>Frequency</w:t>
      </w:r>
      <w:bookmarkEnd w:id="112"/>
    </w:p>
    <w:p w14:paraId="541AD297" w14:textId="0BC34EFC" w:rsidR="006D6AD8" w:rsidRDefault="006D6AD8" w:rsidP="006D6AD8">
      <w:r>
        <w:t>Frequency</w:t>
      </w:r>
      <w:r w:rsidR="000F2C51">
        <w:t xml:space="preserve"> </w:t>
      </w:r>
      <w:r>
        <w:t>refers to the number of times a regulatory activity occurs per annum. Information was obtained from DEECA and industry consultation.</w:t>
      </w:r>
      <w:r w:rsidR="007D49B5" w:rsidRPr="007D49B5">
        <w:t xml:space="preserve"> </w:t>
      </w:r>
      <w:r w:rsidR="007D49B5">
        <w:t>A</w:t>
      </w:r>
      <w:r w:rsidR="007D49B5" w:rsidRPr="00BD5A23">
        <w:t xml:space="preserve"> </w:t>
      </w:r>
      <w:r w:rsidR="007D49B5">
        <w:t>‘</w:t>
      </w:r>
      <w:r w:rsidR="007D49B5" w:rsidRPr="00D84C40">
        <w:t>notice in writing</w:t>
      </w:r>
      <w:r w:rsidR="007D49B5">
        <w:t>’</w:t>
      </w:r>
      <w:r w:rsidR="007D49B5" w:rsidRPr="00D84C40">
        <w:t xml:space="preserve"> given to a person</w:t>
      </w:r>
      <w:r w:rsidR="007D49B5">
        <w:t xml:space="preserve"> by an authorised officer (see </w:t>
      </w:r>
      <w:r w:rsidR="0099552B">
        <w:t>regulation</w:t>
      </w:r>
      <w:r w:rsidR="007D49B5">
        <w:t xml:space="preserve"> 8) is usually issued on an annual basis.</w:t>
      </w:r>
    </w:p>
    <w:p w14:paraId="5F19AD01" w14:textId="77777777" w:rsidR="005D0282" w:rsidRPr="003C3142" w:rsidRDefault="005D0282" w:rsidP="005D0282">
      <w:pPr>
        <w:pStyle w:val="Heading4"/>
        <w:numPr>
          <w:ilvl w:val="0"/>
          <w:numId w:val="0"/>
        </w:numPr>
      </w:pPr>
      <w:bookmarkStart w:id="113" w:name="_Toc187330580"/>
      <w:r w:rsidRPr="003C3142">
        <w:t>Population</w:t>
      </w:r>
      <w:bookmarkEnd w:id="113"/>
    </w:p>
    <w:p w14:paraId="2C9608F1" w14:textId="13A04255" w:rsidR="000F2C51" w:rsidRDefault="005D0282" w:rsidP="005D0282">
      <w:r>
        <w:t>Population</w:t>
      </w:r>
      <w:r>
        <w:rPr>
          <w:rFonts w:cstheme="minorHAnsi"/>
        </w:rPr>
        <w:t xml:space="preserve"> </w:t>
      </w:r>
      <w:r w:rsidR="0099552B">
        <w:rPr>
          <w:rFonts w:cstheme="minorHAnsi"/>
        </w:rPr>
        <w:t>refers to</w:t>
      </w:r>
      <w:r>
        <w:t xml:space="preserve"> the number of persons or businesses subject to the regulations. Information was obtained from DEECA.</w:t>
      </w:r>
    </w:p>
    <w:p w14:paraId="1BB45FE4" w14:textId="77777777" w:rsidR="006D6AD8" w:rsidRPr="003C3142" w:rsidRDefault="006D6AD8" w:rsidP="00680FDF">
      <w:pPr>
        <w:pStyle w:val="Heading4"/>
        <w:numPr>
          <w:ilvl w:val="0"/>
          <w:numId w:val="0"/>
        </w:numPr>
      </w:pPr>
      <w:bookmarkStart w:id="114" w:name="_Toc187330581"/>
      <w:r w:rsidRPr="003C3142">
        <w:t>Government costs</w:t>
      </w:r>
      <w:bookmarkEnd w:id="114"/>
    </w:p>
    <w:p w14:paraId="71CF6E90" w14:textId="037F49B2" w:rsidR="006D6AD8" w:rsidRDefault="006D6AD8" w:rsidP="006D6AD8">
      <w:r>
        <w:t xml:space="preserve">Enforcement costs proved difficult to estimate and posed methodological challenges. In 2022-23, 40 enforcement officers issued infringement notices under the regulations. </w:t>
      </w:r>
      <w:r w:rsidR="001A7FC8">
        <w:t>A weighted average annual salary of a typical DEECA enforcement team</w:t>
      </w:r>
      <w:r w:rsidR="001A7FC8">
        <w:rPr>
          <w:rStyle w:val="FootnoteReference"/>
        </w:rPr>
        <w:footnoteReference w:id="74"/>
      </w:r>
      <w:r w:rsidR="001A7FC8">
        <w:t xml:space="preserve"> was estimated to be $</w:t>
      </w:r>
      <w:r w:rsidR="001A7FC8" w:rsidRPr="00316157">
        <w:rPr>
          <w:b/>
          <w:bCs/>
        </w:rPr>
        <w:t>108,616</w:t>
      </w:r>
      <w:r w:rsidRPr="000C55DB">
        <w:t xml:space="preserve"> </w:t>
      </w:r>
      <w:r>
        <w:t>(1 May 2024)</w:t>
      </w:r>
      <w:r w:rsidR="007D49B5">
        <w:t>.</w:t>
      </w:r>
      <w:r>
        <w:rPr>
          <w:rStyle w:val="FootnoteReference"/>
        </w:rPr>
        <w:footnoteReference w:id="75"/>
      </w:r>
      <w:r>
        <w:t xml:space="preserve"> This salary has been grossed-up by a factor of 1.75 to account for labour and corporate on-costs, which obtains an annual salary cost of $</w:t>
      </w:r>
      <w:r w:rsidR="007D49B5">
        <w:t>7.6</w:t>
      </w:r>
      <w:r>
        <w:t xml:space="preserve"> million. Of this salary bill, it is assumed that 2.5 per cent of authorised officers’ duties involve enforcing the proposed Regulations. This estimate is based on discussions with DEECA and its authorised officers but should be regarded as indicative. While this estimate is considered reasonable, other factors such as what proportion should be attributable to the Act (rather than the regulations alone), and other laws and regulations that authorised officers are required to enforce, make a precise estimate difficult. </w:t>
      </w:r>
    </w:p>
    <w:p w14:paraId="3DD1881E" w14:textId="77777777" w:rsidR="006D6AD8" w:rsidRPr="0082592A" w:rsidRDefault="006D6AD8" w:rsidP="00680FDF">
      <w:pPr>
        <w:pStyle w:val="Heading4"/>
        <w:numPr>
          <w:ilvl w:val="0"/>
          <w:numId w:val="0"/>
        </w:numPr>
      </w:pPr>
      <w:bookmarkStart w:id="115" w:name="_Toc187330582"/>
      <w:r w:rsidRPr="0082592A">
        <w:t>Discount rate</w:t>
      </w:r>
      <w:bookmarkEnd w:id="115"/>
    </w:p>
    <w:p w14:paraId="1B6F358D" w14:textId="05DEB17A" w:rsidR="00977EA0" w:rsidRDefault="006D6AD8" w:rsidP="003D47B1">
      <w:pPr>
        <w:rPr>
          <w:rStyle w:val="IntenseQuoteChar"/>
          <w:rFonts w:cs="Calibri Light"/>
          <w:szCs w:val="22"/>
        </w:rPr>
      </w:pPr>
      <w:r>
        <w:t>Annual costs are discounted by a real discount rate of 7 per cent.</w:t>
      </w:r>
      <w:r>
        <w:rPr>
          <w:rStyle w:val="FootnoteReference"/>
        </w:rPr>
        <w:footnoteReference w:id="76"/>
      </w:r>
    </w:p>
    <w:p w14:paraId="34AB33A9" w14:textId="658C04B0" w:rsidR="00AC5270" w:rsidRDefault="00AC5270" w:rsidP="00AC5270">
      <w:bookmarkStart w:id="116" w:name="_Toc182126084"/>
      <w:r>
        <w:br w:type="page"/>
      </w:r>
    </w:p>
    <w:p w14:paraId="14CE816D" w14:textId="490AD2B6" w:rsidR="00AC5270" w:rsidRPr="00AB5B0C" w:rsidRDefault="00AC5270" w:rsidP="00AC5270">
      <w:pPr>
        <w:pStyle w:val="Heading1"/>
        <w:numPr>
          <w:ilvl w:val="0"/>
          <w:numId w:val="0"/>
        </w:numPr>
      </w:pPr>
      <w:bookmarkStart w:id="117" w:name="_Toc187330583"/>
      <w:r w:rsidRPr="00AB5B0C">
        <w:t xml:space="preserve">Appendix </w:t>
      </w:r>
      <w:r>
        <w:t>B</w:t>
      </w:r>
      <w:r w:rsidRPr="00AB5B0C">
        <w:t xml:space="preserve">: </w:t>
      </w:r>
      <w:r>
        <w:t>Multi-criteria Analysis decision making tool</w:t>
      </w:r>
      <w:bookmarkEnd w:id="117"/>
    </w:p>
    <w:p w14:paraId="40B61FF1" w14:textId="05A66527" w:rsidR="00A763E9" w:rsidRDefault="00AC5270" w:rsidP="00363076">
      <w:pPr>
        <w:rPr>
          <w:rFonts w:ascii="Arial" w:hAnsi="Arial" w:cs="Arial"/>
        </w:rPr>
      </w:pPr>
      <w:r>
        <w:rPr>
          <w:rFonts w:ascii="Arial" w:hAnsi="Arial" w:cs="Arial"/>
        </w:rPr>
        <w:t>T</w:t>
      </w:r>
      <w:r w:rsidRPr="00A41F5F">
        <w:rPr>
          <w:rFonts w:ascii="Arial" w:hAnsi="Arial" w:cs="Arial"/>
        </w:rPr>
        <w:t>he multi-criteria analysis (MCA) decision making tool to is used to assess costs and benefits where the</w:t>
      </w:r>
      <w:r>
        <w:rPr>
          <w:rFonts w:ascii="Arial" w:hAnsi="Arial" w:cs="Arial"/>
        </w:rPr>
        <w:t>se</w:t>
      </w:r>
      <w:r w:rsidRPr="00A41F5F">
        <w:rPr>
          <w:rFonts w:ascii="Arial" w:hAnsi="Arial" w:cs="Arial"/>
        </w:rPr>
        <w:t xml:space="preserve"> are difficult to quantify. This tool requires judgements about how options would perform against a series of criteria that are chosen to reflect the benefits and costs associated with the options.</w:t>
      </w:r>
      <w:r>
        <w:rPr>
          <w:rFonts w:ascii="Arial" w:hAnsi="Arial" w:cs="Arial"/>
        </w:rPr>
        <w:t xml:space="preserve"> </w:t>
      </w:r>
      <w:r w:rsidRPr="00A41F5F">
        <w:rPr>
          <w:rFonts w:ascii="Arial" w:hAnsi="Arial" w:cs="Arial"/>
        </w:rPr>
        <w:t>A</w:t>
      </w:r>
      <w:r w:rsidR="00363076">
        <w:rPr>
          <w:rFonts w:ascii="Arial" w:hAnsi="Arial" w:cs="Arial"/>
        </w:rPr>
        <w:t>n MCA</w:t>
      </w:r>
      <w:r w:rsidRPr="00A41F5F">
        <w:rPr>
          <w:rFonts w:ascii="Arial" w:hAnsi="Arial" w:cs="Arial"/>
        </w:rPr>
        <w:t xml:space="preserve"> score is assigned, depending on the likely impact of the proposal on each of the criterion, and an overall score can be derived by multiplying the score assigned to each criterion by the relative weighting given to each criterion, and summing the result. An assigned score of zero (0) represents the same outcome as the base case, while a score of plus ten (+10) means an option has significant benefits. A score of minus ten (–10) means that the proposal has significant costs. </w:t>
      </w:r>
      <w:r w:rsidR="00A763E9">
        <w:rPr>
          <w:rFonts w:ascii="Arial" w:hAnsi="Arial" w:cs="Arial"/>
        </w:rPr>
        <w:t xml:space="preserve">If an </w:t>
      </w:r>
      <w:r w:rsidR="00A763E9" w:rsidRPr="00A41F5F">
        <w:rPr>
          <w:rFonts w:ascii="Arial" w:hAnsi="Arial" w:cs="Arial"/>
        </w:rPr>
        <w:t>option</w:t>
      </w:r>
      <w:r w:rsidR="00A763E9">
        <w:rPr>
          <w:rFonts w:ascii="Arial" w:hAnsi="Arial" w:cs="Arial"/>
        </w:rPr>
        <w:t xml:space="preserve"> receives a positive net MCA score</w:t>
      </w:r>
      <w:r w:rsidR="00A763E9" w:rsidRPr="00A41F5F">
        <w:rPr>
          <w:rFonts w:ascii="Arial" w:hAnsi="Arial" w:cs="Arial"/>
        </w:rPr>
        <w:t>, then it represents an improvement over the base case.</w:t>
      </w:r>
    </w:p>
    <w:p w14:paraId="1AE3CC62" w14:textId="006869F9" w:rsidR="00363076" w:rsidRPr="00A41F5F" w:rsidRDefault="00363076" w:rsidP="00363076">
      <w:pPr>
        <w:rPr>
          <w:rFonts w:ascii="Arial" w:hAnsi="Arial" w:cs="Arial"/>
        </w:rPr>
      </w:pPr>
      <w:r w:rsidRPr="00A41F5F">
        <w:rPr>
          <w:rFonts w:ascii="Arial" w:hAnsi="Arial" w:cs="Arial"/>
        </w:rPr>
        <w:t xml:space="preserve">The decision rule </w:t>
      </w:r>
      <w:r>
        <w:rPr>
          <w:rFonts w:ascii="Arial" w:hAnsi="Arial" w:cs="Arial"/>
        </w:rPr>
        <w:t xml:space="preserve">is that the </w:t>
      </w:r>
      <w:r w:rsidRPr="00A41F5F">
        <w:rPr>
          <w:rFonts w:ascii="Arial" w:hAnsi="Arial" w:cs="Arial"/>
        </w:rPr>
        <w:t>option with the highest net score is preferred</w:t>
      </w:r>
      <w:r>
        <w:rPr>
          <w:rFonts w:ascii="Arial" w:hAnsi="Arial" w:cs="Arial"/>
        </w:rPr>
        <w:t>.</w:t>
      </w:r>
    </w:p>
    <w:p w14:paraId="574C8AB7" w14:textId="05F464DB" w:rsidR="00AC5270" w:rsidRPr="004F679B" w:rsidRDefault="00AC5270" w:rsidP="00AC5270">
      <w:pPr>
        <w:pStyle w:val="Caption"/>
        <w:rPr>
          <w:rFonts w:ascii="Arial" w:hAnsi="Arial" w:cs="Arial"/>
        </w:rPr>
      </w:pPr>
      <w:r>
        <w:t xml:space="preserve">Figure </w:t>
      </w:r>
      <w:r w:rsidR="009D0B29">
        <w:t>2:</w:t>
      </w:r>
      <w:r w:rsidRPr="004F679B">
        <w:rPr>
          <w:rFonts w:ascii="Arial" w:hAnsi="Arial" w:cs="Arial"/>
        </w:rPr>
        <w:t xml:space="preserve"> Multi-criteria analysis scale used in scoring options</w:t>
      </w:r>
    </w:p>
    <w:p w14:paraId="2E728039" w14:textId="77777777" w:rsidR="00AC5270" w:rsidRPr="00A41F5F" w:rsidRDefault="00AC5270" w:rsidP="00AC5270">
      <w:pPr>
        <w:rPr>
          <w:rFonts w:ascii="Arial" w:hAnsi="Arial" w:cs="Arial"/>
        </w:rPr>
      </w:pPr>
      <w:r w:rsidRPr="00B06CFE">
        <w:rPr>
          <w:noProof/>
        </w:rPr>
        <w:drawing>
          <wp:inline distT="0" distB="0" distL="0" distR="0" wp14:anchorId="1D98F261" wp14:editId="3047BF97">
            <wp:extent cx="5731510" cy="2250440"/>
            <wp:effectExtent l="0" t="0" r="2540" b="0"/>
            <wp:docPr id="301598356" name="Picture 2" descr="A multi-criteria analysis scale used in scoring options. It ranges from -10 (Strongly negative relative to base case) to +10 (Strongly positive relative to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98356" name="Picture 2" descr="A multi-criteria analysis scale used in scoring options. It ranges from -10 (Strongly negative relative to base case) to +10 (Strongly positive relative to base ca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2250440"/>
                    </a:xfrm>
                    <a:prstGeom prst="rect">
                      <a:avLst/>
                    </a:prstGeom>
                    <a:noFill/>
                    <a:ln>
                      <a:noFill/>
                    </a:ln>
                  </pic:spPr>
                </pic:pic>
              </a:graphicData>
            </a:graphic>
          </wp:inline>
        </w:drawing>
      </w:r>
    </w:p>
    <w:p w14:paraId="3BD91BFB" w14:textId="77777777" w:rsidR="00AC5270" w:rsidRPr="00AC5270" w:rsidRDefault="00AC5270" w:rsidP="00AC5270"/>
    <w:p w14:paraId="5F918481" w14:textId="10F6BE2C" w:rsidR="004F7E00" w:rsidRDefault="00AC5270" w:rsidP="0033506C">
      <w:pPr>
        <w:pStyle w:val="Heading1"/>
        <w:numPr>
          <w:ilvl w:val="0"/>
          <w:numId w:val="0"/>
        </w:numPr>
      </w:pPr>
      <w:r>
        <w:br w:type="page"/>
      </w:r>
    </w:p>
    <w:p w14:paraId="61637142" w14:textId="77777777" w:rsidR="00AC5270" w:rsidRPr="00AC5270" w:rsidRDefault="00AC5270" w:rsidP="00AC5270">
      <w:pPr>
        <w:pStyle w:val="BodyText"/>
        <w:sectPr w:rsidR="00AC5270" w:rsidRPr="00AC5270" w:rsidSect="005C24D2">
          <w:pgSz w:w="11907" w:h="16839" w:code="9"/>
          <w:pgMar w:top="1134" w:right="1134" w:bottom="1134" w:left="1134" w:header="283" w:footer="283" w:gutter="0"/>
          <w:cols w:space="720"/>
          <w:noEndnote/>
          <w:docGrid w:linePitch="360"/>
        </w:sectPr>
      </w:pPr>
    </w:p>
    <w:p w14:paraId="62373981" w14:textId="0ACB5E7C" w:rsidR="004F7E00" w:rsidRPr="00400D42" w:rsidRDefault="004F7E00" w:rsidP="0033506C">
      <w:pPr>
        <w:pStyle w:val="Heading1"/>
        <w:numPr>
          <w:ilvl w:val="0"/>
          <w:numId w:val="0"/>
        </w:numPr>
      </w:pPr>
      <w:bookmarkStart w:id="118" w:name="_Toc187330584"/>
      <w:r w:rsidRPr="00400D42">
        <w:t xml:space="preserve">Appendix </w:t>
      </w:r>
      <w:r w:rsidR="001F34F2">
        <w:t>C</w:t>
      </w:r>
      <w:r w:rsidRPr="00400D42">
        <w:t xml:space="preserve">: Key changes of the proposed </w:t>
      </w:r>
      <w:bookmarkEnd w:id="116"/>
      <w:r w:rsidRPr="00400D42">
        <w:t>Regulations</w:t>
      </w:r>
      <w:bookmarkEnd w:id="118"/>
    </w:p>
    <w:tbl>
      <w:tblPr>
        <w:tblStyle w:val="TableGrid"/>
        <w:tblW w:w="14170" w:type="dxa"/>
        <w:tblLook w:val="04A0" w:firstRow="1" w:lastRow="0" w:firstColumn="1" w:lastColumn="0" w:noHBand="0" w:noVBand="1"/>
      </w:tblPr>
      <w:tblGrid>
        <w:gridCol w:w="949"/>
        <w:gridCol w:w="1149"/>
        <w:gridCol w:w="12072"/>
      </w:tblGrid>
      <w:tr w:rsidR="004F7E00" w:rsidRPr="00481281" w14:paraId="39765982" w14:textId="77777777" w:rsidTr="004F7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shd w:val="clear" w:color="auto" w:fill="201547" w:themeFill="text2"/>
            <w:vAlign w:val="center"/>
          </w:tcPr>
          <w:p w14:paraId="7BA5F3BC" w14:textId="77777777" w:rsidR="004F7E00" w:rsidRPr="004A1F65" w:rsidRDefault="004F7E00" w:rsidP="004A1F65">
            <w:pPr>
              <w:spacing w:before="0" w:after="60"/>
              <w:rPr>
                <w:rFonts w:cs="Calibri Light"/>
                <w:b/>
                <w:bCs/>
                <w:color w:val="FFFFFF" w:themeColor="background1"/>
              </w:rPr>
            </w:pPr>
            <w:r w:rsidRPr="004A1F65">
              <w:rPr>
                <w:rFonts w:cs="Calibri Light"/>
                <w:b/>
                <w:bCs/>
                <w:color w:val="FFFFFF" w:themeColor="background1"/>
              </w:rPr>
              <w:t>Current Reg</w:t>
            </w:r>
            <w:r w:rsidRPr="004A1F65">
              <w:rPr>
                <w:rFonts w:cs="Calibri Light"/>
                <w:b/>
                <w:bCs/>
                <w:color w:val="FFFFFF" w:themeColor="background1"/>
                <w:vertAlign w:val="superscript"/>
              </w:rPr>
              <w:t>n</w:t>
            </w:r>
          </w:p>
        </w:tc>
        <w:tc>
          <w:tcPr>
            <w:tcW w:w="1082" w:type="dxa"/>
            <w:shd w:val="clear" w:color="auto" w:fill="201547" w:themeFill="text2"/>
            <w:vAlign w:val="center"/>
          </w:tcPr>
          <w:p w14:paraId="28846663" w14:textId="77777777" w:rsidR="004F7E00" w:rsidRPr="004A1F65" w:rsidRDefault="004F7E00" w:rsidP="004A1F65">
            <w:pPr>
              <w:spacing w:before="0" w:after="60"/>
              <w:cnfStyle w:val="100000000000" w:firstRow="1" w:lastRow="0" w:firstColumn="0" w:lastColumn="0" w:oddVBand="0" w:evenVBand="0" w:oddHBand="0" w:evenHBand="0" w:firstRowFirstColumn="0" w:firstRowLastColumn="0" w:lastRowFirstColumn="0" w:lastRowLastColumn="0"/>
              <w:rPr>
                <w:rFonts w:cs="Calibri Light"/>
                <w:b/>
                <w:bCs/>
                <w:color w:val="FFFFFF" w:themeColor="background1"/>
              </w:rPr>
            </w:pPr>
            <w:r w:rsidRPr="004A1F65">
              <w:rPr>
                <w:rFonts w:cs="Calibri Light"/>
                <w:b/>
                <w:bCs/>
                <w:color w:val="FFFFFF" w:themeColor="background1"/>
              </w:rPr>
              <w:t>Proposed Reg</w:t>
            </w:r>
            <w:r w:rsidRPr="004A1F65">
              <w:rPr>
                <w:rFonts w:cs="Calibri Light"/>
                <w:b/>
                <w:bCs/>
                <w:color w:val="FFFFFF" w:themeColor="background1"/>
                <w:vertAlign w:val="superscript"/>
              </w:rPr>
              <w:t>n</w:t>
            </w:r>
          </w:p>
        </w:tc>
        <w:tc>
          <w:tcPr>
            <w:tcW w:w="12170" w:type="dxa"/>
            <w:shd w:val="clear" w:color="auto" w:fill="201547" w:themeFill="text2"/>
            <w:vAlign w:val="center"/>
          </w:tcPr>
          <w:p w14:paraId="7A58BDCD" w14:textId="77777777" w:rsidR="004F7E00" w:rsidRPr="004A1F65" w:rsidRDefault="004F7E00" w:rsidP="004F7E00">
            <w:pPr>
              <w:spacing w:before="0" w:after="60"/>
              <w:cnfStyle w:val="100000000000" w:firstRow="1" w:lastRow="0" w:firstColumn="0" w:lastColumn="0" w:oddVBand="0" w:evenVBand="0" w:oddHBand="0" w:evenHBand="0" w:firstRowFirstColumn="0" w:firstRowLastColumn="0" w:lastRowFirstColumn="0" w:lastRowLastColumn="0"/>
              <w:rPr>
                <w:rFonts w:cs="Calibri Light"/>
                <w:b/>
                <w:bCs/>
                <w:color w:val="FFFFFF" w:themeColor="background1"/>
              </w:rPr>
            </w:pPr>
            <w:r w:rsidRPr="004A1F65">
              <w:rPr>
                <w:rFonts w:cs="Calibri Light"/>
                <w:b/>
                <w:bCs/>
                <w:color w:val="FFFFFF" w:themeColor="background1"/>
              </w:rPr>
              <w:t>Proposed change</w:t>
            </w:r>
          </w:p>
        </w:tc>
      </w:tr>
      <w:tr w:rsidR="004F7E00" w:rsidRPr="00481281" w14:paraId="09FCA01B"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0C54A9C5" w14:textId="77777777" w:rsidR="004F7E00" w:rsidRPr="00481281" w:rsidRDefault="004F7E00" w:rsidP="00BE5CCD">
            <w:pPr>
              <w:spacing w:before="0" w:after="60"/>
              <w:jc w:val="center"/>
              <w:rPr>
                <w:rFonts w:cs="Calibri Light"/>
              </w:rPr>
            </w:pPr>
            <w:r>
              <w:rPr>
                <w:rFonts w:cs="Calibri Light"/>
              </w:rPr>
              <w:t>−</w:t>
            </w:r>
          </w:p>
        </w:tc>
        <w:tc>
          <w:tcPr>
            <w:tcW w:w="1082" w:type="dxa"/>
          </w:tcPr>
          <w:p w14:paraId="2701A05E" w14:textId="77777777" w:rsidR="004F7E00" w:rsidRPr="00481281" w:rsidRDefault="004F7E00"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7</w:t>
            </w:r>
          </w:p>
        </w:tc>
        <w:tc>
          <w:tcPr>
            <w:tcW w:w="12170" w:type="dxa"/>
          </w:tcPr>
          <w:p w14:paraId="0471F9AA" w14:textId="77777777"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u w:val="single"/>
              </w:rPr>
            </w:pPr>
            <w:r w:rsidRPr="00481281">
              <w:rPr>
                <w:rFonts w:cs="Calibri Light"/>
                <w:u w:val="single"/>
              </w:rPr>
              <w:t>Traditional Owner agreement for cultural use</w:t>
            </w:r>
            <w:r>
              <w:rPr>
                <w:rFonts w:cs="Calibri Light"/>
                <w:u w:val="single"/>
              </w:rPr>
              <w:t>s</w:t>
            </w:r>
            <w:r w:rsidRPr="00481281">
              <w:rPr>
                <w:rFonts w:cs="Calibri Light"/>
                <w:u w:val="single"/>
              </w:rPr>
              <w:t xml:space="preserve"> of fire</w:t>
            </w:r>
          </w:p>
          <w:p w14:paraId="23839520" w14:textId="27A3068F"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 xml:space="preserve">A new regulation that permits a Traditional Owners group entity that has an agreement under Part 6 of the </w:t>
            </w:r>
            <w:r w:rsidRPr="00481281">
              <w:rPr>
                <w:rFonts w:cs="Calibri Light"/>
                <w:i/>
                <w:iCs/>
              </w:rPr>
              <w:t>Traditional Owner Settlement Act 2010</w:t>
            </w:r>
            <w:r w:rsidRPr="00481281">
              <w:rPr>
                <w:rFonts w:cs="Calibri Light"/>
              </w:rPr>
              <w:t xml:space="preserve"> to light fires in certain circumstances.</w:t>
            </w:r>
          </w:p>
        </w:tc>
      </w:tr>
      <w:tr w:rsidR="004F7E00" w:rsidRPr="00481281" w14:paraId="08983890"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3B96D71E" w14:textId="77777777" w:rsidR="004F7E00" w:rsidRPr="00481281" w:rsidRDefault="004F7E00" w:rsidP="00BE5CCD">
            <w:pPr>
              <w:spacing w:before="0" w:after="60"/>
              <w:jc w:val="center"/>
              <w:rPr>
                <w:rFonts w:cs="Calibri Light"/>
              </w:rPr>
            </w:pPr>
            <w:r w:rsidRPr="00481281">
              <w:rPr>
                <w:rFonts w:cs="Calibri Light"/>
              </w:rPr>
              <w:t>9</w:t>
            </w:r>
          </w:p>
        </w:tc>
        <w:tc>
          <w:tcPr>
            <w:tcW w:w="1082" w:type="dxa"/>
          </w:tcPr>
          <w:p w14:paraId="24C7734A" w14:textId="77777777" w:rsidR="004F7E00" w:rsidRPr="00481281" w:rsidRDefault="004F7E00"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10</w:t>
            </w:r>
          </w:p>
        </w:tc>
        <w:tc>
          <w:tcPr>
            <w:tcW w:w="12170" w:type="dxa"/>
          </w:tcPr>
          <w:p w14:paraId="129EAC1C" w14:textId="77777777"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u w:val="single"/>
              </w:rPr>
            </w:pPr>
            <w:r w:rsidRPr="00481281">
              <w:rPr>
                <w:rFonts w:cs="Calibri Light"/>
                <w:u w:val="single"/>
              </w:rPr>
              <w:t>Campfires or barbeques using solid fuel</w:t>
            </w:r>
          </w:p>
          <w:p w14:paraId="6C3D79EC" w14:textId="39B643F8"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 xml:space="preserve">Regulation remade with amendments. It clarifies that this regulation applies ‘in a fire protected area’ and </w:t>
            </w:r>
            <w:r w:rsidR="00914EFE">
              <w:rPr>
                <w:rFonts w:cs="Calibri Light"/>
              </w:rPr>
              <w:t xml:space="preserve">removes </w:t>
            </w:r>
            <w:r w:rsidR="00AC133A">
              <w:rPr>
                <w:rFonts w:cs="Calibri Light"/>
              </w:rPr>
              <w:t xml:space="preserve">reference </w:t>
            </w:r>
            <w:r w:rsidR="00453B36">
              <w:rPr>
                <w:rFonts w:cs="Calibri Light"/>
              </w:rPr>
              <w:t>to light</w:t>
            </w:r>
            <w:r w:rsidR="00AC133A">
              <w:rPr>
                <w:rFonts w:cs="Calibri Light"/>
              </w:rPr>
              <w:t>ing</w:t>
            </w:r>
            <w:r w:rsidR="00453B36">
              <w:rPr>
                <w:rFonts w:cs="Calibri Light"/>
              </w:rPr>
              <w:t xml:space="preserve"> campfires</w:t>
            </w:r>
            <w:r>
              <w:rPr>
                <w:rFonts w:cs="Calibri Light"/>
              </w:rPr>
              <w:t xml:space="preserve"> in a trench</w:t>
            </w:r>
            <w:r w:rsidR="003354FD">
              <w:rPr>
                <w:rFonts w:cs="Calibri Light"/>
              </w:rPr>
              <w:t xml:space="preserve"> </w:t>
            </w:r>
            <w:r w:rsidR="00A4626B">
              <w:rPr>
                <w:rFonts w:cs="Calibri Light"/>
              </w:rPr>
              <w:t>without authorisation</w:t>
            </w:r>
            <w:r w:rsidRPr="00481281">
              <w:rPr>
                <w:rFonts w:cs="Calibri Light"/>
              </w:rPr>
              <w:t xml:space="preserve">. </w:t>
            </w:r>
            <w:r w:rsidR="00417B3F">
              <w:rPr>
                <w:rFonts w:cs="Calibri Light"/>
              </w:rPr>
              <w:t>This amendment</w:t>
            </w:r>
            <w:r w:rsidR="0012727F">
              <w:rPr>
                <w:rFonts w:cs="Calibri Light"/>
              </w:rPr>
              <w:t xml:space="preserve"> </w:t>
            </w:r>
            <w:r w:rsidR="0012727F">
              <w:t xml:space="preserve">avoids current inconsistencies with the </w:t>
            </w:r>
            <w:r w:rsidR="004874ED" w:rsidRPr="004874ED">
              <w:t>Forests (Recreation) (Temporary) Regulations 2021</w:t>
            </w:r>
            <w:r w:rsidR="0012727F">
              <w:t xml:space="preserve"> that prohibit digging and provides greater clarity for community and enforcement. It will also reduce the risk of damage to sensitive environmental and Aboriginal Cultural Heritage sites</w:t>
            </w:r>
            <w:r w:rsidR="003720BF">
              <w:rPr>
                <w:rFonts w:cs="Calibri Light"/>
              </w:rPr>
              <w:t xml:space="preserve">. </w:t>
            </w:r>
            <w:r w:rsidR="00403F74">
              <w:rPr>
                <w:rFonts w:cs="Calibri Light"/>
              </w:rPr>
              <w:t xml:space="preserve">The Regulations </w:t>
            </w:r>
            <w:r w:rsidR="00A258C8">
              <w:rPr>
                <w:rFonts w:cs="Calibri Light"/>
              </w:rPr>
              <w:t xml:space="preserve">retain the option for campfires or barbeques to be made in a ‘properly constructed </w:t>
            </w:r>
            <w:r w:rsidR="007C64F0">
              <w:rPr>
                <w:rFonts w:cs="Calibri Light"/>
              </w:rPr>
              <w:t>fireplace’</w:t>
            </w:r>
            <w:r w:rsidR="00963DC9">
              <w:rPr>
                <w:rFonts w:cs="Calibri Light"/>
              </w:rPr>
              <w:t>, or a commercially manufactured barbeque appliance</w:t>
            </w:r>
            <w:r w:rsidR="007C64F0">
              <w:rPr>
                <w:rFonts w:cs="Calibri Light"/>
              </w:rPr>
              <w:t>.</w:t>
            </w:r>
          </w:p>
          <w:p w14:paraId="0D7B4514" w14:textId="57273BAE"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A new sub-regulations has been included requiring the person in charge of a campfire or barbeque using solid fuel and that is in the open air in the fire protected area (not being a State forest, protected public land or national park or a licensed water frontage that is not State forest) during the prohibited period must not be outside the line of sight of the campfire or barbeque or be more than 50</w:t>
            </w:r>
            <w:r w:rsidR="00A763E9">
              <w:rPr>
                <w:rFonts w:cs="Calibri Light"/>
              </w:rPr>
              <w:t> </w:t>
            </w:r>
            <w:r w:rsidRPr="00481281">
              <w:rPr>
                <w:rFonts w:cs="Calibri Light"/>
              </w:rPr>
              <w:t>metres from the perimeter of the campfire or barbeque.</w:t>
            </w:r>
          </w:p>
          <w:p w14:paraId="4D15CAEF" w14:textId="77777777"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 xml:space="preserve">The new sub-regulation </w:t>
            </w:r>
            <w:r>
              <w:rPr>
                <w:rFonts w:cs="Calibri Light"/>
              </w:rPr>
              <w:t>aligns with</w:t>
            </w:r>
            <w:r w:rsidRPr="00481281">
              <w:rPr>
                <w:rFonts w:cs="Calibri Light"/>
              </w:rPr>
              <w:t xml:space="preserve"> Section 66A of the Act, which sets out the requirements on a person in charge of a campfire or barbeque used in a </w:t>
            </w:r>
            <w:r>
              <w:rPr>
                <w:rFonts w:cs="Calibri Light"/>
              </w:rPr>
              <w:t>S</w:t>
            </w:r>
            <w:r w:rsidRPr="00481281">
              <w:rPr>
                <w:rFonts w:cs="Calibri Light"/>
              </w:rPr>
              <w:t>tate forest, protected public land, national park or a licensed water frontage that is in a State forest</w:t>
            </w:r>
            <w:r>
              <w:rPr>
                <w:rFonts w:cs="Calibri Light"/>
              </w:rPr>
              <w:t>.</w:t>
            </w:r>
            <w:r w:rsidRPr="00481281">
              <w:rPr>
                <w:rFonts w:cs="Calibri Light"/>
              </w:rPr>
              <w:t xml:space="preserve"> </w:t>
            </w:r>
          </w:p>
          <w:p w14:paraId="58171547" w14:textId="4C09747A"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 xml:space="preserve">A new </w:t>
            </w:r>
            <w:r w:rsidR="00A763E9">
              <w:rPr>
                <w:rFonts w:cs="Calibri Light"/>
              </w:rPr>
              <w:t xml:space="preserve">offence </w:t>
            </w:r>
            <w:r w:rsidRPr="00481281">
              <w:rPr>
                <w:rFonts w:cs="Calibri Light"/>
              </w:rPr>
              <w:t xml:space="preserve">of </w:t>
            </w:r>
            <w:r w:rsidR="00A763E9">
              <w:rPr>
                <w:rFonts w:cs="Calibri Light"/>
              </w:rPr>
              <w:t>5</w:t>
            </w:r>
            <w:r w:rsidRPr="00481281">
              <w:rPr>
                <w:rFonts w:cs="Calibri Light"/>
              </w:rPr>
              <w:t>0 penalty units is included.</w:t>
            </w:r>
          </w:p>
        </w:tc>
      </w:tr>
      <w:tr w:rsidR="004F7E00" w:rsidRPr="00481281" w14:paraId="5707765A"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52BE91C7" w14:textId="77777777" w:rsidR="004F7E00" w:rsidRPr="00481281" w:rsidRDefault="004F7E00" w:rsidP="00BE5CCD">
            <w:pPr>
              <w:spacing w:before="0" w:after="60"/>
              <w:jc w:val="center"/>
              <w:rPr>
                <w:rFonts w:cs="Calibri Light"/>
              </w:rPr>
            </w:pPr>
            <w:r w:rsidRPr="00481281">
              <w:rPr>
                <w:rFonts w:cs="Calibri Light"/>
              </w:rPr>
              <w:t>12</w:t>
            </w:r>
          </w:p>
        </w:tc>
        <w:tc>
          <w:tcPr>
            <w:tcW w:w="1082" w:type="dxa"/>
          </w:tcPr>
          <w:p w14:paraId="73EB523C" w14:textId="77777777" w:rsidR="004F7E00" w:rsidRPr="00481281" w:rsidRDefault="004F7E00"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13</w:t>
            </w:r>
          </w:p>
        </w:tc>
        <w:tc>
          <w:tcPr>
            <w:tcW w:w="12170" w:type="dxa"/>
          </w:tcPr>
          <w:p w14:paraId="25BECAEC" w14:textId="77777777" w:rsidR="004F7E00" w:rsidRPr="00481281" w:rsidRDefault="004F7E00" w:rsidP="00BE5CCD">
            <w:pPr>
              <w:pStyle w:val="pf0"/>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Light"/>
                <w:kern w:val="2"/>
                <w:sz w:val="20"/>
                <w:szCs w:val="20"/>
                <w:u w:val="single"/>
                <w:lang w:eastAsia="ja-JP"/>
                <w14:ligatures w14:val="standardContextual"/>
              </w:rPr>
            </w:pPr>
            <w:r w:rsidRPr="00481281">
              <w:rPr>
                <w:rFonts w:asciiTheme="minorHAnsi" w:hAnsiTheme="minorHAnsi" w:cs="Calibri Light"/>
                <w:sz w:val="20"/>
                <w:szCs w:val="20"/>
                <w:u w:val="single"/>
              </w:rPr>
              <w:t>Bee farming</w:t>
            </w:r>
          </w:p>
          <w:p w14:paraId="237B94C8" w14:textId="69A5FDFB" w:rsidR="004F7E00" w:rsidRPr="00481281" w:rsidRDefault="004F7E00" w:rsidP="00BE5CCD">
            <w:pPr>
              <w:pStyle w:val="pf0"/>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Calibri Light"/>
                <w:sz w:val="20"/>
                <w:szCs w:val="20"/>
              </w:rPr>
            </w:pPr>
            <w:r w:rsidRPr="00481281">
              <w:rPr>
                <w:rFonts w:asciiTheme="minorHAnsi" w:eastAsiaTheme="minorEastAsia" w:hAnsiTheme="minorHAnsi" w:cs="Calibri Light"/>
                <w:kern w:val="2"/>
                <w:sz w:val="20"/>
                <w:szCs w:val="20"/>
                <w:lang w:eastAsia="ja-JP"/>
                <w14:ligatures w14:val="standardContextual"/>
              </w:rPr>
              <w:t xml:space="preserve">Remade with an amendment. The wording in the current regulations of “if the weather conditions in the area are such that there is a danger of the spread of fire, has available for immediate use at least” have been replaced the “during the prohibited period”. This will improve certainty for </w:t>
            </w:r>
            <w:r>
              <w:rPr>
                <w:rFonts w:asciiTheme="minorHAnsi" w:eastAsiaTheme="minorEastAsia" w:hAnsiTheme="minorHAnsi" w:cs="Calibri Light"/>
                <w:kern w:val="2"/>
                <w:sz w:val="20"/>
                <w:szCs w:val="20"/>
                <w:lang w:eastAsia="ja-JP"/>
                <w14:ligatures w14:val="standardContextual"/>
              </w:rPr>
              <w:t xml:space="preserve">public understanding and </w:t>
            </w:r>
            <w:r w:rsidRPr="00481281">
              <w:rPr>
                <w:rFonts w:asciiTheme="minorHAnsi" w:eastAsiaTheme="minorEastAsia" w:hAnsiTheme="minorHAnsi" w:cs="Calibri Light"/>
                <w:kern w:val="2"/>
                <w:sz w:val="20"/>
                <w:szCs w:val="20"/>
                <w:lang w:eastAsia="ja-JP"/>
                <w14:ligatures w14:val="standardContextual"/>
              </w:rPr>
              <w:t>enforcement by removing the subjectivity around whether ‘there is a danger’ that the fire could spread.</w:t>
            </w:r>
          </w:p>
        </w:tc>
      </w:tr>
      <w:tr w:rsidR="00F37AA6" w:rsidRPr="00481281" w14:paraId="157A27EA"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5048F10D" w14:textId="679A1909" w:rsidR="00F37AA6" w:rsidRPr="00481281" w:rsidRDefault="00F37AA6" w:rsidP="00BE5CCD">
            <w:pPr>
              <w:spacing w:before="0" w:after="60"/>
              <w:jc w:val="center"/>
              <w:rPr>
                <w:rFonts w:cs="Calibri Light"/>
              </w:rPr>
            </w:pPr>
            <w:r>
              <w:rPr>
                <w:rFonts w:cs="Calibri Light"/>
              </w:rPr>
              <w:t>−</w:t>
            </w:r>
          </w:p>
        </w:tc>
        <w:tc>
          <w:tcPr>
            <w:tcW w:w="1082" w:type="dxa"/>
          </w:tcPr>
          <w:p w14:paraId="1954669A" w14:textId="1D97DEF0" w:rsidR="00F37AA6" w:rsidRPr="00481281" w:rsidRDefault="00F37AA6"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17</w:t>
            </w:r>
          </w:p>
        </w:tc>
        <w:tc>
          <w:tcPr>
            <w:tcW w:w="12170" w:type="dxa"/>
          </w:tcPr>
          <w:p w14:paraId="32335B6E" w14:textId="071E23E3" w:rsidR="00F37AA6" w:rsidRDefault="00F37AA6" w:rsidP="00BE5CCD">
            <w:pPr>
              <w:pStyle w:val="pf0"/>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Calibri Light"/>
                <w:sz w:val="20"/>
                <w:szCs w:val="20"/>
                <w:u w:val="single"/>
              </w:rPr>
            </w:pPr>
            <w:r w:rsidRPr="00F37AA6">
              <w:rPr>
                <w:rFonts w:asciiTheme="minorHAnsi" w:hAnsiTheme="minorHAnsi" w:cs="Calibri Light"/>
                <w:sz w:val="20"/>
                <w:szCs w:val="20"/>
                <w:u w:val="single"/>
              </w:rPr>
              <w:t>Offence to leave campfire or barbeque</w:t>
            </w:r>
          </w:p>
          <w:p w14:paraId="24626223" w14:textId="1DD13EAF" w:rsidR="00F37AA6" w:rsidRDefault="00F37AA6" w:rsidP="00F37AA6">
            <w:pPr>
              <w:pStyle w:val="pf0"/>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Calibri Light"/>
                <w:sz w:val="20"/>
                <w:szCs w:val="20"/>
              </w:rPr>
            </w:pPr>
            <w:r w:rsidRPr="00F37AA6">
              <w:rPr>
                <w:rFonts w:asciiTheme="minorHAnsi" w:hAnsiTheme="minorHAnsi" w:cs="Calibri Light"/>
                <w:sz w:val="20"/>
                <w:szCs w:val="20"/>
              </w:rPr>
              <w:t xml:space="preserve">A person in charge of a campfire or barbeque using solid fuel in the open air in a fire protected area (not being a State forest, protected public land or national park or a relevant licensed water frontage) during the prohibited period must not be outside the line of sight of the campfire or barbeque, or be more than 50 metres from the perimeter of the campfire or barbeque. This requirement is currently contained in the </w:t>
            </w:r>
            <w:r w:rsidR="0087633E" w:rsidRPr="00F37AA6">
              <w:rPr>
                <w:rFonts w:asciiTheme="minorHAnsi" w:hAnsiTheme="minorHAnsi" w:cs="Calibri Light"/>
                <w:sz w:val="20"/>
                <w:szCs w:val="20"/>
              </w:rPr>
              <w:t>Act but</w:t>
            </w:r>
            <w:r w:rsidRPr="00F37AA6">
              <w:rPr>
                <w:rFonts w:asciiTheme="minorHAnsi" w:hAnsiTheme="minorHAnsi" w:cs="Calibri Light"/>
                <w:sz w:val="20"/>
                <w:szCs w:val="20"/>
              </w:rPr>
              <w:t xml:space="preserve"> is now </w:t>
            </w:r>
            <w:r>
              <w:rPr>
                <w:rFonts w:asciiTheme="minorHAnsi" w:hAnsiTheme="minorHAnsi" w:cs="Calibri Light"/>
                <w:sz w:val="20"/>
                <w:szCs w:val="20"/>
              </w:rPr>
              <w:t xml:space="preserve">also </w:t>
            </w:r>
            <w:r w:rsidRPr="00F37AA6">
              <w:rPr>
                <w:rFonts w:asciiTheme="minorHAnsi" w:hAnsiTheme="minorHAnsi" w:cs="Calibri Light"/>
                <w:sz w:val="20"/>
                <w:szCs w:val="20"/>
              </w:rPr>
              <w:t xml:space="preserve">included in the regulations so that the requirements are </w:t>
            </w:r>
            <w:r w:rsidR="00143CEF">
              <w:rPr>
                <w:rFonts w:asciiTheme="minorHAnsi" w:hAnsiTheme="minorHAnsi" w:cs="Calibri Light"/>
                <w:sz w:val="20"/>
                <w:szCs w:val="20"/>
              </w:rPr>
              <w:t>aligned to the Act</w:t>
            </w:r>
            <w:r w:rsidR="00CF426D">
              <w:rPr>
                <w:rFonts w:asciiTheme="minorHAnsi" w:hAnsiTheme="minorHAnsi" w:cs="Calibri Light"/>
                <w:sz w:val="20"/>
                <w:szCs w:val="20"/>
              </w:rPr>
              <w:t xml:space="preserve"> </w:t>
            </w:r>
            <w:r w:rsidR="00AA3A26">
              <w:rPr>
                <w:rFonts w:asciiTheme="minorHAnsi" w:hAnsiTheme="minorHAnsi" w:cs="Calibri Light"/>
                <w:sz w:val="20"/>
                <w:szCs w:val="20"/>
              </w:rPr>
              <w:t>on land within 1.5km of State forest</w:t>
            </w:r>
            <w:r w:rsidR="006D3556">
              <w:rPr>
                <w:rFonts w:asciiTheme="minorHAnsi" w:hAnsiTheme="minorHAnsi" w:cs="Calibri Light"/>
                <w:sz w:val="20"/>
                <w:szCs w:val="20"/>
              </w:rPr>
              <w:t>, national park or protected public land</w:t>
            </w:r>
            <w:r>
              <w:rPr>
                <w:rFonts w:asciiTheme="minorHAnsi" w:hAnsiTheme="minorHAnsi" w:cs="Calibri Light"/>
                <w:sz w:val="20"/>
                <w:szCs w:val="20"/>
              </w:rPr>
              <w:t xml:space="preserve">, thereby </w:t>
            </w:r>
            <w:r w:rsidRPr="00F37AA6">
              <w:rPr>
                <w:rFonts w:asciiTheme="minorHAnsi" w:hAnsiTheme="minorHAnsi" w:cs="Calibri Light"/>
                <w:sz w:val="20"/>
                <w:szCs w:val="20"/>
              </w:rPr>
              <w:t>improv</w:t>
            </w:r>
            <w:r>
              <w:rPr>
                <w:rFonts w:asciiTheme="minorHAnsi" w:hAnsiTheme="minorHAnsi" w:cs="Calibri Light"/>
                <w:sz w:val="20"/>
                <w:szCs w:val="20"/>
              </w:rPr>
              <w:t>ing</w:t>
            </w:r>
            <w:r w:rsidRPr="00F37AA6">
              <w:rPr>
                <w:rFonts w:asciiTheme="minorHAnsi" w:hAnsiTheme="minorHAnsi" w:cs="Calibri Light"/>
                <w:sz w:val="20"/>
                <w:szCs w:val="20"/>
              </w:rPr>
              <w:t xml:space="preserve"> </w:t>
            </w:r>
            <w:r w:rsidR="007B4EE7">
              <w:rPr>
                <w:rFonts w:asciiTheme="minorHAnsi" w:hAnsiTheme="minorHAnsi" w:cs="Calibri Light"/>
                <w:sz w:val="20"/>
                <w:szCs w:val="20"/>
              </w:rPr>
              <w:t>clarity and consistency in the regulations</w:t>
            </w:r>
            <w:r w:rsidRPr="00F37AA6">
              <w:rPr>
                <w:rFonts w:asciiTheme="minorHAnsi" w:hAnsiTheme="minorHAnsi" w:cs="Calibri Light"/>
                <w:sz w:val="20"/>
                <w:szCs w:val="20"/>
              </w:rPr>
              <w:t>.</w:t>
            </w:r>
          </w:p>
          <w:p w14:paraId="55F0E47B" w14:textId="54271CE0" w:rsidR="006259AC" w:rsidRPr="006259AC" w:rsidRDefault="006259AC" w:rsidP="00F37AA6">
            <w:pPr>
              <w:pStyle w:val="pf0"/>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091ED4">
              <w:rPr>
                <w:rFonts w:asciiTheme="minorHAnsi" w:hAnsiTheme="minorHAnsi" w:cstheme="minorHAnsi"/>
                <w:sz w:val="20"/>
                <w:szCs w:val="20"/>
              </w:rPr>
              <w:t>A new offence of 50 penalty units is included.</w:t>
            </w:r>
          </w:p>
        </w:tc>
      </w:tr>
      <w:tr w:rsidR="004F7E00" w:rsidRPr="00481281" w14:paraId="7812A820"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54542F4A" w14:textId="77777777" w:rsidR="004F7E00" w:rsidRPr="00481281" w:rsidRDefault="004F7E00" w:rsidP="00BE5CCD">
            <w:pPr>
              <w:spacing w:before="0" w:after="60"/>
              <w:jc w:val="center"/>
              <w:rPr>
                <w:rFonts w:cs="Calibri Light"/>
              </w:rPr>
            </w:pPr>
            <w:r w:rsidRPr="00481281">
              <w:rPr>
                <w:rFonts w:cs="Calibri Light"/>
              </w:rPr>
              <w:t>18</w:t>
            </w:r>
          </w:p>
        </w:tc>
        <w:tc>
          <w:tcPr>
            <w:tcW w:w="1082" w:type="dxa"/>
          </w:tcPr>
          <w:p w14:paraId="3CA7067F" w14:textId="15262355" w:rsidR="004F7E00" w:rsidRPr="00481281" w:rsidRDefault="001D767C"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20</w:t>
            </w:r>
          </w:p>
        </w:tc>
        <w:tc>
          <w:tcPr>
            <w:tcW w:w="12170" w:type="dxa"/>
          </w:tcPr>
          <w:p w14:paraId="6EB0FD17" w14:textId="77777777"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u w:val="single"/>
              </w:rPr>
            </w:pPr>
            <w:r w:rsidRPr="00481281">
              <w:rPr>
                <w:rFonts w:cs="Calibri Light"/>
                <w:u w:val="single"/>
              </w:rPr>
              <w:t>Welding, grinding, soldering or gas-cutting equipment</w:t>
            </w:r>
          </w:p>
          <w:p w14:paraId="16EA5C16" w14:textId="4CA9C6C3" w:rsidR="004F7E00"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Remade with amendment</w:t>
            </w:r>
            <w:r w:rsidR="00E55EEC">
              <w:rPr>
                <w:rFonts w:cs="Calibri Light"/>
              </w:rPr>
              <w:t>s</w:t>
            </w:r>
            <w:r w:rsidRPr="00481281">
              <w:rPr>
                <w:rFonts w:cs="Calibri Light"/>
              </w:rPr>
              <w:t>. The wording in the current regulations of “</w:t>
            </w:r>
            <w:r w:rsidRPr="00CB7FC6">
              <w:rPr>
                <w:rFonts w:cs="Calibri Light"/>
              </w:rPr>
              <w:t>in circumstances where the weather conditions in the area are such that there is a danger of the spread of fire</w:t>
            </w:r>
            <w:r w:rsidRPr="00481281">
              <w:rPr>
                <w:rFonts w:cs="Calibri Light"/>
              </w:rPr>
              <w:t xml:space="preserve">” have been replaced the “during the prohibited period”. This will improve certainty for </w:t>
            </w:r>
            <w:r>
              <w:rPr>
                <w:rFonts w:cs="Calibri Light"/>
              </w:rPr>
              <w:t xml:space="preserve">public understanding and </w:t>
            </w:r>
            <w:r w:rsidRPr="00481281">
              <w:rPr>
                <w:rFonts w:cs="Calibri Light"/>
              </w:rPr>
              <w:t>enforcement by removing the subjectivity around whether ‘there is a danger’ that the fire could spread.</w:t>
            </w:r>
          </w:p>
          <w:p w14:paraId="37DB6DDE" w14:textId="118D282C" w:rsidR="00E55EEC"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M</w:t>
            </w:r>
            <w:r w:rsidRPr="00481281">
              <w:rPr>
                <w:rFonts w:cs="Calibri Light"/>
              </w:rPr>
              <w:t xml:space="preserve">inor wording changes to clarify the use of fireproof shields: “a shield or guard of </w:t>
            </w:r>
            <w:r w:rsidR="005136A8" w:rsidRPr="00481281">
              <w:rPr>
                <w:rFonts w:cs="Calibri Light"/>
              </w:rPr>
              <w:t>fire-resistant</w:t>
            </w:r>
            <w:r w:rsidRPr="00481281">
              <w:rPr>
                <w:rFonts w:cs="Calibri Light"/>
              </w:rPr>
              <w:t xml:space="preserve"> material is placed or erected to prevent the emission of sparks, hot metal or slag” is replaced with “the appliance is used with a shield of fire-resistant material that is placed or erected in such a way as to prevent the emission of sparks, hot metal or slag”.</w:t>
            </w:r>
          </w:p>
        </w:tc>
      </w:tr>
      <w:tr w:rsidR="004F7E00" w:rsidRPr="00481281" w14:paraId="3117A5DF"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7EC8C297" w14:textId="77777777" w:rsidR="004F7E00" w:rsidRPr="00481281" w:rsidRDefault="004F7E00" w:rsidP="00BE5CCD">
            <w:pPr>
              <w:spacing w:before="0" w:after="60"/>
              <w:jc w:val="center"/>
              <w:rPr>
                <w:rFonts w:cs="Calibri Light"/>
              </w:rPr>
            </w:pPr>
            <w:r w:rsidRPr="00481281">
              <w:rPr>
                <w:rFonts w:cs="Calibri Light"/>
              </w:rPr>
              <w:t>19</w:t>
            </w:r>
          </w:p>
        </w:tc>
        <w:tc>
          <w:tcPr>
            <w:tcW w:w="1082" w:type="dxa"/>
          </w:tcPr>
          <w:p w14:paraId="76DE1B81" w14:textId="34C0C4FE" w:rsidR="004F7E00" w:rsidRPr="00481281" w:rsidRDefault="004F7E00"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2</w:t>
            </w:r>
            <w:r w:rsidR="001D767C">
              <w:rPr>
                <w:rFonts w:cs="Calibri Light"/>
              </w:rPr>
              <w:t>1</w:t>
            </w:r>
          </w:p>
        </w:tc>
        <w:tc>
          <w:tcPr>
            <w:tcW w:w="12170" w:type="dxa"/>
          </w:tcPr>
          <w:p w14:paraId="41D21F6C" w14:textId="77777777"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u w:val="single"/>
              </w:rPr>
            </w:pPr>
            <w:r w:rsidRPr="00481281">
              <w:rPr>
                <w:rFonts w:cs="Calibri Light"/>
                <w:u w:val="single"/>
              </w:rPr>
              <w:t>Clearing of area around an operation</w:t>
            </w:r>
          </w:p>
          <w:p w14:paraId="350C39F1" w14:textId="6249EF45" w:rsidR="00FD37F2" w:rsidRPr="00481281" w:rsidRDefault="00A763E9"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This r</w:t>
            </w:r>
            <w:r w:rsidR="004F7E00" w:rsidRPr="00481281">
              <w:rPr>
                <w:rFonts w:cs="Calibri Light"/>
              </w:rPr>
              <w:t>egulat</w:t>
            </w:r>
            <w:r w:rsidR="004F7E00">
              <w:rPr>
                <w:rFonts w:cs="Calibri Light"/>
              </w:rPr>
              <w:t>ion</w:t>
            </w:r>
            <w:r w:rsidR="004F7E00" w:rsidRPr="00481281">
              <w:rPr>
                <w:rFonts w:cs="Calibri Light"/>
              </w:rPr>
              <w:t xml:space="preserve"> is </w:t>
            </w:r>
            <w:r w:rsidR="005136A8" w:rsidRPr="00481281">
              <w:rPr>
                <w:rFonts w:cs="Calibri Light"/>
              </w:rPr>
              <w:t>remade but</w:t>
            </w:r>
            <w:r w:rsidR="004F7E00" w:rsidRPr="00481281">
              <w:rPr>
                <w:rFonts w:cs="Calibri Light"/>
              </w:rPr>
              <w:t xml:space="preserve"> provides clarification to improve enforcement by allowing an authorised officer to ‘inspect an area’ to better determine appropriate areas to be clear of inflammable material.</w:t>
            </w:r>
            <w:r w:rsidR="00FD37F2">
              <w:rPr>
                <w:rFonts w:cs="Calibri Light"/>
              </w:rPr>
              <w:t xml:space="preserve"> A new offence of 50 penalty units has been added which requires persons in charge of operations to comply with a notice issued by an authorised officer to clear </w:t>
            </w:r>
            <w:r w:rsidR="0088541C">
              <w:rPr>
                <w:rFonts w:cs="Calibri Light"/>
              </w:rPr>
              <w:t>the outer perimeter of a specified area.</w:t>
            </w:r>
          </w:p>
        </w:tc>
      </w:tr>
      <w:tr w:rsidR="004F7E00" w:rsidRPr="00481281" w14:paraId="04A6F474" w14:textId="77777777" w:rsidTr="00BE5CCD">
        <w:tc>
          <w:tcPr>
            <w:cnfStyle w:val="001000000000" w:firstRow="0" w:lastRow="0" w:firstColumn="1" w:lastColumn="0" w:oddVBand="0" w:evenVBand="0" w:oddHBand="0" w:evenHBand="0" w:firstRowFirstColumn="0" w:firstRowLastColumn="0" w:lastRowFirstColumn="0" w:lastRowLastColumn="0"/>
            <w:tcW w:w="918" w:type="dxa"/>
          </w:tcPr>
          <w:p w14:paraId="73433540" w14:textId="77777777" w:rsidR="004F7E00" w:rsidRPr="00481281" w:rsidRDefault="004F7E00" w:rsidP="00BE5CCD">
            <w:pPr>
              <w:spacing w:before="0" w:after="60"/>
              <w:jc w:val="center"/>
              <w:rPr>
                <w:rFonts w:cs="Calibri Light"/>
              </w:rPr>
            </w:pPr>
            <w:r w:rsidRPr="00481281">
              <w:rPr>
                <w:rFonts w:cs="Calibri Light"/>
              </w:rPr>
              <w:t>23</w:t>
            </w:r>
          </w:p>
        </w:tc>
        <w:tc>
          <w:tcPr>
            <w:tcW w:w="1082" w:type="dxa"/>
          </w:tcPr>
          <w:p w14:paraId="745EBEE6" w14:textId="607C4825" w:rsidR="004F7E00" w:rsidRPr="00481281" w:rsidRDefault="004F7E00" w:rsidP="00BE5CCD">
            <w:pPr>
              <w:spacing w:before="0" w:after="60"/>
              <w:jc w:val="center"/>
              <w:cnfStyle w:val="000000000000" w:firstRow="0" w:lastRow="0" w:firstColumn="0" w:lastColumn="0" w:oddVBand="0" w:evenVBand="0" w:oddHBand="0" w:evenHBand="0" w:firstRowFirstColumn="0" w:firstRowLastColumn="0" w:lastRowFirstColumn="0" w:lastRowLastColumn="0"/>
              <w:rPr>
                <w:rFonts w:cs="Calibri Light"/>
              </w:rPr>
            </w:pPr>
            <w:r w:rsidRPr="00481281">
              <w:rPr>
                <w:rFonts w:cs="Calibri Light"/>
              </w:rPr>
              <w:t>2</w:t>
            </w:r>
            <w:r w:rsidR="001D767C">
              <w:rPr>
                <w:rFonts w:cs="Calibri Light"/>
              </w:rPr>
              <w:t>5</w:t>
            </w:r>
          </w:p>
        </w:tc>
        <w:tc>
          <w:tcPr>
            <w:tcW w:w="12170" w:type="dxa"/>
          </w:tcPr>
          <w:p w14:paraId="71CE780F" w14:textId="77777777" w:rsidR="004F7E00" w:rsidRPr="00481281" w:rsidRDefault="004F7E00"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u w:val="single"/>
              </w:rPr>
            </w:pPr>
            <w:r w:rsidRPr="00481281">
              <w:rPr>
                <w:rFonts w:cs="Calibri Light"/>
                <w:u w:val="single"/>
              </w:rPr>
              <w:t>Safety fuse, fuse lighters or splitting guns</w:t>
            </w:r>
          </w:p>
          <w:p w14:paraId="18E0D70E" w14:textId="02785F54" w:rsidR="004F7E00" w:rsidRPr="00481281" w:rsidRDefault="00A763E9" w:rsidP="00BE5CCD">
            <w:pPr>
              <w:spacing w:before="0" w:after="60"/>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This regulation is r</w:t>
            </w:r>
            <w:r w:rsidR="004F7E00" w:rsidRPr="00481281">
              <w:rPr>
                <w:rFonts w:cs="Calibri Light"/>
              </w:rPr>
              <w:t>emade, except that ‘splitting guns’ have been removed from the prescribed equipment, as these are now obsolete and no longer used.</w:t>
            </w:r>
          </w:p>
        </w:tc>
      </w:tr>
    </w:tbl>
    <w:p w14:paraId="13FCBABE" w14:textId="23718373" w:rsidR="00307712" w:rsidRDefault="00307712" w:rsidP="004F7E00">
      <w:pPr>
        <w:rPr>
          <w:color w:val="002465"/>
          <w:sz w:val="32"/>
        </w:rPr>
      </w:pPr>
      <w:r>
        <w:rPr>
          <w:color w:val="002465"/>
          <w:sz w:val="32"/>
        </w:rPr>
        <w:br w:type="page"/>
      </w:r>
    </w:p>
    <w:p w14:paraId="71FE9898" w14:textId="23718373" w:rsidR="004F7E00" w:rsidRPr="000F5263" w:rsidRDefault="00307712" w:rsidP="00E4365C">
      <w:pPr>
        <w:pStyle w:val="Heading1"/>
        <w:numPr>
          <w:ilvl w:val="0"/>
          <w:numId w:val="0"/>
        </w:numPr>
      </w:pPr>
      <w:bookmarkStart w:id="119" w:name="_Toc187330585"/>
      <w:r w:rsidRPr="000F5263">
        <w:t xml:space="preserve">Appendix </w:t>
      </w:r>
      <w:r w:rsidR="001F34F2" w:rsidRPr="000F5263">
        <w:t>D</w:t>
      </w:r>
      <w:r w:rsidRPr="000F5263">
        <w:t>: Cost Calculations</w:t>
      </w:r>
      <w:bookmarkEnd w:id="119"/>
    </w:p>
    <w:tbl>
      <w:tblPr>
        <w:tblStyle w:val="TableGrid"/>
        <w:tblW w:w="14083" w:type="dxa"/>
        <w:tblLook w:val="04A0" w:firstRow="1" w:lastRow="0" w:firstColumn="1" w:lastColumn="0" w:noHBand="0" w:noVBand="1"/>
      </w:tblPr>
      <w:tblGrid>
        <w:gridCol w:w="1985"/>
        <w:gridCol w:w="1929"/>
        <w:gridCol w:w="2494"/>
        <w:gridCol w:w="2487"/>
        <w:gridCol w:w="2701"/>
        <w:gridCol w:w="2487"/>
      </w:tblGrid>
      <w:tr w:rsidR="001B4C3F" w:rsidRPr="001B4C3F" w14:paraId="573A7CFA" w14:textId="77777777" w:rsidTr="001B4C3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083" w:type="dxa"/>
            <w:gridSpan w:val="6"/>
            <w:shd w:val="clear" w:color="auto" w:fill="E8E8E8" w:themeFill="text1" w:themeFillTint="1A"/>
            <w:noWrap/>
            <w:hideMark/>
          </w:tcPr>
          <w:p w14:paraId="03D681B4" w14:textId="68A3FC24" w:rsidR="001B4C3F" w:rsidRPr="001B4C3F" w:rsidRDefault="001B4C3F" w:rsidP="001B4C3F">
            <w:pPr>
              <w:rPr>
                <w:b/>
                <w:bCs/>
                <w:color w:val="auto"/>
              </w:rPr>
            </w:pPr>
            <w:r w:rsidRPr="001B4C3F">
              <w:rPr>
                <w:b/>
                <w:bCs/>
                <w:color w:val="auto"/>
              </w:rPr>
              <w:t>Forests (Fire Protection) Regulations 2025 - Government enforcement costs </w:t>
            </w:r>
          </w:p>
        </w:tc>
      </w:tr>
      <w:tr w:rsidR="001B4C3F" w:rsidRPr="00170E44" w14:paraId="27648729" w14:textId="77777777" w:rsidTr="001B4C3F">
        <w:trPr>
          <w:trHeight w:val="819"/>
        </w:trPr>
        <w:tc>
          <w:tcPr>
            <w:cnfStyle w:val="001000000000" w:firstRow="0" w:lastRow="0" w:firstColumn="1" w:lastColumn="0" w:oddVBand="0" w:evenVBand="0" w:oddHBand="0" w:evenHBand="0" w:firstRowFirstColumn="0" w:firstRowLastColumn="0" w:lastRowFirstColumn="0" w:lastRowLastColumn="0"/>
            <w:tcW w:w="1985" w:type="dxa"/>
            <w:hideMark/>
          </w:tcPr>
          <w:p w14:paraId="79D97190" w14:textId="25B6D76A" w:rsidR="001B4C3F" w:rsidRPr="00170E44" w:rsidRDefault="001B4C3F" w:rsidP="00842F8A">
            <w:pPr>
              <w:jc w:val="center"/>
              <w:rPr>
                <w:b/>
                <w:bCs/>
              </w:rPr>
            </w:pPr>
            <w:r w:rsidRPr="00170E44">
              <w:rPr>
                <w:b/>
                <w:bCs/>
              </w:rPr>
              <w:t xml:space="preserve">Number of </w:t>
            </w:r>
            <w:r w:rsidR="00842F8A" w:rsidRPr="00170E44">
              <w:rPr>
                <w:b/>
                <w:bCs/>
              </w:rPr>
              <w:t>enforcements</w:t>
            </w:r>
            <w:r w:rsidRPr="00170E44">
              <w:rPr>
                <w:b/>
                <w:bCs/>
              </w:rPr>
              <w:t xml:space="preserve"> officers</w:t>
            </w:r>
            <w:r w:rsidRPr="00170E44">
              <w:rPr>
                <w:b/>
                <w:bCs/>
                <w:vertAlign w:val="superscript"/>
              </w:rPr>
              <w:t>1</w:t>
            </w:r>
          </w:p>
        </w:tc>
        <w:tc>
          <w:tcPr>
            <w:tcW w:w="1929" w:type="dxa"/>
            <w:hideMark/>
          </w:tcPr>
          <w:p w14:paraId="25E68CFD" w14:textId="72886840" w:rsidR="001B4C3F" w:rsidRPr="00170E44" w:rsidRDefault="001B4C3F" w:rsidP="00842F8A">
            <w:pPr>
              <w:jc w:val="center"/>
              <w:cnfStyle w:val="000000000000" w:firstRow="0" w:lastRow="0" w:firstColumn="0" w:lastColumn="0" w:oddVBand="0" w:evenVBand="0" w:oddHBand="0" w:evenHBand="0" w:firstRowFirstColumn="0" w:firstRowLastColumn="0" w:lastRowFirstColumn="0" w:lastRowLastColumn="0"/>
              <w:rPr>
                <w:b/>
                <w:bCs/>
              </w:rPr>
            </w:pPr>
            <w:r w:rsidRPr="00170E44">
              <w:rPr>
                <w:b/>
                <w:bCs/>
              </w:rPr>
              <w:t xml:space="preserve">Salary of VPS3 </w:t>
            </w:r>
            <w:r w:rsidR="00842F8A" w:rsidRPr="00170E44">
              <w:rPr>
                <w:b/>
                <w:bCs/>
              </w:rPr>
              <w:t>enforcement</w:t>
            </w:r>
            <w:r w:rsidRPr="00170E44">
              <w:rPr>
                <w:b/>
                <w:bCs/>
              </w:rPr>
              <w:t xml:space="preserve"> officer</w:t>
            </w:r>
            <w:r w:rsidRPr="00170E44">
              <w:rPr>
                <w:b/>
                <w:bCs/>
                <w:vertAlign w:val="superscript"/>
              </w:rPr>
              <w:t>2</w:t>
            </w:r>
            <w:r w:rsidRPr="00170E44">
              <w:rPr>
                <w:b/>
                <w:bCs/>
              </w:rPr>
              <w:t xml:space="preserve"> ($)</w:t>
            </w:r>
          </w:p>
        </w:tc>
        <w:tc>
          <w:tcPr>
            <w:tcW w:w="2494" w:type="dxa"/>
            <w:hideMark/>
          </w:tcPr>
          <w:p w14:paraId="18BB7A23" w14:textId="77777777"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rPr>
                <w:b/>
                <w:bCs/>
              </w:rPr>
            </w:pPr>
            <w:r w:rsidRPr="00170E44">
              <w:rPr>
                <w:b/>
                <w:bCs/>
              </w:rPr>
              <w:t>Salary on-cost factor</w:t>
            </w:r>
            <w:r w:rsidRPr="00170E44">
              <w:rPr>
                <w:b/>
                <w:bCs/>
                <w:vertAlign w:val="superscript"/>
              </w:rPr>
              <w:t>3</w:t>
            </w:r>
            <w:r w:rsidRPr="00170E44">
              <w:rPr>
                <w:b/>
                <w:bCs/>
              </w:rPr>
              <w:t xml:space="preserve"> (1.75)</w:t>
            </w:r>
          </w:p>
        </w:tc>
        <w:tc>
          <w:tcPr>
            <w:tcW w:w="2487" w:type="dxa"/>
            <w:hideMark/>
          </w:tcPr>
          <w:p w14:paraId="6B495B57" w14:textId="77777777"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rPr>
                <w:b/>
                <w:bCs/>
              </w:rPr>
            </w:pPr>
            <w:r w:rsidRPr="00170E44">
              <w:rPr>
                <w:b/>
                <w:bCs/>
              </w:rPr>
              <w:t>Salary cost per officer ($)</w:t>
            </w:r>
          </w:p>
        </w:tc>
        <w:tc>
          <w:tcPr>
            <w:tcW w:w="2701" w:type="dxa"/>
            <w:hideMark/>
          </w:tcPr>
          <w:p w14:paraId="78421582" w14:textId="77777777"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rPr>
                <w:b/>
                <w:bCs/>
              </w:rPr>
            </w:pPr>
            <w:r w:rsidRPr="00170E44">
              <w:rPr>
                <w:b/>
                <w:bCs/>
              </w:rPr>
              <w:t>Total salary bill for officers ($)</w:t>
            </w:r>
          </w:p>
        </w:tc>
        <w:tc>
          <w:tcPr>
            <w:tcW w:w="2487" w:type="dxa"/>
            <w:hideMark/>
          </w:tcPr>
          <w:p w14:paraId="1A4014A4" w14:textId="77777777"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rPr>
                <w:b/>
                <w:bCs/>
              </w:rPr>
            </w:pPr>
            <w:r w:rsidRPr="00170E44">
              <w:rPr>
                <w:b/>
                <w:bCs/>
              </w:rPr>
              <w:t>Attribution to enforcement of regulations (2.5%)</w:t>
            </w:r>
          </w:p>
        </w:tc>
      </w:tr>
      <w:tr w:rsidR="001B4C3F" w:rsidRPr="00170E44" w14:paraId="21E9C78E" w14:textId="77777777" w:rsidTr="001B4C3F">
        <w:trPr>
          <w:trHeight w:val="28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6A1F07B" w14:textId="77777777" w:rsidR="001B4C3F" w:rsidRPr="00170E44" w:rsidRDefault="001B4C3F" w:rsidP="001B4C3F">
            <w:pPr>
              <w:jc w:val="center"/>
            </w:pPr>
            <w:r w:rsidRPr="00170E44">
              <w:t>40</w:t>
            </w:r>
          </w:p>
        </w:tc>
        <w:tc>
          <w:tcPr>
            <w:tcW w:w="1929" w:type="dxa"/>
            <w:noWrap/>
            <w:hideMark/>
          </w:tcPr>
          <w:p w14:paraId="1D938E8E" w14:textId="6BF396DF"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pPr>
            <w:r w:rsidRPr="00170E44">
              <w:t>108,616</w:t>
            </w:r>
          </w:p>
        </w:tc>
        <w:tc>
          <w:tcPr>
            <w:tcW w:w="2494" w:type="dxa"/>
            <w:noWrap/>
            <w:hideMark/>
          </w:tcPr>
          <w:p w14:paraId="40D09854" w14:textId="7AEFC924"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pPr>
            <w:r w:rsidRPr="00170E44">
              <w:t>81,462</w:t>
            </w:r>
          </w:p>
        </w:tc>
        <w:tc>
          <w:tcPr>
            <w:tcW w:w="2487" w:type="dxa"/>
            <w:noWrap/>
            <w:hideMark/>
          </w:tcPr>
          <w:p w14:paraId="1D70B7F1" w14:textId="5C046C14"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pPr>
            <w:r w:rsidRPr="00170E44">
              <w:t>190,079</w:t>
            </w:r>
          </w:p>
        </w:tc>
        <w:tc>
          <w:tcPr>
            <w:tcW w:w="2701" w:type="dxa"/>
            <w:noWrap/>
            <w:hideMark/>
          </w:tcPr>
          <w:p w14:paraId="084D61D6" w14:textId="30B31ACD" w:rsidR="001B4C3F" w:rsidRPr="00170E44" w:rsidRDefault="001B4C3F" w:rsidP="001B4C3F">
            <w:pPr>
              <w:jc w:val="center"/>
              <w:cnfStyle w:val="000000000000" w:firstRow="0" w:lastRow="0" w:firstColumn="0" w:lastColumn="0" w:oddVBand="0" w:evenVBand="0" w:oddHBand="0" w:evenHBand="0" w:firstRowFirstColumn="0" w:firstRowLastColumn="0" w:lastRowFirstColumn="0" w:lastRowLastColumn="0"/>
            </w:pPr>
            <w:r w:rsidRPr="00170E44">
              <w:t>7,603,143</w:t>
            </w:r>
          </w:p>
        </w:tc>
        <w:tc>
          <w:tcPr>
            <w:tcW w:w="2487" w:type="dxa"/>
            <w:noWrap/>
            <w:hideMark/>
          </w:tcPr>
          <w:p w14:paraId="1BAEF495" w14:textId="6217F4A6" w:rsidR="001B4C3F" w:rsidRPr="00170E44" w:rsidRDefault="001B4C3F" w:rsidP="00842F8A">
            <w:pPr>
              <w:ind w:right="785"/>
              <w:jc w:val="right"/>
              <w:cnfStyle w:val="000000000000" w:firstRow="0" w:lastRow="0" w:firstColumn="0" w:lastColumn="0" w:oddVBand="0" w:evenVBand="0" w:oddHBand="0" w:evenHBand="0" w:firstRowFirstColumn="0" w:firstRowLastColumn="0" w:lastRowFirstColumn="0" w:lastRowLastColumn="0"/>
            </w:pPr>
            <w:r w:rsidRPr="00170E44">
              <w:t>90,079</w:t>
            </w:r>
          </w:p>
        </w:tc>
      </w:tr>
      <w:tr w:rsidR="001B4C3F" w:rsidRPr="00170E44" w14:paraId="3C670A70" w14:textId="77777777" w:rsidTr="001B4C3F">
        <w:trPr>
          <w:trHeight w:val="28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0995ABE" w14:textId="77777777" w:rsidR="001B4C3F" w:rsidRPr="00170E44" w:rsidRDefault="001B4C3F">
            <w:r w:rsidRPr="00170E44">
              <w:t> </w:t>
            </w:r>
          </w:p>
        </w:tc>
        <w:tc>
          <w:tcPr>
            <w:tcW w:w="1929" w:type="dxa"/>
            <w:hideMark/>
          </w:tcPr>
          <w:p w14:paraId="363B01CB" w14:textId="77777777" w:rsidR="001B4C3F" w:rsidRPr="00170E44" w:rsidRDefault="001B4C3F">
            <w:pPr>
              <w:cnfStyle w:val="000000000000" w:firstRow="0" w:lastRow="0" w:firstColumn="0" w:lastColumn="0" w:oddVBand="0" w:evenVBand="0" w:oddHBand="0" w:evenHBand="0" w:firstRowFirstColumn="0" w:firstRowLastColumn="0" w:lastRowFirstColumn="0" w:lastRowLastColumn="0"/>
            </w:pPr>
            <w:r w:rsidRPr="00170E44">
              <w:t> </w:t>
            </w:r>
          </w:p>
        </w:tc>
        <w:tc>
          <w:tcPr>
            <w:tcW w:w="2494" w:type="dxa"/>
            <w:noWrap/>
            <w:hideMark/>
          </w:tcPr>
          <w:p w14:paraId="10C08943" w14:textId="77777777" w:rsidR="001B4C3F" w:rsidRPr="00170E44" w:rsidRDefault="001B4C3F">
            <w:pPr>
              <w:cnfStyle w:val="000000000000" w:firstRow="0" w:lastRow="0" w:firstColumn="0" w:lastColumn="0" w:oddVBand="0" w:evenVBand="0" w:oddHBand="0" w:evenHBand="0" w:firstRowFirstColumn="0" w:firstRowLastColumn="0" w:lastRowFirstColumn="0" w:lastRowLastColumn="0"/>
            </w:pPr>
            <w:r w:rsidRPr="00170E44">
              <w:t> </w:t>
            </w:r>
          </w:p>
        </w:tc>
        <w:tc>
          <w:tcPr>
            <w:tcW w:w="2487" w:type="dxa"/>
            <w:noWrap/>
            <w:hideMark/>
          </w:tcPr>
          <w:p w14:paraId="455E91E0" w14:textId="77777777" w:rsidR="001B4C3F" w:rsidRPr="00170E44" w:rsidRDefault="001B4C3F">
            <w:pPr>
              <w:cnfStyle w:val="000000000000" w:firstRow="0" w:lastRow="0" w:firstColumn="0" w:lastColumn="0" w:oddVBand="0" w:evenVBand="0" w:oddHBand="0" w:evenHBand="0" w:firstRowFirstColumn="0" w:firstRowLastColumn="0" w:lastRowFirstColumn="0" w:lastRowLastColumn="0"/>
            </w:pPr>
          </w:p>
        </w:tc>
        <w:tc>
          <w:tcPr>
            <w:tcW w:w="2701" w:type="dxa"/>
            <w:noWrap/>
            <w:hideMark/>
          </w:tcPr>
          <w:p w14:paraId="580F239A" w14:textId="77777777" w:rsidR="001B4C3F" w:rsidRPr="00842F8A" w:rsidRDefault="001B4C3F">
            <w:pPr>
              <w:cnfStyle w:val="000000000000" w:firstRow="0" w:lastRow="0" w:firstColumn="0" w:lastColumn="0" w:oddVBand="0" w:evenVBand="0" w:oddHBand="0" w:evenHBand="0" w:firstRowFirstColumn="0" w:firstRowLastColumn="0" w:lastRowFirstColumn="0" w:lastRowLastColumn="0"/>
              <w:rPr>
                <w:b/>
                <w:bCs/>
                <w:i/>
                <w:iCs/>
              </w:rPr>
            </w:pPr>
            <w:r w:rsidRPr="00842F8A">
              <w:rPr>
                <w:b/>
                <w:bCs/>
                <w:i/>
                <w:iCs/>
              </w:rPr>
              <w:t>Total 10-year discounted</w:t>
            </w:r>
          </w:p>
        </w:tc>
        <w:tc>
          <w:tcPr>
            <w:tcW w:w="2487" w:type="dxa"/>
            <w:noWrap/>
            <w:hideMark/>
          </w:tcPr>
          <w:p w14:paraId="57D5B3FE" w14:textId="4A1C39D5" w:rsidR="001B4C3F" w:rsidRPr="00170E44" w:rsidRDefault="001B4C3F" w:rsidP="00842F8A">
            <w:pPr>
              <w:ind w:right="785"/>
              <w:jc w:val="right"/>
              <w:cnfStyle w:val="000000000000" w:firstRow="0" w:lastRow="0" w:firstColumn="0" w:lastColumn="0" w:oddVBand="0" w:evenVBand="0" w:oddHBand="0" w:evenHBand="0" w:firstRowFirstColumn="0" w:firstRowLastColumn="0" w:lastRowFirstColumn="0" w:lastRowLastColumn="0"/>
              <w:rPr>
                <w:b/>
                <w:bCs/>
              </w:rPr>
            </w:pPr>
            <w:r w:rsidRPr="00170E44">
              <w:rPr>
                <w:b/>
                <w:bCs/>
              </w:rPr>
              <w:t>1,335,032</w:t>
            </w:r>
          </w:p>
        </w:tc>
      </w:tr>
    </w:tbl>
    <w:p w14:paraId="66DE02E9" w14:textId="747FF261" w:rsidR="00842F8A" w:rsidRPr="00842F8A" w:rsidRDefault="00842F8A" w:rsidP="00842F8A">
      <w:pPr>
        <w:spacing w:before="0" w:after="40" w:line="240" w:lineRule="auto"/>
        <w:rPr>
          <w:sz w:val="16"/>
          <w:szCs w:val="16"/>
        </w:rPr>
      </w:pPr>
      <w:r w:rsidRPr="00842F8A">
        <w:rPr>
          <w:sz w:val="16"/>
          <w:szCs w:val="16"/>
        </w:rPr>
        <w:t>Notes</w:t>
      </w:r>
      <w:r>
        <w:rPr>
          <w:sz w:val="16"/>
          <w:szCs w:val="16"/>
        </w:rPr>
        <w:t>:</w:t>
      </w:r>
    </w:p>
    <w:p w14:paraId="6E22A212" w14:textId="77777777" w:rsidR="00842F8A" w:rsidRPr="00842F8A" w:rsidRDefault="00842F8A" w:rsidP="00842F8A">
      <w:pPr>
        <w:spacing w:before="0" w:after="40" w:line="240" w:lineRule="auto"/>
        <w:rPr>
          <w:sz w:val="16"/>
          <w:szCs w:val="16"/>
        </w:rPr>
      </w:pPr>
      <w:r w:rsidRPr="00842F8A">
        <w:rPr>
          <w:sz w:val="16"/>
          <w:szCs w:val="16"/>
        </w:rPr>
        <w:t>1) Number of authorised officers provided by DEECA.</w:t>
      </w:r>
    </w:p>
    <w:p w14:paraId="41B08F4A" w14:textId="77777777" w:rsidR="00842F8A" w:rsidRPr="00842F8A" w:rsidRDefault="00842F8A" w:rsidP="00842F8A">
      <w:pPr>
        <w:spacing w:before="0" w:after="40" w:line="240" w:lineRule="auto"/>
        <w:rPr>
          <w:sz w:val="16"/>
          <w:szCs w:val="16"/>
        </w:rPr>
      </w:pPr>
      <w:r w:rsidRPr="00842F8A">
        <w:rPr>
          <w:sz w:val="16"/>
          <w:szCs w:val="16"/>
        </w:rPr>
        <w:t>2) Victorian Public Service Enterprise Agreement 2024, annual weighed average salary for a DEECA enforcement team (see Assumptions, Appendix C).</w:t>
      </w:r>
    </w:p>
    <w:p w14:paraId="2D75E260" w14:textId="13415B2C" w:rsidR="00842F8A" w:rsidRPr="00842F8A" w:rsidRDefault="00842F8A" w:rsidP="00842F8A">
      <w:pPr>
        <w:spacing w:before="0" w:after="40" w:line="240" w:lineRule="auto"/>
        <w:rPr>
          <w:sz w:val="16"/>
          <w:szCs w:val="16"/>
        </w:rPr>
      </w:pPr>
      <w:r w:rsidRPr="00842F8A">
        <w:rPr>
          <w:sz w:val="16"/>
          <w:szCs w:val="16"/>
        </w:rPr>
        <w:t>3) The labour on-cost gross-up of 1.75</w:t>
      </w:r>
      <w:r w:rsidR="004116A0">
        <w:rPr>
          <w:sz w:val="16"/>
          <w:szCs w:val="16"/>
        </w:rPr>
        <w:t>.</w:t>
      </w:r>
    </w:p>
    <w:p w14:paraId="59A0BCB5" w14:textId="1C7F06A9" w:rsidR="004F7E00" w:rsidRPr="003D47B1" w:rsidRDefault="00842F8A" w:rsidP="0041629C">
      <w:pPr>
        <w:spacing w:before="0" w:after="40" w:line="240" w:lineRule="auto"/>
      </w:pPr>
      <w:r w:rsidRPr="00842F8A">
        <w:rPr>
          <w:sz w:val="16"/>
          <w:szCs w:val="16"/>
        </w:rPr>
        <w:t xml:space="preserve">4) Annual costs were discounted by a real discount rate of 7 per cent, as recommend by </w:t>
      </w:r>
      <w:r w:rsidR="007A3B34">
        <w:rPr>
          <w:sz w:val="16"/>
          <w:szCs w:val="16"/>
        </w:rPr>
        <w:t>the Victorian Department of Treasury and Finance</w:t>
      </w:r>
      <w:r w:rsidRPr="00842F8A">
        <w:rPr>
          <w:sz w:val="16"/>
          <w:szCs w:val="16"/>
        </w:rPr>
        <w:t>.</w:t>
      </w:r>
    </w:p>
    <w:sectPr w:rsidR="004F7E00" w:rsidRPr="003D47B1" w:rsidSect="004A1F65">
      <w:pgSz w:w="16839" w:h="11907" w:orient="landscape"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4DF6B" w14:textId="77777777" w:rsidR="00E72D3F" w:rsidRDefault="00E72D3F" w:rsidP="00CD157B">
      <w:pPr>
        <w:pStyle w:val="NoSpacing"/>
      </w:pPr>
    </w:p>
  </w:endnote>
  <w:endnote w:type="continuationSeparator" w:id="0">
    <w:p w14:paraId="729A5982" w14:textId="77777777" w:rsidR="00E72D3F" w:rsidRDefault="00E72D3F" w:rsidP="00CD157B">
      <w:pPr>
        <w:pStyle w:val="NoSpacing"/>
      </w:pPr>
    </w:p>
  </w:endnote>
  <w:endnote w:type="continuationNotice" w:id="1">
    <w:p w14:paraId="1EDCF49A" w14:textId="77777777" w:rsidR="00E72D3F" w:rsidRDefault="00E72D3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ordia New (Body CS)">
    <w:altName w:val="Cordia New"/>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3C86C2F" w14:textId="77777777" w:rsidTr="00BE5CCD">
      <w:trPr>
        <w:trHeight w:val="397"/>
      </w:trPr>
      <w:tc>
        <w:tcPr>
          <w:tcW w:w="340" w:type="dxa"/>
        </w:tcPr>
        <w:p w14:paraId="702506FC" w14:textId="00C52921" w:rsidR="00CD157B" w:rsidRPr="00D55628" w:rsidRDefault="00B84506" w:rsidP="00376EF3">
          <w:pPr>
            <w:pStyle w:val="FooterEvenPageNumber"/>
            <w:framePr w:wrap="auto" w:vAnchor="margin" w:hAnchor="text" w:yAlign="inline"/>
          </w:pPr>
          <w:r>
            <w:rPr>
              <w:noProof/>
            </w:rPr>
            <mc:AlternateContent>
              <mc:Choice Requires="wps">
                <w:drawing>
                  <wp:anchor distT="0" distB="0" distL="0" distR="0" simplePos="0" relativeHeight="251654144" behindDoc="0" locked="0" layoutInCell="1" allowOverlap="1" wp14:anchorId="26C795C8" wp14:editId="0E220431">
                    <wp:simplePos x="635" y="635"/>
                    <wp:positionH relativeFrom="page">
                      <wp:align>center</wp:align>
                    </wp:positionH>
                    <wp:positionV relativeFrom="page">
                      <wp:align>bottom</wp:align>
                    </wp:positionV>
                    <wp:extent cx="215900" cy="824865"/>
                    <wp:effectExtent l="0" t="0" r="12700" b="0"/>
                    <wp:wrapNone/>
                    <wp:docPr id="18133636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14:paraId="470BA04D" w14:textId="241172A8"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C795C8" id="_x0000_t202" coordsize="21600,21600" o:spt="202" path="m,l,21600r21600,l21600,xe">
                    <v:stroke joinstyle="miter"/>
                    <v:path gradientshapeok="t" o:connecttype="rect"/>
                  </v:shapetype>
                  <v:shape id="Text Box 11" o:spid="_x0000_s1030" type="#_x0000_t202" alt="OFFICIAL" style="position:absolute;margin-left:0;margin-top:0;width:17pt;height:64.95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" filled="f" stroked="f">
                    <v:textbox style="mso-fit-shape-to-text:t" inset="0,0,0,15pt">
                      <w:txbxContent>
                        <w:p w14:paraId="470BA04D" w14:textId="241172A8"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789F771" w14:textId="53AA8D7F" w:rsidR="00CD157B" w:rsidRDefault="00CE495F" w:rsidP="00376EF3">
          <w:pPr>
            <w:pStyle w:val="FooterEven"/>
          </w:pPr>
          <w:r>
            <w:fldChar w:fldCharType="begin"/>
          </w:r>
          <w:r>
            <w:instrText xml:space="preserve"> DOCPROPERTY  xFooterTitle  \* MERGEFORMAT </w:instrText>
          </w:r>
          <w:r>
            <w:fldChar w:fldCharType="separate"/>
          </w:r>
          <w:r w:rsidR="0013459E">
            <w:rPr>
              <w:b/>
              <w:bCs/>
              <w:lang w:val="en-US"/>
            </w:rPr>
            <w:t>Error! Unknown document property name.</w:t>
          </w:r>
          <w:r>
            <w:fldChar w:fldCharType="end"/>
          </w:r>
        </w:p>
        <w:p w14:paraId="62E69AAB" w14:textId="60227836" w:rsidR="00CD157B" w:rsidRPr="00810C40" w:rsidRDefault="00CE495F" w:rsidP="00376EF3">
          <w:pPr>
            <w:pStyle w:val="FooterEven"/>
          </w:pPr>
          <w:r>
            <w:fldChar w:fldCharType="begin"/>
          </w:r>
          <w:r>
            <w:instrText xml:space="preserve"> DOCPROPERTY  xFooterSubtitle  \* MERGEFORMAT </w:instrText>
          </w:r>
          <w:r>
            <w:fldChar w:fldCharType="separate"/>
          </w:r>
          <w:r w:rsidR="0013459E">
            <w:rPr>
              <w:b/>
              <w:bCs/>
              <w:lang w:val="en-US"/>
            </w:rPr>
            <w:t>Error! Unknown document property name.</w:t>
          </w:r>
          <w:r>
            <w:fldChar w:fldCharType="end"/>
          </w:r>
        </w:p>
      </w:tc>
    </w:tr>
  </w:tbl>
  <w:p w14:paraId="7AEB2DA6" w14:textId="77777777" w:rsidR="00CD157B" w:rsidRDefault="00CD157B" w:rsidP="00376EF3">
    <w:pPr>
      <w:pStyle w:val="FooterEven"/>
    </w:pPr>
  </w:p>
  <w:p w14:paraId="2B432CB2"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4E0F95C" w14:textId="77777777" w:rsidTr="00BE5CCD">
      <w:trPr>
        <w:trHeight w:val="397"/>
      </w:trPr>
      <w:tc>
        <w:tcPr>
          <w:tcW w:w="9071" w:type="dxa"/>
        </w:tcPr>
        <w:p w14:paraId="3806F2A4" w14:textId="17C094ED" w:rsidR="00CD157B" w:rsidRDefault="00B84506" w:rsidP="00376EF3">
          <w:pPr>
            <w:pStyle w:val="FooterOdd"/>
          </w:pPr>
          <w:r>
            <w:rPr>
              <w:noProof/>
            </w:rPr>
            <mc:AlternateContent>
              <mc:Choice Requires="wps">
                <w:drawing>
                  <wp:anchor distT="0" distB="0" distL="0" distR="0" simplePos="0" relativeHeight="251655168" behindDoc="0" locked="0" layoutInCell="1" allowOverlap="1" wp14:anchorId="7341485E" wp14:editId="63CB76CA">
                    <wp:simplePos x="635" y="635"/>
                    <wp:positionH relativeFrom="page">
                      <wp:align>center</wp:align>
                    </wp:positionH>
                    <wp:positionV relativeFrom="page">
                      <wp:align>bottom</wp:align>
                    </wp:positionV>
                    <wp:extent cx="551815" cy="452755"/>
                    <wp:effectExtent l="0" t="0" r="635" b="0"/>
                    <wp:wrapNone/>
                    <wp:docPr id="162196002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FB52C2" w14:textId="6AA2BF3B"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41485E" id="_x0000_t202" coordsize="21600,21600" o:spt="202" path="m,l,21600r21600,l21600,xe">
                    <v:stroke joinstyle="miter"/>
                    <v:path gradientshapeok="t" o:connecttype="rect"/>
                  </v:shapetype>
                  <v:shape id="Text Box 12" o:spid="_x0000_s1031" type="#_x0000_t202" alt="OFFICIAL" style="position:absolute;left:0;text-align:left;margin-left:0;margin-top:0;width:43.45pt;height:35.6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5EFB52C2" w14:textId="6AA2BF3B"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r w:rsidR="00CE495F">
            <w:fldChar w:fldCharType="begin"/>
          </w:r>
          <w:r w:rsidR="00CE495F">
            <w:instrText xml:space="preserve"> DOCPROPERTY  xFooterTitle  \* MERGEFORMAT </w:instrText>
          </w:r>
          <w:r w:rsidR="00CE495F">
            <w:fldChar w:fldCharType="separate"/>
          </w:r>
          <w:r w:rsidR="0013459E">
            <w:rPr>
              <w:b/>
              <w:bCs/>
              <w:lang w:val="en-US"/>
            </w:rPr>
            <w:t>Error! Unknown document property name.</w:t>
          </w:r>
          <w:r w:rsidR="00CE495F">
            <w:fldChar w:fldCharType="end"/>
          </w:r>
        </w:p>
        <w:p w14:paraId="7D975876" w14:textId="3BEA607D" w:rsidR="00CD157B" w:rsidRPr="00CB1FB7" w:rsidRDefault="00CE495F" w:rsidP="00376EF3">
          <w:pPr>
            <w:pStyle w:val="FooterOdd"/>
            <w:rPr>
              <w:b/>
            </w:rPr>
          </w:pPr>
          <w:r>
            <w:fldChar w:fldCharType="begin"/>
          </w:r>
          <w:r>
            <w:instrText xml:space="preserve"> DOCPROPERTY  xFooterSubtitle  \* MERGEFORMAT </w:instrText>
          </w:r>
          <w:r>
            <w:fldChar w:fldCharType="separate"/>
          </w:r>
          <w:r w:rsidR="0013459E">
            <w:rPr>
              <w:b/>
              <w:bCs/>
              <w:lang w:val="en-US"/>
            </w:rPr>
            <w:t>Error! Unknown document property name.</w:t>
          </w:r>
          <w:r>
            <w:fldChar w:fldCharType="end"/>
          </w:r>
        </w:p>
      </w:tc>
      <w:tc>
        <w:tcPr>
          <w:tcW w:w="340" w:type="dxa"/>
        </w:tcPr>
        <w:p w14:paraId="3229B3B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5CAEB87"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4E4F0" w14:textId="11E7DD74" w:rsidR="00E84D82" w:rsidRDefault="00B84506">
    <w:pPr>
      <w:pStyle w:val="Footer"/>
    </w:pPr>
    <w:r>
      <w:rPr>
        <w:noProof/>
      </w:rPr>
      <mc:AlternateContent>
        <mc:Choice Requires="wps">
          <w:drawing>
            <wp:anchor distT="0" distB="0" distL="0" distR="0" simplePos="0" relativeHeight="251653120" behindDoc="0" locked="0" layoutInCell="1" allowOverlap="1" wp14:anchorId="07277639" wp14:editId="6143F194">
              <wp:simplePos x="635" y="635"/>
              <wp:positionH relativeFrom="page">
                <wp:align>center</wp:align>
              </wp:positionH>
              <wp:positionV relativeFrom="page">
                <wp:align>bottom</wp:align>
              </wp:positionV>
              <wp:extent cx="551815" cy="452755"/>
              <wp:effectExtent l="0" t="0" r="635" b="0"/>
              <wp:wrapNone/>
              <wp:docPr id="20100472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31EC87C" w14:textId="2EFE348F"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77639" id="_x0000_t202" coordsize="21600,21600" o:spt="202" path="m,l,21600r21600,l21600,xe">
              <v:stroke joinstyle="miter"/>
              <v:path gradientshapeok="t" o:connecttype="rect"/>
            </v:shapetype>
            <v:shape id="Text Box 10" o:spid="_x0000_s1032" type="#_x0000_t202" alt="OFFICIAL" style="position:absolute;margin-left:0;margin-top:0;width:43.45pt;height:35.65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631EC87C" w14:textId="2EFE348F"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2E17" w14:paraId="7C6E8C9A" w14:textId="77777777" w:rsidTr="00935909">
      <w:trPr>
        <w:trHeight w:val="397"/>
      </w:trPr>
      <w:tc>
        <w:tcPr>
          <w:tcW w:w="9071" w:type="dxa"/>
        </w:tcPr>
        <w:p w14:paraId="6F314B56" w14:textId="3443467C" w:rsidR="00DE2E17" w:rsidRDefault="00DE2E17" w:rsidP="00DE2E17">
          <w:pPr>
            <w:pStyle w:val="FooterOdd"/>
          </w:pPr>
          <w:r>
            <w:rPr>
              <w:noProof/>
            </w:rPr>
            <mc:AlternateContent>
              <mc:Choice Requires="wps">
                <w:drawing>
                  <wp:anchor distT="0" distB="0" distL="0" distR="0" simplePos="0" relativeHeight="251665408" behindDoc="0" locked="0" layoutInCell="1" allowOverlap="1" wp14:anchorId="32083BC5" wp14:editId="00E9CF29">
                    <wp:simplePos x="635" y="635"/>
                    <wp:positionH relativeFrom="page">
                      <wp:align>center</wp:align>
                    </wp:positionH>
                    <wp:positionV relativeFrom="page">
                      <wp:align>bottom</wp:align>
                    </wp:positionV>
                    <wp:extent cx="551815" cy="452755"/>
                    <wp:effectExtent l="0" t="0" r="635" b="0"/>
                    <wp:wrapNone/>
                    <wp:docPr id="9319918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5801EFB" w14:textId="77777777" w:rsidR="00DE2E17" w:rsidRPr="00B84506" w:rsidRDefault="00DE2E17" w:rsidP="00DE2E17">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83BC5" id="_x0000_t202" coordsize="21600,21600" o:spt="202" path="m,l,21600r21600,l21600,xe">
                    <v:stroke joinstyle="miter"/>
                    <v:path gradientshapeok="t" o:connecttype="rect"/>
                  </v:shapetype>
                  <v:shape id="Text Box 15" o:spid="_x0000_s1033" type="#_x0000_t202" alt="OFFICIAL" style="position:absolute;left:0;text-align:left;margin-left:0;margin-top:0;width:43.45pt;height:35.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5801EFB" w14:textId="77777777" w:rsidR="00DE2E17" w:rsidRPr="00B84506" w:rsidRDefault="00DE2E17" w:rsidP="00DE2E17">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r w:rsidR="00527F06">
            <w:rPr>
              <w:noProof/>
            </w:rPr>
            <w:t>Forests (Fire Protection) Regulations 2025</w:t>
          </w:r>
        </w:p>
        <w:p w14:paraId="51241F5F" w14:textId="0694A117" w:rsidR="00DE2E17" w:rsidRPr="00CB1FB7" w:rsidRDefault="00527F06" w:rsidP="00DE2E17">
          <w:pPr>
            <w:pStyle w:val="FooterOdd"/>
            <w:rPr>
              <w:b/>
            </w:rPr>
          </w:pPr>
          <w:r>
            <w:t>Regulatory Impact Statement</w:t>
          </w:r>
        </w:p>
      </w:tc>
      <w:tc>
        <w:tcPr>
          <w:tcW w:w="340" w:type="dxa"/>
        </w:tcPr>
        <w:p w14:paraId="71D46689" w14:textId="77777777" w:rsidR="00DE2E17" w:rsidRPr="00D55628" w:rsidRDefault="00DE2E17" w:rsidP="00DE2E17">
          <w:pPr>
            <w:pStyle w:val="FooterOddPageNumber"/>
          </w:pPr>
          <w:r w:rsidRPr="00D55628">
            <w:fldChar w:fldCharType="begin"/>
          </w:r>
          <w:r w:rsidRPr="00D55628">
            <w:instrText xml:space="preserve"> PAGE   \* MERGEFORMAT </w:instrText>
          </w:r>
          <w:r w:rsidRPr="00D55628">
            <w:fldChar w:fldCharType="separate"/>
          </w:r>
          <w:r>
            <w:t>9</w:t>
          </w:r>
          <w:r w:rsidRPr="00D55628">
            <w:fldChar w:fldCharType="end"/>
          </w:r>
        </w:p>
      </w:tc>
    </w:tr>
  </w:tbl>
  <w:p w14:paraId="3814F372" w14:textId="77777777" w:rsidR="00DE2E17" w:rsidRDefault="00DE2E17" w:rsidP="00DE2E17">
    <w:pPr>
      <w:pStyle w:val="Footer"/>
    </w:pPr>
  </w:p>
  <w:p w14:paraId="16CC2DDD" w14:textId="77777777" w:rsidR="00DE2E17" w:rsidRDefault="00DE2E17" w:rsidP="00DE2E17">
    <w:pPr>
      <w:pStyle w:val="Footer"/>
    </w:pPr>
  </w:p>
  <w:p w14:paraId="72D36046" w14:textId="77777777" w:rsidR="004F02B4" w:rsidRDefault="004F02B4" w:rsidP="00376EF3">
    <w:pPr>
      <w:pStyle w:val="FooterEven"/>
    </w:pPr>
  </w:p>
  <w:p w14:paraId="32213FBD" w14:textId="77777777" w:rsidR="004F02B4" w:rsidRDefault="004F02B4">
    <w:pPr>
      <w:pStyle w:val="Footer"/>
    </w:pPr>
  </w:p>
  <w:p w14:paraId="2B6BC1FC" w14:textId="5B1D1845" w:rsidR="005C24D2" w:rsidRDefault="005C24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2E17" w14:paraId="03A2969E" w14:textId="77777777" w:rsidTr="00935909">
      <w:trPr>
        <w:trHeight w:val="397"/>
      </w:trPr>
      <w:tc>
        <w:tcPr>
          <w:tcW w:w="9071" w:type="dxa"/>
        </w:tcPr>
        <w:p w14:paraId="41242AE9" w14:textId="54DDF0FF" w:rsidR="00DE2E17" w:rsidRDefault="00DE2E17" w:rsidP="00DE2E17">
          <w:pPr>
            <w:pStyle w:val="FooterOdd"/>
          </w:pPr>
          <w:r>
            <w:rPr>
              <w:noProof/>
            </w:rPr>
            <mc:AlternateContent>
              <mc:Choice Requires="wps">
                <w:drawing>
                  <wp:anchor distT="0" distB="0" distL="0" distR="0" simplePos="0" relativeHeight="251663360" behindDoc="0" locked="0" layoutInCell="1" allowOverlap="1" wp14:anchorId="0F78CDDE" wp14:editId="287E8668">
                    <wp:simplePos x="635" y="635"/>
                    <wp:positionH relativeFrom="page">
                      <wp:align>center</wp:align>
                    </wp:positionH>
                    <wp:positionV relativeFrom="page">
                      <wp:align>bottom</wp:align>
                    </wp:positionV>
                    <wp:extent cx="551815" cy="452755"/>
                    <wp:effectExtent l="0" t="0" r="635" b="0"/>
                    <wp:wrapNone/>
                    <wp:docPr id="59596507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658821" w14:textId="77777777" w:rsidR="00DE2E17" w:rsidRPr="00B84506" w:rsidRDefault="00DE2E17" w:rsidP="00DE2E17">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78CDDE" id="_x0000_t202" coordsize="21600,21600" o:spt="202" path="m,l,21600r21600,l21600,xe">
                    <v:stroke joinstyle="miter"/>
                    <v:path gradientshapeok="t" o:connecttype="rect"/>
                  </v:shapetype>
                  <v:shape id="_x0000_s1034" type="#_x0000_t202" alt="OFFICIAL" style="position:absolute;left:0;text-align:left;margin-left:0;margin-top:0;width:43.45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IUDQ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VYfOp+B80Jh3Iw7ttbvu6w9Ib58MwcLhjnQNGG&#10;Jzykgr6mcLYoacH9+Js/5iPvGKWkR8HU1KCiKVHfDO4jamsy3GTsklHc5mWOcXPQ94AyLPBFWJ5M&#10;9LqgJlM60K8o51UshCFmOJar6W4y78OoXHwOXKxWKQllZFnYmK3lETrSFbl8GV6Zs2fCA27qESY1&#10;seoN72NuvOnt6hCQ/bSUSO1I5JlxlGBa6/m5RI3/+p+yro96+RM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r18IUDQIAABwE&#10;AAAOAAAAAAAAAAAAAAAAAC4CAABkcnMvZTJvRG9jLnhtbFBLAQItABQABgAIAAAAIQDvrd6x2wAA&#10;AAMBAAAPAAAAAAAAAAAAAAAAAGcEAABkcnMvZG93bnJldi54bWxQSwUGAAAAAAQABADzAAAAbwUA&#10;AAAA&#10;" filled="f" stroked="f">
                    <v:textbox style="mso-fit-shape-to-text:t" inset="0,0,0,15pt">
                      <w:txbxContent>
                        <w:p w14:paraId="3B658821" w14:textId="77777777" w:rsidR="00DE2E17" w:rsidRPr="00B84506" w:rsidRDefault="00DE2E17" w:rsidP="00DE2E17">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r w:rsidR="00527F06">
            <w:t>Forests (Fire Protection) Regulations 2025</w:t>
          </w:r>
        </w:p>
        <w:p w14:paraId="238F0D14" w14:textId="0786B0A6" w:rsidR="00DE2E17" w:rsidRPr="00CB1FB7" w:rsidRDefault="00527F06" w:rsidP="00DE2E17">
          <w:pPr>
            <w:pStyle w:val="FooterOdd"/>
            <w:rPr>
              <w:b/>
            </w:rPr>
          </w:pPr>
          <w:r>
            <w:t>Regulatory Impact Statement</w:t>
          </w:r>
        </w:p>
      </w:tc>
      <w:tc>
        <w:tcPr>
          <w:tcW w:w="340" w:type="dxa"/>
        </w:tcPr>
        <w:p w14:paraId="41F58957" w14:textId="77777777" w:rsidR="00DE2E17" w:rsidRPr="00D55628" w:rsidRDefault="00DE2E17" w:rsidP="00DE2E1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0A20649" w14:textId="77777777" w:rsidR="004F02B4" w:rsidRDefault="004F02B4">
    <w:pPr>
      <w:pStyle w:val="Footer"/>
    </w:pPr>
  </w:p>
  <w:p w14:paraId="5E0BE28D" w14:textId="5177745B" w:rsidR="005C24D2" w:rsidRDefault="005C24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9364" w14:textId="7D1FEF64" w:rsidR="005C24D2" w:rsidRDefault="00B84506">
    <w:pPr>
      <w:pStyle w:val="Footer"/>
    </w:pPr>
    <w:r>
      <w:rPr>
        <w:noProof/>
      </w:rPr>
      <mc:AlternateContent>
        <mc:Choice Requires="wps">
          <w:drawing>
            <wp:anchor distT="0" distB="0" distL="0" distR="0" simplePos="0" relativeHeight="251656192" behindDoc="0" locked="0" layoutInCell="1" allowOverlap="1" wp14:anchorId="4D2FC50A" wp14:editId="4D5D2A45">
              <wp:simplePos x="635" y="635"/>
              <wp:positionH relativeFrom="page">
                <wp:align>center</wp:align>
              </wp:positionH>
              <wp:positionV relativeFrom="page">
                <wp:align>bottom</wp:align>
              </wp:positionV>
              <wp:extent cx="551815" cy="452755"/>
              <wp:effectExtent l="0" t="0" r="635" b="0"/>
              <wp:wrapNone/>
              <wp:docPr id="36515446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C8EDDD5" w14:textId="3FE116C3"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FC50A" id="_x0000_t202" coordsize="21600,21600" o:spt="202" path="m,l,21600r21600,l21600,xe">
              <v:stroke joinstyle="miter"/>
              <v:path gradientshapeok="t" o:connecttype="rect"/>
            </v:shapetype>
            <v:shape id="Text Box 13" o:spid="_x0000_s1035" type="#_x0000_t202" alt="OFFICIAL" style="position:absolute;margin-left:0;margin-top:0;width:43.45pt;height:35.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6C8EDDD5" w14:textId="3FE116C3"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FC3F" w14:textId="14AEEE0B" w:rsidR="00E84D82" w:rsidRDefault="00B84506">
    <w:pPr>
      <w:pStyle w:val="Footer"/>
    </w:pPr>
    <w:r>
      <w:rPr>
        <w:noProof/>
      </w:rPr>
      <mc:AlternateContent>
        <mc:Choice Requires="wps">
          <w:drawing>
            <wp:anchor distT="0" distB="0" distL="0" distR="0" simplePos="0" relativeHeight="251660288" behindDoc="0" locked="0" layoutInCell="1" allowOverlap="1" wp14:anchorId="15EEE55B" wp14:editId="0B91B595">
              <wp:simplePos x="635" y="635"/>
              <wp:positionH relativeFrom="page">
                <wp:align>center</wp:align>
              </wp:positionH>
              <wp:positionV relativeFrom="page">
                <wp:align>bottom</wp:align>
              </wp:positionV>
              <wp:extent cx="551815" cy="452755"/>
              <wp:effectExtent l="0" t="0" r="635" b="0"/>
              <wp:wrapNone/>
              <wp:docPr id="203644602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E198FF3" w14:textId="45B44C2C"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EE55B" id="_x0000_t202" coordsize="21600,21600" o:spt="202" path="m,l,21600r21600,l21600,xe">
              <v:stroke joinstyle="miter"/>
              <v:path gradientshapeok="t" o:connecttype="rect"/>
            </v:shapetype>
            <v:shape id="Text Box 17" o:spid="_x0000_s1036"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4E198FF3" w14:textId="45B44C2C"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A826" w14:textId="5C48FB7B" w:rsidR="00E84D82" w:rsidRDefault="00B84506">
    <w:pPr>
      <w:pStyle w:val="Footer"/>
    </w:pPr>
    <w:r>
      <w:rPr>
        <w:noProof/>
      </w:rPr>
      <mc:AlternateContent>
        <mc:Choice Requires="wps">
          <w:drawing>
            <wp:anchor distT="0" distB="0" distL="0" distR="0" simplePos="0" relativeHeight="251661312" behindDoc="0" locked="0" layoutInCell="1" allowOverlap="1" wp14:anchorId="76E47FE9" wp14:editId="462F1033">
              <wp:simplePos x="635" y="635"/>
              <wp:positionH relativeFrom="page">
                <wp:align>center</wp:align>
              </wp:positionH>
              <wp:positionV relativeFrom="page">
                <wp:align>bottom</wp:align>
              </wp:positionV>
              <wp:extent cx="551815" cy="452755"/>
              <wp:effectExtent l="0" t="0" r="635" b="0"/>
              <wp:wrapNone/>
              <wp:docPr id="1288191519"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53CA6FD" w14:textId="62DF17AB"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47FE9" id="_x0000_t202" coordsize="21600,21600" o:spt="202" path="m,l,21600r21600,l21600,xe">
              <v:stroke joinstyle="miter"/>
              <v:path gradientshapeok="t" o:connecttype="rect"/>
            </v:shapetype>
            <v:shape id="Text Box 18" o:spid="_x0000_s1037" type="#_x0000_t202" alt="OFFICIAL" style="position:absolute;margin-left:0;margin-top:0;width:43.45pt;height:35.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653CA6FD" w14:textId="62DF17AB"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7227" w14:textId="3DEEAA00" w:rsidR="002053A4" w:rsidRDefault="00B84506">
    <w:pPr>
      <w:pStyle w:val="Footer"/>
    </w:pPr>
    <w:r>
      <w:rPr>
        <w:noProof/>
      </w:rPr>
      <mc:AlternateContent>
        <mc:Choice Requires="wps">
          <w:drawing>
            <wp:anchor distT="0" distB="0" distL="0" distR="0" simplePos="0" relativeHeight="251659264" behindDoc="0" locked="0" layoutInCell="1" allowOverlap="1" wp14:anchorId="07FC8ECE" wp14:editId="20E2A64E">
              <wp:simplePos x="635" y="635"/>
              <wp:positionH relativeFrom="page">
                <wp:align>center</wp:align>
              </wp:positionH>
              <wp:positionV relativeFrom="page">
                <wp:align>bottom</wp:align>
              </wp:positionV>
              <wp:extent cx="551815" cy="452755"/>
              <wp:effectExtent l="0" t="0" r="635" b="0"/>
              <wp:wrapNone/>
              <wp:docPr id="67767508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EC5AAB6" w14:textId="2032BB98"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C8ECE" id="_x0000_t202" coordsize="21600,21600" o:spt="202" path="m,l,21600r21600,l21600,xe">
              <v:stroke joinstyle="miter"/>
              <v:path gradientshapeok="t" o:connecttype="rect"/>
            </v:shapetype>
            <v:shape id="Text Box 16" o:spid="_x0000_s1038"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1EC5AAB6" w14:textId="2032BB98" w:rsidR="00B84506" w:rsidRPr="00B84506" w:rsidRDefault="00B84506" w:rsidP="00B84506">
                    <w:pPr>
                      <w:spacing w:after="0"/>
                      <w:rPr>
                        <w:rFonts w:ascii="Calibri" w:eastAsia="Calibri" w:hAnsi="Calibri" w:cs="Calibri"/>
                        <w:noProof/>
                        <w:color w:val="000000"/>
                        <w:sz w:val="24"/>
                        <w:szCs w:val="24"/>
                      </w:rPr>
                    </w:pPr>
                    <w:r w:rsidRPr="00B84506">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B9785" w14:textId="77777777" w:rsidR="00E72D3F" w:rsidRPr="0056073C" w:rsidRDefault="00E72D3F" w:rsidP="005D764F">
      <w:pPr>
        <w:pStyle w:val="FootnoteSeparator"/>
      </w:pPr>
    </w:p>
  </w:footnote>
  <w:footnote w:type="continuationSeparator" w:id="0">
    <w:p w14:paraId="7D8E34E4" w14:textId="77777777" w:rsidR="00E72D3F" w:rsidRPr="00CA30B7" w:rsidRDefault="00E72D3F" w:rsidP="006D5A90">
      <w:pPr>
        <w:rPr>
          <w:lang w:val="en-US"/>
        </w:rPr>
      </w:pPr>
      <w:r w:rsidRPr="00CA30B7">
        <w:rPr>
          <w:lang w:val="en-US"/>
        </w:rPr>
        <w:t>_______</w:t>
      </w:r>
    </w:p>
  </w:footnote>
  <w:footnote w:type="continuationNotice" w:id="1">
    <w:p w14:paraId="59C58A68" w14:textId="77777777" w:rsidR="00E72D3F" w:rsidRDefault="00E72D3F" w:rsidP="006D5A90"/>
  </w:footnote>
  <w:footnote w:id="2">
    <w:p w14:paraId="6FCBEEFB" w14:textId="07A2EA22" w:rsidR="00912547" w:rsidRDefault="00912547" w:rsidP="00912547">
      <w:pPr>
        <w:pStyle w:val="FootnoteText"/>
      </w:pPr>
      <w:r>
        <w:rPr>
          <w:rStyle w:val="FootnoteReference"/>
        </w:rPr>
        <w:footnoteRef/>
      </w:r>
      <w:r>
        <w:t xml:space="preserve"> </w:t>
      </w:r>
      <w:r w:rsidRPr="00620D07">
        <w:t xml:space="preserve">The operation of the Forests (Fire Protection) Regulations 2014 was extended by 12 months under the SLA by the Subordinate Legislation (Forests (Fire Protection) Regulations 2014) Extension Regulations 2024 and will expire on </w:t>
      </w:r>
      <w:r w:rsidR="00E96A99">
        <w:t>8</w:t>
      </w:r>
      <w:r w:rsidR="007252FB">
        <w:t> </w:t>
      </w:r>
      <w:r w:rsidRPr="00620D07">
        <w:t>June 2025.</w:t>
      </w:r>
    </w:p>
  </w:footnote>
  <w:footnote w:id="3">
    <w:p w14:paraId="0E4668E0" w14:textId="77777777" w:rsidR="00E72F7E" w:rsidRPr="0000487E" w:rsidRDefault="00E72F7E" w:rsidP="00E72F7E">
      <w:pPr>
        <w:pStyle w:val="FootnoteText"/>
      </w:pPr>
      <w:r w:rsidRPr="0000487E">
        <w:rPr>
          <w:rStyle w:val="FootnoteReference"/>
          <w:rFonts w:ascii="Calibri Light" w:hAnsi="Calibri Light" w:cs="Calibri Light"/>
        </w:rPr>
        <w:footnoteRef/>
      </w:r>
      <w:r w:rsidRPr="0000487E">
        <w:t xml:space="preserve"> Section 10(1)(c) of the SLA.</w:t>
      </w:r>
    </w:p>
  </w:footnote>
  <w:footnote w:id="4">
    <w:p w14:paraId="0694D917" w14:textId="79C23000" w:rsidR="009C4553" w:rsidRDefault="009C4553">
      <w:pPr>
        <w:pStyle w:val="FootnoteText"/>
      </w:pPr>
      <w:r>
        <w:rPr>
          <w:rStyle w:val="FootnoteReference"/>
        </w:rPr>
        <w:footnoteRef/>
      </w:r>
      <w:r>
        <w:t xml:space="preserve"> </w:t>
      </w:r>
      <w:r w:rsidR="00D42E8C">
        <w:t xml:space="preserve">The Treasurer of Victoria sets penalty units in accordance with the </w:t>
      </w:r>
      <w:r w:rsidR="00D42E8C" w:rsidRPr="00DB79FC">
        <w:rPr>
          <w:i/>
        </w:rPr>
        <w:t xml:space="preserve">Monetary </w:t>
      </w:r>
      <w:r w:rsidR="00D42E8C" w:rsidRPr="00DB79FC">
        <w:rPr>
          <w:i/>
          <w:iCs/>
        </w:rPr>
        <w:t>Units Act 2004</w:t>
      </w:r>
      <w:r w:rsidR="00D42E8C">
        <w:rPr>
          <w:i/>
          <w:iCs/>
        </w:rPr>
        <w:t xml:space="preserve">. </w:t>
      </w:r>
      <w:r w:rsidR="00D42E8C">
        <w:t>In Financial Year 2024-25, one penalty unit is worth $197.59.</w:t>
      </w:r>
    </w:p>
  </w:footnote>
  <w:footnote w:id="5">
    <w:p w14:paraId="401D721C" w14:textId="77777777" w:rsidR="00D9285C" w:rsidRDefault="00D9285C" w:rsidP="00D9285C">
      <w:pPr>
        <w:pStyle w:val="FootnoteText"/>
      </w:pPr>
      <w:r>
        <w:rPr>
          <w:rStyle w:val="FootnoteReference"/>
        </w:rPr>
        <w:footnoteRef/>
      </w:r>
      <w:r>
        <w:t xml:space="preserve"> SLA s. 7.</w:t>
      </w:r>
    </w:p>
  </w:footnote>
  <w:footnote w:id="6">
    <w:p w14:paraId="44AF7EA1" w14:textId="77777777" w:rsidR="00D9285C" w:rsidRDefault="00D9285C" w:rsidP="00D9285C">
      <w:pPr>
        <w:pStyle w:val="FootnoteText"/>
      </w:pPr>
      <w:r>
        <w:rPr>
          <w:rStyle w:val="FootnoteReference"/>
        </w:rPr>
        <w:footnoteRef/>
      </w:r>
      <w:r>
        <w:t xml:space="preserve"> Victorian Guide to Regulation (2024).</w:t>
      </w:r>
    </w:p>
  </w:footnote>
  <w:footnote w:id="7">
    <w:p w14:paraId="1B99B3E4" w14:textId="77777777" w:rsidR="00D9285C" w:rsidRDefault="00D9285C" w:rsidP="00D9285C">
      <w:pPr>
        <w:pStyle w:val="FootnoteText"/>
      </w:pPr>
      <w:r>
        <w:rPr>
          <w:rStyle w:val="FootnoteReference"/>
        </w:rPr>
        <w:footnoteRef/>
      </w:r>
      <w:r>
        <w:t xml:space="preserve"> SLA s. 10.</w:t>
      </w:r>
    </w:p>
  </w:footnote>
  <w:footnote w:id="8">
    <w:p w14:paraId="7296FDA7" w14:textId="77777777" w:rsidR="00D9285C" w:rsidRDefault="00D9285C" w:rsidP="00D9285C">
      <w:pPr>
        <w:pStyle w:val="FootnoteText"/>
      </w:pPr>
      <w:r>
        <w:rPr>
          <w:rStyle w:val="FootnoteReference"/>
        </w:rPr>
        <w:footnoteRef/>
      </w:r>
      <w:r>
        <w:t xml:space="preserve"> I</w:t>
      </w:r>
      <w:r w:rsidRPr="001D2E93">
        <w:t xml:space="preserve">ncluding in the case of proposed </w:t>
      </w:r>
      <w:r>
        <w:t>Regulations</w:t>
      </w:r>
      <w:r w:rsidRPr="001D2E93">
        <w:t xml:space="preserve"> which amend existing </w:t>
      </w:r>
      <w:r>
        <w:t>Regulations,</w:t>
      </w:r>
      <w:r w:rsidRPr="001D2E93">
        <w:t xml:space="preserve"> the effect on the operation of the existing </w:t>
      </w:r>
      <w:r>
        <w:t>Regulations.</w:t>
      </w:r>
    </w:p>
  </w:footnote>
  <w:footnote w:id="9">
    <w:p w14:paraId="258DE8FB" w14:textId="77777777" w:rsidR="00D9285C" w:rsidRDefault="00D9285C" w:rsidP="00D9285C">
      <w:pPr>
        <w:pStyle w:val="FootnoteText"/>
      </w:pPr>
      <w:r>
        <w:rPr>
          <w:rStyle w:val="FootnoteReference"/>
        </w:rPr>
        <w:footnoteRef/>
      </w:r>
      <w:r>
        <w:t xml:space="preserve"> Required i</w:t>
      </w:r>
      <w:r w:rsidRPr="00557D8F">
        <w:t>n order to meet the requirements of the Competition Principles Agreemen</w:t>
      </w:r>
      <w:r>
        <w:t>t.</w:t>
      </w:r>
    </w:p>
  </w:footnote>
  <w:footnote w:id="10">
    <w:p w14:paraId="502F9BA8" w14:textId="77777777" w:rsidR="00D9285C" w:rsidRDefault="00D9285C" w:rsidP="00D9285C">
      <w:pPr>
        <w:pStyle w:val="FootnoteText"/>
      </w:pPr>
      <w:r>
        <w:rPr>
          <w:rStyle w:val="FootnoteReference"/>
        </w:rPr>
        <w:footnoteRef/>
      </w:r>
      <w:r>
        <w:t xml:space="preserve"> SLA s. 10(1)(f) requires a RIS to contain any other information required by the SLA Guidelines. The SLA Guidelines in turn reference (at para. 171) the Victorian Guide to Regulation as a source of further detail on the preparation of RISs.</w:t>
      </w:r>
    </w:p>
  </w:footnote>
  <w:footnote w:id="11">
    <w:p w14:paraId="4D7357E5" w14:textId="77777777" w:rsidR="00D9285C" w:rsidRDefault="00D9285C" w:rsidP="00D9285C">
      <w:pPr>
        <w:pStyle w:val="FootnoteText"/>
      </w:pPr>
      <w:r>
        <w:rPr>
          <w:rStyle w:val="FootnoteReference"/>
        </w:rPr>
        <w:footnoteRef/>
      </w:r>
      <w:r>
        <w:t xml:space="preserve"> SLA s. 10(3) and the SLA Guidelines (2023) paragraph 174-179.</w:t>
      </w:r>
    </w:p>
  </w:footnote>
  <w:footnote w:id="12">
    <w:p w14:paraId="5CFFBA31" w14:textId="77777777" w:rsidR="00D9285C" w:rsidRDefault="00D9285C" w:rsidP="00D9285C">
      <w:pPr>
        <w:pStyle w:val="FootnoteText"/>
      </w:pPr>
      <w:r>
        <w:rPr>
          <w:rStyle w:val="FootnoteReference"/>
        </w:rPr>
        <w:footnoteRef/>
      </w:r>
      <w:r>
        <w:t xml:space="preserve"> SLA s. 11.</w:t>
      </w:r>
    </w:p>
  </w:footnote>
  <w:footnote w:id="13">
    <w:p w14:paraId="5996C703" w14:textId="77777777" w:rsidR="00D9285C" w:rsidRDefault="00D9285C" w:rsidP="00D9285C">
      <w:pPr>
        <w:pStyle w:val="FootnoteText"/>
      </w:pPr>
      <w:r>
        <w:rPr>
          <w:rStyle w:val="FootnoteReference"/>
        </w:rPr>
        <w:footnoteRef/>
      </w:r>
      <w:r>
        <w:t xml:space="preserve"> SLA Guidelines (2023) para. 196.</w:t>
      </w:r>
    </w:p>
  </w:footnote>
  <w:footnote w:id="14">
    <w:p w14:paraId="085D966F" w14:textId="77777777" w:rsidR="00D9285C" w:rsidRDefault="00D9285C" w:rsidP="00D9285C">
      <w:pPr>
        <w:pStyle w:val="FootnoteText"/>
      </w:pPr>
      <w:r>
        <w:rPr>
          <w:rStyle w:val="FootnoteReference"/>
        </w:rPr>
        <w:footnoteRef/>
      </w:r>
      <w:r>
        <w:t xml:space="preserve"> Victorian Guide to Regulation (2024)</w:t>
      </w:r>
    </w:p>
  </w:footnote>
  <w:footnote w:id="15">
    <w:p w14:paraId="0960D9B9" w14:textId="63DB5E73" w:rsidR="00D9285C" w:rsidRDefault="00D9285C" w:rsidP="00D9285C">
      <w:pPr>
        <w:pStyle w:val="FootnoteText"/>
      </w:pPr>
      <w:r>
        <w:rPr>
          <w:rStyle w:val="FootnoteReference"/>
        </w:rPr>
        <w:footnoteRef/>
      </w:r>
      <w:r>
        <w:t xml:space="preserve"> 2024, page i</w:t>
      </w:r>
      <w:r w:rsidR="00C56B8D">
        <w:t>.</w:t>
      </w:r>
    </w:p>
  </w:footnote>
  <w:footnote w:id="16">
    <w:p w14:paraId="3287FFFE" w14:textId="77777777" w:rsidR="008C5D5D" w:rsidRPr="00481B5E" w:rsidRDefault="008C5D5D" w:rsidP="008C5D5D">
      <w:pPr>
        <w:rPr>
          <w:rFonts w:ascii="Arial" w:hAnsi="Arial" w:cs="Arial"/>
          <w:sz w:val="18"/>
          <w:szCs w:val="18"/>
        </w:rPr>
      </w:pPr>
      <w:r w:rsidRPr="00481B5E">
        <w:rPr>
          <w:rStyle w:val="FootnoteReference"/>
          <w:rFonts w:ascii="Arial" w:hAnsi="Arial" w:cs="Arial"/>
          <w:sz w:val="18"/>
          <w:szCs w:val="18"/>
        </w:rPr>
        <w:footnoteRef/>
      </w:r>
      <w:r w:rsidRPr="00481B5E">
        <w:rPr>
          <w:rFonts w:ascii="Arial" w:hAnsi="Arial" w:cs="Arial"/>
          <w:sz w:val="18"/>
          <w:szCs w:val="18"/>
        </w:rPr>
        <w:t xml:space="preserve"> Parks Victoria Annual Report 2023–24, p. 33: https://www.parks.vic.gov.au/-/media/project/pv/main/parks/documents/about-us/annual-reports/parks-victoria-annual-report-2023-24.pdf?rev=753a5fc2705249439f4a2733e5c62164</w:t>
      </w:r>
    </w:p>
    <w:p w14:paraId="26747164" w14:textId="77777777" w:rsidR="008C5D5D" w:rsidRDefault="008C5D5D" w:rsidP="008C5D5D">
      <w:pPr>
        <w:pStyle w:val="FootnoteText"/>
      </w:pPr>
    </w:p>
  </w:footnote>
  <w:footnote w:id="17">
    <w:p w14:paraId="558FDE6B" w14:textId="77777777" w:rsidR="003D47B1" w:rsidRDefault="003D47B1" w:rsidP="00C56B8D">
      <w:pPr>
        <w:pStyle w:val="FootnoteText"/>
      </w:pPr>
      <w:r>
        <w:rPr>
          <w:rStyle w:val="FootnoteReference"/>
        </w:rPr>
        <w:footnoteRef/>
      </w:r>
      <w:r w:rsidRPr="00BB2C72">
        <w:t xml:space="preserve"> Commissioner for Environmental Sustainability, Victoria, State of the Forests 2018 Report, p. 178: https://www.ces.vic.gov.au/sites/default/files/publication-</w:t>
      </w:r>
      <w:r>
        <w:t>d</w:t>
      </w:r>
      <w:r w:rsidRPr="00BB2C72">
        <w:t>ocuments/State%20of%20the%20Forests%202018%20Report.pdf</w:t>
      </w:r>
    </w:p>
  </w:footnote>
  <w:footnote w:id="18">
    <w:p w14:paraId="0B54826B" w14:textId="7578FA9A" w:rsidR="003D47B1" w:rsidRPr="00CF63CB" w:rsidRDefault="003D47B1" w:rsidP="00C56B8D">
      <w:pPr>
        <w:spacing w:before="0" w:after="60"/>
        <w:rPr>
          <w:sz w:val="18"/>
        </w:rPr>
      </w:pPr>
      <w:bookmarkStart w:id="28" w:name="_Hlk184939020"/>
      <w:r w:rsidRPr="00CF63CB">
        <w:rPr>
          <w:rStyle w:val="FootnoteReference"/>
          <w:sz w:val="18"/>
        </w:rPr>
        <w:footnoteRef/>
      </w:r>
      <w:r w:rsidRPr="00CF63CB">
        <w:rPr>
          <w:sz w:val="18"/>
        </w:rPr>
        <w:t xml:space="preserve"> Parks Victoria, 2015, </w:t>
      </w:r>
      <w:r w:rsidRPr="00CF63CB">
        <w:rPr>
          <w:i/>
          <w:sz w:val="18"/>
        </w:rPr>
        <w:t xml:space="preserve">Valuing Victoria’s </w:t>
      </w:r>
      <w:r>
        <w:rPr>
          <w:rFonts w:cs="Calibri Light"/>
          <w:i/>
          <w:iCs/>
          <w:sz w:val="18"/>
          <w:szCs w:val="18"/>
          <w:lang w:eastAsia="en-US"/>
        </w:rPr>
        <w:t>P</w:t>
      </w:r>
      <w:r w:rsidRPr="00992E77">
        <w:rPr>
          <w:rFonts w:cs="Calibri Light"/>
          <w:i/>
          <w:iCs/>
          <w:sz w:val="18"/>
          <w:szCs w:val="18"/>
          <w:lang w:eastAsia="en-US"/>
        </w:rPr>
        <w:t>arks</w:t>
      </w:r>
      <w:r w:rsidRPr="00992E77">
        <w:rPr>
          <w:rFonts w:cs="Calibri Light"/>
          <w:sz w:val="18"/>
          <w:szCs w:val="18"/>
          <w:lang w:eastAsia="en-US"/>
        </w:rPr>
        <w:t>.</w:t>
      </w:r>
      <w:r w:rsidRPr="00CF63CB">
        <w:rPr>
          <w:sz w:val="18"/>
        </w:rPr>
        <w:t xml:space="preserve"> </w:t>
      </w:r>
      <w:bookmarkEnd w:id="28"/>
      <w:r w:rsidRPr="00CF63CB">
        <w:rPr>
          <w:sz w:val="18"/>
        </w:rPr>
        <w:t xml:space="preserve">This study was conducted in </w:t>
      </w:r>
      <w:r w:rsidR="008F57CC" w:rsidRPr="00CF63CB">
        <w:rPr>
          <w:sz w:val="18"/>
        </w:rPr>
        <w:t>2015;</w:t>
      </w:r>
      <w:r w:rsidRPr="00CF63CB">
        <w:rPr>
          <w:sz w:val="18"/>
        </w:rPr>
        <w:t xml:space="preserve"> </w:t>
      </w:r>
      <w:r w:rsidR="008F57CC" w:rsidRPr="00CF63CB">
        <w:rPr>
          <w:sz w:val="18"/>
        </w:rPr>
        <w:t>therefore,</w:t>
      </w:r>
      <w:r w:rsidRPr="00CF63CB">
        <w:rPr>
          <w:sz w:val="18"/>
        </w:rPr>
        <w:t xml:space="preserve"> the values today are likely to be much greater</w:t>
      </w:r>
      <w:r>
        <w:rPr>
          <w:rFonts w:cs="Calibri Light"/>
          <w:sz w:val="18"/>
          <w:szCs w:val="18"/>
          <w:lang w:eastAsia="en-US"/>
        </w:rPr>
        <w:t>.</w:t>
      </w:r>
    </w:p>
  </w:footnote>
  <w:footnote w:id="19">
    <w:p w14:paraId="441C0AA7" w14:textId="4868EDF6" w:rsidR="003D47B1" w:rsidRPr="00E06941" w:rsidRDefault="003D47B1" w:rsidP="00C56B8D">
      <w:pPr>
        <w:pStyle w:val="FootnoteText"/>
      </w:pPr>
      <w:r>
        <w:rPr>
          <w:rStyle w:val="FootnoteReference"/>
        </w:rPr>
        <w:footnoteRef/>
      </w:r>
      <w:r>
        <w:t xml:space="preserve"> </w:t>
      </w:r>
      <w:hyperlink r:id="rId1" w:history="1">
        <w:r w:rsidRPr="00EC3AED">
          <w:rPr>
            <w:rStyle w:val="Hyperlink"/>
            <w:u w:val="none"/>
          </w:rPr>
          <w:t>Assessment of Ecosystem services from forests in Victoria 2019</w:t>
        </w:r>
      </w:hyperlink>
      <w:r w:rsidR="00F03C44">
        <w:t>.</w:t>
      </w:r>
    </w:p>
  </w:footnote>
  <w:footnote w:id="20">
    <w:p w14:paraId="02D182F6" w14:textId="77777777" w:rsidR="003D47B1" w:rsidRPr="00992E77" w:rsidRDefault="003D47B1" w:rsidP="00C56B8D">
      <w:pPr>
        <w:pStyle w:val="FootnoteText"/>
      </w:pPr>
      <w:r w:rsidRPr="00992E77">
        <w:rPr>
          <w:rStyle w:val="FootnoteReference"/>
          <w:szCs w:val="18"/>
        </w:rPr>
        <w:footnoteRef/>
      </w:r>
      <w:r w:rsidRPr="00992E77">
        <w:t xml:space="preserve"> </w:t>
      </w:r>
      <w:r w:rsidRPr="00992E77">
        <w:rPr>
          <w:lang w:eastAsia="en-US"/>
        </w:rPr>
        <w:t xml:space="preserve">Valuing Victoria’s </w:t>
      </w:r>
      <w:r>
        <w:rPr>
          <w:lang w:eastAsia="en-US"/>
        </w:rPr>
        <w:t>P</w:t>
      </w:r>
      <w:r w:rsidRPr="00992E77">
        <w:rPr>
          <w:lang w:eastAsia="en-US"/>
        </w:rPr>
        <w:t>arks</w:t>
      </w:r>
      <w:r w:rsidRPr="00992E77">
        <w:t>., p. 77</w:t>
      </w:r>
      <w:r>
        <w:t>.</w:t>
      </w:r>
    </w:p>
  </w:footnote>
  <w:footnote w:id="21">
    <w:p w14:paraId="3A99C620" w14:textId="77777777" w:rsidR="003D47B1" w:rsidRDefault="003D47B1" w:rsidP="00C56B8D">
      <w:pPr>
        <w:pStyle w:val="FootnoteText"/>
      </w:pPr>
      <w:r>
        <w:rPr>
          <w:rStyle w:val="FootnoteReference"/>
        </w:rPr>
        <w:footnoteRef/>
      </w:r>
      <w:r>
        <w:t xml:space="preserve"> </w:t>
      </w:r>
      <w:r w:rsidRPr="00992E77">
        <w:rPr>
          <w:lang w:eastAsia="en-US"/>
        </w:rPr>
        <w:t xml:space="preserve">Valuing Victoria’s </w:t>
      </w:r>
      <w:r>
        <w:rPr>
          <w:lang w:eastAsia="en-US"/>
        </w:rPr>
        <w:t>P</w:t>
      </w:r>
      <w:r w:rsidRPr="00992E77">
        <w:rPr>
          <w:lang w:eastAsia="en-US"/>
        </w:rPr>
        <w:t>arks</w:t>
      </w:r>
      <w:r>
        <w:t>., p. 9.</w:t>
      </w:r>
    </w:p>
  </w:footnote>
  <w:footnote w:id="22">
    <w:p w14:paraId="38527A4B" w14:textId="77777777" w:rsidR="003D47B1" w:rsidRDefault="003D47B1" w:rsidP="00C56B8D">
      <w:pPr>
        <w:pStyle w:val="FootnoteText"/>
      </w:pPr>
      <w:r>
        <w:rPr>
          <w:rStyle w:val="FootnoteReference"/>
        </w:rPr>
        <w:footnoteRef/>
      </w:r>
      <w:r>
        <w:t xml:space="preserve"> </w:t>
      </w:r>
      <w:r w:rsidRPr="00992E77">
        <w:rPr>
          <w:lang w:eastAsia="en-US"/>
        </w:rPr>
        <w:t xml:space="preserve">Valuing Victoria’s </w:t>
      </w:r>
      <w:r>
        <w:rPr>
          <w:lang w:eastAsia="en-US"/>
        </w:rPr>
        <w:t>P</w:t>
      </w:r>
      <w:r w:rsidRPr="00992E77">
        <w:rPr>
          <w:lang w:eastAsia="en-US"/>
        </w:rPr>
        <w:t>arks</w:t>
      </w:r>
      <w:r>
        <w:t>., p. 4.</w:t>
      </w:r>
    </w:p>
  </w:footnote>
  <w:footnote w:id="23">
    <w:p w14:paraId="78AFBC7F" w14:textId="77777777" w:rsidR="00977EA0" w:rsidRDefault="00977EA0" w:rsidP="00C56B8D">
      <w:pPr>
        <w:pStyle w:val="FootnoteText"/>
      </w:pPr>
      <w:r>
        <w:rPr>
          <w:rStyle w:val="FootnoteReference"/>
        </w:rPr>
        <w:footnoteRef/>
      </w:r>
      <w:r>
        <w:t xml:space="preserve"> Commercial timber harvesting has ceased in Victorian forests.</w:t>
      </w:r>
    </w:p>
  </w:footnote>
  <w:footnote w:id="24">
    <w:p w14:paraId="08DF5E9C" w14:textId="77777777" w:rsidR="00977EA0" w:rsidRDefault="00977EA0" w:rsidP="00977EA0">
      <w:pPr>
        <w:pStyle w:val="FootnoteText"/>
      </w:pPr>
      <w:r>
        <w:rPr>
          <w:rStyle w:val="FootnoteReference"/>
        </w:rPr>
        <w:footnoteRef/>
      </w:r>
      <w:r>
        <w:t xml:space="preserve"> The Act allows some areas within 1.5 kilometres to be excised from the definition of fire protected area. This occurs where responsibility for fire management has been allocated to the Country Fire Authority.</w:t>
      </w:r>
    </w:p>
  </w:footnote>
  <w:footnote w:id="25">
    <w:p w14:paraId="7C3D2D8E" w14:textId="77777777" w:rsidR="00977EA0" w:rsidRDefault="00977EA0" w:rsidP="00977EA0">
      <w:pPr>
        <w:pStyle w:val="FootnoteText"/>
      </w:pPr>
      <w:r>
        <w:rPr>
          <w:rStyle w:val="FootnoteReference"/>
        </w:rPr>
        <w:footnoteRef/>
      </w:r>
      <w:r>
        <w:t xml:space="preserve"> </w:t>
      </w:r>
      <w:r w:rsidRPr="00552FCA">
        <w:t>Victorian Government, Victoria’s Bushfire Risk Management Report 2022–23, p. 7: https://www.vic.gov.au/victorias-bushfire-risk-management-report-2022-2023/introduction</w:t>
      </w:r>
    </w:p>
  </w:footnote>
  <w:footnote w:id="26">
    <w:p w14:paraId="5209AB34" w14:textId="076BEC9D" w:rsidR="00977EA0" w:rsidRDefault="00977EA0" w:rsidP="00977EA0">
      <w:pPr>
        <w:pStyle w:val="FootnoteText"/>
      </w:pPr>
      <w:r>
        <w:rPr>
          <w:rStyle w:val="FootnoteReference"/>
        </w:rPr>
        <w:footnoteRef/>
      </w:r>
      <w:r>
        <w:t xml:space="preserve"> Most Australian plants need fire for species regeneration. Tolerable Fire Intervals are the ideal interval between fires for vegetation communities to be healthy.</w:t>
      </w:r>
      <w:r w:rsidR="00C54E72">
        <w:t xml:space="preserve"> See DEECA reference at: </w:t>
      </w:r>
      <w:r w:rsidR="00C54E72" w:rsidRPr="00BB4B47">
        <w:t>https://www.ffm.vic.gov.au/__data/assets/pdf_file/0008/21113/Report-84-REDUCED-SIZE-Growth-Stages-and-Tolerable-Fire-Intervals-For-Victorias-Native-Vegetation-Data-Se.pdf</w:t>
      </w:r>
    </w:p>
  </w:footnote>
  <w:footnote w:id="27">
    <w:p w14:paraId="57F9C53A" w14:textId="77777777" w:rsidR="00977EA0" w:rsidRDefault="00977EA0" w:rsidP="00977EA0">
      <w:pPr>
        <w:pStyle w:val="FootnoteText"/>
      </w:pPr>
      <w:r>
        <w:rPr>
          <w:rStyle w:val="FootnoteReference"/>
        </w:rPr>
        <w:footnoteRef/>
      </w:r>
      <w:r>
        <w:t xml:space="preserve"> </w:t>
      </w:r>
      <w:r w:rsidRPr="003F1F3D">
        <w:t>Victorian State of the Environment Report 2023: https://www.ces.vic.gov.au/soe2023/key-topics/fire</w:t>
      </w:r>
    </w:p>
  </w:footnote>
  <w:footnote w:id="28">
    <w:p w14:paraId="253E971B" w14:textId="7C6CEF86" w:rsidR="00D91500" w:rsidRDefault="00D91500">
      <w:pPr>
        <w:pStyle w:val="FootnoteText"/>
      </w:pPr>
      <w:r>
        <w:rPr>
          <w:rStyle w:val="FootnoteReference"/>
        </w:rPr>
        <w:footnoteRef/>
      </w:r>
      <w:r>
        <w:t xml:space="preserve"> </w:t>
      </w:r>
      <w:r w:rsidRPr="00D91500">
        <w:t>Insurance Catastrophe Resilience Report: 2020-21, pp. 18-19: https://insurancecouncil.com.au/wp-content/uploads/2021/09/ICA008_CatastropheReport_6.5_FA1_online.pdf</w:t>
      </w:r>
    </w:p>
  </w:footnote>
  <w:footnote w:id="29">
    <w:p w14:paraId="24102C05" w14:textId="77777777" w:rsidR="00977EA0" w:rsidRDefault="00977EA0" w:rsidP="00977EA0">
      <w:pPr>
        <w:pStyle w:val="FootnoteText"/>
      </w:pPr>
      <w:r>
        <w:rPr>
          <w:rStyle w:val="FootnoteReference"/>
        </w:rPr>
        <w:footnoteRef/>
      </w:r>
      <w:r>
        <w:t xml:space="preserve"> Westpac, Counting the cost of bushfire’s fury: </w:t>
      </w:r>
      <w:r w:rsidRPr="00CE3546">
        <w:t>https://www.westpac.com.au/news/in-depth/2020/01/counting-the-cost-of-bushfires-fury/</w:t>
      </w:r>
    </w:p>
  </w:footnote>
  <w:footnote w:id="30">
    <w:p w14:paraId="1B758F84" w14:textId="5FFF5A0D" w:rsidR="00977EA0" w:rsidRDefault="00977EA0" w:rsidP="00977EA0">
      <w:pPr>
        <w:pStyle w:val="FootnoteText"/>
      </w:pPr>
      <w:r>
        <w:rPr>
          <w:rStyle w:val="FootnoteReference"/>
        </w:rPr>
        <w:footnoteRef/>
      </w:r>
      <w:r>
        <w:t xml:space="preserve"> </w:t>
      </w:r>
      <w:r w:rsidRPr="0025582A">
        <w:t>Extreme fire events can cause or exacerbate health conditions including respiratory health</w:t>
      </w:r>
      <w:r w:rsidR="00AA7DC1">
        <w:t>,</w:t>
      </w:r>
      <w:r w:rsidRPr="0025582A">
        <w:t xml:space="preserve"> cardiovascular health and stroke, mental health and homelessness, heat-induced</w:t>
      </w:r>
      <w:r w:rsidR="00AA7DC1">
        <w:t xml:space="preserve"> illness</w:t>
      </w:r>
      <w:r w:rsidRPr="0025582A">
        <w:t>, and deaths. See: Australian Institute of Health and Welfare 2020. Australian bushfires 2019–20: Exploring the short-term health impacts. Cat. no. PHE 276. Canberra: AIHW.</w:t>
      </w:r>
    </w:p>
  </w:footnote>
  <w:footnote w:id="31">
    <w:p w14:paraId="080F6A50" w14:textId="77777777" w:rsidR="00977EA0" w:rsidRDefault="00977EA0" w:rsidP="00F24A62">
      <w:pPr>
        <w:pStyle w:val="FootnoteText"/>
      </w:pPr>
      <w:r>
        <w:rPr>
          <w:rStyle w:val="FootnoteReference"/>
        </w:rPr>
        <w:footnoteRef/>
      </w:r>
      <w:r>
        <w:t xml:space="preserve"> </w:t>
      </w:r>
      <w:r w:rsidRPr="00A04818">
        <w:t>Fay Johnston, Nicolas Borchers Arriagada, Morgan, GG, Jalaludin, B, Andrew Palmer, Grant Williamson, David Bowman, Unprecedented health costs of smoke-related PM2.5 from the 2019- 20 Australian megafires: https://figshare.utas.edu.au/articles/journal_contribution/Unprecedented_health_costs_of_smoke-related_PM2_5_from_the_2019_20_Australian_megafires/22992434?file=40741478 492 million</w:t>
      </w:r>
    </w:p>
  </w:footnote>
  <w:footnote w:id="32">
    <w:p w14:paraId="649D0E69" w14:textId="77777777" w:rsidR="00816F21" w:rsidRDefault="00816F21" w:rsidP="00F24A62">
      <w:pPr>
        <w:pStyle w:val="FootnoteText"/>
      </w:pPr>
      <w:r>
        <w:rPr>
          <w:rStyle w:val="FootnoteReference"/>
        </w:rPr>
        <w:footnoteRef/>
      </w:r>
      <w:r>
        <w:t xml:space="preserve"> See </w:t>
      </w:r>
      <w:r w:rsidRPr="00905AB6">
        <w:t>the Victorian State of the Environment 2023 Report (fire): https://www.ces.vic.gov.au/soe2023/key-topics/fire</w:t>
      </w:r>
    </w:p>
  </w:footnote>
  <w:footnote w:id="33">
    <w:p w14:paraId="783EC5D5" w14:textId="77777777" w:rsidR="00816F21" w:rsidRPr="00CA714D" w:rsidRDefault="00816F21" w:rsidP="00091ED4">
      <w:pPr>
        <w:spacing w:before="0" w:after="0" w:line="240" w:lineRule="auto"/>
        <w:rPr>
          <w:sz w:val="18"/>
        </w:rPr>
      </w:pPr>
      <w:r>
        <w:rPr>
          <w:rStyle w:val="FootnoteReference"/>
        </w:rPr>
        <w:footnoteRef/>
      </w:r>
      <w:r>
        <w:t xml:space="preserve"> </w:t>
      </w:r>
      <w:r w:rsidRPr="00CA714D">
        <w:rPr>
          <w:sz w:val="18"/>
        </w:rPr>
        <w:t xml:space="preserve">Dowdy, A.J., Ye, H., Pepler, A. et al. </w:t>
      </w:r>
      <w:r w:rsidRPr="00091ED4">
        <w:rPr>
          <w:sz w:val="18"/>
        </w:rPr>
        <w:t>Future changes in extreme weather and pyroconvection risk factors for Australian wildfires</w:t>
      </w:r>
      <w:r w:rsidRPr="00CA714D">
        <w:rPr>
          <w:sz w:val="18"/>
        </w:rPr>
        <w:t xml:space="preserve">. Sci Rep 9, 10073 (2019). </w:t>
      </w:r>
      <w:hyperlink r:id="rId2" w:history="1">
        <w:r w:rsidRPr="00CA714D">
          <w:rPr>
            <w:sz w:val="18"/>
          </w:rPr>
          <w:t>https://doi.org/10.1038/s41598-019-46362-x</w:t>
        </w:r>
      </w:hyperlink>
      <w:r w:rsidRPr="00CA714D">
        <w:rPr>
          <w:sz w:val="18"/>
        </w:rPr>
        <w:t>. This study examined changes in fire risk indices (including the FFDI) using historical data from 1990–2009 to predict changes for the period 2060–2079. The study found that ‘projected future changes in FFDI show broad-scale increases in the severity of near-surface fire weather throughout Australia’.</w:t>
      </w:r>
    </w:p>
    <w:p w14:paraId="1B38679B" w14:textId="77777777" w:rsidR="00816F21" w:rsidRDefault="00816F21" w:rsidP="00816F21">
      <w:pPr>
        <w:pStyle w:val="FootnoteText"/>
      </w:pPr>
    </w:p>
  </w:footnote>
  <w:footnote w:id="34">
    <w:p w14:paraId="526E2ABF" w14:textId="77777777" w:rsidR="00977EA0" w:rsidRDefault="00977EA0" w:rsidP="00977EA0">
      <w:pPr>
        <w:pStyle w:val="FootnoteText"/>
      </w:pPr>
      <w:r>
        <w:rPr>
          <w:rStyle w:val="FootnoteReference"/>
        </w:rPr>
        <w:footnoteRef/>
      </w:r>
      <w:r>
        <w:t xml:space="preserve"> The fires listed in this table does not show all fires in Victoria across all land types. It shows fires attended by at least one DEECA staff member. Nevertheless, it does represent a significant proportion of fires covered by the regulations. </w:t>
      </w:r>
    </w:p>
  </w:footnote>
  <w:footnote w:id="35">
    <w:p w14:paraId="782CF14D" w14:textId="77777777" w:rsidR="004F7753" w:rsidRDefault="004F7753" w:rsidP="004F7753">
      <w:pPr>
        <w:pStyle w:val="FootnoteText"/>
      </w:pPr>
      <w:r>
        <w:rPr>
          <w:rStyle w:val="FootnoteReference"/>
        </w:rPr>
        <w:footnoteRef/>
      </w:r>
      <w:r>
        <w:t xml:space="preserve"> </w:t>
      </w:r>
      <w:r w:rsidRPr="005D7CF7">
        <w:t xml:space="preserve">Bradstock, R. A.,2010, ‘A biogeographic model of fire regimes in Australia: current and future implications’, </w:t>
      </w:r>
      <w:r w:rsidRPr="005D7CF7">
        <w:rPr>
          <w:i/>
          <w:iCs/>
        </w:rPr>
        <w:t>Global Ecology and Biogeography</w:t>
      </w:r>
      <w:r w:rsidRPr="005D7CF7">
        <w:t>, 19, 145-158.</w:t>
      </w:r>
    </w:p>
  </w:footnote>
  <w:footnote w:id="36">
    <w:p w14:paraId="178998FD" w14:textId="2048E4AE" w:rsidR="00977EA0" w:rsidRDefault="00977EA0" w:rsidP="00977EA0">
      <w:pPr>
        <w:pStyle w:val="FootnoteText"/>
      </w:pPr>
      <w:r>
        <w:rPr>
          <w:rStyle w:val="FootnoteReference"/>
        </w:rPr>
        <w:footnoteRef/>
      </w:r>
      <w:r>
        <w:t xml:space="preserve"> </w:t>
      </w:r>
      <w:r w:rsidR="009439A0">
        <w:t>“</w:t>
      </w:r>
      <w:r w:rsidR="0087633E">
        <w:t>Prohibited</w:t>
      </w:r>
      <w:r>
        <w:t xml:space="preserve"> period</w:t>
      </w:r>
      <w:r w:rsidR="009439A0">
        <w:t>”</w:t>
      </w:r>
      <w:r>
        <w:t xml:space="preserve"> means: with respect to any State forest protected public land or national park—the whole year; with respect to any fire protected area other than a State forest protected public land or national park—a period declared by the Minister. The prohibited period for fire protected areas varies with the fire risk for a particular season. A prohibited period may be declared by the Minister for any or all of the applicable lands within 14 local government areas (LGA) and three Alpine resorts. The prohibited period may be introduced all at once, or progressively.</w:t>
      </w:r>
    </w:p>
  </w:footnote>
  <w:footnote w:id="37">
    <w:p w14:paraId="14BEE87F" w14:textId="77777777" w:rsidR="00977EA0" w:rsidRDefault="00977EA0" w:rsidP="00977EA0">
      <w:pPr>
        <w:pStyle w:val="FootnoteText"/>
      </w:pPr>
      <w:r>
        <w:rPr>
          <w:rStyle w:val="FootnoteReference"/>
        </w:rPr>
        <w:footnoteRef/>
      </w:r>
      <w:r>
        <w:t xml:space="preserve"> As defined</w:t>
      </w:r>
      <w:r w:rsidRPr="00045B30">
        <w:t xml:space="preserve"> in the </w:t>
      </w:r>
      <w:r w:rsidRPr="00174B20">
        <w:rPr>
          <w:i/>
          <w:iCs/>
        </w:rPr>
        <w:t>Land Act 1958</w:t>
      </w:r>
      <w:r>
        <w:t xml:space="preserve"> (not including State forest).</w:t>
      </w:r>
    </w:p>
  </w:footnote>
  <w:footnote w:id="38">
    <w:p w14:paraId="7AEA07A8" w14:textId="72B4586F" w:rsidR="00977EA0" w:rsidRDefault="00977EA0" w:rsidP="00977EA0">
      <w:pPr>
        <w:pStyle w:val="FootnoteText"/>
      </w:pPr>
      <w:r>
        <w:rPr>
          <w:rStyle w:val="FootnoteReference"/>
        </w:rPr>
        <w:footnoteRef/>
      </w:r>
      <w:r>
        <w:t xml:space="preserve"> Victoria’s Climate Science Report 2024</w:t>
      </w:r>
      <w:r w:rsidR="00AC10AA">
        <w:t>.</w:t>
      </w:r>
    </w:p>
  </w:footnote>
  <w:footnote w:id="39">
    <w:p w14:paraId="7F34A8B8" w14:textId="38345C5D" w:rsidR="00977EA0" w:rsidRDefault="00977EA0" w:rsidP="00977EA0">
      <w:pPr>
        <w:pStyle w:val="FootnoteText"/>
      </w:pPr>
      <w:r>
        <w:rPr>
          <w:rStyle w:val="FootnoteReference"/>
        </w:rPr>
        <w:footnoteRef/>
      </w:r>
      <w:r>
        <w:t xml:space="preserve"> </w:t>
      </w:r>
      <w:r w:rsidRPr="00BA37EB">
        <w:t xml:space="preserve">Victoria's </w:t>
      </w:r>
      <w:r w:rsidR="00A84432">
        <w:t>B</w:t>
      </w:r>
      <w:r w:rsidR="00A84432" w:rsidRPr="00BA37EB">
        <w:t xml:space="preserve">ushfire </w:t>
      </w:r>
      <w:r w:rsidR="00A84432">
        <w:t>R</w:t>
      </w:r>
      <w:r w:rsidR="00A84432" w:rsidRPr="00BA37EB">
        <w:t xml:space="preserve">isk </w:t>
      </w:r>
      <w:r w:rsidR="00A84432">
        <w:t>M</w:t>
      </w:r>
      <w:r w:rsidR="00A84432" w:rsidRPr="00BA37EB">
        <w:t xml:space="preserve">anagement </w:t>
      </w:r>
      <w:r w:rsidR="00A84432">
        <w:t>R</w:t>
      </w:r>
      <w:r w:rsidR="00A84432" w:rsidRPr="00BA37EB">
        <w:t xml:space="preserve">eport </w:t>
      </w:r>
      <w:r w:rsidRPr="00BA37EB">
        <w:t xml:space="preserve">2022-2023: </w:t>
      </w:r>
      <w:hyperlink r:id="rId3" w:history="1">
        <w:r w:rsidR="00A84432" w:rsidRPr="00270757">
          <w:rPr>
            <w:rStyle w:val="Hyperlink"/>
          </w:rPr>
          <w:t>https://www.vic.gov.au/victorias-bushfire-risk-management-report-2022-2023/statewide-overview</w:t>
        </w:r>
      </w:hyperlink>
      <w:r w:rsidR="00A84432">
        <w:t>.</w:t>
      </w:r>
    </w:p>
  </w:footnote>
  <w:footnote w:id="40">
    <w:p w14:paraId="4D8795F1" w14:textId="77777777" w:rsidR="008F5BDC" w:rsidRDefault="008F5BDC" w:rsidP="008F5BDC">
      <w:pPr>
        <w:pStyle w:val="FootnoteText"/>
      </w:pPr>
      <w:r>
        <w:rPr>
          <w:rStyle w:val="FootnoteReference"/>
        </w:rPr>
        <w:footnoteRef/>
      </w:r>
      <w:r>
        <w:t xml:space="preserve"> The objectives stated in the statutory rule itself might differ from those in the RIS as RIS objectives should be stated in terms of intended outcomes, rather than means. The objectives in statutory rules are usually narrower than the RIS objectives; they are a brief summary of what the statutory rule does, rather than any policy implications of the statutory rule.</w:t>
      </w:r>
    </w:p>
  </w:footnote>
  <w:footnote w:id="41">
    <w:p w14:paraId="65900EB9" w14:textId="77777777" w:rsidR="008F5BDC" w:rsidRDefault="008F5BDC" w:rsidP="008F5BDC">
      <w:pPr>
        <w:pStyle w:val="FootnoteText"/>
      </w:pPr>
      <w:r>
        <w:rPr>
          <w:rStyle w:val="FootnoteReference"/>
        </w:rPr>
        <w:footnoteRef/>
      </w:r>
      <w:r>
        <w:t xml:space="preserve"> See Victorian Guide to Regulation.</w:t>
      </w:r>
    </w:p>
  </w:footnote>
  <w:footnote w:id="42">
    <w:p w14:paraId="509DA3D0" w14:textId="77777777" w:rsidR="00D40555" w:rsidRDefault="00D40555" w:rsidP="00D40555">
      <w:pPr>
        <w:pStyle w:val="FootnoteText"/>
      </w:pPr>
      <w:r>
        <w:rPr>
          <w:rStyle w:val="FootnoteReference"/>
        </w:rPr>
        <w:footnoteRef/>
      </w:r>
      <w:r>
        <w:t xml:space="preserve"> </w:t>
      </w:r>
      <w:r w:rsidRPr="001A5E63">
        <w:t>The State of Victoria, Department of Energy, Environment and Climate Action, Victoria’s Bushfire Management Strategy, 2024: https://www.vic.gov.au/sites/default/files/2024-05/VBM_Strategy.pdf</w:t>
      </w:r>
    </w:p>
  </w:footnote>
  <w:footnote w:id="43">
    <w:p w14:paraId="254E57E3" w14:textId="5EB91286" w:rsidR="002C79FA" w:rsidRDefault="002C79FA">
      <w:pPr>
        <w:pStyle w:val="FootnoteText"/>
      </w:pPr>
      <w:r>
        <w:rPr>
          <w:rStyle w:val="FootnoteReference"/>
        </w:rPr>
        <w:footnoteRef/>
      </w:r>
      <w:r>
        <w:t xml:space="preserve"> The 2019–20 Victorian Black Summer bushfires caused the loss of five lives and destroyed more than 300 homes and 6,632 head of stock. The fires burn</w:t>
      </w:r>
      <w:r w:rsidR="00FC6CA2">
        <w:t>t</w:t>
      </w:r>
      <w:r>
        <w:t xml:space="preserve"> more than 1.5 million ha of public and private land, including 1.39 million ha of forests and parks, plantations and native timber assets, critical animal habitats and water catchments</w:t>
      </w:r>
      <w:r w:rsidR="00FC6CA2">
        <w:t>.</w:t>
      </w:r>
    </w:p>
  </w:footnote>
  <w:footnote w:id="44">
    <w:p w14:paraId="269932A6" w14:textId="77777777" w:rsidR="00466DA8" w:rsidRPr="0000487E" w:rsidRDefault="00466DA8" w:rsidP="00466DA8">
      <w:pPr>
        <w:pStyle w:val="FootnoteText"/>
      </w:pPr>
      <w:r w:rsidRPr="0000487E">
        <w:rPr>
          <w:rStyle w:val="FootnoteReference"/>
          <w:rFonts w:ascii="Calibri Light" w:hAnsi="Calibri Light" w:cs="Calibri Light"/>
        </w:rPr>
        <w:footnoteRef/>
      </w:r>
      <w:r w:rsidRPr="0000487E">
        <w:t xml:space="preserve"> Section 10(1)(c) of the SLA.</w:t>
      </w:r>
    </w:p>
  </w:footnote>
  <w:footnote w:id="45">
    <w:p w14:paraId="5E38D0D0" w14:textId="4819D900" w:rsidR="00466DA8" w:rsidRDefault="00466DA8" w:rsidP="00466DA8">
      <w:pPr>
        <w:pStyle w:val="FootnoteText"/>
      </w:pPr>
      <w:r>
        <w:rPr>
          <w:rStyle w:val="FootnoteReference"/>
        </w:rPr>
        <w:footnoteRef/>
      </w:r>
      <w:r>
        <w:t xml:space="preserve"> The Forests Act already sets these requirements for campfires and </w:t>
      </w:r>
      <w:r w:rsidR="00953038">
        <w:t>barbeque</w:t>
      </w:r>
      <w:r>
        <w:t xml:space="preserve">s in a </w:t>
      </w:r>
      <w:r w:rsidRPr="00C954C4">
        <w:t>State forest, national park, protected public land, or licensed water frontage</w:t>
      </w:r>
      <w:r>
        <w:t xml:space="preserve">; the proposed extend the same requirements to campfires and </w:t>
      </w:r>
      <w:r w:rsidR="00953038">
        <w:t>barbeque</w:t>
      </w:r>
      <w:r>
        <w:t>s on adjacent land within 1.5 kilometres of those areas, which is included in the wider fire protected area.</w:t>
      </w:r>
    </w:p>
  </w:footnote>
  <w:footnote w:id="46">
    <w:p w14:paraId="44AF927B" w14:textId="77777777" w:rsidR="00466DA8" w:rsidRDefault="00466DA8" w:rsidP="00466DA8">
      <w:pPr>
        <w:pStyle w:val="FootnoteText"/>
      </w:pPr>
      <w:r>
        <w:rPr>
          <w:rStyle w:val="FootnoteReference"/>
        </w:rPr>
        <w:footnoteRef/>
      </w:r>
      <w:r>
        <w:t xml:space="preserve"> A forest produce licence issued under the </w:t>
      </w:r>
      <w:r w:rsidRPr="00452D9F">
        <w:t>Forests (Licences and Permits) Regulations 2019</w:t>
      </w:r>
      <w:r>
        <w:t xml:space="preserve"> is technically not a non-regulatory option since it is attached to a licence, but it operates in a similar way to a contract condition, so is considered here.</w:t>
      </w:r>
    </w:p>
  </w:footnote>
  <w:footnote w:id="47">
    <w:p w14:paraId="3322D934" w14:textId="77777777" w:rsidR="00153470" w:rsidRDefault="00153470" w:rsidP="00153470">
      <w:pPr>
        <w:pStyle w:val="FootnoteText"/>
      </w:pPr>
      <w:r>
        <w:rPr>
          <w:rStyle w:val="FootnoteReference"/>
        </w:rPr>
        <w:footnoteRef/>
      </w:r>
      <w:r>
        <w:t xml:space="preserve"> Parks Victoria, Campfire Safety: </w:t>
      </w:r>
      <w:r w:rsidRPr="00041C72">
        <w:t>https://www.parks.vic.gov.au/get-into-nature/safety-in-nature/visitor-safety-tips-in-parks/campfire-safety</w:t>
      </w:r>
    </w:p>
  </w:footnote>
  <w:footnote w:id="48">
    <w:p w14:paraId="379D3A22" w14:textId="269982D2" w:rsidR="00056E2D" w:rsidRDefault="00056E2D" w:rsidP="00056E2D">
      <w:pPr>
        <w:pStyle w:val="FootnoteText"/>
      </w:pPr>
      <w:r>
        <w:rPr>
          <w:rStyle w:val="FootnoteReference"/>
        </w:rPr>
        <w:footnoteRef/>
      </w:r>
      <w:r>
        <w:t xml:space="preserve"> </w:t>
      </w:r>
      <w:r w:rsidR="001671AD">
        <w:t>For example</w:t>
      </w:r>
      <w:r>
        <w:t xml:space="preserve"> the campfire safety </w:t>
      </w:r>
      <w:r w:rsidR="008252C0">
        <w:t xml:space="preserve">note </w:t>
      </w:r>
      <w:r>
        <w:t xml:space="preserve">on the Parks Victoria website: </w:t>
      </w:r>
      <w:r w:rsidRPr="002E0BE7">
        <w:t>https://www.parks.vic.gov.au/get-into-nature/safety-in-nature/visitor-safety-tips-in-parks/campfire-safety</w:t>
      </w:r>
    </w:p>
  </w:footnote>
  <w:footnote w:id="49">
    <w:p w14:paraId="25CC0863" w14:textId="7D356CBA" w:rsidR="00056E2D" w:rsidRPr="002E0BE7" w:rsidRDefault="00056E2D" w:rsidP="00056E2D">
      <w:pPr>
        <w:pStyle w:val="FootnoteText"/>
      </w:pPr>
      <w:r>
        <w:rPr>
          <w:rStyle w:val="FootnoteReference"/>
        </w:rPr>
        <w:footnoteRef/>
      </w:r>
      <w:r>
        <w:t xml:space="preserve"> </w:t>
      </w:r>
      <w:r w:rsidR="001671AD">
        <w:t>For example</w:t>
      </w:r>
      <w:r>
        <w:t xml:space="preserve"> the CFA provides a guidance note for beekeepers, </w:t>
      </w:r>
      <w:r w:rsidRPr="002E0BE7">
        <w:rPr>
          <w:i/>
          <w:iCs/>
        </w:rPr>
        <w:t>Guidance for Beekeepers during the Fire Danger Period and Total Fire Ban Days in the Country Area of Victoria</w:t>
      </w:r>
      <w:r>
        <w:rPr>
          <w:i/>
          <w:iCs/>
        </w:rPr>
        <w:t xml:space="preserve">. </w:t>
      </w:r>
      <w:r>
        <w:t>It is worth noting that this guidance adopts the requirements in the current Regulations. The CFA also publishes a Campfire and Barbeque Safety Brochure.</w:t>
      </w:r>
    </w:p>
  </w:footnote>
  <w:footnote w:id="50">
    <w:p w14:paraId="1F6A963C" w14:textId="0A1D52DD" w:rsidR="00056E2D" w:rsidRDefault="00056E2D" w:rsidP="00056E2D">
      <w:pPr>
        <w:pStyle w:val="FootnoteText"/>
      </w:pPr>
      <w:r>
        <w:rPr>
          <w:rStyle w:val="FootnoteReference"/>
        </w:rPr>
        <w:footnoteRef/>
      </w:r>
      <w:r>
        <w:t xml:space="preserve"> </w:t>
      </w:r>
      <w:r w:rsidR="001671AD">
        <w:t>For example</w:t>
      </w:r>
      <w:r>
        <w:t xml:space="preserve"> see Naturally Vic, Code of Conduct for campfires: </w:t>
      </w:r>
      <w:r w:rsidRPr="00DE78F3">
        <w:t>https://naturallyvic.com.au/code-of-conduct/camp-fires/</w:t>
      </w:r>
    </w:p>
  </w:footnote>
  <w:footnote w:id="51">
    <w:p w14:paraId="133082C7" w14:textId="15613031" w:rsidR="003F2918" w:rsidRDefault="003F2918" w:rsidP="003F2918">
      <w:pPr>
        <w:pStyle w:val="FootnoteText"/>
      </w:pPr>
      <w:r>
        <w:rPr>
          <w:rStyle w:val="FootnoteReference"/>
        </w:rPr>
        <w:footnoteRef/>
      </w:r>
      <w:r>
        <w:t xml:space="preserve"> The Standard Cost Model methodology is an activity-based measurement of businesses’ administrative burdens</w:t>
      </w:r>
      <w:r w:rsidR="00244208">
        <w:t>. This approach estimates: the ‘tariff’ is a proxy value of a person’s time forgone to comply with the regulation (</w:t>
      </w:r>
      <w:r w:rsidR="001671AD">
        <w:t>for example</w:t>
      </w:r>
      <w:r w:rsidR="00244208">
        <w:t xml:space="preserve"> filling out a form, time involved during an inspection) or represents the cost of purchasing equipment; ‘time’ represents the hours taken to comply with the regulation; ‘population’ refers to the number of businesses </w:t>
      </w:r>
      <w:r w:rsidR="001B0531">
        <w:t xml:space="preserve">or persons </w:t>
      </w:r>
      <w:r w:rsidR="00244208">
        <w:t xml:space="preserve">regulated, and ‘frequency’ refers to the number of times an activity occurs per annum. Taken together, this produces </w:t>
      </w:r>
      <w:r w:rsidR="00BD0AA7">
        <w:t>the estimated</w:t>
      </w:r>
      <w:r w:rsidR="00244208">
        <w:t xml:space="preserve"> total cost of the regulations.</w:t>
      </w:r>
      <w:r>
        <w:t xml:space="preserve"> </w:t>
      </w:r>
      <w:r w:rsidR="00244208">
        <w:t>S</w:t>
      </w:r>
      <w:r>
        <w:t xml:space="preserve">ee Appendix </w:t>
      </w:r>
      <w:r w:rsidR="00244208">
        <w:t>A</w:t>
      </w:r>
      <w:r>
        <w:t xml:space="preserve"> for further details.</w:t>
      </w:r>
    </w:p>
  </w:footnote>
  <w:footnote w:id="52">
    <w:p w14:paraId="57122E39" w14:textId="77777777" w:rsidR="00056E2D" w:rsidRDefault="00056E2D" w:rsidP="00056E2D">
      <w:pPr>
        <w:pStyle w:val="FootnoteText"/>
      </w:pPr>
      <w:r>
        <w:rPr>
          <w:rStyle w:val="FootnoteReference"/>
        </w:rPr>
        <w:footnoteRef/>
      </w:r>
      <w:r>
        <w:t xml:space="preserve"> </w:t>
      </w:r>
      <w:r w:rsidRPr="00A04818">
        <w:t xml:space="preserve">Fay Johnston, Nicolas Borchers Arriagada, Morgan, GG, Jalaludin, B, Andrew Palmer, Grant Williamson, David Bowman, </w:t>
      </w:r>
      <w:r w:rsidRPr="00872753">
        <w:rPr>
          <w:i/>
          <w:iCs/>
        </w:rPr>
        <w:t>Unprecedented health costs of smoke-related PM2.5 from the 2019- 20 Australian megafires</w:t>
      </w:r>
      <w:r w:rsidRPr="00A04818">
        <w:t>: https://figshare.utas.edu.au/articles/journal_contribution/Unprecedented_health_costs_of_smoke-related_PM2_5_from_the_2019_20_Australian_megafires/22992434?file=40741478 492 million</w:t>
      </w:r>
    </w:p>
  </w:footnote>
  <w:footnote w:id="53">
    <w:p w14:paraId="6F8423E9" w14:textId="77777777" w:rsidR="00056E2D" w:rsidRDefault="00056E2D" w:rsidP="00056E2D">
      <w:pPr>
        <w:pStyle w:val="FootnoteText"/>
      </w:pPr>
      <w:r>
        <w:rPr>
          <w:rStyle w:val="FootnoteReference"/>
        </w:rPr>
        <w:footnoteRef/>
      </w:r>
      <w:r>
        <w:t xml:space="preserve"> </w:t>
      </w:r>
      <w:r w:rsidRPr="007337D9">
        <w:rPr>
          <w:i/>
          <w:iCs/>
        </w:rPr>
        <w:t>Valuing Victoria’s Parks</w:t>
      </w:r>
      <w:r>
        <w:rPr>
          <w:i/>
          <w:iCs/>
        </w:rPr>
        <w:t xml:space="preserve">, </w:t>
      </w:r>
      <w:r>
        <w:t xml:space="preserve">Summary documents, p, 4: </w:t>
      </w:r>
      <w:r w:rsidRPr="007337D9">
        <w:t>https://www.parks.vic.gov.au/-/media/project/pv/main/parks/documents/about-us/valuing-victorias-parks/valuing-victorias-parks.pdf?rev=1b802c3d0c53413187751011331cd177</w:t>
      </w:r>
    </w:p>
  </w:footnote>
  <w:footnote w:id="54">
    <w:p w14:paraId="3B628E5E" w14:textId="77777777" w:rsidR="00056E2D" w:rsidRPr="007337D9" w:rsidRDefault="00056E2D" w:rsidP="00056E2D">
      <w:pPr>
        <w:pStyle w:val="FootnoteText"/>
      </w:pPr>
      <w:r>
        <w:rPr>
          <w:rStyle w:val="FootnoteReference"/>
        </w:rPr>
        <w:footnoteRef/>
      </w:r>
      <w:r>
        <w:t xml:space="preserve"> Ibid., p. 4.</w:t>
      </w:r>
    </w:p>
  </w:footnote>
  <w:footnote w:id="55">
    <w:p w14:paraId="4EFC7534" w14:textId="77777777" w:rsidR="00056E2D" w:rsidRDefault="00056E2D" w:rsidP="00056E2D">
      <w:pPr>
        <w:pStyle w:val="FootnoteText"/>
      </w:pPr>
      <w:r>
        <w:rPr>
          <w:rStyle w:val="FootnoteReference"/>
        </w:rPr>
        <w:footnoteRef/>
      </w:r>
      <w:r>
        <w:t xml:space="preserve"> Ibid., p. 8. Willingness to pay study</w:t>
      </w:r>
    </w:p>
  </w:footnote>
  <w:footnote w:id="56">
    <w:p w14:paraId="4629298D" w14:textId="77777777" w:rsidR="00056E2D" w:rsidRDefault="00056E2D" w:rsidP="00056E2D">
      <w:pPr>
        <w:pStyle w:val="FootnoteText"/>
      </w:pPr>
      <w:r>
        <w:rPr>
          <w:rStyle w:val="FootnoteReference"/>
        </w:rPr>
        <w:footnoteRef/>
      </w:r>
      <w:r>
        <w:t xml:space="preserve"> Ibid., p. 4</w:t>
      </w:r>
    </w:p>
  </w:footnote>
  <w:footnote w:id="57">
    <w:p w14:paraId="342BE203" w14:textId="77777777" w:rsidR="00056E2D" w:rsidRDefault="00056E2D" w:rsidP="00056E2D">
      <w:pPr>
        <w:pStyle w:val="FootnoteText"/>
      </w:pPr>
      <w:r>
        <w:rPr>
          <w:rStyle w:val="FootnoteReference"/>
        </w:rPr>
        <w:footnoteRef/>
      </w:r>
      <w:r>
        <w:t xml:space="preserve"> Ibid., p. 7. Across Australia</w:t>
      </w:r>
    </w:p>
  </w:footnote>
  <w:footnote w:id="58">
    <w:p w14:paraId="5FCA0A98" w14:textId="77777777" w:rsidR="00056E2D" w:rsidRDefault="00056E2D" w:rsidP="00056E2D">
      <w:pPr>
        <w:pStyle w:val="FootnoteText"/>
      </w:pPr>
      <w:r>
        <w:rPr>
          <w:rStyle w:val="FootnoteReference"/>
        </w:rPr>
        <w:footnoteRef/>
      </w:r>
      <w:r>
        <w:t xml:space="preserve"> Ibid., pp. 6-10.</w:t>
      </w:r>
    </w:p>
  </w:footnote>
  <w:footnote w:id="59">
    <w:p w14:paraId="38690832" w14:textId="77777777" w:rsidR="001B0531" w:rsidRDefault="001B0531" w:rsidP="001B0531">
      <w:pPr>
        <w:pStyle w:val="FootnoteText"/>
      </w:pPr>
      <w:r>
        <w:rPr>
          <w:rStyle w:val="FootnoteReference"/>
        </w:rPr>
        <w:footnoteRef/>
      </w:r>
      <w:r>
        <w:t xml:space="preserve"> </w:t>
      </w:r>
      <w:r w:rsidRPr="00E325BF">
        <w:t>There is no objective way to place a monetary value on the loss of life. However, for public policy purposes the value of a ‘statistical life’ (not a real person) can serve a useful purpose to help assess government policies. The value of a statistical life (VSL) refers to the benefits derived from reducing risk of an individual death that is experienced in a population. The term ‘statistical’ is used to describe an ex-ante (i.e., before the event), anonymous individual, and the concept does not imply that an individual life is a market good.</w:t>
      </w:r>
    </w:p>
  </w:footnote>
  <w:footnote w:id="60">
    <w:p w14:paraId="306C2E2C" w14:textId="56A5B686" w:rsidR="001B0531" w:rsidRDefault="001B0531" w:rsidP="00EC3AED">
      <w:pPr>
        <w:spacing w:before="0" w:line="240" w:lineRule="auto"/>
      </w:pPr>
      <w:r>
        <w:rPr>
          <w:rStyle w:val="FootnoteReference"/>
        </w:rPr>
        <w:footnoteRef/>
      </w:r>
      <w:r>
        <w:t xml:space="preserve"> </w:t>
      </w:r>
      <w:r w:rsidRPr="00630BC3">
        <w:rPr>
          <w:rFonts w:eastAsiaTheme="minorHAnsi" w:cstheme="minorBidi"/>
          <w:sz w:val="18"/>
          <w:szCs w:val="18"/>
          <w:lang w:eastAsia="en-US"/>
        </w:rPr>
        <w:t xml:space="preserve">The Commonwealth’s Office of Impact Assessment estimates the value of a statistical life to be $5.4 million. Department of Prime Minister and Cabinet, 2023, Guide Note: Value of statistical life, October 2023: </w:t>
      </w:r>
      <w:hyperlink r:id="rId4" w:history="1">
        <w:r w:rsidR="00DF4C79" w:rsidRPr="00690CE2">
          <w:rPr>
            <w:rStyle w:val="Hyperlink"/>
            <w:rFonts w:eastAsiaTheme="minorHAnsi" w:cstheme="minorBidi"/>
            <w:sz w:val="18"/>
            <w:szCs w:val="18"/>
            <w:lang w:eastAsia="en-US"/>
          </w:rPr>
          <w:t>https://oia.pmc.gov.au/resources/guidance-assessing-impacts/value-statistical-life</w:t>
        </w:r>
      </w:hyperlink>
      <w:r w:rsidR="00DF4C79">
        <w:rPr>
          <w:rFonts w:eastAsiaTheme="minorHAnsi" w:cstheme="minorBidi"/>
          <w:sz w:val="18"/>
          <w:szCs w:val="18"/>
          <w:lang w:eastAsia="en-US"/>
        </w:rPr>
        <w:t>.</w:t>
      </w:r>
    </w:p>
  </w:footnote>
  <w:footnote w:id="61">
    <w:p w14:paraId="3391A0EA" w14:textId="7F484FB6" w:rsidR="002C39AE" w:rsidRDefault="002C39AE">
      <w:pPr>
        <w:pStyle w:val="FootnoteText"/>
      </w:pPr>
      <w:r>
        <w:rPr>
          <w:rStyle w:val="FootnoteReference"/>
        </w:rPr>
        <w:footnoteRef/>
      </w:r>
      <w:r>
        <w:t xml:space="preserve"> </w:t>
      </w:r>
      <w:r w:rsidRPr="00D94CEE">
        <w:t xml:space="preserve">Appendix </w:t>
      </w:r>
      <w:r w:rsidRPr="00091ED4">
        <w:t>A</w:t>
      </w:r>
      <w:r>
        <w:t xml:space="preserve"> contains assumptions underlying these calculations.</w:t>
      </w:r>
    </w:p>
  </w:footnote>
  <w:footnote w:id="62">
    <w:p w14:paraId="50A7A7B9" w14:textId="321CD2FE" w:rsidR="0042353D" w:rsidRDefault="0042353D">
      <w:pPr>
        <w:pStyle w:val="FootnoteText"/>
      </w:pPr>
      <w:r>
        <w:rPr>
          <w:rStyle w:val="FootnoteReference"/>
        </w:rPr>
        <w:footnoteRef/>
      </w:r>
      <w:r>
        <w:t xml:space="preserve"> Appendix </w:t>
      </w:r>
      <w:r w:rsidRPr="004116A0">
        <w:t>A</w:t>
      </w:r>
      <w:r>
        <w:t xml:space="preserve"> shows the assumptions underlying these figures</w:t>
      </w:r>
      <w:r w:rsidR="00307712">
        <w:t xml:space="preserve">. Calculations for this figure are shown in Appendix </w:t>
      </w:r>
      <w:r w:rsidR="004116A0">
        <w:t>D</w:t>
      </w:r>
      <w:r>
        <w:t>.</w:t>
      </w:r>
    </w:p>
  </w:footnote>
  <w:footnote w:id="63">
    <w:p w14:paraId="7C37EF3B" w14:textId="35E32A5E" w:rsidR="00025735" w:rsidRDefault="00025735">
      <w:pPr>
        <w:pStyle w:val="FootnoteText"/>
      </w:pPr>
      <w:r>
        <w:rPr>
          <w:rStyle w:val="FootnoteReference"/>
        </w:rPr>
        <w:footnoteRef/>
      </w:r>
      <w:r>
        <w:t xml:space="preserve"> </w:t>
      </w:r>
      <w:r w:rsidR="003E6A23">
        <w:t>C</w:t>
      </w:r>
      <w:r>
        <w:t>ampfire</w:t>
      </w:r>
      <w:r w:rsidR="003E6A23">
        <w:t>s</w:t>
      </w:r>
      <w:r>
        <w:t xml:space="preserve"> pose </w:t>
      </w:r>
      <w:r w:rsidR="008F57CC">
        <w:t>fewer</w:t>
      </w:r>
      <w:r>
        <w:t xml:space="preserve"> complex risks compared with a pe</w:t>
      </w:r>
      <w:r w:rsidR="002E0A6F">
        <w:t>tr</w:t>
      </w:r>
      <w:r>
        <w:t xml:space="preserve">ochemical plant, </w:t>
      </w:r>
      <w:r w:rsidR="002E0A6F">
        <w:t>however, the consequences from an uncontrolled campfire may be as equally devasting as a mishap at a petrochemical plant.</w:t>
      </w:r>
    </w:p>
  </w:footnote>
  <w:footnote w:id="64">
    <w:p w14:paraId="005E7B0B" w14:textId="4996DD6B" w:rsidR="00DA120D" w:rsidRDefault="00DA120D" w:rsidP="003353C0">
      <w:pPr>
        <w:spacing w:after="60"/>
      </w:pPr>
      <w:r>
        <w:rPr>
          <w:rStyle w:val="FootnoteReference"/>
        </w:rPr>
        <w:footnoteRef/>
      </w:r>
      <w:r>
        <w:t xml:space="preserve"> </w:t>
      </w:r>
      <w:r w:rsidRPr="006F46CD">
        <w:rPr>
          <w:rFonts w:ascii="Arial" w:hAnsi="Arial" w:cs="Arial"/>
          <w:sz w:val="18"/>
          <w:szCs w:val="18"/>
        </w:rPr>
        <w:t xml:space="preserve">Victorian Auditor-General’s Office, 2022, </w:t>
      </w:r>
      <w:r w:rsidRPr="006F46CD">
        <w:rPr>
          <w:rFonts w:ascii="Arial" w:hAnsi="Arial" w:cs="Arial"/>
          <w:kern w:val="36"/>
          <w:sz w:val="18"/>
          <w:szCs w:val="18"/>
        </w:rPr>
        <w:t xml:space="preserve">Government Advertising: </w:t>
      </w:r>
      <w:r w:rsidRPr="006F46CD">
        <w:rPr>
          <w:rFonts w:ascii="Arial" w:hAnsi="Arial" w:cs="Arial"/>
          <w:sz w:val="18"/>
          <w:szCs w:val="18"/>
        </w:rPr>
        <w:t>https://www.audit.vic.gov.au/report/government-advertising</w:t>
      </w:r>
    </w:p>
  </w:footnote>
  <w:footnote w:id="65">
    <w:p w14:paraId="6728966D" w14:textId="4927736B" w:rsidR="00905753" w:rsidRDefault="00905753" w:rsidP="003353C0">
      <w:pPr>
        <w:pStyle w:val="FootnoteText"/>
      </w:pPr>
      <w:r>
        <w:rPr>
          <w:rStyle w:val="FootnoteReference"/>
        </w:rPr>
        <w:footnoteRef/>
      </w:r>
      <w:r>
        <w:t xml:space="preserve"> This cost is assumed to cover the </w:t>
      </w:r>
      <w:r w:rsidR="002C6295">
        <w:t>10-year</w:t>
      </w:r>
      <w:r>
        <w:t xml:space="preserve"> period.</w:t>
      </w:r>
    </w:p>
  </w:footnote>
  <w:footnote w:id="66">
    <w:p w14:paraId="45AE6101" w14:textId="36501CD0" w:rsidR="003353C0" w:rsidRDefault="003353C0" w:rsidP="003353C0">
      <w:pPr>
        <w:pStyle w:val="FootnoteText"/>
      </w:pPr>
      <w:r>
        <w:rPr>
          <w:rStyle w:val="FootnoteReference"/>
        </w:rPr>
        <w:footnoteRef/>
      </w:r>
      <w:r>
        <w:t xml:space="preserve"> </w:t>
      </w:r>
      <w:r w:rsidRPr="003353C0">
        <w:t>Energy Safe Victoria, Annual Reports, 2020-21 to 2022-24: https://www.energysafe.vic.gov.au/energy-safe-victoria-annual-reports. Advertising campaign costs of “Know the Drill Before You Grill”: 2017-18 − $150,000; 2018-19 − $218,000; 2019-20 − $156,000; 2020-21 − $74,344; 2021-22</w:t>
      </w:r>
      <w:r w:rsidRPr="003353C0">
        <w:tab/>
        <w:t xml:space="preserve"> − $230,000; $2022-23 −255,000. Average annual expenditure - $155,000.</w:t>
      </w:r>
    </w:p>
  </w:footnote>
  <w:footnote w:id="67">
    <w:p w14:paraId="6BE7F2B4" w14:textId="77777777" w:rsidR="009E5E3F" w:rsidRDefault="009E5E3F" w:rsidP="009E5E3F">
      <w:pPr>
        <w:pStyle w:val="FootnoteText"/>
      </w:pPr>
      <w:r>
        <w:rPr>
          <w:rStyle w:val="FootnoteReference"/>
        </w:rPr>
        <w:footnoteRef/>
      </w:r>
      <w:r>
        <w:t xml:space="preserve"> </w:t>
      </w:r>
      <w:r w:rsidRPr="006F5820">
        <w:t>Between 1901 and 2011 there have been 260 bushfires in Australia associated with a total of 825 known civilian and firefighter fatalities. Source: CSIRO, Understanding loss of life in bushfires: https://www.csiro.au/en/research/disasters/bushfires/life-loss-database</w:t>
      </w:r>
    </w:p>
  </w:footnote>
  <w:footnote w:id="68">
    <w:p w14:paraId="47E09CF8" w14:textId="6D3FB39D" w:rsidR="00526D8D" w:rsidRPr="00526D8D" w:rsidRDefault="00526D8D" w:rsidP="00526D8D">
      <w:pPr>
        <w:rPr>
          <w:sz w:val="18"/>
          <w:szCs w:val="18"/>
        </w:rPr>
      </w:pPr>
      <w:r>
        <w:rPr>
          <w:rStyle w:val="FootnoteReference"/>
        </w:rPr>
        <w:footnoteRef/>
      </w:r>
      <w:r>
        <w:t xml:space="preserve"> </w:t>
      </w:r>
      <w:r w:rsidRPr="00526D8D">
        <w:rPr>
          <w:rFonts w:ascii="Arial" w:hAnsi="Arial" w:cs="Arial"/>
          <w:sz w:val="18"/>
          <w:szCs w:val="18"/>
        </w:rPr>
        <w:t xml:space="preserve">Department of Climate Change, Energy, the Environment and Water, 2020, </w:t>
      </w:r>
      <w:r w:rsidRPr="00D22020">
        <w:rPr>
          <w:i/>
          <w:iCs/>
          <w:sz w:val="18"/>
          <w:szCs w:val="18"/>
        </w:rPr>
        <w:t>Estimating greenhouse gas emissions from bushfires in Australia’s temperate forests: focus on 2019-20</w:t>
      </w:r>
      <w:r w:rsidRPr="00526D8D">
        <w:rPr>
          <w:b/>
          <w:bCs/>
          <w:sz w:val="18"/>
          <w:szCs w:val="18"/>
        </w:rPr>
        <w:t xml:space="preserve">: </w:t>
      </w:r>
      <w:r w:rsidRPr="00526D8D">
        <w:rPr>
          <w:sz w:val="18"/>
          <w:szCs w:val="18"/>
        </w:rPr>
        <w:t>https://www.dcceew.gov.au/climate-change/publications/estimating-greenhouse-gas-emissions-from-bushfires-in-australias-temperate-forests-focus-on-2019-20#:~:text=The%20fires%20are%20estimated%20to,per%20hectare%20of%20forest%20burnt</w:t>
      </w:r>
    </w:p>
  </w:footnote>
  <w:footnote w:id="69">
    <w:p w14:paraId="35CB7765" w14:textId="6A893AC5" w:rsidR="00FD38ED" w:rsidRPr="00FD38ED" w:rsidRDefault="00FD38ED" w:rsidP="00FD38ED">
      <w:pPr>
        <w:rPr>
          <w:rFonts w:ascii="Arial" w:hAnsi="Arial" w:cs="Arial"/>
          <w:sz w:val="18"/>
          <w:szCs w:val="18"/>
        </w:rPr>
      </w:pPr>
      <w:r>
        <w:rPr>
          <w:rStyle w:val="FootnoteReference"/>
        </w:rPr>
        <w:footnoteRef/>
      </w:r>
      <w:r>
        <w:t xml:space="preserve"> </w:t>
      </w:r>
      <w:r w:rsidRPr="00FD38ED">
        <w:rPr>
          <w:rFonts w:ascii="Arial" w:hAnsi="Arial" w:cs="Arial"/>
          <w:sz w:val="18"/>
          <w:szCs w:val="18"/>
        </w:rPr>
        <w:t>NSW Government, Technical note to NSW Government Guide to</w:t>
      </w:r>
      <w:r w:rsidR="00686FC7">
        <w:rPr>
          <w:rFonts w:ascii="Arial" w:hAnsi="Arial" w:cs="Arial"/>
          <w:sz w:val="18"/>
          <w:szCs w:val="18"/>
        </w:rPr>
        <w:t xml:space="preserve"> </w:t>
      </w:r>
      <w:r w:rsidRPr="00FD38ED">
        <w:rPr>
          <w:rFonts w:ascii="Arial" w:hAnsi="Arial" w:cs="Arial"/>
          <w:sz w:val="18"/>
          <w:szCs w:val="18"/>
        </w:rPr>
        <w:t>Cost-Benefit Analysis TPG23-08 Carbon value in cost-benefit analysis, $128 per tonne (FY25): https://www.treasury.nsw.gov.au/sites/default/files/2023-03/20230302-technical-note-to-tpg23-08_carbon-value-to-use-for-cost-benefit-analysis.pdf</w:t>
      </w:r>
    </w:p>
    <w:p w14:paraId="7B6FC0D4" w14:textId="59B029F8" w:rsidR="00FD38ED" w:rsidRDefault="00FD38ED">
      <w:pPr>
        <w:pStyle w:val="FootnoteText"/>
      </w:pPr>
    </w:p>
  </w:footnote>
  <w:footnote w:id="70">
    <w:p w14:paraId="5E2F61E3" w14:textId="2335952E" w:rsidR="003472FB" w:rsidRDefault="003472FB" w:rsidP="003472FB">
      <w:pPr>
        <w:pStyle w:val="FootnoteText"/>
      </w:pPr>
      <w:r>
        <w:rPr>
          <w:rStyle w:val="FootnoteReference"/>
        </w:rPr>
        <w:footnoteRef/>
      </w:r>
      <w:r>
        <w:t xml:space="preserve"> </w:t>
      </w:r>
      <w:r w:rsidRPr="00D91E01">
        <w:t xml:space="preserve">This is the ‘competition test’ to be applied to legislation. It is noted that the competition assessment does not preclude any option being </w:t>
      </w:r>
      <w:r w:rsidR="0087633E" w:rsidRPr="00D91E01">
        <w:t>preferred but</w:t>
      </w:r>
      <w:r w:rsidRPr="00D91E01">
        <w:t xml:space="preserve"> requires that any decrease in competition should ensure that the benefits outweigh the costs and that the desired outcomes can only be achieved by affecting competition.</w:t>
      </w:r>
    </w:p>
  </w:footnote>
  <w:footnote w:id="71">
    <w:p w14:paraId="5ACB37DA" w14:textId="77777777" w:rsidR="003472FB" w:rsidRDefault="003472FB" w:rsidP="003472FB">
      <w:pPr>
        <w:pStyle w:val="FootnoteText"/>
      </w:pPr>
      <w:r>
        <w:rPr>
          <w:rStyle w:val="FootnoteReference"/>
        </w:rPr>
        <w:footnoteRef/>
      </w:r>
      <w:r>
        <w:t xml:space="preserve"> </w:t>
      </w:r>
      <w:r w:rsidRPr="00C37194">
        <w:t xml:space="preserve">See for example </w:t>
      </w:r>
      <w:r w:rsidRPr="00C37194">
        <w:rPr>
          <w:i/>
          <w:iCs/>
        </w:rPr>
        <w:t>Assessment against the Competition Test</w:t>
      </w:r>
      <w:r w:rsidRPr="00C37194">
        <w:t xml:space="preserve">, guidelines published by the New South Wales Department of Finance, Services and Innovation, 2017, and </w:t>
      </w:r>
      <w:r w:rsidRPr="00C37194">
        <w:rPr>
          <w:i/>
          <w:iCs/>
        </w:rPr>
        <w:t>Legislation Impact Assessment Guidelines</w:t>
      </w:r>
      <w:r w:rsidRPr="00C37194">
        <w:t xml:space="preserve"> published by Tasmanian Department of Treasury and Finance December 2016.</w:t>
      </w:r>
    </w:p>
  </w:footnote>
  <w:footnote w:id="72">
    <w:p w14:paraId="412A7FBC" w14:textId="77777777" w:rsidR="003472FB" w:rsidRDefault="003472FB" w:rsidP="003472FB">
      <w:pPr>
        <w:pStyle w:val="FootnoteText"/>
      </w:pPr>
      <w:r>
        <w:rPr>
          <w:rStyle w:val="FootnoteReference"/>
        </w:rPr>
        <w:footnoteRef/>
      </w:r>
      <w:r>
        <w:t xml:space="preserve"> </w:t>
      </w:r>
      <w:r w:rsidRPr="00C7214D">
        <w:t xml:space="preserve">There is no fixed definition of small business. It is generally considered to refer to businesses with fewer than </w:t>
      </w:r>
      <w:r>
        <w:t>20</w:t>
      </w:r>
      <w:r w:rsidRPr="00C7214D">
        <w:t xml:space="preserve"> employees or turnover of less than $2 million per year.</w:t>
      </w:r>
    </w:p>
  </w:footnote>
  <w:footnote w:id="73">
    <w:p w14:paraId="1F047395" w14:textId="77777777" w:rsidR="006D6AD8" w:rsidRPr="00E06DB8" w:rsidRDefault="006D6AD8" w:rsidP="006D6AD8">
      <w:pPr>
        <w:pStyle w:val="FootnoteText"/>
        <w:rPr>
          <w:rFonts w:ascii="Calibri Light" w:hAnsi="Calibri Light"/>
        </w:rPr>
      </w:pPr>
      <w:r w:rsidRPr="00EE389F">
        <w:rPr>
          <w:rStyle w:val="FootnoteReference"/>
          <w:rFonts w:cs="Calibri Light"/>
        </w:rPr>
        <w:footnoteRef/>
      </w:r>
      <w:r w:rsidRPr="00EE389F">
        <w:t xml:space="preserve"> </w:t>
      </w:r>
      <w:r w:rsidRPr="00EE389F">
        <w:rPr>
          <w:kern w:val="36"/>
        </w:rPr>
        <w:t>ABS, Average Weekly Earnings, Australia (</w:t>
      </w:r>
      <w:r w:rsidRPr="00EE389F">
        <w:t>Released 15/08/2024) Full-time adult average weekly ordinary time earnings: https://www.abs.gov.au/statistics/labour/earnings-and-working-conditions/average-weekly-earnings-australia/latest-release</w:t>
      </w:r>
    </w:p>
  </w:footnote>
  <w:footnote w:id="74">
    <w:p w14:paraId="30676CF6" w14:textId="1A189C9B" w:rsidR="001A7FC8" w:rsidRDefault="001A7FC8">
      <w:pPr>
        <w:pStyle w:val="FootnoteText"/>
      </w:pPr>
      <w:r>
        <w:rPr>
          <w:rStyle w:val="FootnoteReference"/>
        </w:rPr>
        <w:footnoteRef/>
      </w:r>
      <w:r>
        <w:t xml:space="preserve"> A typical enforcement team consists of two VPS2s, two VPS</w:t>
      </w:r>
      <w:r w:rsidR="008B4539">
        <w:t>3s, and one VPS5 and one VPS6. Mid-point salary points were selected.</w:t>
      </w:r>
    </w:p>
  </w:footnote>
  <w:footnote w:id="75">
    <w:p w14:paraId="08D2E4DD" w14:textId="6131CEB0" w:rsidR="006D6AD8" w:rsidRDefault="006D6AD8" w:rsidP="006D6AD8">
      <w:pPr>
        <w:pStyle w:val="FootnoteText"/>
      </w:pPr>
      <w:r>
        <w:rPr>
          <w:rStyle w:val="FootnoteReference"/>
        </w:rPr>
        <w:footnoteRef/>
      </w:r>
      <w:r>
        <w:t xml:space="preserve"> </w:t>
      </w:r>
      <w:r w:rsidRPr="0082592A">
        <w:t>Victorian Public Service Enterprise Agreement 2024</w:t>
      </w:r>
      <w:r w:rsidR="001A7FC8">
        <w:t>, p. 171-72</w:t>
      </w:r>
      <w:r w:rsidRPr="0082592A">
        <w:t xml:space="preserve">: </w:t>
      </w:r>
      <w:hyperlink r:id="rId5" w:history="1">
        <w:r w:rsidRPr="00CF5936">
          <w:rPr>
            <w:rStyle w:val="Hyperlink"/>
          </w:rPr>
          <w:t>https://www.dtf.vic.gov.au/sites/default/files/document/Victorian%20Public%20Service%20Enterprise%20Agreement%202024.pdf</w:t>
        </w:r>
      </w:hyperlink>
    </w:p>
  </w:footnote>
  <w:footnote w:id="76">
    <w:p w14:paraId="1DA29B93" w14:textId="77777777" w:rsidR="006D6AD8" w:rsidRDefault="006D6AD8" w:rsidP="006D6AD8">
      <w:pPr>
        <w:pStyle w:val="FootnoteText"/>
      </w:pPr>
      <w:r>
        <w:rPr>
          <w:rStyle w:val="FootnoteReference"/>
        </w:rPr>
        <w:footnoteRef/>
      </w:r>
      <w:r>
        <w:t xml:space="preserve"> </w:t>
      </w:r>
      <w:hyperlink r:id="rId6" w:history="1">
        <w:r w:rsidRPr="008F484C">
          <w:rPr>
            <w:rStyle w:val="Hyperlink"/>
          </w:rPr>
          <w:t>https://www.dtf.vic.gov.au/sites/default/files/document/Victorian_Economic_Bulletin-April2019.pdf</w:t>
        </w:r>
      </w:hyperlink>
      <w:r w:rsidRPr="008F484C">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BA93" w14:textId="37D28F01" w:rsidR="00CD157B" w:rsidRPr="00CD157B" w:rsidRDefault="00CD157B" w:rsidP="00CD1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FE167" w14:textId="77777777" w:rsidR="002053A4" w:rsidRDefault="00205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3AAB9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D47F3F"/>
    <w:multiLevelType w:val="hybridMultilevel"/>
    <w:tmpl w:val="966E7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6730E"/>
    <w:multiLevelType w:val="hybridMultilevel"/>
    <w:tmpl w:val="66B24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8F68F934"/>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decimal"/>
      <w:pStyle w:val="Heading4"/>
      <w:suff w:val="space"/>
      <w:lvlText w:val="%1.%2.%3.%4"/>
      <w:lvlJc w:val="left"/>
      <w:pPr>
        <w:tabs>
          <w:tab w:val="num" w:pos="851"/>
        </w:tabs>
        <w:ind w:left="851" w:firstLine="0"/>
      </w:pPr>
      <w:rPr>
        <w:rFonts w:hint="default"/>
        <w:spacing w:val="0"/>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4F2A79D"/>
    <w:multiLevelType w:val="hybridMultilevel"/>
    <w:tmpl w:val="FFFFFFFF"/>
    <w:lvl w:ilvl="0" w:tplc="DD685C02">
      <w:start w:val="1"/>
      <w:numFmt w:val="bullet"/>
      <w:lvlText w:val=""/>
      <w:lvlJc w:val="left"/>
      <w:pPr>
        <w:ind w:left="1080" w:hanging="360"/>
      </w:pPr>
      <w:rPr>
        <w:rFonts w:ascii="Symbol" w:hAnsi="Symbol" w:hint="default"/>
      </w:rPr>
    </w:lvl>
    <w:lvl w:ilvl="1" w:tplc="4BDED170">
      <w:start w:val="1"/>
      <w:numFmt w:val="bullet"/>
      <w:lvlText w:val="o"/>
      <w:lvlJc w:val="left"/>
      <w:pPr>
        <w:ind w:left="1800" w:hanging="360"/>
      </w:pPr>
      <w:rPr>
        <w:rFonts w:ascii="Courier New" w:hAnsi="Courier New" w:hint="default"/>
      </w:rPr>
    </w:lvl>
    <w:lvl w:ilvl="2" w:tplc="34CC02B8">
      <w:start w:val="1"/>
      <w:numFmt w:val="bullet"/>
      <w:lvlText w:val=""/>
      <w:lvlJc w:val="left"/>
      <w:pPr>
        <w:ind w:left="2520" w:hanging="360"/>
      </w:pPr>
      <w:rPr>
        <w:rFonts w:ascii="Wingdings" w:hAnsi="Wingdings" w:hint="default"/>
      </w:rPr>
    </w:lvl>
    <w:lvl w:ilvl="3" w:tplc="BBC05EFC">
      <w:start w:val="1"/>
      <w:numFmt w:val="bullet"/>
      <w:lvlText w:val=""/>
      <w:lvlJc w:val="left"/>
      <w:pPr>
        <w:ind w:left="3240" w:hanging="360"/>
      </w:pPr>
      <w:rPr>
        <w:rFonts w:ascii="Symbol" w:hAnsi="Symbol" w:hint="default"/>
      </w:rPr>
    </w:lvl>
    <w:lvl w:ilvl="4" w:tplc="48F42324">
      <w:start w:val="1"/>
      <w:numFmt w:val="bullet"/>
      <w:lvlText w:val="o"/>
      <w:lvlJc w:val="left"/>
      <w:pPr>
        <w:ind w:left="3960" w:hanging="360"/>
      </w:pPr>
      <w:rPr>
        <w:rFonts w:ascii="Courier New" w:hAnsi="Courier New" w:hint="default"/>
      </w:rPr>
    </w:lvl>
    <w:lvl w:ilvl="5" w:tplc="9CBC42F4">
      <w:start w:val="1"/>
      <w:numFmt w:val="bullet"/>
      <w:lvlText w:val=""/>
      <w:lvlJc w:val="left"/>
      <w:pPr>
        <w:ind w:left="4680" w:hanging="360"/>
      </w:pPr>
      <w:rPr>
        <w:rFonts w:ascii="Wingdings" w:hAnsi="Wingdings" w:hint="default"/>
      </w:rPr>
    </w:lvl>
    <w:lvl w:ilvl="6" w:tplc="046E2B68">
      <w:start w:val="1"/>
      <w:numFmt w:val="bullet"/>
      <w:lvlText w:val=""/>
      <w:lvlJc w:val="left"/>
      <w:pPr>
        <w:ind w:left="5400" w:hanging="360"/>
      </w:pPr>
      <w:rPr>
        <w:rFonts w:ascii="Symbol" w:hAnsi="Symbol" w:hint="default"/>
      </w:rPr>
    </w:lvl>
    <w:lvl w:ilvl="7" w:tplc="ABA43B2A">
      <w:start w:val="1"/>
      <w:numFmt w:val="bullet"/>
      <w:lvlText w:val="o"/>
      <w:lvlJc w:val="left"/>
      <w:pPr>
        <w:ind w:left="6120" w:hanging="360"/>
      </w:pPr>
      <w:rPr>
        <w:rFonts w:ascii="Courier New" w:hAnsi="Courier New" w:hint="default"/>
      </w:rPr>
    </w:lvl>
    <w:lvl w:ilvl="8" w:tplc="4C301F6E">
      <w:start w:val="1"/>
      <w:numFmt w:val="bullet"/>
      <w:lvlText w:val=""/>
      <w:lvlJc w:val="left"/>
      <w:pPr>
        <w:ind w:left="6840" w:hanging="360"/>
      </w:pPr>
      <w:rPr>
        <w:rFonts w:ascii="Wingdings" w:hAnsi="Wingding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86B3FBA"/>
    <w:multiLevelType w:val="hybridMultilevel"/>
    <w:tmpl w:val="E236F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2BB039B1"/>
    <w:multiLevelType w:val="hybridMultilevel"/>
    <w:tmpl w:val="EBC8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90B9D"/>
    <w:multiLevelType w:val="hybridMultilevel"/>
    <w:tmpl w:val="A3C42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3D10686"/>
    <w:multiLevelType w:val="hybridMultilevel"/>
    <w:tmpl w:val="E054A046"/>
    <w:lvl w:ilvl="0" w:tplc="40045F30">
      <w:start w:val="1"/>
      <w:numFmt w:val="bullet"/>
      <w:lvlText w:val=""/>
      <w:lvlJc w:val="left"/>
      <w:pPr>
        <w:ind w:left="720" w:hanging="360"/>
      </w:pPr>
      <w:rPr>
        <w:rFonts w:ascii="Symbol" w:hAnsi="Symbol"/>
      </w:rPr>
    </w:lvl>
    <w:lvl w:ilvl="1" w:tplc="1C707AF6">
      <w:start w:val="1"/>
      <w:numFmt w:val="bullet"/>
      <w:lvlText w:val=""/>
      <w:lvlJc w:val="left"/>
      <w:pPr>
        <w:ind w:left="720" w:hanging="360"/>
      </w:pPr>
      <w:rPr>
        <w:rFonts w:ascii="Symbol" w:hAnsi="Symbol"/>
      </w:rPr>
    </w:lvl>
    <w:lvl w:ilvl="2" w:tplc="95960A7A">
      <w:start w:val="1"/>
      <w:numFmt w:val="bullet"/>
      <w:lvlText w:val=""/>
      <w:lvlJc w:val="left"/>
      <w:pPr>
        <w:ind w:left="720" w:hanging="360"/>
      </w:pPr>
      <w:rPr>
        <w:rFonts w:ascii="Symbol" w:hAnsi="Symbol"/>
      </w:rPr>
    </w:lvl>
    <w:lvl w:ilvl="3" w:tplc="414205E2">
      <w:start w:val="1"/>
      <w:numFmt w:val="bullet"/>
      <w:lvlText w:val=""/>
      <w:lvlJc w:val="left"/>
      <w:pPr>
        <w:ind w:left="720" w:hanging="360"/>
      </w:pPr>
      <w:rPr>
        <w:rFonts w:ascii="Symbol" w:hAnsi="Symbol"/>
      </w:rPr>
    </w:lvl>
    <w:lvl w:ilvl="4" w:tplc="1D56F784">
      <w:start w:val="1"/>
      <w:numFmt w:val="bullet"/>
      <w:lvlText w:val=""/>
      <w:lvlJc w:val="left"/>
      <w:pPr>
        <w:ind w:left="720" w:hanging="360"/>
      </w:pPr>
      <w:rPr>
        <w:rFonts w:ascii="Symbol" w:hAnsi="Symbol"/>
      </w:rPr>
    </w:lvl>
    <w:lvl w:ilvl="5" w:tplc="26063CC8">
      <w:start w:val="1"/>
      <w:numFmt w:val="bullet"/>
      <w:lvlText w:val=""/>
      <w:lvlJc w:val="left"/>
      <w:pPr>
        <w:ind w:left="720" w:hanging="360"/>
      </w:pPr>
      <w:rPr>
        <w:rFonts w:ascii="Symbol" w:hAnsi="Symbol"/>
      </w:rPr>
    </w:lvl>
    <w:lvl w:ilvl="6" w:tplc="439404D6">
      <w:start w:val="1"/>
      <w:numFmt w:val="bullet"/>
      <w:lvlText w:val=""/>
      <w:lvlJc w:val="left"/>
      <w:pPr>
        <w:ind w:left="720" w:hanging="360"/>
      </w:pPr>
      <w:rPr>
        <w:rFonts w:ascii="Symbol" w:hAnsi="Symbol"/>
      </w:rPr>
    </w:lvl>
    <w:lvl w:ilvl="7" w:tplc="C154378A">
      <w:start w:val="1"/>
      <w:numFmt w:val="bullet"/>
      <w:lvlText w:val=""/>
      <w:lvlJc w:val="left"/>
      <w:pPr>
        <w:ind w:left="720" w:hanging="360"/>
      </w:pPr>
      <w:rPr>
        <w:rFonts w:ascii="Symbol" w:hAnsi="Symbol"/>
      </w:rPr>
    </w:lvl>
    <w:lvl w:ilvl="8" w:tplc="32902E04">
      <w:start w:val="1"/>
      <w:numFmt w:val="bullet"/>
      <w:lvlText w:val=""/>
      <w:lvlJc w:val="left"/>
      <w:pPr>
        <w:ind w:left="720" w:hanging="360"/>
      </w:pPr>
      <w:rPr>
        <w:rFonts w:ascii="Symbol" w:hAnsi="Symbol"/>
      </w:r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D0B2172"/>
    <w:multiLevelType w:val="hybridMultilevel"/>
    <w:tmpl w:val="8528B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90C1976"/>
    <w:multiLevelType w:val="hybridMultilevel"/>
    <w:tmpl w:val="0DEE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918" w:hanging="198"/>
      </w:pPr>
      <w:rPr>
        <w:rFonts w:ascii="Calibri" w:hAnsi="Calibri" w:hint="default"/>
      </w:rPr>
    </w:lvl>
    <w:lvl w:ilvl="1">
      <w:start w:val="1"/>
      <w:numFmt w:val="bullet"/>
      <w:pStyle w:val="TableTextBullet2"/>
      <w:lvlText w:val="–"/>
      <w:lvlJc w:val="left"/>
      <w:pPr>
        <w:ind w:left="1116" w:hanging="198"/>
      </w:pPr>
      <w:rPr>
        <w:rFonts w:ascii="Calibri" w:hAnsi="Calibri" w:hint="default"/>
      </w:rPr>
    </w:lvl>
    <w:lvl w:ilvl="2">
      <w:start w:val="1"/>
      <w:numFmt w:val="bullet"/>
      <w:pStyle w:val="TableTextBullet3"/>
      <w:lvlText w:val=""/>
      <w:lvlJc w:val="left"/>
      <w:pPr>
        <w:ind w:left="1314" w:hanging="198"/>
      </w:pPr>
      <w:rPr>
        <w:rFonts w:ascii="Symbol" w:hAnsi="Symbol" w:hint="default"/>
        <w:position w:val="-3"/>
      </w:rPr>
    </w:lvl>
    <w:lvl w:ilvl="3">
      <w:start w:val="1"/>
      <w:numFmt w:val="bullet"/>
      <w:lvlText w:val=""/>
      <w:lvlJc w:val="left"/>
      <w:pPr>
        <w:ind w:left="1512" w:hanging="198"/>
      </w:pPr>
      <w:rPr>
        <w:rFonts w:ascii="Symbol" w:hAnsi="Symbol" w:hint="default"/>
      </w:rPr>
    </w:lvl>
    <w:lvl w:ilvl="4">
      <w:start w:val="1"/>
      <w:numFmt w:val="bullet"/>
      <w:lvlText w:val="o"/>
      <w:lvlJc w:val="left"/>
      <w:pPr>
        <w:ind w:left="1710" w:hanging="198"/>
      </w:pPr>
      <w:rPr>
        <w:rFonts w:ascii="Courier New" w:hAnsi="Courier New" w:cs="Courier New" w:hint="default"/>
      </w:rPr>
    </w:lvl>
    <w:lvl w:ilvl="5">
      <w:start w:val="1"/>
      <w:numFmt w:val="bullet"/>
      <w:lvlText w:val=""/>
      <w:lvlJc w:val="left"/>
      <w:pPr>
        <w:ind w:left="1908" w:hanging="198"/>
      </w:pPr>
      <w:rPr>
        <w:rFonts w:ascii="Wingdings" w:hAnsi="Wingdings" w:hint="default"/>
      </w:rPr>
    </w:lvl>
    <w:lvl w:ilvl="6">
      <w:start w:val="1"/>
      <w:numFmt w:val="bullet"/>
      <w:lvlText w:val=""/>
      <w:lvlJc w:val="left"/>
      <w:pPr>
        <w:ind w:left="2106" w:hanging="198"/>
      </w:pPr>
      <w:rPr>
        <w:rFonts w:ascii="Symbol" w:hAnsi="Symbol" w:hint="default"/>
      </w:rPr>
    </w:lvl>
    <w:lvl w:ilvl="7">
      <w:start w:val="1"/>
      <w:numFmt w:val="bullet"/>
      <w:lvlText w:val="o"/>
      <w:lvlJc w:val="left"/>
      <w:pPr>
        <w:ind w:left="2304" w:hanging="198"/>
      </w:pPr>
      <w:rPr>
        <w:rFonts w:ascii="Courier New" w:hAnsi="Courier New" w:cs="Courier New" w:hint="default"/>
      </w:rPr>
    </w:lvl>
    <w:lvl w:ilvl="8">
      <w:start w:val="1"/>
      <w:numFmt w:val="bullet"/>
      <w:lvlText w:val=""/>
      <w:lvlJc w:val="left"/>
      <w:pPr>
        <w:ind w:left="250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4BE3BAA"/>
    <w:multiLevelType w:val="hybridMultilevel"/>
    <w:tmpl w:val="67EC6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E275DD"/>
    <w:multiLevelType w:val="hybridMultilevel"/>
    <w:tmpl w:val="CB064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DC544D"/>
    <w:multiLevelType w:val="hybridMultilevel"/>
    <w:tmpl w:val="DA743BF8"/>
    <w:lvl w:ilvl="0" w:tplc="246CBD00">
      <w:start w:val="1"/>
      <w:numFmt w:val="bullet"/>
      <w:pStyle w:val="Boxdo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5D4E397E"/>
    <w:multiLevelType w:val="hybridMultilevel"/>
    <w:tmpl w:val="BC188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6FB1396C"/>
    <w:multiLevelType w:val="hybridMultilevel"/>
    <w:tmpl w:val="36C22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795D46B6"/>
    <w:multiLevelType w:val="multilevel"/>
    <w:tmpl w:val="DBD87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284207"/>
    <w:multiLevelType w:val="multilevel"/>
    <w:tmpl w:val="E7F42346"/>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2"/>
  </w:num>
  <w:num w:numId="2" w16cid:durableId="170411264">
    <w:abstractNumId w:val="44"/>
  </w:num>
  <w:num w:numId="3" w16cid:durableId="985085104">
    <w:abstractNumId w:val="11"/>
  </w:num>
  <w:num w:numId="4" w16cid:durableId="1872112631">
    <w:abstractNumId w:val="14"/>
  </w:num>
  <w:num w:numId="5" w16cid:durableId="336812815">
    <w:abstractNumId w:val="28"/>
  </w:num>
  <w:num w:numId="6" w16cid:durableId="155153463">
    <w:abstractNumId w:val="1"/>
  </w:num>
  <w:num w:numId="7" w16cid:durableId="1428236886">
    <w:abstractNumId w:val="31"/>
  </w:num>
  <w:num w:numId="8" w16cid:durableId="103154041">
    <w:abstractNumId w:val="33"/>
  </w:num>
  <w:num w:numId="9" w16cid:durableId="1308436166">
    <w:abstractNumId w:val="30"/>
  </w:num>
  <w:num w:numId="10" w16cid:durableId="1335643199">
    <w:abstractNumId w:val="42"/>
  </w:num>
  <w:num w:numId="11" w16cid:durableId="384449836">
    <w:abstractNumId w:val="8"/>
  </w:num>
  <w:num w:numId="12" w16cid:durableId="1160577431">
    <w:abstractNumId w:val="32"/>
  </w:num>
  <w:num w:numId="13" w16cid:durableId="1673139647">
    <w:abstractNumId w:val="20"/>
  </w:num>
  <w:num w:numId="14" w16cid:durableId="1742215375">
    <w:abstractNumId w:val="54"/>
  </w:num>
  <w:num w:numId="15" w16cid:durableId="664823544">
    <w:abstractNumId w:val="50"/>
  </w:num>
  <w:num w:numId="16" w16cid:durableId="1003899196">
    <w:abstractNumId w:val="38"/>
  </w:num>
  <w:num w:numId="17" w16cid:durableId="1466507861">
    <w:abstractNumId w:val="37"/>
  </w:num>
  <w:num w:numId="18" w16cid:durableId="1214387965">
    <w:abstractNumId w:val="16"/>
  </w:num>
  <w:num w:numId="19" w16cid:durableId="367921656">
    <w:abstractNumId w:val="13"/>
  </w:num>
  <w:num w:numId="20" w16cid:durableId="1988511807">
    <w:abstractNumId w:val="45"/>
  </w:num>
  <w:num w:numId="21" w16cid:durableId="400372301">
    <w:abstractNumId w:val="53"/>
  </w:num>
  <w:num w:numId="22" w16cid:durableId="1509177143">
    <w:abstractNumId w:val="49"/>
  </w:num>
  <w:num w:numId="23" w16cid:durableId="535311795">
    <w:abstractNumId w:val="29"/>
  </w:num>
  <w:num w:numId="24" w16cid:durableId="656344568">
    <w:abstractNumId w:val="15"/>
  </w:num>
  <w:num w:numId="25" w16cid:durableId="1605529199">
    <w:abstractNumId w:val="9"/>
  </w:num>
  <w:num w:numId="26" w16cid:durableId="767429280">
    <w:abstractNumId w:val="26"/>
  </w:num>
  <w:num w:numId="27" w16cid:durableId="1355837337">
    <w:abstractNumId w:val="3"/>
  </w:num>
  <w:num w:numId="28" w16cid:durableId="1828790374">
    <w:abstractNumId w:val="19"/>
  </w:num>
  <w:num w:numId="29" w16cid:durableId="1077557334">
    <w:abstractNumId w:val="4"/>
  </w:num>
  <w:num w:numId="30" w16cid:durableId="1345520787">
    <w:abstractNumId w:val="31"/>
  </w:num>
  <w:num w:numId="31" w16cid:durableId="1133325866">
    <w:abstractNumId w:val="31"/>
  </w:num>
  <w:num w:numId="32" w16cid:durableId="815757649">
    <w:abstractNumId w:val="0"/>
  </w:num>
  <w:num w:numId="33" w16cid:durableId="960069519">
    <w:abstractNumId w:val="36"/>
  </w:num>
  <w:num w:numId="34" w16cid:durableId="191381116">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True"/>
    <w:docVar w:name="Heading4Numbered" w:val="True"/>
    <w:docVar w:name="Heading5Numbered" w:val="False"/>
    <w:docVar w:name="MasterDoc" w:val="True"/>
    <w:docVar w:name="NumberedCaptions" w:val="False"/>
    <w:docVar w:name="Overview" w:val="False"/>
    <w:docVar w:name="PageSetup" w:val="Single"/>
    <w:docVar w:name="Para" w:val="_x000d_"/>
    <w:docVar w:name="Theme Color" w:val="Forest Fire and Regions"/>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5C24D2"/>
    <w:rsid w:val="000000DA"/>
    <w:rsid w:val="00000194"/>
    <w:rsid w:val="00000639"/>
    <w:rsid w:val="00000664"/>
    <w:rsid w:val="00000812"/>
    <w:rsid w:val="000008A8"/>
    <w:rsid w:val="00000901"/>
    <w:rsid w:val="00000DEE"/>
    <w:rsid w:val="0000132C"/>
    <w:rsid w:val="00001B2B"/>
    <w:rsid w:val="00001D81"/>
    <w:rsid w:val="00001F25"/>
    <w:rsid w:val="000022CC"/>
    <w:rsid w:val="000023F8"/>
    <w:rsid w:val="00002691"/>
    <w:rsid w:val="000027F5"/>
    <w:rsid w:val="00002DBB"/>
    <w:rsid w:val="00003260"/>
    <w:rsid w:val="0000332A"/>
    <w:rsid w:val="0000349E"/>
    <w:rsid w:val="000035F6"/>
    <w:rsid w:val="00004327"/>
    <w:rsid w:val="00004810"/>
    <w:rsid w:val="00004A68"/>
    <w:rsid w:val="00004EEE"/>
    <w:rsid w:val="000050F7"/>
    <w:rsid w:val="00005152"/>
    <w:rsid w:val="000058A9"/>
    <w:rsid w:val="00005CCD"/>
    <w:rsid w:val="0000621F"/>
    <w:rsid w:val="00006395"/>
    <w:rsid w:val="00006493"/>
    <w:rsid w:val="00006884"/>
    <w:rsid w:val="000068CA"/>
    <w:rsid w:val="00007010"/>
    <w:rsid w:val="0000736B"/>
    <w:rsid w:val="000078DF"/>
    <w:rsid w:val="00007A11"/>
    <w:rsid w:val="00007A2C"/>
    <w:rsid w:val="00010082"/>
    <w:rsid w:val="00010159"/>
    <w:rsid w:val="000103B5"/>
    <w:rsid w:val="000105A9"/>
    <w:rsid w:val="000106D3"/>
    <w:rsid w:val="00010AC7"/>
    <w:rsid w:val="000112BF"/>
    <w:rsid w:val="00011360"/>
    <w:rsid w:val="000114DA"/>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3E02"/>
    <w:rsid w:val="000147D8"/>
    <w:rsid w:val="00014AD2"/>
    <w:rsid w:val="00014C8B"/>
    <w:rsid w:val="000151BE"/>
    <w:rsid w:val="000152AC"/>
    <w:rsid w:val="00015655"/>
    <w:rsid w:val="00015716"/>
    <w:rsid w:val="000160DB"/>
    <w:rsid w:val="0001645A"/>
    <w:rsid w:val="00016791"/>
    <w:rsid w:val="00016927"/>
    <w:rsid w:val="00016F11"/>
    <w:rsid w:val="000174F4"/>
    <w:rsid w:val="00017A10"/>
    <w:rsid w:val="00017A37"/>
    <w:rsid w:val="00017C3F"/>
    <w:rsid w:val="00017E78"/>
    <w:rsid w:val="0002007D"/>
    <w:rsid w:val="000200A9"/>
    <w:rsid w:val="00020166"/>
    <w:rsid w:val="00020425"/>
    <w:rsid w:val="00020439"/>
    <w:rsid w:val="0002048A"/>
    <w:rsid w:val="0002064C"/>
    <w:rsid w:val="0002086D"/>
    <w:rsid w:val="00020A83"/>
    <w:rsid w:val="00020D21"/>
    <w:rsid w:val="00020F43"/>
    <w:rsid w:val="000213EC"/>
    <w:rsid w:val="000216A1"/>
    <w:rsid w:val="00021919"/>
    <w:rsid w:val="00021974"/>
    <w:rsid w:val="00021B7A"/>
    <w:rsid w:val="0002200F"/>
    <w:rsid w:val="0002205C"/>
    <w:rsid w:val="000223FB"/>
    <w:rsid w:val="000225A8"/>
    <w:rsid w:val="00022639"/>
    <w:rsid w:val="00022AD8"/>
    <w:rsid w:val="00022D79"/>
    <w:rsid w:val="00022E04"/>
    <w:rsid w:val="00022FC9"/>
    <w:rsid w:val="000230FA"/>
    <w:rsid w:val="0002313E"/>
    <w:rsid w:val="00023288"/>
    <w:rsid w:val="00023619"/>
    <w:rsid w:val="000240B4"/>
    <w:rsid w:val="000246C5"/>
    <w:rsid w:val="00024798"/>
    <w:rsid w:val="0002488F"/>
    <w:rsid w:val="00024DA0"/>
    <w:rsid w:val="00024DE5"/>
    <w:rsid w:val="00024F9A"/>
    <w:rsid w:val="000252B4"/>
    <w:rsid w:val="00025390"/>
    <w:rsid w:val="000253CD"/>
    <w:rsid w:val="00025562"/>
    <w:rsid w:val="00025735"/>
    <w:rsid w:val="0002586C"/>
    <w:rsid w:val="000259BF"/>
    <w:rsid w:val="00025F06"/>
    <w:rsid w:val="000263A8"/>
    <w:rsid w:val="000265EA"/>
    <w:rsid w:val="00026B28"/>
    <w:rsid w:val="00026D33"/>
    <w:rsid w:val="00026DA1"/>
    <w:rsid w:val="00026DC2"/>
    <w:rsid w:val="00026F6C"/>
    <w:rsid w:val="000273C5"/>
    <w:rsid w:val="00030105"/>
    <w:rsid w:val="00030A38"/>
    <w:rsid w:val="00030D2C"/>
    <w:rsid w:val="000310A8"/>
    <w:rsid w:val="000311EC"/>
    <w:rsid w:val="000314D2"/>
    <w:rsid w:val="0003160B"/>
    <w:rsid w:val="000317BC"/>
    <w:rsid w:val="00031D9E"/>
    <w:rsid w:val="00032302"/>
    <w:rsid w:val="000325F6"/>
    <w:rsid w:val="0003300C"/>
    <w:rsid w:val="000332EC"/>
    <w:rsid w:val="0003333D"/>
    <w:rsid w:val="000335E6"/>
    <w:rsid w:val="00033674"/>
    <w:rsid w:val="000337A3"/>
    <w:rsid w:val="0003394F"/>
    <w:rsid w:val="00033A0C"/>
    <w:rsid w:val="00033B66"/>
    <w:rsid w:val="000343D3"/>
    <w:rsid w:val="00034457"/>
    <w:rsid w:val="00034547"/>
    <w:rsid w:val="000346D1"/>
    <w:rsid w:val="00034C60"/>
    <w:rsid w:val="00034E16"/>
    <w:rsid w:val="00034E7A"/>
    <w:rsid w:val="0003565D"/>
    <w:rsid w:val="00035661"/>
    <w:rsid w:val="00035C45"/>
    <w:rsid w:val="00035C83"/>
    <w:rsid w:val="00036057"/>
    <w:rsid w:val="00036064"/>
    <w:rsid w:val="000360F2"/>
    <w:rsid w:val="000367B3"/>
    <w:rsid w:val="00036D45"/>
    <w:rsid w:val="0003718E"/>
    <w:rsid w:val="00037321"/>
    <w:rsid w:val="0003733A"/>
    <w:rsid w:val="000374E9"/>
    <w:rsid w:val="00037830"/>
    <w:rsid w:val="00037F96"/>
    <w:rsid w:val="000400DE"/>
    <w:rsid w:val="00040533"/>
    <w:rsid w:val="00040668"/>
    <w:rsid w:val="000408B7"/>
    <w:rsid w:val="00040E63"/>
    <w:rsid w:val="00040EB4"/>
    <w:rsid w:val="00040FF1"/>
    <w:rsid w:val="00041016"/>
    <w:rsid w:val="000411A2"/>
    <w:rsid w:val="00041613"/>
    <w:rsid w:val="000416AE"/>
    <w:rsid w:val="000418A4"/>
    <w:rsid w:val="00041B06"/>
    <w:rsid w:val="00041C72"/>
    <w:rsid w:val="00041FED"/>
    <w:rsid w:val="00042130"/>
    <w:rsid w:val="00042903"/>
    <w:rsid w:val="00042F98"/>
    <w:rsid w:val="00043F27"/>
    <w:rsid w:val="00043FEB"/>
    <w:rsid w:val="0004422B"/>
    <w:rsid w:val="00044607"/>
    <w:rsid w:val="00044A5B"/>
    <w:rsid w:val="00045A5E"/>
    <w:rsid w:val="00045F73"/>
    <w:rsid w:val="0004603D"/>
    <w:rsid w:val="00046311"/>
    <w:rsid w:val="0004675A"/>
    <w:rsid w:val="00046F44"/>
    <w:rsid w:val="000473F4"/>
    <w:rsid w:val="00047427"/>
    <w:rsid w:val="00047A71"/>
    <w:rsid w:val="00047EA0"/>
    <w:rsid w:val="00047F32"/>
    <w:rsid w:val="00050565"/>
    <w:rsid w:val="0005067C"/>
    <w:rsid w:val="00050713"/>
    <w:rsid w:val="000509F9"/>
    <w:rsid w:val="00050CDB"/>
    <w:rsid w:val="00050F0B"/>
    <w:rsid w:val="00051008"/>
    <w:rsid w:val="000515D7"/>
    <w:rsid w:val="00051BFC"/>
    <w:rsid w:val="00051D5C"/>
    <w:rsid w:val="00051D77"/>
    <w:rsid w:val="000520ED"/>
    <w:rsid w:val="00052454"/>
    <w:rsid w:val="0005252A"/>
    <w:rsid w:val="000528CB"/>
    <w:rsid w:val="0005303D"/>
    <w:rsid w:val="0005309A"/>
    <w:rsid w:val="000531C8"/>
    <w:rsid w:val="00053C58"/>
    <w:rsid w:val="00053CC3"/>
    <w:rsid w:val="00054A64"/>
    <w:rsid w:val="00054A80"/>
    <w:rsid w:val="000554CE"/>
    <w:rsid w:val="00055552"/>
    <w:rsid w:val="0005578D"/>
    <w:rsid w:val="00055A62"/>
    <w:rsid w:val="00056024"/>
    <w:rsid w:val="0005617C"/>
    <w:rsid w:val="00056E2D"/>
    <w:rsid w:val="00057256"/>
    <w:rsid w:val="000574CC"/>
    <w:rsid w:val="000574DD"/>
    <w:rsid w:val="000575AC"/>
    <w:rsid w:val="00057EB4"/>
    <w:rsid w:val="000604AD"/>
    <w:rsid w:val="00060778"/>
    <w:rsid w:val="00060B9F"/>
    <w:rsid w:val="00060C6C"/>
    <w:rsid w:val="000610DD"/>
    <w:rsid w:val="000613EB"/>
    <w:rsid w:val="0006141F"/>
    <w:rsid w:val="000616D1"/>
    <w:rsid w:val="000618F1"/>
    <w:rsid w:val="00061C8C"/>
    <w:rsid w:val="00062627"/>
    <w:rsid w:val="00062937"/>
    <w:rsid w:val="00062A3D"/>
    <w:rsid w:val="00062BF2"/>
    <w:rsid w:val="000634B5"/>
    <w:rsid w:val="000636FD"/>
    <w:rsid w:val="00063861"/>
    <w:rsid w:val="00063992"/>
    <w:rsid w:val="00063A51"/>
    <w:rsid w:val="00063A7B"/>
    <w:rsid w:val="00063BA8"/>
    <w:rsid w:val="00064148"/>
    <w:rsid w:val="000645D3"/>
    <w:rsid w:val="00064813"/>
    <w:rsid w:val="00065487"/>
    <w:rsid w:val="000657AB"/>
    <w:rsid w:val="000659E2"/>
    <w:rsid w:val="00065A3B"/>
    <w:rsid w:val="00065DAA"/>
    <w:rsid w:val="0006651D"/>
    <w:rsid w:val="00066A4B"/>
    <w:rsid w:val="00066BD0"/>
    <w:rsid w:val="00066D49"/>
    <w:rsid w:val="0006707D"/>
    <w:rsid w:val="000672C6"/>
    <w:rsid w:val="0006781C"/>
    <w:rsid w:val="00067A55"/>
    <w:rsid w:val="00067B0C"/>
    <w:rsid w:val="00067BE0"/>
    <w:rsid w:val="00067BF8"/>
    <w:rsid w:val="00067EEC"/>
    <w:rsid w:val="00067F0A"/>
    <w:rsid w:val="0007066E"/>
    <w:rsid w:val="00070773"/>
    <w:rsid w:val="0007095A"/>
    <w:rsid w:val="00070965"/>
    <w:rsid w:val="00070B05"/>
    <w:rsid w:val="00070CB6"/>
    <w:rsid w:val="00070CFF"/>
    <w:rsid w:val="0007166A"/>
    <w:rsid w:val="000719AA"/>
    <w:rsid w:val="00071CEE"/>
    <w:rsid w:val="00071FC0"/>
    <w:rsid w:val="00072080"/>
    <w:rsid w:val="0007232D"/>
    <w:rsid w:val="0007247D"/>
    <w:rsid w:val="000729AF"/>
    <w:rsid w:val="00072D9B"/>
    <w:rsid w:val="00072DE3"/>
    <w:rsid w:val="00072E7B"/>
    <w:rsid w:val="000735E7"/>
    <w:rsid w:val="00073866"/>
    <w:rsid w:val="00073EF4"/>
    <w:rsid w:val="00073FC4"/>
    <w:rsid w:val="00074537"/>
    <w:rsid w:val="0007469C"/>
    <w:rsid w:val="00074ABB"/>
    <w:rsid w:val="00074D15"/>
    <w:rsid w:val="00074EF6"/>
    <w:rsid w:val="000751D5"/>
    <w:rsid w:val="00075748"/>
    <w:rsid w:val="000759A7"/>
    <w:rsid w:val="00075B1E"/>
    <w:rsid w:val="00075B87"/>
    <w:rsid w:val="00075CD3"/>
    <w:rsid w:val="00075D4A"/>
    <w:rsid w:val="00075D60"/>
    <w:rsid w:val="00075E0B"/>
    <w:rsid w:val="00075E78"/>
    <w:rsid w:val="000764DD"/>
    <w:rsid w:val="00076519"/>
    <w:rsid w:val="00076662"/>
    <w:rsid w:val="00076B5B"/>
    <w:rsid w:val="00076CEC"/>
    <w:rsid w:val="000770EF"/>
    <w:rsid w:val="0007788B"/>
    <w:rsid w:val="00077919"/>
    <w:rsid w:val="00077A7F"/>
    <w:rsid w:val="00077BDB"/>
    <w:rsid w:val="00077D57"/>
    <w:rsid w:val="00080082"/>
    <w:rsid w:val="00080565"/>
    <w:rsid w:val="000809F5"/>
    <w:rsid w:val="00080B70"/>
    <w:rsid w:val="00080F93"/>
    <w:rsid w:val="00080FB2"/>
    <w:rsid w:val="0008117C"/>
    <w:rsid w:val="00081267"/>
    <w:rsid w:val="00081492"/>
    <w:rsid w:val="000823F2"/>
    <w:rsid w:val="0008257E"/>
    <w:rsid w:val="00082701"/>
    <w:rsid w:val="0008272E"/>
    <w:rsid w:val="00082CAC"/>
    <w:rsid w:val="00082EEC"/>
    <w:rsid w:val="00082F2B"/>
    <w:rsid w:val="00083038"/>
    <w:rsid w:val="00083241"/>
    <w:rsid w:val="000838F2"/>
    <w:rsid w:val="00083DB1"/>
    <w:rsid w:val="00084244"/>
    <w:rsid w:val="0008438B"/>
    <w:rsid w:val="000843B4"/>
    <w:rsid w:val="0008447A"/>
    <w:rsid w:val="00084714"/>
    <w:rsid w:val="00084998"/>
    <w:rsid w:val="00084E5E"/>
    <w:rsid w:val="00085767"/>
    <w:rsid w:val="00085B6D"/>
    <w:rsid w:val="00085D3D"/>
    <w:rsid w:val="00086400"/>
    <w:rsid w:val="00086477"/>
    <w:rsid w:val="0008678B"/>
    <w:rsid w:val="00086C5B"/>
    <w:rsid w:val="00087019"/>
    <w:rsid w:val="00087157"/>
    <w:rsid w:val="0008765C"/>
    <w:rsid w:val="00087AA2"/>
    <w:rsid w:val="00087CE5"/>
    <w:rsid w:val="00087DBC"/>
    <w:rsid w:val="0009026C"/>
    <w:rsid w:val="000904BC"/>
    <w:rsid w:val="000906FE"/>
    <w:rsid w:val="0009083D"/>
    <w:rsid w:val="00090B2F"/>
    <w:rsid w:val="00090C31"/>
    <w:rsid w:val="00090CB5"/>
    <w:rsid w:val="00090D68"/>
    <w:rsid w:val="0009129D"/>
    <w:rsid w:val="000913B9"/>
    <w:rsid w:val="00091981"/>
    <w:rsid w:val="00091C6D"/>
    <w:rsid w:val="00091C7A"/>
    <w:rsid w:val="00091E67"/>
    <w:rsid w:val="00091ED4"/>
    <w:rsid w:val="00091F73"/>
    <w:rsid w:val="00091FBD"/>
    <w:rsid w:val="00092076"/>
    <w:rsid w:val="00092088"/>
    <w:rsid w:val="000922A4"/>
    <w:rsid w:val="00092333"/>
    <w:rsid w:val="00092C13"/>
    <w:rsid w:val="00092EA2"/>
    <w:rsid w:val="000930BA"/>
    <w:rsid w:val="0009327D"/>
    <w:rsid w:val="0009334A"/>
    <w:rsid w:val="00093AB0"/>
    <w:rsid w:val="00093DB2"/>
    <w:rsid w:val="00094517"/>
    <w:rsid w:val="00094652"/>
    <w:rsid w:val="000946F8"/>
    <w:rsid w:val="00094887"/>
    <w:rsid w:val="000948B2"/>
    <w:rsid w:val="00094C04"/>
    <w:rsid w:val="000954EC"/>
    <w:rsid w:val="00095774"/>
    <w:rsid w:val="000957B3"/>
    <w:rsid w:val="000957C3"/>
    <w:rsid w:val="00095B03"/>
    <w:rsid w:val="00095BF8"/>
    <w:rsid w:val="00095E93"/>
    <w:rsid w:val="0009618E"/>
    <w:rsid w:val="0009636C"/>
    <w:rsid w:val="00096438"/>
    <w:rsid w:val="00096B5F"/>
    <w:rsid w:val="00097117"/>
    <w:rsid w:val="00097178"/>
    <w:rsid w:val="000971A5"/>
    <w:rsid w:val="00097A5A"/>
    <w:rsid w:val="000A0157"/>
    <w:rsid w:val="000A01E2"/>
    <w:rsid w:val="000A043A"/>
    <w:rsid w:val="000A04CC"/>
    <w:rsid w:val="000A06F1"/>
    <w:rsid w:val="000A0740"/>
    <w:rsid w:val="000A0772"/>
    <w:rsid w:val="000A07D4"/>
    <w:rsid w:val="000A0853"/>
    <w:rsid w:val="000A0924"/>
    <w:rsid w:val="000A0B0F"/>
    <w:rsid w:val="000A0D39"/>
    <w:rsid w:val="000A0E17"/>
    <w:rsid w:val="000A0ECF"/>
    <w:rsid w:val="000A0FCD"/>
    <w:rsid w:val="000A10AE"/>
    <w:rsid w:val="000A1263"/>
    <w:rsid w:val="000A13C1"/>
    <w:rsid w:val="000A1A10"/>
    <w:rsid w:val="000A1F74"/>
    <w:rsid w:val="000A25A3"/>
    <w:rsid w:val="000A274D"/>
    <w:rsid w:val="000A2A5F"/>
    <w:rsid w:val="000A3095"/>
    <w:rsid w:val="000A3203"/>
    <w:rsid w:val="000A34AC"/>
    <w:rsid w:val="000A3BDC"/>
    <w:rsid w:val="000A3E5B"/>
    <w:rsid w:val="000A43C4"/>
    <w:rsid w:val="000A4AE5"/>
    <w:rsid w:val="000A4DD8"/>
    <w:rsid w:val="000A513C"/>
    <w:rsid w:val="000A5285"/>
    <w:rsid w:val="000A5527"/>
    <w:rsid w:val="000A55E9"/>
    <w:rsid w:val="000A56AA"/>
    <w:rsid w:val="000A6056"/>
    <w:rsid w:val="000A64D2"/>
    <w:rsid w:val="000A64DF"/>
    <w:rsid w:val="000A65C4"/>
    <w:rsid w:val="000A6675"/>
    <w:rsid w:val="000A6AD7"/>
    <w:rsid w:val="000A70C5"/>
    <w:rsid w:val="000A72C4"/>
    <w:rsid w:val="000A7DAB"/>
    <w:rsid w:val="000A7EA0"/>
    <w:rsid w:val="000B010B"/>
    <w:rsid w:val="000B02C8"/>
    <w:rsid w:val="000B04AA"/>
    <w:rsid w:val="000B062D"/>
    <w:rsid w:val="000B066F"/>
    <w:rsid w:val="000B07C0"/>
    <w:rsid w:val="000B0C6E"/>
    <w:rsid w:val="000B0ED4"/>
    <w:rsid w:val="000B0FBB"/>
    <w:rsid w:val="000B1104"/>
    <w:rsid w:val="000B1423"/>
    <w:rsid w:val="000B1783"/>
    <w:rsid w:val="000B21FB"/>
    <w:rsid w:val="000B22A0"/>
    <w:rsid w:val="000B239F"/>
    <w:rsid w:val="000B25EB"/>
    <w:rsid w:val="000B2770"/>
    <w:rsid w:val="000B36D8"/>
    <w:rsid w:val="000B38FF"/>
    <w:rsid w:val="000B4222"/>
    <w:rsid w:val="000B4674"/>
    <w:rsid w:val="000B4718"/>
    <w:rsid w:val="000B497E"/>
    <w:rsid w:val="000B4F23"/>
    <w:rsid w:val="000B51BB"/>
    <w:rsid w:val="000B5385"/>
    <w:rsid w:val="000B59CB"/>
    <w:rsid w:val="000B5AC1"/>
    <w:rsid w:val="000B5B6D"/>
    <w:rsid w:val="000B6301"/>
    <w:rsid w:val="000B6480"/>
    <w:rsid w:val="000B65EE"/>
    <w:rsid w:val="000B6910"/>
    <w:rsid w:val="000B6A5F"/>
    <w:rsid w:val="000B6A9C"/>
    <w:rsid w:val="000B6D80"/>
    <w:rsid w:val="000B6E1A"/>
    <w:rsid w:val="000B6F9A"/>
    <w:rsid w:val="000B748B"/>
    <w:rsid w:val="000B74D9"/>
    <w:rsid w:val="000C02EC"/>
    <w:rsid w:val="000C036C"/>
    <w:rsid w:val="000C043A"/>
    <w:rsid w:val="000C043D"/>
    <w:rsid w:val="000C086F"/>
    <w:rsid w:val="000C113E"/>
    <w:rsid w:val="000C115E"/>
    <w:rsid w:val="000C1D74"/>
    <w:rsid w:val="000C2256"/>
    <w:rsid w:val="000C22C5"/>
    <w:rsid w:val="000C23DB"/>
    <w:rsid w:val="000C2492"/>
    <w:rsid w:val="000C254D"/>
    <w:rsid w:val="000C269E"/>
    <w:rsid w:val="000C273B"/>
    <w:rsid w:val="000C2867"/>
    <w:rsid w:val="000C2D7C"/>
    <w:rsid w:val="000C2DBB"/>
    <w:rsid w:val="000C329E"/>
    <w:rsid w:val="000C3365"/>
    <w:rsid w:val="000C3390"/>
    <w:rsid w:val="000C341E"/>
    <w:rsid w:val="000C34DC"/>
    <w:rsid w:val="000C3827"/>
    <w:rsid w:val="000C3BCA"/>
    <w:rsid w:val="000C4032"/>
    <w:rsid w:val="000C4237"/>
    <w:rsid w:val="000C440C"/>
    <w:rsid w:val="000C4598"/>
    <w:rsid w:val="000C46FD"/>
    <w:rsid w:val="000C4A68"/>
    <w:rsid w:val="000C4A8D"/>
    <w:rsid w:val="000C4AFB"/>
    <w:rsid w:val="000C4DF5"/>
    <w:rsid w:val="000C56EC"/>
    <w:rsid w:val="000C5C01"/>
    <w:rsid w:val="000C620E"/>
    <w:rsid w:val="000C66FC"/>
    <w:rsid w:val="000C6BC1"/>
    <w:rsid w:val="000C6DC4"/>
    <w:rsid w:val="000C70EC"/>
    <w:rsid w:val="000C782D"/>
    <w:rsid w:val="000C7BB4"/>
    <w:rsid w:val="000C7F9B"/>
    <w:rsid w:val="000D01C4"/>
    <w:rsid w:val="000D01DB"/>
    <w:rsid w:val="000D02C6"/>
    <w:rsid w:val="000D038D"/>
    <w:rsid w:val="000D0471"/>
    <w:rsid w:val="000D04B1"/>
    <w:rsid w:val="000D04D7"/>
    <w:rsid w:val="000D04F8"/>
    <w:rsid w:val="000D057E"/>
    <w:rsid w:val="000D074C"/>
    <w:rsid w:val="000D0758"/>
    <w:rsid w:val="000D0BFF"/>
    <w:rsid w:val="000D0D65"/>
    <w:rsid w:val="000D0DDA"/>
    <w:rsid w:val="000D0F79"/>
    <w:rsid w:val="000D0FA2"/>
    <w:rsid w:val="000D1BA1"/>
    <w:rsid w:val="000D1C49"/>
    <w:rsid w:val="000D1CCC"/>
    <w:rsid w:val="000D1DA0"/>
    <w:rsid w:val="000D2687"/>
    <w:rsid w:val="000D2B3D"/>
    <w:rsid w:val="000D2CC5"/>
    <w:rsid w:val="000D2E93"/>
    <w:rsid w:val="000D319F"/>
    <w:rsid w:val="000D36F9"/>
    <w:rsid w:val="000D3881"/>
    <w:rsid w:val="000D3B11"/>
    <w:rsid w:val="000D3CAE"/>
    <w:rsid w:val="000D487A"/>
    <w:rsid w:val="000D4AC1"/>
    <w:rsid w:val="000D4EC1"/>
    <w:rsid w:val="000D5000"/>
    <w:rsid w:val="000D5967"/>
    <w:rsid w:val="000D5CE1"/>
    <w:rsid w:val="000D61C9"/>
    <w:rsid w:val="000D623E"/>
    <w:rsid w:val="000D6417"/>
    <w:rsid w:val="000D6482"/>
    <w:rsid w:val="000D66AF"/>
    <w:rsid w:val="000D693A"/>
    <w:rsid w:val="000D6BA6"/>
    <w:rsid w:val="000D6BEC"/>
    <w:rsid w:val="000D719B"/>
    <w:rsid w:val="000D7227"/>
    <w:rsid w:val="000D73BF"/>
    <w:rsid w:val="000D73C9"/>
    <w:rsid w:val="000D7514"/>
    <w:rsid w:val="000D752F"/>
    <w:rsid w:val="000D7797"/>
    <w:rsid w:val="000D7861"/>
    <w:rsid w:val="000D7AF3"/>
    <w:rsid w:val="000D7F5B"/>
    <w:rsid w:val="000E0068"/>
    <w:rsid w:val="000E05F7"/>
    <w:rsid w:val="000E0B88"/>
    <w:rsid w:val="000E1547"/>
    <w:rsid w:val="000E1777"/>
    <w:rsid w:val="000E18A0"/>
    <w:rsid w:val="000E1FD7"/>
    <w:rsid w:val="000E1FF9"/>
    <w:rsid w:val="000E254E"/>
    <w:rsid w:val="000E2AF0"/>
    <w:rsid w:val="000E2BFA"/>
    <w:rsid w:val="000E2E35"/>
    <w:rsid w:val="000E2F22"/>
    <w:rsid w:val="000E2F7C"/>
    <w:rsid w:val="000E3051"/>
    <w:rsid w:val="000E3433"/>
    <w:rsid w:val="000E350B"/>
    <w:rsid w:val="000E35EE"/>
    <w:rsid w:val="000E3686"/>
    <w:rsid w:val="000E38AA"/>
    <w:rsid w:val="000E38D7"/>
    <w:rsid w:val="000E3C36"/>
    <w:rsid w:val="000E3CA7"/>
    <w:rsid w:val="000E3F3B"/>
    <w:rsid w:val="000E46CA"/>
    <w:rsid w:val="000E4946"/>
    <w:rsid w:val="000E49D9"/>
    <w:rsid w:val="000E4D36"/>
    <w:rsid w:val="000E5431"/>
    <w:rsid w:val="000E57A7"/>
    <w:rsid w:val="000E5B97"/>
    <w:rsid w:val="000E5E6B"/>
    <w:rsid w:val="000E60F1"/>
    <w:rsid w:val="000E618B"/>
    <w:rsid w:val="000E6AF0"/>
    <w:rsid w:val="000E6D73"/>
    <w:rsid w:val="000E734D"/>
    <w:rsid w:val="000E7420"/>
    <w:rsid w:val="000E7439"/>
    <w:rsid w:val="000E79F7"/>
    <w:rsid w:val="000E7E4A"/>
    <w:rsid w:val="000E7F29"/>
    <w:rsid w:val="000F01C4"/>
    <w:rsid w:val="000F040F"/>
    <w:rsid w:val="000F074A"/>
    <w:rsid w:val="000F0977"/>
    <w:rsid w:val="000F0AB0"/>
    <w:rsid w:val="000F0BC8"/>
    <w:rsid w:val="000F0BD7"/>
    <w:rsid w:val="000F1017"/>
    <w:rsid w:val="000F13B9"/>
    <w:rsid w:val="000F169B"/>
    <w:rsid w:val="000F1954"/>
    <w:rsid w:val="000F1B2C"/>
    <w:rsid w:val="000F1E52"/>
    <w:rsid w:val="000F26D5"/>
    <w:rsid w:val="000F2906"/>
    <w:rsid w:val="000F29D6"/>
    <w:rsid w:val="000F2AE7"/>
    <w:rsid w:val="000F2BEC"/>
    <w:rsid w:val="000F2C51"/>
    <w:rsid w:val="000F2E22"/>
    <w:rsid w:val="000F2FCE"/>
    <w:rsid w:val="000F3362"/>
    <w:rsid w:val="000F3461"/>
    <w:rsid w:val="000F35D9"/>
    <w:rsid w:val="000F3722"/>
    <w:rsid w:val="000F381D"/>
    <w:rsid w:val="000F39C2"/>
    <w:rsid w:val="000F3B8E"/>
    <w:rsid w:val="000F3C95"/>
    <w:rsid w:val="000F4037"/>
    <w:rsid w:val="000F436A"/>
    <w:rsid w:val="000F47F5"/>
    <w:rsid w:val="000F4BAE"/>
    <w:rsid w:val="000F4D26"/>
    <w:rsid w:val="000F4DC0"/>
    <w:rsid w:val="000F4E9A"/>
    <w:rsid w:val="000F5012"/>
    <w:rsid w:val="000F515F"/>
    <w:rsid w:val="000F5263"/>
    <w:rsid w:val="000F5631"/>
    <w:rsid w:val="000F59FB"/>
    <w:rsid w:val="000F5E55"/>
    <w:rsid w:val="000F5FFD"/>
    <w:rsid w:val="000F6093"/>
    <w:rsid w:val="000F6566"/>
    <w:rsid w:val="000F661E"/>
    <w:rsid w:val="000F66F3"/>
    <w:rsid w:val="000F693A"/>
    <w:rsid w:val="000F696C"/>
    <w:rsid w:val="000F6F75"/>
    <w:rsid w:val="000F707F"/>
    <w:rsid w:val="000F72AB"/>
    <w:rsid w:val="000F72E2"/>
    <w:rsid w:val="000F7466"/>
    <w:rsid w:val="000F769F"/>
    <w:rsid w:val="000F7BB5"/>
    <w:rsid w:val="000F7BCE"/>
    <w:rsid w:val="000F7C2D"/>
    <w:rsid w:val="0010018C"/>
    <w:rsid w:val="001003A3"/>
    <w:rsid w:val="00101154"/>
    <w:rsid w:val="00101215"/>
    <w:rsid w:val="00101600"/>
    <w:rsid w:val="00101A91"/>
    <w:rsid w:val="00101E69"/>
    <w:rsid w:val="00101FF8"/>
    <w:rsid w:val="0010201C"/>
    <w:rsid w:val="001023F4"/>
    <w:rsid w:val="0010263E"/>
    <w:rsid w:val="001026E6"/>
    <w:rsid w:val="00102D4B"/>
    <w:rsid w:val="00102D94"/>
    <w:rsid w:val="00102FDA"/>
    <w:rsid w:val="00102FEF"/>
    <w:rsid w:val="00103C12"/>
    <w:rsid w:val="00103CC6"/>
    <w:rsid w:val="001042E1"/>
    <w:rsid w:val="0010455D"/>
    <w:rsid w:val="00104B69"/>
    <w:rsid w:val="00104BEC"/>
    <w:rsid w:val="00104C22"/>
    <w:rsid w:val="00104F13"/>
    <w:rsid w:val="0010532E"/>
    <w:rsid w:val="00105C15"/>
    <w:rsid w:val="00105D14"/>
    <w:rsid w:val="00105FBE"/>
    <w:rsid w:val="00106044"/>
    <w:rsid w:val="00106BF0"/>
    <w:rsid w:val="001071C2"/>
    <w:rsid w:val="00107749"/>
    <w:rsid w:val="00107C8F"/>
    <w:rsid w:val="00107FAE"/>
    <w:rsid w:val="0011038E"/>
    <w:rsid w:val="0011045B"/>
    <w:rsid w:val="00110623"/>
    <w:rsid w:val="00110760"/>
    <w:rsid w:val="0011087C"/>
    <w:rsid w:val="0011132C"/>
    <w:rsid w:val="001113A2"/>
    <w:rsid w:val="001114CB"/>
    <w:rsid w:val="001115C7"/>
    <w:rsid w:val="00111941"/>
    <w:rsid w:val="0011235E"/>
    <w:rsid w:val="001129F9"/>
    <w:rsid w:val="00112A56"/>
    <w:rsid w:val="00112CC9"/>
    <w:rsid w:val="00112EDB"/>
    <w:rsid w:val="00112FC9"/>
    <w:rsid w:val="00113496"/>
    <w:rsid w:val="0011371C"/>
    <w:rsid w:val="0011396D"/>
    <w:rsid w:val="00113A48"/>
    <w:rsid w:val="00113C50"/>
    <w:rsid w:val="00113D4F"/>
    <w:rsid w:val="00113EE7"/>
    <w:rsid w:val="00113F0D"/>
    <w:rsid w:val="0011429D"/>
    <w:rsid w:val="00114377"/>
    <w:rsid w:val="00114477"/>
    <w:rsid w:val="001144BB"/>
    <w:rsid w:val="0011479D"/>
    <w:rsid w:val="0011480F"/>
    <w:rsid w:val="00114B54"/>
    <w:rsid w:val="0011501B"/>
    <w:rsid w:val="00115356"/>
    <w:rsid w:val="001153CE"/>
    <w:rsid w:val="0011563F"/>
    <w:rsid w:val="00115651"/>
    <w:rsid w:val="001156B1"/>
    <w:rsid w:val="0011585A"/>
    <w:rsid w:val="001158AF"/>
    <w:rsid w:val="00115C75"/>
    <w:rsid w:val="00116264"/>
    <w:rsid w:val="00116413"/>
    <w:rsid w:val="001165A7"/>
    <w:rsid w:val="001165BF"/>
    <w:rsid w:val="00116668"/>
    <w:rsid w:val="001167C6"/>
    <w:rsid w:val="001169AD"/>
    <w:rsid w:val="00116B12"/>
    <w:rsid w:val="00117007"/>
    <w:rsid w:val="001176AC"/>
    <w:rsid w:val="001177D2"/>
    <w:rsid w:val="00117809"/>
    <w:rsid w:val="00117BD4"/>
    <w:rsid w:val="00120092"/>
    <w:rsid w:val="001201B6"/>
    <w:rsid w:val="001203F8"/>
    <w:rsid w:val="0012041B"/>
    <w:rsid w:val="00120D59"/>
    <w:rsid w:val="001210D9"/>
    <w:rsid w:val="001215D0"/>
    <w:rsid w:val="001218C4"/>
    <w:rsid w:val="0012229B"/>
    <w:rsid w:val="0012246B"/>
    <w:rsid w:val="001228AC"/>
    <w:rsid w:val="00122C00"/>
    <w:rsid w:val="00122C5F"/>
    <w:rsid w:val="001230A0"/>
    <w:rsid w:val="00123111"/>
    <w:rsid w:val="0012339E"/>
    <w:rsid w:val="00123633"/>
    <w:rsid w:val="00123854"/>
    <w:rsid w:val="00123975"/>
    <w:rsid w:val="001242E9"/>
    <w:rsid w:val="001244A1"/>
    <w:rsid w:val="001244D8"/>
    <w:rsid w:val="00124782"/>
    <w:rsid w:val="0012486F"/>
    <w:rsid w:val="00124A95"/>
    <w:rsid w:val="00124B58"/>
    <w:rsid w:val="00124BC5"/>
    <w:rsid w:val="00124DB6"/>
    <w:rsid w:val="0012511D"/>
    <w:rsid w:val="0012516B"/>
    <w:rsid w:val="001252B3"/>
    <w:rsid w:val="00125361"/>
    <w:rsid w:val="00125646"/>
    <w:rsid w:val="00125676"/>
    <w:rsid w:val="001256FA"/>
    <w:rsid w:val="00125835"/>
    <w:rsid w:val="00125C83"/>
    <w:rsid w:val="001263D6"/>
    <w:rsid w:val="0012652C"/>
    <w:rsid w:val="001267C9"/>
    <w:rsid w:val="001268C6"/>
    <w:rsid w:val="00126943"/>
    <w:rsid w:val="00126DC7"/>
    <w:rsid w:val="0012727F"/>
    <w:rsid w:val="00127337"/>
    <w:rsid w:val="001274AA"/>
    <w:rsid w:val="0012758A"/>
    <w:rsid w:val="001278BC"/>
    <w:rsid w:val="001301F5"/>
    <w:rsid w:val="001302AB"/>
    <w:rsid w:val="0013044E"/>
    <w:rsid w:val="00130471"/>
    <w:rsid w:val="00130735"/>
    <w:rsid w:val="00130B14"/>
    <w:rsid w:val="00130B3A"/>
    <w:rsid w:val="001310B8"/>
    <w:rsid w:val="00131340"/>
    <w:rsid w:val="0013134A"/>
    <w:rsid w:val="001314BD"/>
    <w:rsid w:val="0013197A"/>
    <w:rsid w:val="001320DB"/>
    <w:rsid w:val="00132292"/>
    <w:rsid w:val="0013232C"/>
    <w:rsid w:val="00132534"/>
    <w:rsid w:val="00132ECF"/>
    <w:rsid w:val="00133461"/>
    <w:rsid w:val="001335DE"/>
    <w:rsid w:val="00133A74"/>
    <w:rsid w:val="00133CEB"/>
    <w:rsid w:val="00133DA1"/>
    <w:rsid w:val="00133E19"/>
    <w:rsid w:val="00133EF1"/>
    <w:rsid w:val="00133FBF"/>
    <w:rsid w:val="00134222"/>
    <w:rsid w:val="0013459E"/>
    <w:rsid w:val="00134751"/>
    <w:rsid w:val="00134985"/>
    <w:rsid w:val="00134FCB"/>
    <w:rsid w:val="001359FC"/>
    <w:rsid w:val="00135A21"/>
    <w:rsid w:val="0013609B"/>
    <w:rsid w:val="001369F7"/>
    <w:rsid w:val="00136DBE"/>
    <w:rsid w:val="00137252"/>
    <w:rsid w:val="00137749"/>
    <w:rsid w:val="001377FA"/>
    <w:rsid w:val="001378AA"/>
    <w:rsid w:val="00137A24"/>
    <w:rsid w:val="00137E68"/>
    <w:rsid w:val="001403D3"/>
    <w:rsid w:val="001405A7"/>
    <w:rsid w:val="001406CA"/>
    <w:rsid w:val="00140936"/>
    <w:rsid w:val="00140D25"/>
    <w:rsid w:val="00140D67"/>
    <w:rsid w:val="00140DEF"/>
    <w:rsid w:val="00140E76"/>
    <w:rsid w:val="001417FF"/>
    <w:rsid w:val="00141B22"/>
    <w:rsid w:val="00141B69"/>
    <w:rsid w:val="00141CA2"/>
    <w:rsid w:val="00141FDF"/>
    <w:rsid w:val="00141FEF"/>
    <w:rsid w:val="00142793"/>
    <w:rsid w:val="001428B5"/>
    <w:rsid w:val="00142974"/>
    <w:rsid w:val="00142CD1"/>
    <w:rsid w:val="00142F00"/>
    <w:rsid w:val="00143CEF"/>
    <w:rsid w:val="00143E16"/>
    <w:rsid w:val="00143F07"/>
    <w:rsid w:val="0014423E"/>
    <w:rsid w:val="00144478"/>
    <w:rsid w:val="00144787"/>
    <w:rsid w:val="00145126"/>
    <w:rsid w:val="0014562B"/>
    <w:rsid w:val="00145F74"/>
    <w:rsid w:val="0014604E"/>
    <w:rsid w:val="001461B3"/>
    <w:rsid w:val="00146947"/>
    <w:rsid w:val="001470C2"/>
    <w:rsid w:val="00147141"/>
    <w:rsid w:val="0014722D"/>
    <w:rsid w:val="00147330"/>
    <w:rsid w:val="0014741A"/>
    <w:rsid w:val="0014761F"/>
    <w:rsid w:val="00147B60"/>
    <w:rsid w:val="00147EB3"/>
    <w:rsid w:val="001505A6"/>
    <w:rsid w:val="00150746"/>
    <w:rsid w:val="00150CC8"/>
    <w:rsid w:val="00151148"/>
    <w:rsid w:val="00151331"/>
    <w:rsid w:val="00151363"/>
    <w:rsid w:val="001513CA"/>
    <w:rsid w:val="00151BF0"/>
    <w:rsid w:val="00151F08"/>
    <w:rsid w:val="00151FFD"/>
    <w:rsid w:val="0015262D"/>
    <w:rsid w:val="00152BCF"/>
    <w:rsid w:val="00152DC6"/>
    <w:rsid w:val="00152E41"/>
    <w:rsid w:val="001530ED"/>
    <w:rsid w:val="00153470"/>
    <w:rsid w:val="00153596"/>
    <w:rsid w:val="001536B2"/>
    <w:rsid w:val="001538EE"/>
    <w:rsid w:val="0015405B"/>
    <w:rsid w:val="00154332"/>
    <w:rsid w:val="0015450C"/>
    <w:rsid w:val="00154D2E"/>
    <w:rsid w:val="00155192"/>
    <w:rsid w:val="001557B8"/>
    <w:rsid w:val="001558D8"/>
    <w:rsid w:val="001558EB"/>
    <w:rsid w:val="00155B41"/>
    <w:rsid w:val="00155B79"/>
    <w:rsid w:val="00156344"/>
    <w:rsid w:val="00156406"/>
    <w:rsid w:val="001565D2"/>
    <w:rsid w:val="0015660D"/>
    <w:rsid w:val="0015669A"/>
    <w:rsid w:val="00156BC1"/>
    <w:rsid w:val="00156E57"/>
    <w:rsid w:val="001571C1"/>
    <w:rsid w:val="001573C7"/>
    <w:rsid w:val="001574B6"/>
    <w:rsid w:val="00157D47"/>
    <w:rsid w:val="00157F04"/>
    <w:rsid w:val="00157FE8"/>
    <w:rsid w:val="0016082E"/>
    <w:rsid w:val="00160883"/>
    <w:rsid w:val="00160BD0"/>
    <w:rsid w:val="00160C09"/>
    <w:rsid w:val="00160EA5"/>
    <w:rsid w:val="001610EC"/>
    <w:rsid w:val="00161183"/>
    <w:rsid w:val="00161450"/>
    <w:rsid w:val="00161454"/>
    <w:rsid w:val="0016195D"/>
    <w:rsid w:val="00161A18"/>
    <w:rsid w:val="00161DFE"/>
    <w:rsid w:val="00162508"/>
    <w:rsid w:val="0016271B"/>
    <w:rsid w:val="001629A4"/>
    <w:rsid w:val="00162EBC"/>
    <w:rsid w:val="0016336A"/>
    <w:rsid w:val="00163919"/>
    <w:rsid w:val="00163A5B"/>
    <w:rsid w:val="00163A88"/>
    <w:rsid w:val="00163CCD"/>
    <w:rsid w:val="00163D23"/>
    <w:rsid w:val="00164012"/>
    <w:rsid w:val="001640D2"/>
    <w:rsid w:val="001644C7"/>
    <w:rsid w:val="00164716"/>
    <w:rsid w:val="0016492E"/>
    <w:rsid w:val="00164A05"/>
    <w:rsid w:val="00164FA5"/>
    <w:rsid w:val="001651A8"/>
    <w:rsid w:val="001651B6"/>
    <w:rsid w:val="001657D2"/>
    <w:rsid w:val="00165A03"/>
    <w:rsid w:val="00165A93"/>
    <w:rsid w:val="00165E60"/>
    <w:rsid w:val="00166097"/>
    <w:rsid w:val="0016613C"/>
    <w:rsid w:val="00166DAD"/>
    <w:rsid w:val="00166E6D"/>
    <w:rsid w:val="00166FB5"/>
    <w:rsid w:val="00167022"/>
    <w:rsid w:val="0016718E"/>
    <w:rsid w:val="001671AD"/>
    <w:rsid w:val="001673FB"/>
    <w:rsid w:val="00167617"/>
    <w:rsid w:val="001705A7"/>
    <w:rsid w:val="0017060B"/>
    <w:rsid w:val="00170701"/>
    <w:rsid w:val="00170D5F"/>
    <w:rsid w:val="00171B71"/>
    <w:rsid w:val="00171C7C"/>
    <w:rsid w:val="00171E66"/>
    <w:rsid w:val="00172637"/>
    <w:rsid w:val="001726D4"/>
    <w:rsid w:val="001728B5"/>
    <w:rsid w:val="001730A0"/>
    <w:rsid w:val="001731BC"/>
    <w:rsid w:val="0017336D"/>
    <w:rsid w:val="00173376"/>
    <w:rsid w:val="001733E5"/>
    <w:rsid w:val="00173624"/>
    <w:rsid w:val="00173789"/>
    <w:rsid w:val="001738AE"/>
    <w:rsid w:val="00173F1A"/>
    <w:rsid w:val="00174052"/>
    <w:rsid w:val="001745CE"/>
    <w:rsid w:val="0017484A"/>
    <w:rsid w:val="00174E72"/>
    <w:rsid w:val="00174E84"/>
    <w:rsid w:val="00174F20"/>
    <w:rsid w:val="001750A0"/>
    <w:rsid w:val="00175DCC"/>
    <w:rsid w:val="001762F3"/>
    <w:rsid w:val="00176527"/>
    <w:rsid w:val="001766D2"/>
    <w:rsid w:val="00176776"/>
    <w:rsid w:val="001768FA"/>
    <w:rsid w:val="001769A8"/>
    <w:rsid w:val="00176F1F"/>
    <w:rsid w:val="00177179"/>
    <w:rsid w:val="0017749D"/>
    <w:rsid w:val="0017781A"/>
    <w:rsid w:val="0017788A"/>
    <w:rsid w:val="001778A7"/>
    <w:rsid w:val="0017797C"/>
    <w:rsid w:val="00177F02"/>
    <w:rsid w:val="00180125"/>
    <w:rsid w:val="00180209"/>
    <w:rsid w:val="001803E3"/>
    <w:rsid w:val="001806B5"/>
    <w:rsid w:val="00180E8D"/>
    <w:rsid w:val="00180FF8"/>
    <w:rsid w:val="001811DA"/>
    <w:rsid w:val="001813B0"/>
    <w:rsid w:val="00181618"/>
    <w:rsid w:val="001818D8"/>
    <w:rsid w:val="00181B06"/>
    <w:rsid w:val="0018239D"/>
    <w:rsid w:val="001825B0"/>
    <w:rsid w:val="001827CC"/>
    <w:rsid w:val="001828CB"/>
    <w:rsid w:val="00183096"/>
    <w:rsid w:val="001835D2"/>
    <w:rsid w:val="0018402C"/>
    <w:rsid w:val="0018426D"/>
    <w:rsid w:val="00184457"/>
    <w:rsid w:val="00184490"/>
    <w:rsid w:val="001844C6"/>
    <w:rsid w:val="001845EF"/>
    <w:rsid w:val="001848FF"/>
    <w:rsid w:val="0018491B"/>
    <w:rsid w:val="00184B03"/>
    <w:rsid w:val="00185227"/>
    <w:rsid w:val="00185530"/>
    <w:rsid w:val="001857B2"/>
    <w:rsid w:val="00185BF1"/>
    <w:rsid w:val="00185C73"/>
    <w:rsid w:val="00185FA3"/>
    <w:rsid w:val="0018610C"/>
    <w:rsid w:val="00186186"/>
    <w:rsid w:val="0018625D"/>
    <w:rsid w:val="00186A77"/>
    <w:rsid w:val="00186FB8"/>
    <w:rsid w:val="001874D7"/>
    <w:rsid w:val="0018794E"/>
    <w:rsid w:val="00187B9E"/>
    <w:rsid w:val="00187D36"/>
    <w:rsid w:val="00187DED"/>
    <w:rsid w:val="001900C7"/>
    <w:rsid w:val="001903F5"/>
    <w:rsid w:val="001908B9"/>
    <w:rsid w:val="00190AFE"/>
    <w:rsid w:val="00190B6B"/>
    <w:rsid w:val="00190C59"/>
    <w:rsid w:val="00190EF1"/>
    <w:rsid w:val="001910A2"/>
    <w:rsid w:val="001910B6"/>
    <w:rsid w:val="00191188"/>
    <w:rsid w:val="001911BB"/>
    <w:rsid w:val="001911DB"/>
    <w:rsid w:val="00191308"/>
    <w:rsid w:val="00191706"/>
    <w:rsid w:val="00191D42"/>
    <w:rsid w:val="00191F16"/>
    <w:rsid w:val="00192DC6"/>
    <w:rsid w:val="00192F5C"/>
    <w:rsid w:val="00193049"/>
    <w:rsid w:val="00193396"/>
    <w:rsid w:val="00193868"/>
    <w:rsid w:val="00193C8F"/>
    <w:rsid w:val="00193CB5"/>
    <w:rsid w:val="00194013"/>
    <w:rsid w:val="001942BF"/>
    <w:rsid w:val="001942E7"/>
    <w:rsid w:val="001945C8"/>
    <w:rsid w:val="00194A76"/>
    <w:rsid w:val="00194AAE"/>
    <w:rsid w:val="00194B60"/>
    <w:rsid w:val="00194DBE"/>
    <w:rsid w:val="00195D19"/>
    <w:rsid w:val="00195DF5"/>
    <w:rsid w:val="00195E66"/>
    <w:rsid w:val="00195F0C"/>
    <w:rsid w:val="00195F91"/>
    <w:rsid w:val="00196A24"/>
    <w:rsid w:val="00196E13"/>
    <w:rsid w:val="0019756C"/>
    <w:rsid w:val="001977D3"/>
    <w:rsid w:val="00197D54"/>
    <w:rsid w:val="001A0DEF"/>
    <w:rsid w:val="001A0E97"/>
    <w:rsid w:val="001A0FC3"/>
    <w:rsid w:val="001A11CF"/>
    <w:rsid w:val="001A1B29"/>
    <w:rsid w:val="001A1E8A"/>
    <w:rsid w:val="001A2015"/>
    <w:rsid w:val="001A231C"/>
    <w:rsid w:val="001A26B9"/>
    <w:rsid w:val="001A2B6D"/>
    <w:rsid w:val="001A2FD9"/>
    <w:rsid w:val="001A3291"/>
    <w:rsid w:val="001A3352"/>
    <w:rsid w:val="001A3695"/>
    <w:rsid w:val="001A38D3"/>
    <w:rsid w:val="001A3B2D"/>
    <w:rsid w:val="001A3E5C"/>
    <w:rsid w:val="001A4052"/>
    <w:rsid w:val="001A44AA"/>
    <w:rsid w:val="001A48D9"/>
    <w:rsid w:val="001A49FD"/>
    <w:rsid w:val="001A4A74"/>
    <w:rsid w:val="001A4B23"/>
    <w:rsid w:val="001A4BD3"/>
    <w:rsid w:val="001A4C1E"/>
    <w:rsid w:val="001A4D99"/>
    <w:rsid w:val="001A5480"/>
    <w:rsid w:val="001A55E9"/>
    <w:rsid w:val="001A59BB"/>
    <w:rsid w:val="001A5A0F"/>
    <w:rsid w:val="001A5B24"/>
    <w:rsid w:val="001A5B3F"/>
    <w:rsid w:val="001A5C62"/>
    <w:rsid w:val="001A5E93"/>
    <w:rsid w:val="001A63B0"/>
    <w:rsid w:val="001A6682"/>
    <w:rsid w:val="001A6B09"/>
    <w:rsid w:val="001A7168"/>
    <w:rsid w:val="001A79FB"/>
    <w:rsid w:val="001A7D77"/>
    <w:rsid w:val="001A7FC8"/>
    <w:rsid w:val="001B017B"/>
    <w:rsid w:val="001B0433"/>
    <w:rsid w:val="001B04EE"/>
    <w:rsid w:val="001B0531"/>
    <w:rsid w:val="001B0736"/>
    <w:rsid w:val="001B075F"/>
    <w:rsid w:val="001B08FF"/>
    <w:rsid w:val="001B1441"/>
    <w:rsid w:val="001B1992"/>
    <w:rsid w:val="001B1B2B"/>
    <w:rsid w:val="001B1CD9"/>
    <w:rsid w:val="001B1E42"/>
    <w:rsid w:val="001B204A"/>
    <w:rsid w:val="001B2296"/>
    <w:rsid w:val="001B2370"/>
    <w:rsid w:val="001B23D6"/>
    <w:rsid w:val="001B257A"/>
    <w:rsid w:val="001B29A1"/>
    <w:rsid w:val="001B2AD7"/>
    <w:rsid w:val="001B2C68"/>
    <w:rsid w:val="001B2D49"/>
    <w:rsid w:val="001B2ED0"/>
    <w:rsid w:val="001B32D1"/>
    <w:rsid w:val="001B330C"/>
    <w:rsid w:val="001B332D"/>
    <w:rsid w:val="001B387D"/>
    <w:rsid w:val="001B3DCF"/>
    <w:rsid w:val="001B4437"/>
    <w:rsid w:val="001B45A7"/>
    <w:rsid w:val="001B47D9"/>
    <w:rsid w:val="001B494A"/>
    <w:rsid w:val="001B49C7"/>
    <w:rsid w:val="001B4C3F"/>
    <w:rsid w:val="001B566B"/>
    <w:rsid w:val="001B57E8"/>
    <w:rsid w:val="001B59BB"/>
    <w:rsid w:val="001B6294"/>
    <w:rsid w:val="001B6351"/>
    <w:rsid w:val="001B6537"/>
    <w:rsid w:val="001B657C"/>
    <w:rsid w:val="001B660D"/>
    <w:rsid w:val="001B6CA2"/>
    <w:rsid w:val="001B6D41"/>
    <w:rsid w:val="001B6E7E"/>
    <w:rsid w:val="001B73FE"/>
    <w:rsid w:val="001B754B"/>
    <w:rsid w:val="001B7B97"/>
    <w:rsid w:val="001B7C04"/>
    <w:rsid w:val="001B7E65"/>
    <w:rsid w:val="001B7E7C"/>
    <w:rsid w:val="001B7EB1"/>
    <w:rsid w:val="001C045F"/>
    <w:rsid w:val="001C047F"/>
    <w:rsid w:val="001C096C"/>
    <w:rsid w:val="001C09AC"/>
    <w:rsid w:val="001C0A51"/>
    <w:rsid w:val="001C0B56"/>
    <w:rsid w:val="001C133A"/>
    <w:rsid w:val="001C145F"/>
    <w:rsid w:val="001C158E"/>
    <w:rsid w:val="001C19A8"/>
    <w:rsid w:val="001C1AD5"/>
    <w:rsid w:val="001C1BD4"/>
    <w:rsid w:val="001C2103"/>
    <w:rsid w:val="001C2198"/>
    <w:rsid w:val="001C2489"/>
    <w:rsid w:val="001C2510"/>
    <w:rsid w:val="001C2788"/>
    <w:rsid w:val="001C2A85"/>
    <w:rsid w:val="001C2CCA"/>
    <w:rsid w:val="001C2DEB"/>
    <w:rsid w:val="001C31C0"/>
    <w:rsid w:val="001C35A4"/>
    <w:rsid w:val="001C35C1"/>
    <w:rsid w:val="001C3788"/>
    <w:rsid w:val="001C3FAD"/>
    <w:rsid w:val="001C40E3"/>
    <w:rsid w:val="001C45FE"/>
    <w:rsid w:val="001C4657"/>
    <w:rsid w:val="001C4B72"/>
    <w:rsid w:val="001C4C72"/>
    <w:rsid w:val="001C5162"/>
    <w:rsid w:val="001C5290"/>
    <w:rsid w:val="001C52ED"/>
    <w:rsid w:val="001C5324"/>
    <w:rsid w:val="001C53FE"/>
    <w:rsid w:val="001C5B89"/>
    <w:rsid w:val="001C5D97"/>
    <w:rsid w:val="001C5E6E"/>
    <w:rsid w:val="001C5FAB"/>
    <w:rsid w:val="001C69DC"/>
    <w:rsid w:val="001C7069"/>
    <w:rsid w:val="001C7181"/>
    <w:rsid w:val="001C71FB"/>
    <w:rsid w:val="001C7211"/>
    <w:rsid w:val="001C72A9"/>
    <w:rsid w:val="001C7348"/>
    <w:rsid w:val="001C73A0"/>
    <w:rsid w:val="001C74E9"/>
    <w:rsid w:val="001C78A3"/>
    <w:rsid w:val="001C7C43"/>
    <w:rsid w:val="001C7FCC"/>
    <w:rsid w:val="001D01A0"/>
    <w:rsid w:val="001D064C"/>
    <w:rsid w:val="001D0889"/>
    <w:rsid w:val="001D088D"/>
    <w:rsid w:val="001D0CE0"/>
    <w:rsid w:val="001D11E7"/>
    <w:rsid w:val="001D134B"/>
    <w:rsid w:val="001D15F7"/>
    <w:rsid w:val="001D1B98"/>
    <w:rsid w:val="001D1D31"/>
    <w:rsid w:val="001D223D"/>
    <w:rsid w:val="001D22F1"/>
    <w:rsid w:val="001D2926"/>
    <w:rsid w:val="001D292A"/>
    <w:rsid w:val="001D2A5D"/>
    <w:rsid w:val="001D2D53"/>
    <w:rsid w:val="001D2E03"/>
    <w:rsid w:val="001D2EE3"/>
    <w:rsid w:val="001D34EA"/>
    <w:rsid w:val="001D3719"/>
    <w:rsid w:val="001D39F8"/>
    <w:rsid w:val="001D3B02"/>
    <w:rsid w:val="001D46AE"/>
    <w:rsid w:val="001D47F4"/>
    <w:rsid w:val="001D4AC5"/>
    <w:rsid w:val="001D5374"/>
    <w:rsid w:val="001D5C73"/>
    <w:rsid w:val="001D5D1A"/>
    <w:rsid w:val="001D5FC7"/>
    <w:rsid w:val="001D6002"/>
    <w:rsid w:val="001D6139"/>
    <w:rsid w:val="001D6167"/>
    <w:rsid w:val="001D6200"/>
    <w:rsid w:val="001D6359"/>
    <w:rsid w:val="001D63D0"/>
    <w:rsid w:val="001D65DD"/>
    <w:rsid w:val="001D65E9"/>
    <w:rsid w:val="001D6714"/>
    <w:rsid w:val="001D6E9E"/>
    <w:rsid w:val="001D7350"/>
    <w:rsid w:val="001D7485"/>
    <w:rsid w:val="001D74A8"/>
    <w:rsid w:val="001D74BF"/>
    <w:rsid w:val="001D767C"/>
    <w:rsid w:val="001D76AB"/>
    <w:rsid w:val="001D7839"/>
    <w:rsid w:val="001D78C3"/>
    <w:rsid w:val="001E00C2"/>
    <w:rsid w:val="001E04BC"/>
    <w:rsid w:val="001E04F9"/>
    <w:rsid w:val="001E0766"/>
    <w:rsid w:val="001E0868"/>
    <w:rsid w:val="001E093C"/>
    <w:rsid w:val="001E11C8"/>
    <w:rsid w:val="001E174B"/>
    <w:rsid w:val="001E1D0E"/>
    <w:rsid w:val="001E1DB7"/>
    <w:rsid w:val="001E1E00"/>
    <w:rsid w:val="001E2412"/>
    <w:rsid w:val="001E2496"/>
    <w:rsid w:val="001E24FC"/>
    <w:rsid w:val="001E261C"/>
    <w:rsid w:val="001E28B4"/>
    <w:rsid w:val="001E3229"/>
    <w:rsid w:val="001E3291"/>
    <w:rsid w:val="001E3415"/>
    <w:rsid w:val="001E3601"/>
    <w:rsid w:val="001E3629"/>
    <w:rsid w:val="001E3819"/>
    <w:rsid w:val="001E3BB5"/>
    <w:rsid w:val="001E3C8F"/>
    <w:rsid w:val="001E3D8E"/>
    <w:rsid w:val="001E3E6C"/>
    <w:rsid w:val="001E427C"/>
    <w:rsid w:val="001E43CC"/>
    <w:rsid w:val="001E4401"/>
    <w:rsid w:val="001E4855"/>
    <w:rsid w:val="001E48EA"/>
    <w:rsid w:val="001E5045"/>
    <w:rsid w:val="001E51A2"/>
    <w:rsid w:val="001E51CF"/>
    <w:rsid w:val="001E52D2"/>
    <w:rsid w:val="001E56E9"/>
    <w:rsid w:val="001E57CA"/>
    <w:rsid w:val="001E59A1"/>
    <w:rsid w:val="001E5BF0"/>
    <w:rsid w:val="001E5CD5"/>
    <w:rsid w:val="001E5CF7"/>
    <w:rsid w:val="001E607D"/>
    <w:rsid w:val="001E61FF"/>
    <w:rsid w:val="001E6421"/>
    <w:rsid w:val="001E6513"/>
    <w:rsid w:val="001E6674"/>
    <w:rsid w:val="001E67C2"/>
    <w:rsid w:val="001E6F78"/>
    <w:rsid w:val="001E70EA"/>
    <w:rsid w:val="001E7164"/>
    <w:rsid w:val="001E73A6"/>
    <w:rsid w:val="001E7A3F"/>
    <w:rsid w:val="001E7C94"/>
    <w:rsid w:val="001E7DD4"/>
    <w:rsid w:val="001E7F20"/>
    <w:rsid w:val="001E7FE0"/>
    <w:rsid w:val="001F0748"/>
    <w:rsid w:val="001F09D0"/>
    <w:rsid w:val="001F0A72"/>
    <w:rsid w:val="001F0C6E"/>
    <w:rsid w:val="001F117C"/>
    <w:rsid w:val="001F1420"/>
    <w:rsid w:val="001F21F1"/>
    <w:rsid w:val="001F2252"/>
    <w:rsid w:val="001F29DA"/>
    <w:rsid w:val="001F2C32"/>
    <w:rsid w:val="001F302E"/>
    <w:rsid w:val="001F32EF"/>
    <w:rsid w:val="001F34F2"/>
    <w:rsid w:val="001F3545"/>
    <w:rsid w:val="001F35A0"/>
    <w:rsid w:val="001F381B"/>
    <w:rsid w:val="001F396D"/>
    <w:rsid w:val="001F4388"/>
    <w:rsid w:val="001F44D3"/>
    <w:rsid w:val="001F475A"/>
    <w:rsid w:val="001F4765"/>
    <w:rsid w:val="001F4DDB"/>
    <w:rsid w:val="001F4EF4"/>
    <w:rsid w:val="001F5040"/>
    <w:rsid w:val="001F5A28"/>
    <w:rsid w:val="001F5BF9"/>
    <w:rsid w:val="001F618A"/>
    <w:rsid w:val="001F61BB"/>
    <w:rsid w:val="001F6397"/>
    <w:rsid w:val="001F6460"/>
    <w:rsid w:val="001F6826"/>
    <w:rsid w:val="001F6C98"/>
    <w:rsid w:val="001F6E03"/>
    <w:rsid w:val="001F7585"/>
    <w:rsid w:val="001F75D2"/>
    <w:rsid w:val="001F75DA"/>
    <w:rsid w:val="001F766F"/>
    <w:rsid w:val="001F797E"/>
    <w:rsid w:val="001F79DC"/>
    <w:rsid w:val="001F7BC3"/>
    <w:rsid w:val="001F7C95"/>
    <w:rsid w:val="00201CDB"/>
    <w:rsid w:val="0020269C"/>
    <w:rsid w:val="0020272B"/>
    <w:rsid w:val="00202C5D"/>
    <w:rsid w:val="00202D57"/>
    <w:rsid w:val="00202F7A"/>
    <w:rsid w:val="0020352B"/>
    <w:rsid w:val="002039DB"/>
    <w:rsid w:val="002042D5"/>
    <w:rsid w:val="00204748"/>
    <w:rsid w:val="002047FF"/>
    <w:rsid w:val="002048EC"/>
    <w:rsid w:val="0020496E"/>
    <w:rsid w:val="00204B9C"/>
    <w:rsid w:val="00204C72"/>
    <w:rsid w:val="00204E23"/>
    <w:rsid w:val="00204FF5"/>
    <w:rsid w:val="002051E5"/>
    <w:rsid w:val="002053A4"/>
    <w:rsid w:val="00205B11"/>
    <w:rsid w:val="00205D8F"/>
    <w:rsid w:val="00205E17"/>
    <w:rsid w:val="002062AB"/>
    <w:rsid w:val="002067B9"/>
    <w:rsid w:val="00206A1D"/>
    <w:rsid w:val="00206B9F"/>
    <w:rsid w:val="00206D77"/>
    <w:rsid w:val="00206E8D"/>
    <w:rsid w:val="002071C2"/>
    <w:rsid w:val="0020722B"/>
    <w:rsid w:val="00207596"/>
    <w:rsid w:val="002075FD"/>
    <w:rsid w:val="002077BA"/>
    <w:rsid w:val="002077CB"/>
    <w:rsid w:val="00207CCB"/>
    <w:rsid w:val="00207E74"/>
    <w:rsid w:val="00210128"/>
    <w:rsid w:val="00210137"/>
    <w:rsid w:val="002106E5"/>
    <w:rsid w:val="00210B5C"/>
    <w:rsid w:val="00210C96"/>
    <w:rsid w:val="00210D2E"/>
    <w:rsid w:val="00210EB6"/>
    <w:rsid w:val="00211075"/>
    <w:rsid w:val="00211747"/>
    <w:rsid w:val="002117DD"/>
    <w:rsid w:val="00211AC7"/>
    <w:rsid w:val="00212101"/>
    <w:rsid w:val="0021226B"/>
    <w:rsid w:val="0021233C"/>
    <w:rsid w:val="00212C0D"/>
    <w:rsid w:val="00213177"/>
    <w:rsid w:val="00213867"/>
    <w:rsid w:val="00213B2D"/>
    <w:rsid w:val="00213D93"/>
    <w:rsid w:val="00214138"/>
    <w:rsid w:val="002145F8"/>
    <w:rsid w:val="002146AD"/>
    <w:rsid w:val="002146FB"/>
    <w:rsid w:val="00214B49"/>
    <w:rsid w:val="00214B83"/>
    <w:rsid w:val="00214EFE"/>
    <w:rsid w:val="00214F1B"/>
    <w:rsid w:val="002152A5"/>
    <w:rsid w:val="00215A33"/>
    <w:rsid w:val="00215BF0"/>
    <w:rsid w:val="00215E28"/>
    <w:rsid w:val="00215E95"/>
    <w:rsid w:val="00215F46"/>
    <w:rsid w:val="002160E5"/>
    <w:rsid w:val="002167E2"/>
    <w:rsid w:val="00216940"/>
    <w:rsid w:val="00216AB3"/>
    <w:rsid w:val="00216B86"/>
    <w:rsid w:val="00216BA6"/>
    <w:rsid w:val="00216F32"/>
    <w:rsid w:val="002174E7"/>
    <w:rsid w:val="00217836"/>
    <w:rsid w:val="00217FA4"/>
    <w:rsid w:val="00217FD9"/>
    <w:rsid w:val="002204F3"/>
    <w:rsid w:val="00220BE9"/>
    <w:rsid w:val="00221061"/>
    <w:rsid w:val="002211DA"/>
    <w:rsid w:val="002215E4"/>
    <w:rsid w:val="00221B69"/>
    <w:rsid w:val="00221E74"/>
    <w:rsid w:val="00221EE5"/>
    <w:rsid w:val="0022212F"/>
    <w:rsid w:val="00222825"/>
    <w:rsid w:val="00222992"/>
    <w:rsid w:val="00222D50"/>
    <w:rsid w:val="00222E37"/>
    <w:rsid w:val="00222F2D"/>
    <w:rsid w:val="0022327F"/>
    <w:rsid w:val="002232EA"/>
    <w:rsid w:val="0022339A"/>
    <w:rsid w:val="002234C3"/>
    <w:rsid w:val="002234C4"/>
    <w:rsid w:val="002239F4"/>
    <w:rsid w:val="00223BBF"/>
    <w:rsid w:val="002241BF"/>
    <w:rsid w:val="0022458F"/>
    <w:rsid w:val="00224613"/>
    <w:rsid w:val="002247B9"/>
    <w:rsid w:val="0022483C"/>
    <w:rsid w:val="002255AF"/>
    <w:rsid w:val="0022604A"/>
    <w:rsid w:val="00226225"/>
    <w:rsid w:val="0022661F"/>
    <w:rsid w:val="00226A73"/>
    <w:rsid w:val="00226BF6"/>
    <w:rsid w:val="00227018"/>
    <w:rsid w:val="00227692"/>
    <w:rsid w:val="002278F4"/>
    <w:rsid w:val="00227AEE"/>
    <w:rsid w:val="00227F6A"/>
    <w:rsid w:val="0023002B"/>
    <w:rsid w:val="00230259"/>
    <w:rsid w:val="002302B2"/>
    <w:rsid w:val="00230944"/>
    <w:rsid w:val="002310A3"/>
    <w:rsid w:val="0023123F"/>
    <w:rsid w:val="00231477"/>
    <w:rsid w:val="002319D8"/>
    <w:rsid w:val="00231B63"/>
    <w:rsid w:val="002323B0"/>
    <w:rsid w:val="0023294F"/>
    <w:rsid w:val="00232AE6"/>
    <w:rsid w:val="00232D3E"/>
    <w:rsid w:val="00232FD3"/>
    <w:rsid w:val="002330D8"/>
    <w:rsid w:val="002335AF"/>
    <w:rsid w:val="002339EF"/>
    <w:rsid w:val="00233B50"/>
    <w:rsid w:val="00233BC8"/>
    <w:rsid w:val="00233D6B"/>
    <w:rsid w:val="0023401B"/>
    <w:rsid w:val="0023491A"/>
    <w:rsid w:val="00235122"/>
    <w:rsid w:val="002353F9"/>
    <w:rsid w:val="00235711"/>
    <w:rsid w:val="00235B3F"/>
    <w:rsid w:val="00235C2B"/>
    <w:rsid w:val="00235DDD"/>
    <w:rsid w:val="002361E7"/>
    <w:rsid w:val="0023624D"/>
    <w:rsid w:val="00236DAA"/>
    <w:rsid w:val="00236F82"/>
    <w:rsid w:val="0023730B"/>
    <w:rsid w:val="00237326"/>
    <w:rsid w:val="002373DE"/>
    <w:rsid w:val="002377A9"/>
    <w:rsid w:val="002401D9"/>
    <w:rsid w:val="002406FA"/>
    <w:rsid w:val="00240884"/>
    <w:rsid w:val="002408CA"/>
    <w:rsid w:val="00240F64"/>
    <w:rsid w:val="00240FEE"/>
    <w:rsid w:val="0024178C"/>
    <w:rsid w:val="00241954"/>
    <w:rsid w:val="00241D88"/>
    <w:rsid w:val="00241F88"/>
    <w:rsid w:val="002421DA"/>
    <w:rsid w:val="00242490"/>
    <w:rsid w:val="00242651"/>
    <w:rsid w:val="00242821"/>
    <w:rsid w:val="002429C2"/>
    <w:rsid w:val="00242AC3"/>
    <w:rsid w:val="00242BBE"/>
    <w:rsid w:val="00242C58"/>
    <w:rsid w:val="00242DCD"/>
    <w:rsid w:val="00243090"/>
    <w:rsid w:val="002430B9"/>
    <w:rsid w:val="0024329C"/>
    <w:rsid w:val="00243399"/>
    <w:rsid w:val="00243A45"/>
    <w:rsid w:val="00244208"/>
    <w:rsid w:val="00244394"/>
    <w:rsid w:val="002443A2"/>
    <w:rsid w:val="002445E5"/>
    <w:rsid w:val="002448CB"/>
    <w:rsid w:val="00244C14"/>
    <w:rsid w:val="0024522B"/>
    <w:rsid w:val="00245279"/>
    <w:rsid w:val="00245460"/>
    <w:rsid w:val="00245704"/>
    <w:rsid w:val="00245B9C"/>
    <w:rsid w:val="00245EE0"/>
    <w:rsid w:val="00246519"/>
    <w:rsid w:val="002465C2"/>
    <w:rsid w:val="002469E9"/>
    <w:rsid w:val="00246B20"/>
    <w:rsid w:val="00246FF0"/>
    <w:rsid w:val="002478CC"/>
    <w:rsid w:val="00247A23"/>
    <w:rsid w:val="00247A71"/>
    <w:rsid w:val="00247B03"/>
    <w:rsid w:val="00247DAF"/>
    <w:rsid w:val="00247FFA"/>
    <w:rsid w:val="00250051"/>
    <w:rsid w:val="0025043E"/>
    <w:rsid w:val="002505EC"/>
    <w:rsid w:val="0025065A"/>
    <w:rsid w:val="002507F1"/>
    <w:rsid w:val="002508AB"/>
    <w:rsid w:val="00250BD6"/>
    <w:rsid w:val="00251326"/>
    <w:rsid w:val="002519B2"/>
    <w:rsid w:val="00251AD4"/>
    <w:rsid w:val="00251BDA"/>
    <w:rsid w:val="00251BE6"/>
    <w:rsid w:val="00251CEB"/>
    <w:rsid w:val="00251DA4"/>
    <w:rsid w:val="0025281D"/>
    <w:rsid w:val="00252D33"/>
    <w:rsid w:val="00252DEC"/>
    <w:rsid w:val="002533C2"/>
    <w:rsid w:val="0025342A"/>
    <w:rsid w:val="002536AC"/>
    <w:rsid w:val="0025376B"/>
    <w:rsid w:val="00253C6D"/>
    <w:rsid w:val="00253D0D"/>
    <w:rsid w:val="00253D1B"/>
    <w:rsid w:val="0025402C"/>
    <w:rsid w:val="00254465"/>
    <w:rsid w:val="002544AC"/>
    <w:rsid w:val="00254595"/>
    <w:rsid w:val="002546D1"/>
    <w:rsid w:val="00254AC9"/>
    <w:rsid w:val="00254F12"/>
    <w:rsid w:val="0025562D"/>
    <w:rsid w:val="00255632"/>
    <w:rsid w:val="002559A2"/>
    <w:rsid w:val="00255DBE"/>
    <w:rsid w:val="00255EBB"/>
    <w:rsid w:val="0025626D"/>
    <w:rsid w:val="00256560"/>
    <w:rsid w:val="00256624"/>
    <w:rsid w:val="00256998"/>
    <w:rsid w:val="002569CD"/>
    <w:rsid w:val="002569E0"/>
    <w:rsid w:val="002574D9"/>
    <w:rsid w:val="00257572"/>
    <w:rsid w:val="00257F30"/>
    <w:rsid w:val="00257FED"/>
    <w:rsid w:val="002600A1"/>
    <w:rsid w:val="002600A2"/>
    <w:rsid w:val="0026070F"/>
    <w:rsid w:val="0026099A"/>
    <w:rsid w:val="00260C64"/>
    <w:rsid w:val="00260CB3"/>
    <w:rsid w:val="00261681"/>
    <w:rsid w:val="0026181D"/>
    <w:rsid w:val="00261B1F"/>
    <w:rsid w:val="00261BCC"/>
    <w:rsid w:val="00261BE8"/>
    <w:rsid w:val="00261C7F"/>
    <w:rsid w:val="00261D0B"/>
    <w:rsid w:val="00261D8A"/>
    <w:rsid w:val="00261DAA"/>
    <w:rsid w:val="00262168"/>
    <w:rsid w:val="002621EB"/>
    <w:rsid w:val="002622B0"/>
    <w:rsid w:val="0026258F"/>
    <w:rsid w:val="002626D8"/>
    <w:rsid w:val="0026274B"/>
    <w:rsid w:val="002629DD"/>
    <w:rsid w:val="00262ACE"/>
    <w:rsid w:val="00262B31"/>
    <w:rsid w:val="00262BF4"/>
    <w:rsid w:val="00262D3E"/>
    <w:rsid w:val="00262E76"/>
    <w:rsid w:val="00263253"/>
    <w:rsid w:val="002633AF"/>
    <w:rsid w:val="002635A2"/>
    <w:rsid w:val="002635FC"/>
    <w:rsid w:val="00263A79"/>
    <w:rsid w:val="00263D68"/>
    <w:rsid w:val="00264322"/>
    <w:rsid w:val="0026449C"/>
    <w:rsid w:val="00264C6B"/>
    <w:rsid w:val="00264C82"/>
    <w:rsid w:val="00264F84"/>
    <w:rsid w:val="00264FD6"/>
    <w:rsid w:val="0026557C"/>
    <w:rsid w:val="00265C0D"/>
    <w:rsid w:val="00265D18"/>
    <w:rsid w:val="00265DE2"/>
    <w:rsid w:val="00265E33"/>
    <w:rsid w:val="0026655E"/>
    <w:rsid w:val="00266A70"/>
    <w:rsid w:val="00266CBC"/>
    <w:rsid w:val="00266CD0"/>
    <w:rsid w:val="002671CE"/>
    <w:rsid w:val="0026756C"/>
    <w:rsid w:val="0026762E"/>
    <w:rsid w:val="00267658"/>
    <w:rsid w:val="002676DE"/>
    <w:rsid w:val="00267B52"/>
    <w:rsid w:val="00270081"/>
    <w:rsid w:val="00270090"/>
    <w:rsid w:val="0027011C"/>
    <w:rsid w:val="00270243"/>
    <w:rsid w:val="0027041B"/>
    <w:rsid w:val="0027046E"/>
    <w:rsid w:val="00270706"/>
    <w:rsid w:val="00270817"/>
    <w:rsid w:val="00270869"/>
    <w:rsid w:val="0027086E"/>
    <w:rsid w:val="002713C5"/>
    <w:rsid w:val="00271577"/>
    <w:rsid w:val="002715E9"/>
    <w:rsid w:val="002717FD"/>
    <w:rsid w:val="002718D3"/>
    <w:rsid w:val="0027194F"/>
    <w:rsid w:val="00271DE1"/>
    <w:rsid w:val="0027240B"/>
    <w:rsid w:val="00272580"/>
    <w:rsid w:val="002725C1"/>
    <w:rsid w:val="002726AA"/>
    <w:rsid w:val="00272792"/>
    <w:rsid w:val="00272A50"/>
    <w:rsid w:val="00272C5C"/>
    <w:rsid w:val="0027305A"/>
    <w:rsid w:val="002736C9"/>
    <w:rsid w:val="002737F3"/>
    <w:rsid w:val="0027394E"/>
    <w:rsid w:val="00273AC0"/>
    <w:rsid w:val="00273C00"/>
    <w:rsid w:val="00273FE2"/>
    <w:rsid w:val="002743CC"/>
    <w:rsid w:val="00274523"/>
    <w:rsid w:val="00274761"/>
    <w:rsid w:val="00274C38"/>
    <w:rsid w:val="00274DED"/>
    <w:rsid w:val="00274EC7"/>
    <w:rsid w:val="00274F52"/>
    <w:rsid w:val="00275269"/>
    <w:rsid w:val="002753CD"/>
    <w:rsid w:val="00275481"/>
    <w:rsid w:val="00275582"/>
    <w:rsid w:val="002755F3"/>
    <w:rsid w:val="00275632"/>
    <w:rsid w:val="00275B8F"/>
    <w:rsid w:val="00276479"/>
    <w:rsid w:val="00276A9F"/>
    <w:rsid w:val="00276CDA"/>
    <w:rsid w:val="0027709F"/>
    <w:rsid w:val="002774D1"/>
    <w:rsid w:val="0027759D"/>
    <w:rsid w:val="00277AD0"/>
    <w:rsid w:val="00277CC4"/>
    <w:rsid w:val="002800EC"/>
    <w:rsid w:val="0028027E"/>
    <w:rsid w:val="00280720"/>
    <w:rsid w:val="00280723"/>
    <w:rsid w:val="002810E7"/>
    <w:rsid w:val="00281396"/>
    <w:rsid w:val="00281C53"/>
    <w:rsid w:val="0028253E"/>
    <w:rsid w:val="002826B7"/>
    <w:rsid w:val="002828C3"/>
    <w:rsid w:val="002829A0"/>
    <w:rsid w:val="002829B5"/>
    <w:rsid w:val="00282B59"/>
    <w:rsid w:val="00283539"/>
    <w:rsid w:val="00283574"/>
    <w:rsid w:val="00283AC7"/>
    <w:rsid w:val="00283C02"/>
    <w:rsid w:val="00283E63"/>
    <w:rsid w:val="00283EA9"/>
    <w:rsid w:val="00283F74"/>
    <w:rsid w:val="0028403E"/>
    <w:rsid w:val="0028411C"/>
    <w:rsid w:val="00284165"/>
    <w:rsid w:val="00284456"/>
    <w:rsid w:val="00284A6B"/>
    <w:rsid w:val="00284B9E"/>
    <w:rsid w:val="00284F8C"/>
    <w:rsid w:val="002851AC"/>
    <w:rsid w:val="002857D1"/>
    <w:rsid w:val="002858BF"/>
    <w:rsid w:val="00285AE4"/>
    <w:rsid w:val="00285F24"/>
    <w:rsid w:val="00286997"/>
    <w:rsid w:val="00286C62"/>
    <w:rsid w:val="00286CD4"/>
    <w:rsid w:val="00286F01"/>
    <w:rsid w:val="00287757"/>
    <w:rsid w:val="00287787"/>
    <w:rsid w:val="00287881"/>
    <w:rsid w:val="002879EF"/>
    <w:rsid w:val="00287E0B"/>
    <w:rsid w:val="0029010C"/>
    <w:rsid w:val="002901CD"/>
    <w:rsid w:val="00290243"/>
    <w:rsid w:val="002902D6"/>
    <w:rsid w:val="002908BA"/>
    <w:rsid w:val="00290A59"/>
    <w:rsid w:val="00290C29"/>
    <w:rsid w:val="00290CBC"/>
    <w:rsid w:val="00291105"/>
    <w:rsid w:val="00291AB8"/>
    <w:rsid w:val="00291C8B"/>
    <w:rsid w:val="00291CB7"/>
    <w:rsid w:val="00291E5E"/>
    <w:rsid w:val="00292442"/>
    <w:rsid w:val="00292951"/>
    <w:rsid w:val="002929F4"/>
    <w:rsid w:val="002932B2"/>
    <w:rsid w:val="002935F7"/>
    <w:rsid w:val="002938CF"/>
    <w:rsid w:val="002946A3"/>
    <w:rsid w:val="00294B76"/>
    <w:rsid w:val="00294BD5"/>
    <w:rsid w:val="00294F1E"/>
    <w:rsid w:val="0029507F"/>
    <w:rsid w:val="0029509B"/>
    <w:rsid w:val="002952E7"/>
    <w:rsid w:val="002953E2"/>
    <w:rsid w:val="002956B8"/>
    <w:rsid w:val="0029579B"/>
    <w:rsid w:val="002957C3"/>
    <w:rsid w:val="0029591B"/>
    <w:rsid w:val="00295CCC"/>
    <w:rsid w:val="00295CE4"/>
    <w:rsid w:val="00295E44"/>
    <w:rsid w:val="00295F38"/>
    <w:rsid w:val="00295FA2"/>
    <w:rsid w:val="00296664"/>
    <w:rsid w:val="00296A1D"/>
    <w:rsid w:val="00296ABF"/>
    <w:rsid w:val="00296C8A"/>
    <w:rsid w:val="00296F2A"/>
    <w:rsid w:val="00297102"/>
    <w:rsid w:val="002975D7"/>
    <w:rsid w:val="002977C9"/>
    <w:rsid w:val="00297868"/>
    <w:rsid w:val="00297960"/>
    <w:rsid w:val="00297C2D"/>
    <w:rsid w:val="00297F76"/>
    <w:rsid w:val="002A0097"/>
    <w:rsid w:val="002A012A"/>
    <w:rsid w:val="002A04A8"/>
    <w:rsid w:val="002A0699"/>
    <w:rsid w:val="002A0A44"/>
    <w:rsid w:val="002A0DC2"/>
    <w:rsid w:val="002A1002"/>
    <w:rsid w:val="002A11B8"/>
    <w:rsid w:val="002A120A"/>
    <w:rsid w:val="002A16B3"/>
    <w:rsid w:val="002A175E"/>
    <w:rsid w:val="002A18C9"/>
    <w:rsid w:val="002A1929"/>
    <w:rsid w:val="002A1933"/>
    <w:rsid w:val="002A195E"/>
    <w:rsid w:val="002A1ACC"/>
    <w:rsid w:val="002A1BA4"/>
    <w:rsid w:val="002A1BFD"/>
    <w:rsid w:val="002A231D"/>
    <w:rsid w:val="002A26A8"/>
    <w:rsid w:val="002A2CC5"/>
    <w:rsid w:val="002A2F1E"/>
    <w:rsid w:val="002A344D"/>
    <w:rsid w:val="002A38CE"/>
    <w:rsid w:val="002A3D3F"/>
    <w:rsid w:val="002A4D39"/>
    <w:rsid w:val="002A4E2C"/>
    <w:rsid w:val="002A4EC3"/>
    <w:rsid w:val="002A4F2A"/>
    <w:rsid w:val="002A5213"/>
    <w:rsid w:val="002A586F"/>
    <w:rsid w:val="002A5A63"/>
    <w:rsid w:val="002A5F7A"/>
    <w:rsid w:val="002A6AD7"/>
    <w:rsid w:val="002A6CDA"/>
    <w:rsid w:val="002A7049"/>
    <w:rsid w:val="002A73A1"/>
    <w:rsid w:val="002A79F5"/>
    <w:rsid w:val="002A7ACA"/>
    <w:rsid w:val="002A7D81"/>
    <w:rsid w:val="002A7DB2"/>
    <w:rsid w:val="002B00AB"/>
    <w:rsid w:val="002B012B"/>
    <w:rsid w:val="002B0225"/>
    <w:rsid w:val="002B0374"/>
    <w:rsid w:val="002B0874"/>
    <w:rsid w:val="002B0881"/>
    <w:rsid w:val="002B09C2"/>
    <w:rsid w:val="002B0D60"/>
    <w:rsid w:val="002B118F"/>
    <w:rsid w:val="002B14F2"/>
    <w:rsid w:val="002B169C"/>
    <w:rsid w:val="002B1D36"/>
    <w:rsid w:val="002B23F8"/>
    <w:rsid w:val="002B270E"/>
    <w:rsid w:val="002B3AF9"/>
    <w:rsid w:val="002B3B49"/>
    <w:rsid w:val="002B3C2F"/>
    <w:rsid w:val="002B3F94"/>
    <w:rsid w:val="002B42BD"/>
    <w:rsid w:val="002B44B4"/>
    <w:rsid w:val="002B4A7C"/>
    <w:rsid w:val="002B5029"/>
    <w:rsid w:val="002B50DB"/>
    <w:rsid w:val="002B544D"/>
    <w:rsid w:val="002B5886"/>
    <w:rsid w:val="002B5B65"/>
    <w:rsid w:val="002B5C9D"/>
    <w:rsid w:val="002B60CC"/>
    <w:rsid w:val="002B63C6"/>
    <w:rsid w:val="002B663F"/>
    <w:rsid w:val="002B6716"/>
    <w:rsid w:val="002B6799"/>
    <w:rsid w:val="002B6B22"/>
    <w:rsid w:val="002B6F25"/>
    <w:rsid w:val="002B7178"/>
    <w:rsid w:val="002B7185"/>
    <w:rsid w:val="002B742D"/>
    <w:rsid w:val="002B781F"/>
    <w:rsid w:val="002B78A9"/>
    <w:rsid w:val="002B78E8"/>
    <w:rsid w:val="002B790E"/>
    <w:rsid w:val="002B79D7"/>
    <w:rsid w:val="002B7B5A"/>
    <w:rsid w:val="002B7CDF"/>
    <w:rsid w:val="002B7D64"/>
    <w:rsid w:val="002B7DD3"/>
    <w:rsid w:val="002C02B3"/>
    <w:rsid w:val="002C03AB"/>
    <w:rsid w:val="002C0569"/>
    <w:rsid w:val="002C0D82"/>
    <w:rsid w:val="002C1035"/>
    <w:rsid w:val="002C13AE"/>
    <w:rsid w:val="002C13E8"/>
    <w:rsid w:val="002C1581"/>
    <w:rsid w:val="002C162D"/>
    <w:rsid w:val="002C166E"/>
    <w:rsid w:val="002C19FC"/>
    <w:rsid w:val="002C1A34"/>
    <w:rsid w:val="002C1A80"/>
    <w:rsid w:val="002C1EAA"/>
    <w:rsid w:val="002C1FE4"/>
    <w:rsid w:val="002C273C"/>
    <w:rsid w:val="002C2A75"/>
    <w:rsid w:val="002C2DDF"/>
    <w:rsid w:val="002C35FF"/>
    <w:rsid w:val="002C37A5"/>
    <w:rsid w:val="002C390E"/>
    <w:rsid w:val="002C39AE"/>
    <w:rsid w:val="002C3A7C"/>
    <w:rsid w:val="002C40BF"/>
    <w:rsid w:val="002C4184"/>
    <w:rsid w:val="002C4211"/>
    <w:rsid w:val="002C42E2"/>
    <w:rsid w:val="002C446F"/>
    <w:rsid w:val="002C513F"/>
    <w:rsid w:val="002C55A7"/>
    <w:rsid w:val="002C5D9A"/>
    <w:rsid w:val="002C6295"/>
    <w:rsid w:val="002C67BA"/>
    <w:rsid w:val="002C682D"/>
    <w:rsid w:val="002C6858"/>
    <w:rsid w:val="002C687F"/>
    <w:rsid w:val="002C6BBF"/>
    <w:rsid w:val="002C7140"/>
    <w:rsid w:val="002C76FE"/>
    <w:rsid w:val="002C79FA"/>
    <w:rsid w:val="002C7A7E"/>
    <w:rsid w:val="002C7C62"/>
    <w:rsid w:val="002C7D0F"/>
    <w:rsid w:val="002C7E30"/>
    <w:rsid w:val="002D0238"/>
    <w:rsid w:val="002D032A"/>
    <w:rsid w:val="002D078E"/>
    <w:rsid w:val="002D09DA"/>
    <w:rsid w:val="002D10C1"/>
    <w:rsid w:val="002D11F9"/>
    <w:rsid w:val="002D1960"/>
    <w:rsid w:val="002D1BB5"/>
    <w:rsid w:val="002D1E46"/>
    <w:rsid w:val="002D20D3"/>
    <w:rsid w:val="002D21C9"/>
    <w:rsid w:val="002D2577"/>
    <w:rsid w:val="002D25E9"/>
    <w:rsid w:val="002D2A68"/>
    <w:rsid w:val="002D2A80"/>
    <w:rsid w:val="002D2AB4"/>
    <w:rsid w:val="002D2D1D"/>
    <w:rsid w:val="002D2DF5"/>
    <w:rsid w:val="002D2ED6"/>
    <w:rsid w:val="002D30A7"/>
    <w:rsid w:val="002D3562"/>
    <w:rsid w:val="002D3EFE"/>
    <w:rsid w:val="002D40DF"/>
    <w:rsid w:val="002D432A"/>
    <w:rsid w:val="002D48D3"/>
    <w:rsid w:val="002D4B23"/>
    <w:rsid w:val="002D4EEF"/>
    <w:rsid w:val="002D4FC2"/>
    <w:rsid w:val="002D50A7"/>
    <w:rsid w:val="002D58AB"/>
    <w:rsid w:val="002D594E"/>
    <w:rsid w:val="002D6F46"/>
    <w:rsid w:val="002D70F8"/>
    <w:rsid w:val="002D717D"/>
    <w:rsid w:val="002D7581"/>
    <w:rsid w:val="002D7876"/>
    <w:rsid w:val="002D7AA5"/>
    <w:rsid w:val="002E03B0"/>
    <w:rsid w:val="002E0A6D"/>
    <w:rsid w:val="002E0A6F"/>
    <w:rsid w:val="002E0AC9"/>
    <w:rsid w:val="002E0E5F"/>
    <w:rsid w:val="002E0ED2"/>
    <w:rsid w:val="002E1116"/>
    <w:rsid w:val="002E1F33"/>
    <w:rsid w:val="002E22BE"/>
    <w:rsid w:val="002E23D4"/>
    <w:rsid w:val="002E2436"/>
    <w:rsid w:val="002E2769"/>
    <w:rsid w:val="002E3000"/>
    <w:rsid w:val="002E339C"/>
    <w:rsid w:val="002E34C5"/>
    <w:rsid w:val="002E3829"/>
    <w:rsid w:val="002E3B71"/>
    <w:rsid w:val="002E4332"/>
    <w:rsid w:val="002E4CDE"/>
    <w:rsid w:val="002E4E4D"/>
    <w:rsid w:val="002E51FB"/>
    <w:rsid w:val="002E5273"/>
    <w:rsid w:val="002E52AD"/>
    <w:rsid w:val="002E5445"/>
    <w:rsid w:val="002E5553"/>
    <w:rsid w:val="002E56F6"/>
    <w:rsid w:val="002E585E"/>
    <w:rsid w:val="002E5D2F"/>
    <w:rsid w:val="002E5D33"/>
    <w:rsid w:val="002E5DCB"/>
    <w:rsid w:val="002E5E0C"/>
    <w:rsid w:val="002E6414"/>
    <w:rsid w:val="002E6528"/>
    <w:rsid w:val="002E681F"/>
    <w:rsid w:val="002E7014"/>
    <w:rsid w:val="002E72A8"/>
    <w:rsid w:val="002E7557"/>
    <w:rsid w:val="002E76EE"/>
    <w:rsid w:val="002E7BB7"/>
    <w:rsid w:val="002F0183"/>
    <w:rsid w:val="002F019A"/>
    <w:rsid w:val="002F0271"/>
    <w:rsid w:val="002F033C"/>
    <w:rsid w:val="002F07A6"/>
    <w:rsid w:val="002F0A2C"/>
    <w:rsid w:val="002F0FDE"/>
    <w:rsid w:val="002F13C5"/>
    <w:rsid w:val="002F15F9"/>
    <w:rsid w:val="002F186E"/>
    <w:rsid w:val="002F198D"/>
    <w:rsid w:val="002F1E3D"/>
    <w:rsid w:val="002F2349"/>
    <w:rsid w:val="002F2402"/>
    <w:rsid w:val="002F27B9"/>
    <w:rsid w:val="002F2A86"/>
    <w:rsid w:val="002F2B94"/>
    <w:rsid w:val="002F2DC3"/>
    <w:rsid w:val="002F362D"/>
    <w:rsid w:val="002F3731"/>
    <w:rsid w:val="002F3CC6"/>
    <w:rsid w:val="002F40FA"/>
    <w:rsid w:val="002F41ED"/>
    <w:rsid w:val="002F4C0A"/>
    <w:rsid w:val="002F4C19"/>
    <w:rsid w:val="002F5105"/>
    <w:rsid w:val="002F5718"/>
    <w:rsid w:val="002F6339"/>
    <w:rsid w:val="002F647B"/>
    <w:rsid w:val="002F677A"/>
    <w:rsid w:val="002F7A53"/>
    <w:rsid w:val="002F7C10"/>
    <w:rsid w:val="002F7CD6"/>
    <w:rsid w:val="002F7E61"/>
    <w:rsid w:val="00300A07"/>
    <w:rsid w:val="00300DB5"/>
    <w:rsid w:val="0030113D"/>
    <w:rsid w:val="00301647"/>
    <w:rsid w:val="0030192B"/>
    <w:rsid w:val="00302027"/>
    <w:rsid w:val="0030230F"/>
    <w:rsid w:val="0030259D"/>
    <w:rsid w:val="00302822"/>
    <w:rsid w:val="0030296B"/>
    <w:rsid w:val="00302A0C"/>
    <w:rsid w:val="00302ACE"/>
    <w:rsid w:val="00302B66"/>
    <w:rsid w:val="00303508"/>
    <w:rsid w:val="0030427C"/>
    <w:rsid w:val="0030428D"/>
    <w:rsid w:val="0030463D"/>
    <w:rsid w:val="00304729"/>
    <w:rsid w:val="00304AC1"/>
    <w:rsid w:val="003054A0"/>
    <w:rsid w:val="00305584"/>
    <w:rsid w:val="003055C4"/>
    <w:rsid w:val="00305B2B"/>
    <w:rsid w:val="00305F6D"/>
    <w:rsid w:val="003060A8"/>
    <w:rsid w:val="00306252"/>
    <w:rsid w:val="00306562"/>
    <w:rsid w:val="00306624"/>
    <w:rsid w:val="00306727"/>
    <w:rsid w:val="00307712"/>
    <w:rsid w:val="00307D11"/>
    <w:rsid w:val="00307DC9"/>
    <w:rsid w:val="00307DFA"/>
    <w:rsid w:val="0031041C"/>
    <w:rsid w:val="0031053E"/>
    <w:rsid w:val="00310AE2"/>
    <w:rsid w:val="00310B9B"/>
    <w:rsid w:val="00310E8B"/>
    <w:rsid w:val="0031106E"/>
    <w:rsid w:val="00311784"/>
    <w:rsid w:val="003117E0"/>
    <w:rsid w:val="003119B0"/>
    <w:rsid w:val="0031211F"/>
    <w:rsid w:val="0031266F"/>
    <w:rsid w:val="00312A7C"/>
    <w:rsid w:val="003134AD"/>
    <w:rsid w:val="00313761"/>
    <w:rsid w:val="00313E61"/>
    <w:rsid w:val="00313F3C"/>
    <w:rsid w:val="00314B3B"/>
    <w:rsid w:val="00314C89"/>
    <w:rsid w:val="00314D6A"/>
    <w:rsid w:val="00315093"/>
    <w:rsid w:val="00315198"/>
    <w:rsid w:val="00315390"/>
    <w:rsid w:val="003153A1"/>
    <w:rsid w:val="003153C2"/>
    <w:rsid w:val="00315B21"/>
    <w:rsid w:val="00315DC5"/>
    <w:rsid w:val="00316157"/>
    <w:rsid w:val="0031615A"/>
    <w:rsid w:val="003164A5"/>
    <w:rsid w:val="00316561"/>
    <w:rsid w:val="00316ABB"/>
    <w:rsid w:val="00316DFD"/>
    <w:rsid w:val="00316E1E"/>
    <w:rsid w:val="00316EE4"/>
    <w:rsid w:val="003172A7"/>
    <w:rsid w:val="003172EC"/>
    <w:rsid w:val="0031776E"/>
    <w:rsid w:val="003178C3"/>
    <w:rsid w:val="00317991"/>
    <w:rsid w:val="00317D2D"/>
    <w:rsid w:val="00317D6B"/>
    <w:rsid w:val="00317F17"/>
    <w:rsid w:val="003209EF"/>
    <w:rsid w:val="00320BBE"/>
    <w:rsid w:val="00320DA0"/>
    <w:rsid w:val="00320E52"/>
    <w:rsid w:val="00321095"/>
    <w:rsid w:val="003214C0"/>
    <w:rsid w:val="00321517"/>
    <w:rsid w:val="00321A79"/>
    <w:rsid w:val="00321BDA"/>
    <w:rsid w:val="00322603"/>
    <w:rsid w:val="003228F5"/>
    <w:rsid w:val="00322ADF"/>
    <w:rsid w:val="00322E4C"/>
    <w:rsid w:val="00323469"/>
    <w:rsid w:val="00323616"/>
    <w:rsid w:val="003237DE"/>
    <w:rsid w:val="003239E7"/>
    <w:rsid w:val="00323E6E"/>
    <w:rsid w:val="00323EF5"/>
    <w:rsid w:val="00323F82"/>
    <w:rsid w:val="00324524"/>
    <w:rsid w:val="003246ED"/>
    <w:rsid w:val="0032487E"/>
    <w:rsid w:val="00325018"/>
    <w:rsid w:val="00325056"/>
    <w:rsid w:val="00325069"/>
    <w:rsid w:val="00325A9E"/>
    <w:rsid w:val="00325ABA"/>
    <w:rsid w:val="00325BB2"/>
    <w:rsid w:val="00325C34"/>
    <w:rsid w:val="00325E0A"/>
    <w:rsid w:val="0032622C"/>
    <w:rsid w:val="0032657F"/>
    <w:rsid w:val="0032685A"/>
    <w:rsid w:val="00326A25"/>
    <w:rsid w:val="00326ACE"/>
    <w:rsid w:val="00326B54"/>
    <w:rsid w:val="00326E64"/>
    <w:rsid w:val="003278BA"/>
    <w:rsid w:val="003279F3"/>
    <w:rsid w:val="00327AC2"/>
    <w:rsid w:val="003305DA"/>
    <w:rsid w:val="003306A2"/>
    <w:rsid w:val="00330C9D"/>
    <w:rsid w:val="00330D46"/>
    <w:rsid w:val="003315D6"/>
    <w:rsid w:val="00331625"/>
    <w:rsid w:val="00331931"/>
    <w:rsid w:val="00331A08"/>
    <w:rsid w:val="00331C3A"/>
    <w:rsid w:val="00331F84"/>
    <w:rsid w:val="003322CE"/>
    <w:rsid w:val="003322ED"/>
    <w:rsid w:val="00332CD3"/>
    <w:rsid w:val="00332ED8"/>
    <w:rsid w:val="00332F2C"/>
    <w:rsid w:val="00333033"/>
    <w:rsid w:val="0033314C"/>
    <w:rsid w:val="00333165"/>
    <w:rsid w:val="00333179"/>
    <w:rsid w:val="00333353"/>
    <w:rsid w:val="003333FD"/>
    <w:rsid w:val="00333544"/>
    <w:rsid w:val="00333644"/>
    <w:rsid w:val="003337C6"/>
    <w:rsid w:val="003339D0"/>
    <w:rsid w:val="003339E3"/>
    <w:rsid w:val="00333D25"/>
    <w:rsid w:val="00333E6B"/>
    <w:rsid w:val="003340B8"/>
    <w:rsid w:val="0033432B"/>
    <w:rsid w:val="0033440F"/>
    <w:rsid w:val="003346D1"/>
    <w:rsid w:val="003347F7"/>
    <w:rsid w:val="00334875"/>
    <w:rsid w:val="0033506C"/>
    <w:rsid w:val="003353C0"/>
    <w:rsid w:val="003354FD"/>
    <w:rsid w:val="003356B9"/>
    <w:rsid w:val="00335B4E"/>
    <w:rsid w:val="0033628F"/>
    <w:rsid w:val="003363E6"/>
    <w:rsid w:val="0033644E"/>
    <w:rsid w:val="0033686F"/>
    <w:rsid w:val="0033688B"/>
    <w:rsid w:val="00336CBD"/>
    <w:rsid w:val="00337111"/>
    <w:rsid w:val="00337408"/>
    <w:rsid w:val="0033747D"/>
    <w:rsid w:val="00337868"/>
    <w:rsid w:val="00337948"/>
    <w:rsid w:val="00337978"/>
    <w:rsid w:val="0033797E"/>
    <w:rsid w:val="00337DBA"/>
    <w:rsid w:val="00340307"/>
    <w:rsid w:val="003408F0"/>
    <w:rsid w:val="00340CDF"/>
    <w:rsid w:val="00340F88"/>
    <w:rsid w:val="0034114D"/>
    <w:rsid w:val="003411FE"/>
    <w:rsid w:val="003411FF"/>
    <w:rsid w:val="00341223"/>
    <w:rsid w:val="003415BD"/>
    <w:rsid w:val="003417C5"/>
    <w:rsid w:val="00341D4C"/>
    <w:rsid w:val="00341F59"/>
    <w:rsid w:val="0034207F"/>
    <w:rsid w:val="00342297"/>
    <w:rsid w:val="00342316"/>
    <w:rsid w:val="0034248C"/>
    <w:rsid w:val="003425C3"/>
    <w:rsid w:val="003425DD"/>
    <w:rsid w:val="00342C2E"/>
    <w:rsid w:val="00342C90"/>
    <w:rsid w:val="00342E21"/>
    <w:rsid w:val="00343100"/>
    <w:rsid w:val="0034312E"/>
    <w:rsid w:val="00343669"/>
    <w:rsid w:val="00343AA5"/>
    <w:rsid w:val="00343DDD"/>
    <w:rsid w:val="00343F93"/>
    <w:rsid w:val="00344669"/>
    <w:rsid w:val="00344670"/>
    <w:rsid w:val="0034494D"/>
    <w:rsid w:val="003449C9"/>
    <w:rsid w:val="00344A2A"/>
    <w:rsid w:val="00344AB7"/>
    <w:rsid w:val="00344D6E"/>
    <w:rsid w:val="003456FF"/>
    <w:rsid w:val="003457F1"/>
    <w:rsid w:val="00345FCD"/>
    <w:rsid w:val="00346323"/>
    <w:rsid w:val="003466F7"/>
    <w:rsid w:val="00346ADF"/>
    <w:rsid w:val="00347190"/>
    <w:rsid w:val="003472FB"/>
    <w:rsid w:val="00347812"/>
    <w:rsid w:val="003478F5"/>
    <w:rsid w:val="00347C11"/>
    <w:rsid w:val="00347C3F"/>
    <w:rsid w:val="00347CB4"/>
    <w:rsid w:val="003500CB"/>
    <w:rsid w:val="00350144"/>
    <w:rsid w:val="0035068B"/>
    <w:rsid w:val="0035073D"/>
    <w:rsid w:val="00350FE7"/>
    <w:rsid w:val="00351032"/>
    <w:rsid w:val="003514DF"/>
    <w:rsid w:val="003516B7"/>
    <w:rsid w:val="00351996"/>
    <w:rsid w:val="00351B0C"/>
    <w:rsid w:val="00351BDD"/>
    <w:rsid w:val="00351C28"/>
    <w:rsid w:val="0035206E"/>
    <w:rsid w:val="003521D1"/>
    <w:rsid w:val="00352449"/>
    <w:rsid w:val="00352990"/>
    <w:rsid w:val="00352AE0"/>
    <w:rsid w:val="00352E5F"/>
    <w:rsid w:val="00353097"/>
    <w:rsid w:val="00353E18"/>
    <w:rsid w:val="00353F59"/>
    <w:rsid w:val="003541B7"/>
    <w:rsid w:val="00354A7F"/>
    <w:rsid w:val="00355335"/>
    <w:rsid w:val="00355826"/>
    <w:rsid w:val="00355864"/>
    <w:rsid w:val="003558F6"/>
    <w:rsid w:val="00355A6A"/>
    <w:rsid w:val="00355BDC"/>
    <w:rsid w:val="00355E27"/>
    <w:rsid w:val="00355FA7"/>
    <w:rsid w:val="00356026"/>
    <w:rsid w:val="00356347"/>
    <w:rsid w:val="003563B4"/>
    <w:rsid w:val="0035653E"/>
    <w:rsid w:val="003566B0"/>
    <w:rsid w:val="00356A79"/>
    <w:rsid w:val="00357BF5"/>
    <w:rsid w:val="00360344"/>
    <w:rsid w:val="00360390"/>
    <w:rsid w:val="00360613"/>
    <w:rsid w:val="003609C1"/>
    <w:rsid w:val="00360CCD"/>
    <w:rsid w:val="00360DE0"/>
    <w:rsid w:val="0036126C"/>
    <w:rsid w:val="003619DD"/>
    <w:rsid w:val="00361A35"/>
    <w:rsid w:val="00361ABE"/>
    <w:rsid w:val="00361ECA"/>
    <w:rsid w:val="00361ED3"/>
    <w:rsid w:val="0036200D"/>
    <w:rsid w:val="003622CA"/>
    <w:rsid w:val="0036258B"/>
    <w:rsid w:val="00362602"/>
    <w:rsid w:val="003626FA"/>
    <w:rsid w:val="00362729"/>
    <w:rsid w:val="00362A66"/>
    <w:rsid w:val="00362A68"/>
    <w:rsid w:val="00363076"/>
    <w:rsid w:val="003636D0"/>
    <w:rsid w:val="003636D4"/>
    <w:rsid w:val="00363DE9"/>
    <w:rsid w:val="00363F02"/>
    <w:rsid w:val="00363F92"/>
    <w:rsid w:val="00364004"/>
    <w:rsid w:val="003644C3"/>
    <w:rsid w:val="00364559"/>
    <w:rsid w:val="003647DC"/>
    <w:rsid w:val="003649B8"/>
    <w:rsid w:val="00364B0F"/>
    <w:rsid w:val="00365DB9"/>
    <w:rsid w:val="00365FE5"/>
    <w:rsid w:val="0036600D"/>
    <w:rsid w:val="00366462"/>
    <w:rsid w:val="0036686A"/>
    <w:rsid w:val="00366915"/>
    <w:rsid w:val="00366B4B"/>
    <w:rsid w:val="00366E1B"/>
    <w:rsid w:val="0036723E"/>
    <w:rsid w:val="0036739A"/>
    <w:rsid w:val="003673C4"/>
    <w:rsid w:val="0036747C"/>
    <w:rsid w:val="0036747E"/>
    <w:rsid w:val="003675A5"/>
    <w:rsid w:val="0036791A"/>
    <w:rsid w:val="00370000"/>
    <w:rsid w:val="003706EC"/>
    <w:rsid w:val="00370A0D"/>
    <w:rsid w:val="00370C5B"/>
    <w:rsid w:val="00370D63"/>
    <w:rsid w:val="00370EA2"/>
    <w:rsid w:val="00370F2B"/>
    <w:rsid w:val="003711EC"/>
    <w:rsid w:val="0037144B"/>
    <w:rsid w:val="003715E8"/>
    <w:rsid w:val="003718C3"/>
    <w:rsid w:val="00371A0A"/>
    <w:rsid w:val="00371E29"/>
    <w:rsid w:val="003720BF"/>
    <w:rsid w:val="00372259"/>
    <w:rsid w:val="003725B9"/>
    <w:rsid w:val="003727CD"/>
    <w:rsid w:val="00372966"/>
    <w:rsid w:val="00372B80"/>
    <w:rsid w:val="003731E8"/>
    <w:rsid w:val="00373597"/>
    <w:rsid w:val="00373C9B"/>
    <w:rsid w:val="00373F34"/>
    <w:rsid w:val="0037452D"/>
    <w:rsid w:val="00374656"/>
    <w:rsid w:val="00374A8A"/>
    <w:rsid w:val="00374CD1"/>
    <w:rsid w:val="00375338"/>
    <w:rsid w:val="003753F7"/>
    <w:rsid w:val="00375684"/>
    <w:rsid w:val="003756A1"/>
    <w:rsid w:val="00375780"/>
    <w:rsid w:val="00375A62"/>
    <w:rsid w:val="00375A74"/>
    <w:rsid w:val="00375BEE"/>
    <w:rsid w:val="00375DE3"/>
    <w:rsid w:val="0037607F"/>
    <w:rsid w:val="00376335"/>
    <w:rsid w:val="003763C4"/>
    <w:rsid w:val="0037652B"/>
    <w:rsid w:val="00376754"/>
    <w:rsid w:val="00376896"/>
    <w:rsid w:val="003769C0"/>
    <w:rsid w:val="00376DCD"/>
    <w:rsid w:val="00376EF3"/>
    <w:rsid w:val="00376FAE"/>
    <w:rsid w:val="00376FEE"/>
    <w:rsid w:val="0037727C"/>
    <w:rsid w:val="00377736"/>
    <w:rsid w:val="0037777A"/>
    <w:rsid w:val="00377A63"/>
    <w:rsid w:val="00377D57"/>
    <w:rsid w:val="003803CA"/>
    <w:rsid w:val="00380438"/>
    <w:rsid w:val="0038051D"/>
    <w:rsid w:val="00380A1A"/>
    <w:rsid w:val="00380BE2"/>
    <w:rsid w:val="00380D37"/>
    <w:rsid w:val="003816F9"/>
    <w:rsid w:val="003817EC"/>
    <w:rsid w:val="003820EB"/>
    <w:rsid w:val="0038223F"/>
    <w:rsid w:val="003824AA"/>
    <w:rsid w:val="00382837"/>
    <w:rsid w:val="00382AA9"/>
    <w:rsid w:val="00382B65"/>
    <w:rsid w:val="003837A0"/>
    <w:rsid w:val="00383A51"/>
    <w:rsid w:val="00383B32"/>
    <w:rsid w:val="00383CDC"/>
    <w:rsid w:val="00383FF6"/>
    <w:rsid w:val="0038400F"/>
    <w:rsid w:val="00384122"/>
    <w:rsid w:val="0038467B"/>
    <w:rsid w:val="003846AA"/>
    <w:rsid w:val="003847CD"/>
    <w:rsid w:val="00384ADF"/>
    <w:rsid w:val="00384E94"/>
    <w:rsid w:val="00384FF4"/>
    <w:rsid w:val="00385098"/>
    <w:rsid w:val="00385203"/>
    <w:rsid w:val="0038559E"/>
    <w:rsid w:val="003855D8"/>
    <w:rsid w:val="0038590E"/>
    <w:rsid w:val="00385D2C"/>
    <w:rsid w:val="00386602"/>
    <w:rsid w:val="00386705"/>
    <w:rsid w:val="00386B09"/>
    <w:rsid w:val="00386D61"/>
    <w:rsid w:val="00387193"/>
    <w:rsid w:val="00387466"/>
    <w:rsid w:val="00387557"/>
    <w:rsid w:val="00387716"/>
    <w:rsid w:val="00387FD7"/>
    <w:rsid w:val="00390011"/>
    <w:rsid w:val="003904B4"/>
    <w:rsid w:val="00390530"/>
    <w:rsid w:val="00390AF3"/>
    <w:rsid w:val="00390F1D"/>
    <w:rsid w:val="003911E0"/>
    <w:rsid w:val="003912A1"/>
    <w:rsid w:val="003913E3"/>
    <w:rsid w:val="0039147D"/>
    <w:rsid w:val="003916C3"/>
    <w:rsid w:val="00391FDB"/>
    <w:rsid w:val="003921D7"/>
    <w:rsid w:val="00392593"/>
    <w:rsid w:val="00392735"/>
    <w:rsid w:val="003927E5"/>
    <w:rsid w:val="003929EB"/>
    <w:rsid w:val="00392B47"/>
    <w:rsid w:val="00392DF9"/>
    <w:rsid w:val="00392ED3"/>
    <w:rsid w:val="00392F4B"/>
    <w:rsid w:val="00392F94"/>
    <w:rsid w:val="003935A7"/>
    <w:rsid w:val="003935EB"/>
    <w:rsid w:val="0039389F"/>
    <w:rsid w:val="00393BCD"/>
    <w:rsid w:val="00393FAA"/>
    <w:rsid w:val="0039415F"/>
    <w:rsid w:val="00394307"/>
    <w:rsid w:val="0039457F"/>
    <w:rsid w:val="0039477E"/>
    <w:rsid w:val="00394873"/>
    <w:rsid w:val="003948BD"/>
    <w:rsid w:val="00394F50"/>
    <w:rsid w:val="00394FA4"/>
    <w:rsid w:val="00395144"/>
    <w:rsid w:val="00395486"/>
    <w:rsid w:val="003954A4"/>
    <w:rsid w:val="003961AA"/>
    <w:rsid w:val="003969A2"/>
    <w:rsid w:val="00396A76"/>
    <w:rsid w:val="00396B24"/>
    <w:rsid w:val="00396C39"/>
    <w:rsid w:val="00396D03"/>
    <w:rsid w:val="00396D5A"/>
    <w:rsid w:val="003970D2"/>
    <w:rsid w:val="0039722E"/>
    <w:rsid w:val="003972D7"/>
    <w:rsid w:val="003972DF"/>
    <w:rsid w:val="003975FB"/>
    <w:rsid w:val="003978F8"/>
    <w:rsid w:val="003A040B"/>
    <w:rsid w:val="003A05A4"/>
    <w:rsid w:val="003A09A5"/>
    <w:rsid w:val="003A0B69"/>
    <w:rsid w:val="003A0C66"/>
    <w:rsid w:val="003A1206"/>
    <w:rsid w:val="003A15A7"/>
    <w:rsid w:val="003A1808"/>
    <w:rsid w:val="003A1AC5"/>
    <w:rsid w:val="003A1D41"/>
    <w:rsid w:val="003A209E"/>
    <w:rsid w:val="003A2851"/>
    <w:rsid w:val="003A2BFF"/>
    <w:rsid w:val="003A2FE3"/>
    <w:rsid w:val="003A3165"/>
    <w:rsid w:val="003A32AB"/>
    <w:rsid w:val="003A3301"/>
    <w:rsid w:val="003A35A7"/>
    <w:rsid w:val="003A373B"/>
    <w:rsid w:val="003A3ACA"/>
    <w:rsid w:val="003A3CE6"/>
    <w:rsid w:val="003A3D15"/>
    <w:rsid w:val="003A3D8A"/>
    <w:rsid w:val="003A3E19"/>
    <w:rsid w:val="003A3E80"/>
    <w:rsid w:val="003A3EB2"/>
    <w:rsid w:val="003A3F2F"/>
    <w:rsid w:val="003A413F"/>
    <w:rsid w:val="003A414F"/>
    <w:rsid w:val="003A4580"/>
    <w:rsid w:val="003A4666"/>
    <w:rsid w:val="003A4C25"/>
    <w:rsid w:val="003A4E68"/>
    <w:rsid w:val="003A4E80"/>
    <w:rsid w:val="003A5130"/>
    <w:rsid w:val="003A52C2"/>
    <w:rsid w:val="003A538F"/>
    <w:rsid w:val="003A5792"/>
    <w:rsid w:val="003A5809"/>
    <w:rsid w:val="003A5846"/>
    <w:rsid w:val="003A5DC8"/>
    <w:rsid w:val="003A5E0B"/>
    <w:rsid w:val="003A607D"/>
    <w:rsid w:val="003A673B"/>
    <w:rsid w:val="003A6777"/>
    <w:rsid w:val="003A683D"/>
    <w:rsid w:val="003A719E"/>
    <w:rsid w:val="003A726C"/>
    <w:rsid w:val="003A726F"/>
    <w:rsid w:val="003A7302"/>
    <w:rsid w:val="003A73B6"/>
    <w:rsid w:val="003A7452"/>
    <w:rsid w:val="003A75E6"/>
    <w:rsid w:val="003A7AFC"/>
    <w:rsid w:val="003A7D99"/>
    <w:rsid w:val="003A7E12"/>
    <w:rsid w:val="003A7E54"/>
    <w:rsid w:val="003A7E6D"/>
    <w:rsid w:val="003B0139"/>
    <w:rsid w:val="003B03C5"/>
    <w:rsid w:val="003B04B9"/>
    <w:rsid w:val="003B079F"/>
    <w:rsid w:val="003B0AAE"/>
    <w:rsid w:val="003B0AC8"/>
    <w:rsid w:val="003B0C79"/>
    <w:rsid w:val="003B0FCB"/>
    <w:rsid w:val="003B1467"/>
    <w:rsid w:val="003B1499"/>
    <w:rsid w:val="003B1604"/>
    <w:rsid w:val="003B17AC"/>
    <w:rsid w:val="003B1A16"/>
    <w:rsid w:val="003B1CB7"/>
    <w:rsid w:val="003B1D62"/>
    <w:rsid w:val="003B1EFB"/>
    <w:rsid w:val="003B1F7B"/>
    <w:rsid w:val="003B21FD"/>
    <w:rsid w:val="003B2237"/>
    <w:rsid w:val="003B231B"/>
    <w:rsid w:val="003B23CC"/>
    <w:rsid w:val="003B27E1"/>
    <w:rsid w:val="003B2810"/>
    <w:rsid w:val="003B2A42"/>
    <w:rsid w:val="003B2C2B"/>
    <w:rsid w:val="003B2E0D"/>
    <w:rsid w:val="003B2F4B"/>
    <w:rsid w:val="003B33D0"/>
    <w:rsid w:val="003B33FD"/>
    <w:rsid w:val="003B351F"/>
    <w:rsid w:val="003B3A12"/>
    <w:rsid w:val="003B3D40"/>
    <w:rsid w:val="003B443D"/>
    <w:rsid w:val="003B44C6"/>
    <w:rsid w:val="003B4750"/>
    <w:rsid w:val="003B47A2"/>
    <w:rsid w:val="003B47C3"/>
    <w:rsid w:val="003B4838"/>
    <w:rsid w:val="003B4895"/>
    <w:rsid w:val="003B53BD"/>
    <w:rsid w:val="003B5600"/>
    <w:rsid w:val="003B56C1"/>
    <w:rsid w:val="003B57ED"/>
    <w:rsid w:val="003B5907"/>
    <w:rsid w:val="003B5908"/>
    <w:rsid w:val="003B651A"/>
    <w:rsid w:val="003B68B1"/>
    <w:rsid w:val="003B6C97"/>
    <w:rsid w:val="003B7110"/>
    <w:rsid w:val="003B71A1"/>
    <w:rsid w:val="003B71E9"/>
    <w:rsid w:val="003B7362"/>
    <w:rsid w:val="003B74BE"/>
    <w:rsid w:val="003B7556"/>
    <w:rsid w:val="003B75ED"/>
    <w:rsid w:val="003B7771"/>
    <w:rsid w:val="003B781C"/>
    <w:rsid w:val="003B7A2B"/>
    <w:rsid w:val="003B7C7B"/>
    <w:rsid w:val="003C0011"/>
    <w:rsid w:val="003C09C4"/>
    <w:rsid w:val="003C0A6C"/>
    <w:rsid w:val="003C0AD7"/>
    <w:rsid w:val="003C17F7"/>
    <w:rsid w:val="003C1A4D"/>
    <w:rsid w:val="003C1F69"/>
    <w:rsid w:val="003C230C"/>
    <w:rsid w:val="003C25F9"/>
    <w:rsid w:val="003C2BDA"/>
    <w:rsid w:val="003C2C0D"/>
    <w:rsid w:val="003C2C66"/>
    <w:rsid w:val="003C300B"/>
    <w:rsid w:val="003C30EC"/>
    <w:rsid w:val="003C32C2"/>
    <w:rsid w:val="003C390B"/>
    <w:rsid w:val="003C39B2"/>
    <w:rsid w:val="003C3B57"/>
    <w:rsid w:val="003C45C7"/>
    <w:rsid w:val="003C474A"/>
    <w:rsid w:val="003C48B4"/>
    <w:rsid w:val="003C491A"/>
    <w:rsid w:val="003C4B29"/>
    <w:rsid w:val="003C4D2F"/>
    <w:rsid w:val="003C5140"/>
    <w:rsid w:val="003C56AB"/>
    <w:rsid w:val="003C5C2F"/>
    <w:rsid w:val="003C5E88"/>
    <w:rsid w:val="003C6224"/>
    <w:rsid w:val="003C633D"/>
    <w:rsid w:val="003C65CC"/>
    <w:rsid w:val="003C6914"/>
    <w:rsid w:val="003C6ECF"/>
    <w:rsid w:val="003C6FE9"/>
    <w:rsid w:val="003C7035"/>
    <w:rsid w:val="003C70E6"/>
    <w:rsid w:val="003C75D1"/>
    <w:rsid w:val="003C7797"/>
    <w:rsid w:val="003C7903"/>
    <w:rsid w:val="003C7D07"/>
    <w:rsid w:val="003D0C2F"/>
    <w:rsid w:val="003D0E38"/>
    <w:rsid w:val="003D1B95"/>
    <w:rsid w:val="003D2533"/>
    <w:rsid w:val="003D258C"/>
    <w:rsid w:val="003D25B6"/>
    <w:rsid w:val="003D2616"/>
    <w:rsid w:val="003D269E"/>
    <w:rsid w:val="003D284A"/>
    <w:rsid w:val="003D2A34"/>
    <w:rsid w:val="003D2FC3"/>
    <w:rsid w:val="003D3028"/>
    <w:rsid w:val="003D3AA4"/>
    <w:rsid w:val="003D3D1C"/>
    <w:rsid w:val="003D3FBD"/>
    <w:rsid w:val="003D4029"/>
    <w:rsid w:val="003D432D"/>
    <w:rsid w:val="003D44EC"/>
    <w:rsid w:val="003D47B1"/>
    <w:rsid w:val="003D492B"/>
    <w:rsid w:val="003D4968"/>
    <w:rsid w:val="003D4CE1"/>
    <w:rsid w:val="003D4D18"/>
    <w:rsid w:val="003D4E8A"/>
    <w:rsid w:val="003D4F8B"/>
    <w:rsid w:val="003D5307"/>
    <w:rsid w:val="003D537D"/>
    <w:rsid w:val="003D5C34"/>
    <w:rsid w:val="003D6174"/>
    <w:rsid w:val="003D62F2"/>
    <w:rsid w:val="003D6672"/>
    <w:rsid w:val="003D66C9"/>
    <w:rsid w:val="003D66D2"/>
    <w:rsid w:val="003D6B82"/>
    <w:rsid w:val="003D7052"/>
    <w:rsid w:val="003D70B4"/>
    <w:rsid w:val="003D70C8"/>
    <w:rsid w:val="003D7CCC"/>
    <w:rsid w:val="003D7DB6"/>
    <w:rsid w:val="003D7DD2"/>
    <w:rsid w:val="003D7E00"/>
    <w:rsid w:val="003D7EF7"/>
    <w:rsid w:val="003D7F7C"/>
    <w:rsid w:val="003E00FF"/>
    <w:rsid w:val="003E015B"/>
    <w:rsid w:val="003E07D5"/>
    <w:rsid w:val="003E0D76"/>
    <w:rsid w:val="003E0E6D"/>
    <w:rsid w:val="003E0F81"/>
    <w:rsid w:val="003E11F5"/>
    <w:rsid w:val="003E13E8"/>
    <w:rsid w:val="003E143D"/>
    <w:rsid w:val="003E1457"/>
    <w:rsid w:val="003E1BAD"/>
    <w:rsid w:val="003E1C12"/>
    <w:rsid w:val="003E240E"/>
    <w:rsid w:val="003E26E7"/>
    <w:rsid w:val="003E27A8"/>
    <w:rsid w:val="003E2CB3"/>
    <w:rsid w:val="003E2FEB"/>
    <w:rsid w:val="003E329B"/>
    <w:rsid w:val="003E3AD8"/>
    <w:rsid w:val="003E40A4"/>
    <w:rsid w:val="003E42D7"/>
    <w:rsid w:val="003E4645"/>
    <w:rsid w:val="003E47FB"/>
    <w:rsid w:val="003E4809"/>
    <w:rsid w:val="003E482A"/>
    <w:rsid w:val="003E4891"/>
    <w:rsid w:val="003E48D6"/>
    <w:rsid w:val="003E48F1"/>
    <w:rsid w:val="003E499A"/>
    <w:rsid w:val="003E4E0C"/>
    <w:rsid w:val="003E4EB9"/>
    <w:rsid w:val="003E5011"/>
    <w:rsid w:val="003E53C5"/>
    <w:rsid w:val="003E55A4"/>
    <w:rsid w:val="003E57BE"/>
    <w:rsid w:val="003E5A9F"/>
    <w:rsid w:val="003E63BD"/>
    <w:rsid w:val="003E6915"/>
    <w:rsid w:val="003E6A23"/>
    <w:rsid w:val="003E7083"/>
    <w:rsid w:val="003E70AB"/>
    <w:rsid w:val="003E7163"/>
    <w:rsid w:val="003E7695"/>
    <w:rsid w:val="003E7911"/>
    <w:rsid w:val="003E7AAE"/>
    <w:rsid w:val="003E7DAE"/>
    <w:rsid w:val="003F009A"/>
    <w:rsid w:val="003F02F2"/>
    <w:rsid w:val="003F0548"/>
    <w:rsid w:val="003F065A"/>
    <w:rsid w:val="003F0C2C"/>
    <w:rsid w:val="003F0C6C"/>
    <w:rsid w:val="003F0F6E"/>
    <w:rsid w:val="003F145C"/>
    <w:rsid w:val="003F1594"/>
    <w:rsid w:val="003F1A32"/>
    <w:rsid w:val="003F1A90"/>
    <w:rsid w:val="003F1AC3"/>
    <w:rsid w:val="003F1C36"/>
    <w:rsid w:val="003F1C5B"/>
    <w:rsid w:val="003F1D68"/>
    <w:rsid w:val="003F1DFD"/>
    <w:rsid w:val="003F1ED4"/>
    <w:rsid w:val="003F1EDE"/>
    <w:rsid w:val="003F2417"/>
    <w:rsid w:val="003F28A7"/>
    <w:rsid w:val="003F2918"/>
    <w:rsid w:val="003F2B6D"/>
    <w:rsid w:val="003F2F1F"/>
    <w:rsid w:val="003F3164"/>
    <w:rsid w:val="003F320F"/>
    <w:rsid w:val="003F3316"/>
    <w:rsid w:val="003F3345"/>
    <w:rsid w:val="003F3506"/>
    <w:rsid w:val="003F38A2"/>
    <w:rsid w:val="003F3A15"/>
    <w:rsid w:val="003F3D54"/>
    <w:rsid w:val="003F3E86"/>
    <w:rsid w:val="003F3FCF"/>
    <w:rsid w:val="003F43E9"/>
    <w:rsid w:val="003F449D"/>
    <w:rsid w:val="003F4824"/>
    <w:rsid w:val="003F493C"/>
    <w:rsid w:val="003F49D4"/>
    <w:rsid w:val="003F5080"/>
    <w:rsid w:val="003F5238"/>
    <w:rsid w:val="003F533F"/>
    <w:rsid w:val="003F540F"/>
    <w:rsid w:val="003F5491"/>
    <w:rsid w:val="003F596E"/>
    <w:rsid w:val="003F5A07"/>
    <w:rsid w:val="003F5A35"/>
    <w:rsid w:val="003F5B7D"/>
    <w:rsid w:val="003F5BB4"/>
    <w:rsid w:val="003F5E44"/>
    <w:rsid w:val="003F6637"/>
    <w:rsid w:val="003F6958"/>
    <w:rsid w:val="003F6B38"/>
    <w:rsid w:val="003F6BDD"/>
    <w:rsid w:val="003F6CFE"/>
    <w:rsid w:val="003F7068"/>
    <w:rsid w:val="003F71AF"/>
    <w:rsid w:val="003F7392"/>
    <w:rsid w:val="003F774D"/>
    <w:rsid w:val="003F782D"/>
    <w:rsid w:val="003F7C1A"/>
    <w:rsid w:val="003F7DF0"/>
    <w:rsid w:val="003F7E7A"/>
    <w:rsid w:val="003F7EFB"/>
    <w:rsid w:val="00400258"/>
    <w:rsid w:val="004006DD"/>
    <w:rsid w:val="004009F1"/>
    <w:rsid w:val="00400F59"/>
    <w:rsid w:val="004010BB"/>
    <w:rsid w:val="004012A4"/>
    <w:rsid w:val="004012F6"/>
    <w:rsid w:val="00401954"/>
    <w:rsid w:val="00401BF0"/>
    <w:rsid w:val="00402145"/>
    <w:rsid w:val="00402153"/>
    <w:rsid w:val="0040216D"/>
    <w:rsid w:val="004024A9"/>
    <w:rsid w:val="00402561"/>
    <w:rsid w:val="004028A1"/>
    <w:rsid w:val="004028C7"/>
    <w:rsid w:val="004028D1"/>
    <w:rsid w:val="0040292D"/>
    <w:rsid w:val="00402A47"/>
    <w:rsid w:val="00402CE5"/>
    <w:rsid w:val="004030D9"/>
    <w:rsid w:val="0040337A"/>
    <w:rsid w:val="00403413"/>
    <w:rsid w:val="004034E3"/>
    <w:rsid w:val="004036B0"/>
    <w:rsid w:val="00403B47"/>
    <w:rsid w:val="00403C26"/>
    <w:rsid w:val="00403D9C"/>
    <w:rsid w:val="00403F71"/>
    <w:rsid w:val="00403F74"/>
    <w:rsid w:val="004042A6"/>
    <w:rsid w:val="00404524"/>
    <w:rsid w:val="00404640"/>
    <w:rsid w:val="00404DEE"/>
    <w:rsid w:val="00405A58"/>
    <w:rsid w:val="00405E3B"/>
    <w:rsid w:val="004066F9"/>
    <w:rsid w:val="0040690D"/>
    <w:rsid w:val="0040698A"/>
    <w:rsid w:val="00407139"/>
    <w:rsid w:val="00407183"/>
    <w:rsid w:val="004071CD"/>
    <w:rsid w:val="0040743E"/>
    <w:rsid w:val="004075D4"/>
    <w:rsid w:val="0040777B"/>
    <w:rsid w:val="004077C9"/>
    <w:rsid w:val="00407885"/>
    <w:rsid w:val="0040793A"/>
    <w:rsid w:val="00407B15"/>
    <w:rsid w:val="0041002C"/>
    <w:rsid w:val="004100F3"/>
    <w:rsid w:val="00410659"/>
    <w:rsid w:val="00410C3E"/>
    <w:rsid w:val="00411642"/>
    <w:rsid w:val="004116A0"/>
    <w:rsid w:val="00411918"/>
    <w:rsid w:val="004119CB"/>
    <w:rsid w:val="00411B40"/>
    <w:rsid w:val="0041228E"/>
    <w:rsid w:val="00412334"/>
    <w:rsid w:val="004129A1"/>
    <w:rsid w:val="00412A85"/>
    <w:rsid w:val="00413AAE"/>
    <w:rsid w:val="0041434F"/>
    <w:rsid w:val="0041436F"/>
    <w:rsid w:val="00414859"/>
    <w:rsid w:val="00414C7D"/>
    <w:rsid w:val="00414D1C"/>
    <w:rsid w:val="00414E7A"/>
    <w:rsid w:val="00414F4F"/>
    <w:rsid w:val="004158BB"/>
    <w:rsid w:val="00415B2D"/>
    <w:rsid w:val="00415D09"/>
    <w:rsid w:val="00415F0B"/>
    <w:rsid w:val="00416026"/>
    <w:rsid w:val="00416057"/>
    <w:rsid w:val="00416180"/>
    <w:rsid w:val="0041629C"/>
    <w:rsid w:val="00416382"/>
    <w:rsid w:val="00416661"/>
    <w:rsid w:val="00416768"/>
    <w:rsid w:val="00416AC0"/>
    <w:rsid w:val="00416B32"/>
    <w:rsid w:val="00416FC0"/>
    <w:rsid w:val="00417039"/>
    <w:rsid w:val="00417333"/>
    <w:rsid w:val="00417427"/>
    <w:rsid w:val="004178B0"/>
    <w:rsid w:val="00417B3F"/>
    <w:rsid w:val="00417BBD"/>
    <w:rsid w:val="00417EBE"/>
    <w:rsid w:val="00420290"/>
    <w:rsid w:val="00420431"/>
    <w:rsid w:val="00420520"/>
    <w:rsid w:val="00420627"/>
    <w:rsid w:val="00420756"/>
    <w:rsid w:val="00420838"/>
    <w:rsid w:val="00420898"/>
    <w:rsid w:val="00421474"/>
    <w:rsid w:val="004215BA"/>
    <w:rsid w:val="0042162F"/>
    <w:rsid w:val="00421691"/>
    <w:rsid w:val="004222DD"/>
    <w:rsid w:val="0042272A"/>
    <w:rsid w:val="00423055"/>
    <w:rsid w:val="004230D9"/>
    <w:rsid w:val="004233E0"/>
    <w:rsid w:val="0042353D"/>
    <w:rsid w:val="00423628"/>
    <w:rsid w:val="0042392C"/>
    <w:rsid w:val="004239B2"/>
    <w:rsid w:val="00423BC4"/>
    <w:rsid w:val="00423E71"/>
    <w:rsid w:val="00423F1F"/>
    <w:rsid w:val="0042404A"/>
    <w:rsid w:val="00424085"/>
    <w:rsid w:val="004247A7"/>
    <w:rsid w:val="00424A2B"/>
    <w:rsid w:val="004250D8"/>
    <w:rsid w:val="00425114"/>
    <w:rsid w:val="004253CE"/>
    <w:rsid w:val="00425458"/>
    <w:rsid w:val="004255B5"/>
    <w:rsid w:val="0042583F"/>
    <w:rsid w:val="004258F2"/>
    <w:rsid w:val="0042596B"/>
    <w:rsid w:val="00425A28"/>
    <w:rsid w:val="00425EB5"/>
    <w:rsid w:val="00425FE5"/>
    <w:rsid w:val="00426153"/>
    <w:rsid w:val="0042636C"/>
    <w:rsid w:val="00426526"/>
    <w:rsid w:val="00426A19"/>
    <w:rsid w:val="00426B93"/>
    <w:rsid w:val="00426C8A"/>
    <w:rsid w:val="00426D00"/>
    <w:rsid w:val="00427279"/>
    <w:rsid w:val="00427347"/>
    <w:rsid w:val="00427555"/>
    <w:rsid w:val="0042777E"/>
    <w:rsid w:val="004277AC"/>
    <w:rsid w:val="0042785B"/>
    <w:rsid w:val="00427A71"/>
    <w:rsid w:val="004300E0"/>
    <w:rsid w:val="004302B1"/>
    <w:rsid w:val="00430302"/>
    <w:rsid w:val="00430793"/>
    <w:rsid w:val="0043079E"/>
    <w:rsid w:val="00430D33"/>
    <w:rsid w:val="00430F39"/>
    <w:rsid w:val="00430F9A"/>
    <w:rsid w:val="0043117D"/>
    <w:rsid w:val="004314BD"/>
    <w:rsid w:val="0043180C"/>
    <w:rsid w:val="00431825"/>
    <w:rsid w:val="00431AF5"/>
    <w:rsid w:val="00431B86"/>
    <w:rsid w:val="00431EF3"/>
    <w:rsid w:val="0043270B"/>
    <w:rsid w:val="004328CE"/>
    <w:rsid w:val="0043293F"/>
    <w:rsid w:val="00432B7D"/>
    <w:rsid w:val="00432D0A"/>
    <w:rsid w:val="00432E2E"/>
    <w:rsid w:val="00432F31"/>
    <w:rsid w:val="004335DB"/>
    <w:rsid w:val="00433BC1"/>
    <w:rsid w:val="00433BD5"/>
    <w:rsid w:val="00433C41"/>
    <w:rsid w:val="00433F43"/>
    <w:rsid w:val="004340DC"/>
    <w:rsid w:val="004341D9"/>
    <w:rsid w:val="004342DF"/>
    <w:rsid w:val="00434373"/>
    <w:rsid w:val="004343B1"/>
    <w:rsid w:val="0043446C"/>
    <w:rsid w:val="0043483F"/>
    <w:rsid w:val="00434A48"/>
    <w:rsid w:val="00434A81"/>
    <w:rsid w:val="00434AD1"/>
    <w:rsid w:val="00434B4C"/>
    <w:rsid w:val="00434CA0"/>
    <w:rsid w:val="00434D95"/>
    <w:rsid w:val="0043517C"/>
    <w:rsid w:val="004352B9"/>
    <w:rsid w:val="00435307"/>
    <w:rsid w:val="004355FE"/>
    <w:rsid w:val="00435F95"/>
    <w:rsid w:val="00436175"/>
    <w:rsid w:val="0043617B"/>
    <w:rsid w:val="00436860"/>
    <w:rsid w:val="0043705E"/>
    <w:rsid w:val="004371A0"/>
    <w:rsid w:val="00437284"/>
    <w:rsid w:val="004374BD"/>
    <w:rsid w:val="00437842"/>
    <w:rsid w:val="004378D0"/>
    <w:rsid w:val="00437C9B"/>
    <w:rsid w:val="00437CEC"/>
    <w:rsid w:val="00437D49"/>
    <w:rsid w:val="00437F3B"/>
    <w:rsid w:val="00440146"/>
    <w:rsid w:val="00440764"/>
    <w:rsid w:val="00440B33"/>
    <w:rsid w:val="00440C46"/>
    <w:rsid w:val="0044145F"/>
    <w:rsid w:val="0044148B"/>
    <w:rsid w:val="004415AD"/>
    <w:rsid w:val="00441AF3"/>
    <w:rsid w:val="00441D94"/>
    <w:rsid w:val="00442063"/>
    <w:rsid w:val="0044218D"/>
    <w:rsid w:val="00442563"/>
    <w:rsid w:val="00442B8D"/>
    <w:rsid w:val="00442FE4"/>
    <w:rsid w:val="004435BE"/>
    <w:rsid w:val="00443781"/>
    <w:rsid w:val="004439FC"/>
    <w:rsid w:val="00443F49"/>
    <w:rsid w:val="0044401C"/>
    <w:rsid w:val="00444235"/>
    <w:rsid w:val="00444286"/>
    <w:rsid w:val="00444B64"/>
    <w:rsid w:val="00444B69"/>
    <w:rsid w:val="00444D80"/>
    <w:rsid w:val="00445023"/>
    <w:rsid w:val="004455DF"/>
    <w:rsid w:val="00445724"/>
    <w:rsid w:val="00445A23"/>
    <w:rsid w:val="00445B0B"/>
    <w:rsid w:val="00445F55"/>
    <w:rsid w:val="0044611A"/>
    <w:rsid w:val="004466C2"/>
    <w:rsid w:val="00446B9A"/>
    <w:rsid w:val="00447172"/>
    <w:rsid w:val="00447AB5"/>
    <w:rsid w:val="004502DD"/>
    <w:rsid w:val="00450439"/>
    <w:rsid w:val="00450608"/>
    <w:rsid w:val="00450B15"/>
    <w:rsid w:val="00451218"/>
    <w:rsid w:val="0045170F"/>
    <w:rsid w:val="0045185B"/>
    <w:rsid w:val="00451D86"/>
    <w:rsid w:val="004521BF"/>
    <w:rsid w:val="00452294"/>
    <w:rsid w:val="00452568"/>
    <w:rsid w:val="00452926"/>
    <w:rsid w:val="00452C67"/>
    <w:rsid w:val="00452FAE"/>
    <w:rsid w:val="0045304B"/>
    <w:rsid w:val="004531B5"/>
    <w:rsid w:val="00453216"/>
    <w:rsid w:val="00453259"/>
    <w:rsid w:val="00453399"/>
    <w:rsid w:val="00453554"/>
    <w:rsid w:val="004536F4"/>
    <w:rsid w:val="004536FA"/>
    <w:rsid w:val="0045376B"/>
    <w:rsid w:val="00453A9F"/>
    <w:rsid w:val="00453B36"/>
    <w:rsid w:val="00453B3B"/>
    <w:rsid w:val="00453DED"/>
    <w:rsid w:val="00453E23"/>
    <w:rsid w:val="00454104"/>
    <w:rsid w:val="004543CE"/>
    <w:rsid w:val="004546C8"/>
    <w:rsid w:val="004547DD"/>
    <w:rsid w:val="00454917"/>
    <w:rsid w:val="0045493B"/>
    <w:rsid w:val="00454B1F"/>
    <w:rsid w:val="00454D17"/>
    <w:rsid w:val="00454D23"/>
    <w:rsid w:val="00454E6C"/>
    <w:rsid w:val="004551B7"/>
    <w:rsid w:val="0045536E"/>
    <w:rsid w:val="00455757"/>
    <w:rsid w:val="00455919"/>
    <w:rsid w:val="00455994"/>
    <w:rsid w:val="00455998"/>
    <w:rsid w:val="00455FB7"/>
    <w:rsid w:val="0045618B"/>
    <w:rsid w:val="004565E0"/>
    <w:rsid w:val="00456873"/>
    <w:rsid w:val="00456A12"/>
    <w:rsid w:val="00456F3C"/>
    <w:rsid w:val="0045706A"/>
    <w:rsid w:val="004573A6"/>
    <w:rsid w:val="00457877"/>
    <w:rsid w:val="00457963"/>
    <w:rsid w:val="0045796F"/>
    <w:rsid w:val="00460B70"/>
    <w:rsid w:val="00460D55"/>
    <w:rsid w:val="00460EB8"/>
    <w:rsid w:val="004615B7"/>
    <w:rsid w:val="00461826"/>
    <w:rsid w:val="00461991"/>
    <w:rsid w:val="00461CE0"/>
    <w:rsid w:val="00461DAF"/>
    <w:rsid w:val="004620C7"/>
    <w:rsid w:val="00462258"/>
    <w:rsid w:val="0046245E"/>
    <w:rsid w:val="0046249B"/>
    <w:rsid w:val="00462C55"/>
    <w:rsid w:val="00462C9E"/>
    <w:rsid w:val="00462D5B"/>
    <w:rsid w:val="00463156"/>
    <w:rsid w:val="00463436"/>
    <w:rsid w:val="00463E1E"/>
    <w:rsid w:val="0046413C"/>
    <w:rsid w:val="0046447D"/>
    <w:rsid w:val="004646F8"/>
    <w:rsid w:val="00464A44"/>
    <w:rsid w:val="0046505F"/>
    <w:rsid w:val="004656B5"/>
    <w:rsid w:val="004657A3"/>
    <w:rsid w:val="00465844"/>
    <w:rsid w:val="004658A0"/>
    <w:rsid w:val="004659E7"/>
    <w:rsid w:val="00465E98"/>
    <w:rsid w:val="00465F0E"/>
    <w:rsid w:val="00465F13"/>
    <w:rsid w:val="00466199"/>
    <w:rsid w:val="004664F8"/>
    <w:rsid w:val="00466A3D"/>
    <w:rsid w:val="00466B05"/>
    <w:rsid w:val="00466D6B"/>
    <w:rsid w:val="00466DA8"/>
    <w:rsid w:val="00466F2B"/>
    <w:rsid w:val="00467141"/>
    <w:rsid w:val="004673DE"/>
    <w:rsid w:val="00467742"/>
    <w:rsid w:val="00467991"/>
    <w:rsid w:val="00467BF7"/>
    <w:rsid w:val="00467D0E"/>
    <w:rsid w:val="00467D5D"/>
    <w:rsid w:val="00467E43"/>
    <w:rsid w:val="004703E6"/>
    <w:rsid w:val="004704E2"/>
    <w:rsid w:val="004706A6"/>
    <w:rsid w:val="00470869"/>
    <w:rsid w:val="00470929"/>
    <w:rsid w:val="004709E1"/>
    <w:rsid w:val="004713EB"/>
    <w:rsid w:val="00471446"/>
    <w:rsid w:val="004714D2"/>
    <w:rsid w:val="0047175B"/>
    <w:rsid w:val="0047196B"/>
    <w:rsid w:val="004719C1"/>
    <w:rsid w:val="00471E51"/>
    <w:rsid w:val="00471EC8"/>
    <w:rsid w:val="0047204A"/>
    <w:rsid w:val="00472138"/>
    <w:rsid w:val="00472451"/>
    <w:rsid w:val="00472551"/>
    <w:rsid w:val="004727C4"/>
    <w:rsid w:val="00472EC8"/>
    <w:rsid w:val="00472F53"/>
    <w:rsid w:val="00473074"/>
    <w:rsid w:val="004732A8"/>
    <w:rsid w:val="004737D2"/>
    <w:rsid w:val="0047386D"/>
    <w:rsid w:val="00473B55"/>
    <w:rsid w:val="00473E66"/>
    <w:rsid w:val="00474026"/>
    <w:rsid w:val="004741AC"/>
    <w:rsid w:val="00474212"/>
    <w:rsid w:val="0047440D"/>
    <w:rsid w:val="004744DC"/>
    <w:rsid w:val="00474E2F"/>
    <w:rsid w:val="00475145"/>
    <w:rsid w:val="00475579"/>
    <w:rsid w:val="00475624"/>
    <w:rsid w:val="00475C60"/>
    <w:rsid w:val="00475CBB"/>
    <w:rsid w:val="00475E90"/>
    <w:rsid w:val="00475F2F"/>
    <w:rsid w:val="00476141"/>
    <w:rsid w:val="00476168"/>
    <w:rsid w:val="0047636F"/>
    <w:rsid w:val="004763D3"/>
    <w:rsid w:val="00476B05"/>
    <w:rsid w:val="00476E93"/>
    <w:rsid w:val="00477040"/>
    <w:rsid w:val="004777FB"/>
    <w:rsid w:val="00477E84"/>
    <w:rsid w:val="00477F12"/>
    <w:rsid w:val="00480085"/>
    <w:rsid w:val="004800B7"/>
    <w:rsid w:val="0048045D"/>
    <w:rsid w:val="0048059B"/>
    <w:rsid w:val="00480B4D"/>
    <w:rsid w:val="00480DC6"/>
    <w:rsid w:val="0048110F"/>
    <w:rsid w:val="00481390"/>
    <w:rsid w:val="00481674"/>
    <w:rsid w:val="00481819"/>
    <w:rsid w:val="00481A08"/>
    <w:rsid w:val="00481DB8"/>
    <w:rsid w:val="00481EB7"/>
    <w:rsid w:val="004820FB"/>
    <w:rsid w:val="00482114"/>
    <w:rsid w:val="004822B8"/>
    <w:rsid w:val="004823DF"/>
    <w:rsid w:val="0048263F"/>
    <w:rsid w:val="00482677"/>
    <w:rsid w:val="0048293A"/>
    <w:rsid w:val="00482CB7"/>
    <w:rsid w:val="00482D14"/>
    <w:rsid w:val="00482E90"/>
    <w:rsid w:val="004831EE"/>
    <w:rsid w:val="00483440"/>
    <w:rsid w:val="0048370C"/>
    <w:rsid w:val="004838FB"/>
    <w:rsid w:val="00483A78"/>
    <w:rsid w:val="00483D8C"/>
    <w:rsid w:val="0048446E"/>
    <w:rsid w:val="004846CC"/>
    <w:rsid w:val="004849F6"/>
    <w:rsid w:val="00484AEA"/>
    <w:rsid w:val="00484D6B"/>
    <w:rsid w:val="00484F7A"/>
    <w:rsid w:val="004851ED"/>
    <w:rsid w:val="00485251"/>
    <w:rsid w:val="00485435"/>
    <w:rsid w:val="00485885"/>
    <w:rsid w:val="00485E02"/>
    <w:rsid w:val="00485E9D"/>
    <w:rsid w:val="00486301"/>
    <w:rsid w:val="0048667B"/>
    <w:rsid w:val="00486875"/>
    <w:rsid w:val="00486A6F"/>
    <w:rsid w:val="00486DBE"/>
    <w:rsid w:val="00486FC3"/>
    <w:rsid w:val="004874B9"/>
    <w:rsid w:val="004874ED"/>
    <w:rsid w:val="00487817"/>
    <w:rsid w:val="00487A04"/>
    <w:rsid w:val="00487AC3"/>
    <w:rsid w:val="00487B4F"/>
    <w:rsid w:val="00487C2C"/>
    <w:rsid w:val="004902CA"/>
    <w:rsid w:val="00490510"/>
    <w:rsid w:val="0049059E"/>
    <w:rsid w:val="00490907"/>
    <w:rsid w:val="00490C15"/>
    <w:rsid w:val="00490C8A"/>
    <w:rsid w:val="00491156"/>
    <w:rsid w:val="004917E9"/>
    <w:rsid w:val="004918EE"/>
    <w:rsid w:val="00491C76"/>
    <w:rsid w:val="0049200E"/>
    <w:rsid w:val="00492141"/>
    <w:rsid w:val="004929B9"/>
    <w:rsid w:val="004929C2"/>
    <w:rsid w:val="004929E3"/>
    <w:rsid w:val="00492DE1"/>
    <w:rsid w:val="00493124"/>
    <w:rsid w:val="0049351D"/>
    <w:rsid w:val="004935E2"/>
    <w:rsid w:val="00493617"/>
    <w:rsid w:val="0049399C"/>
    <w:rsid w:val="00493EB5"/>
    <w:rsid w:val="00493F24"/>
    <w:rsid w:val="00494252"/>
    <w:rsid w:val="004942A7"/>
    <w:rsid w:val="004943FD"/>
    <w:rsid w:val="00494402"/>
    <w:rsid w:val="004944B4"/>
    <w:rsid w:val="00494963"/>
    <w:rsid w:val="00494A2A"/>
    <w:rsid w:val="00494D37"/>
    <w:rsid w:val="00494F94"/>
    <w:rsid w:val="0049582F"/>
    <w:rsid w:val="004959D2"/>
    <w:rsid w:val="00495C62"/>
    <w:rsid w:val="00496253"/>
    <w:rsid w:val="004963E2"/>
    <w:rsid w:val="004968A0"/>
    <w:rsid w:val="00496967"/>
    <w:rsid w:val="004969D0"/>
    <w:rsid w:val="00496A2C"/>
    <w:rsid w:val="00496AAB"/>
    <w:rsid w:val="004970E9"/>
    <w:rsid w:val="004974D0"/>
    <w:rsid w:val="00497609"/>
    <w:rsid w:val="0049762C"/>
    <w:rsid w:val="004978BF"/>
    <w:rsid w:val="004978CF"/>
    <w:rsid w:val="004978F7"/>
    <w:rsid w:val="00497A43"/>
    <w:rsid w:val="00497A91"/>
    <w:rsid w:val="00497B2B"/>
    <w:rsid w:val="00497F76"/>
    <w:rsid w:val="004A0129"/>
    <w:rsid w:val="004A0190"/>
    <w:rsid w:val="004A04AE"/>
    <w:rsid w:val="004A0DF7"/>
    <w:rsid w:val="004A0EB5"/>
    <w:rsid w:val="004A0EBB"/>
    <w:rsid w:val="004A1029"/>
    <w:rsid w:val="004A12E5"/>
    <w:rsid w:val="004A1389"/>
    <w:rsid w:val="004A13F5"/>
    <w:rsid w:val="004A167F"/>
    <w:rsid w:val="004A1A06"/>
    <w:rsid w:val="004A1C1F"/>
    <w:rsid w:val="004A1F65"/>
    <w:rsid w:val="004A226C"/>
    <w:rsid w:val="004A246B"/>
    <w:rsid w:val="004A2AD0"/>
    <w:rsid w:val="004A2E38"/>
    <w:rsid w:val="004A33A3"/>
    <w:rsid w:val="004A38C7"/>
    <w:rsid w:val="004A39A4"/>
    <w:rsid w:val="004A3AAD"/>
    <w:rsid w:val="004A3B23"/>
    <w:rsid w:val="004A3D23"/>
    <w:rsid w:val="004A3D8F"/>
    <w:rsid w:val="004A40B2"/>
    <w:rsid w:val="004A4656"/>
    <w:rsid w:val="004A495C"/>
    <w:rsid w:val="004A4BEB"/>
    <w:rsid w:val="004A4D43"/>
    <w:rsid w:val="004A4E63"/>
    <w:rsid w:val="004A54A4"/>
    <w:rsid w:val="004A559B"/>
    <w:rsid w:val="004A5BD7"/>
    <w:rsid w:val="004A6286"/>
    <w:rsid w:val="004A641C"/>
    <w:rsid w:val="004A6897"/>
    <w:rsid w:val="004A6DBD"/>
    <w:rsid w:val="004A6F54"/>
    <w:rsid w:val="004A6F63"/>
    <w:rsid w:val="004A731E"/>
    <w:rsid w:val="004A7370"/>
    <w:rsid w:val="004A78A2"/>
    <w:rsid w:val="004A7F59"/>
    <w:rsid w:val="004B0018"/>
    <w:rsid w:val="004B0549"/>
    <w:rsid w:val="004B0CD1"/>
    <w:rsid w:val="004B1100"/>
    <w:rsid w:val="004B1500"/>
    <w:rsid w:val="004B15ED"/>
    <w:rsid w:val="004B1AE3"/>
    <w:rsid w:val="004B1B43"/>
    <w:rsid w:val="004B1B8B"/>
    <w:rsid w:val="004B1E98"/>
    <w:rsid w:val="004B244E"/>
    <w:rsid w:val="004B26FF"/>
    <w:rsid w:val="004B2721"/>
    <w:rsid w:val="004B2751"/>
    <w:rsid w:val="004B2813"/>
    <w:rsid w:val="004B314F"/>
    <w:rsid w:val="004B39B6"/>
    <w:rsid w:val="004B39E7"/>
    <w:rsid w:val="004B40AB"/>
    <w:rsid w:val="004B4151"/>
    <w:rsid w:val="004B43E9"/>
    <w:rsid w:val="004B444C"/>
    <w:rsid w:val="004B4686"/>
    <w:rsid w:val="004B4793"/>
    <w:rsid w:val="004B4954"/>
    <w:rsid w:val="004B4C40"/>
    <w:rsid w:val="004B4C46"/>
    <w:rsid w:val="004B4CE1"/>
    <w:rsid w:val="004B4E06"/>
    <w:rsid w:val="004B5154"/>
    <w:rsid w:val="004B5875"/>
    <w:rsid w:val="004B5986"/>
    <w:rsid w:val="004B5CCF"/>
    <w:rsid w:val="004B66AE"/>
    <w:rsid w:val="004B67BF"/>
    <w:rsid w:val="004B6891"/>
    <w:rsid w:val="004B6E32"/>
    <w:rsid w:val="004B7121"/>
    <w:rsid w:val="004B72CE"/>
    <w:rsid w:val="004B73C2"/>
    <w:rsid w:val="004B7563"/>
    <w:rsid w:val="004B79BE"/>
    <w:rsid w:val="004B7AA1"/>
    <w:rsid w:val="004B7D09"/>
    <w:rsid w:val="004B7ED6"/>
    <w:rsid w:val="004C004C"/>
    <w:rsid w:val="004C04E3"/>
    <w:rsid w:val="004C0B63"/>
    <w:rsid w:val="004C0B8C"/>
    <w:rsid w:val="004C0BDF"/>
    <w:rsid w:val="004C1056"/>
    <w:rsid w:val="004C1175"/>
    <w:rsid w:val="004C118A"/>
    <w:rsid w:val="004C1205"/>
    <w:rsid w:val="004C1412"/>
    <w:rsid w:val="004C1624"/>
    <w:rsid w:val="004C1729"/>
    <w:rsid w:val="004C17B8"/>
    <w:rsid w:val="004C1BAC"/>
    <w:rsid w:val="004C1F02"/>
    <w:rsid w:val="004C2263"/>
    <w:rsid w:val="004C2381"/>
    <w:rsid w:val="004C23D5"/>
    <w:rsid w:val="004C2546"/>
    <w:rsid w:val="004C2BB4"/>
    <w:rsid w:val="004C2DF8"/>
    <w:rsid w:val="004C2EC4"/>
    <w:rsid w:val="004C300E"/>
    <w:rsid w:val="004C32B9"/>
    <w:rsid w:val="004C3FAE"/>
    <w:rsid w:val="004C4381"/>
    <w:rsid w:val="004C47E5"/>
    <w:rsid w:val="004C4D88"/>
    <w:rsid w:val="004C5059"/>
    <w:rsid w:val="004C5320"/>
    <w:rsid w:val="004C5672"/>
    <w:rsid w:val="004C56DE"/>
    <w:rsid w:val="004C57AD"/>
    <w:rsid w:val="004C5DBC"/>
    <w:rsid w:val="004C60F5"/>
    <w:rsid w:val="004C630B"/>
    <w:rsid w:val="004C6494"/>
    <w:rsid w:val="004C66CE"/>
    <w:rsid w:val="004C66EB"/>
    <w:rsid w:val="004C676E"/>
    <w:rsid w:val="004C6BD4"/>
    <w:rsid w:val="004C6BD5"/>
    <w:rsid w:val="004C6E0D"/>
    <w:rsid w:val="004C72DA"/>
    <w:rsid w:val="004C734B"/>
    <w:rsid w:val="004C748B"/>
    <w:rsid w:val="004C77C7"/>
    <w:rsid w:val="004C79C1"/>
    <w:rsid w:val="004C7A09"/>
    <w:rsid w:val="004D0623"/>
    <w:rsid w:val="004D085E"/>
    <w:rsid w:val="004D09C4"/>
    <w:rsid w:val="004D0D2A"/>
    <w:rsid w:val="004D0E09"/>
    <w:rsid w:val="004D17F8"/>
    <w:rsid w:val="004D19AA"/>
    <w:rsid w:val="004D1B59"/>
    <w:rsid w:val="004D2652"/>
    <w:rsid w:val="004D266E"/>
    <w:rsid w:val="004D3585"/>
    <w:rsid w:val="004D3AA5"/>
    <w:rsid w:val="004D3ACE"/>
    <w:rsid w:val="004D4288"/>
    <w:rsid w:val="004D43D9"/>
    <w:rsid w:val="004D4AE2"/>
    <w:rsid w:val="004D4E1A"/>
    <w:rsid w:val="004D4E40"/>
    <w:rsid w:val="004D4EA7"/>
    <w:rsid w:val="004D4F6B"/>
    <w:rsid w:val="004D4FBD"/>
    <w:rsid w:val="004D5331"/>
    <w:rsid w:val="004D5882"/>
    <w:rsid w:val="004D5ADB"/>
    <w:rsid w:val="004D5CA0"/>
    <w:rsid w:val="004D5F48"/>
    <w:rsid w:val="004D5F5A"/>
    <w:rsid w:val="004D62AE"/>
    <w:rsid w:val="004D6821"/>
    <w:rsid w:val="004D6B2C"/>
    <w:rsid w:val="004D6DD7"/>
    <w:rsid w:val="004D72F0"/>
    <w:rsid w:val="004D752C"/>
    <w:rsid w:val="004D752F"/>
    <w:rsid w:val="004D7626"/>
    <w:rsid w:val="004D76BB"/>
    <w:rsid w:val="004D7A0D"/>
    <w:rsid w:val="004D7B33"/>
    <w:rsid w:val="004D7B50"/>
    <w:rsid w:val="004E02C2"/>
    <w:rsid w:val="004E0399"/>
    <w:rsid w:val="004E062C"/>
    <w:rsid w:val="004E08E2"/>
    <w:rsid w:val="004E0E3E"/>
    <w:rsid w:val="004E11E8"/>
    <w:rsid w:val="004E141C"/>
    <w:rsid w:val="004E1C56"/>
    <w:rsid w:val="004E1C99"/>
    <w:rsid w:val="004E1CE0"/>
    <w:rsid w:val="004E226B"/>
    <w:rsid w:val="004E22A8"/>
    <w:rsid w:val="004E236D"/>
    <w:rsid w:val="004E2642"/>
    <w:rsid w:val="004E283A"/>
    <w:rsid w:val="004E2E7E"/>
    <w:rsid w:val="004E3068"/>
    <w:rsid w:val="004E3713"/>
    <w:rsid w:val="004E37AA"/>
    <w:rsid w:val="004E3F1F"/>
    <w:rsid w:val="004E442E"/>
    <w:rsid w:val="004E4A1E"/>
    <w:rsid w:val="004E4DDD"/>
    <w:rsid w:val="004E5182"/>
    <w:rsid w:val="004E51DB"/>
    <w:rsid w:val="004E557A"/>
    <w:rsid w:val="004E56A5"/>
    <w:rsid w:val="004E5D98"/>
    <w:rsid w:val="004E60F4"/>
    <w:rsid w:val="004E63EE"/>
    <w:rsid w:val="004E6585"/>
    <w:rsid w:val="004E6C3A"/>
    <w:rsid w:val="004E6D2C"/>
    <w:rsid w:val="004E6DDB"/>
    <w:rsid w:val="004E6EDB"/>
    <w:rsid w:val="004E6F44"/>
    <w:rsid w:val="004E7000"/>
    <w:rsid w:val="004E72D0"/>
    <w:rsid w:val="004E78B5"/>
    <w:rsid w:val="004E79C0"/>
    <w:rsid w:val="004E7A32"/>
    <w:rsid w:val="004E7A6C"/>
    <w:rsid w:val="004E7FB0"/>
    <w:rsid w:val="004F00E4"/>
    <w:rsid w:val="004F02B4"/>
    <w:rsid w:val="004F03F3"/>
    <w:rsid w:val="004F04CD"/>
    <w:rsid w:val="004F07AA"/>
    <w:rsid w:val="004F0808"/>
    <w:rsid w:val="004F0E0D"/>
    <w:rsid w:val="004F0EEF"/>
    <w:rsid w:val="004F0FB3"/>
    <w:rsid w:val="004F11EB"/>
    <w:rsid w:val="004F12E7"/>
    <w:rsid w:val="004F1638"/>
    <w:rsid w:val="004F1875"/>
    <w:rsid w:val="004F1C43"/>
    <w:rsid w:val="004F22E4"/>
    <w:rsid w:val="004F28B3"/>
    <w:rsid w:val="004F2B70"/>
    <w:rsid w:val="004F34EF"/>
    <w:rsid w:val="004F35B8"/>
    <w:rsid w:val="004F3D83"/>
    <w:rsid w:val="004F41A2"/>
    <w:rsid w:val="004F44A9"/>
    <w:rsid w:val="004F50AB"/>
    <w:rsid w:val="004F50F0"/>
    <w:rsid w:val="004F510A"/>
    <w:rsid w:val="004F5359"/>
    <w:rsid w:val="004F59CD"/>
    <w:rsid w:val="004F5DB0"/>
    <w:rsid w:val="004F5FD5"/>
    <w:rsid w:val="004F6047"/>
    <w:rsid w:val="004F60E9"/>
    <w:rsid w:val="004F6580"/>
    <w:rsid w:val="004F660F"/>
    <w:rsid w:val="004F679B"/>
    <w:rsid w:val="004F6959"/>
    <w:rsid w:val="004F698C"/>
    <w:rsid w:val="004F6B8D"/>
    <w:rsid w:val="004F6E19"/>
    <w:rsid w:val="004F6E6A"/>
    <w:rsid w:val="004F736A"/>
    <w:rsid w:val="004F7753"/>
    <w:rsid w:val="004F7B0B"/>
    <w:rsid w:val="004F7BAE"/>
    <w:rsid w:val="004F7D9E"/>
    <w:rsid w:val="004F7E00"/>
    <w:rsid w:val="00500044"/>
    <w:rsid w:val="00500107"/>
    <w:rsid w:val="00500203"/>
    <w:rsid w:val="00500401"/>
    <w:rsid w:val="0050070A"/>
    <w:rsid w:val="005008D5"/>
    <w:rsid w:val="00500A25"/>
    <w:rsid w:val="00500A8B"/>
    <w:rsid w:val="00500C1C"/>
    <w:rsid w:val="00500C6B"/>
    <w:rsid w:val="00501177"/>
    <w:rsid w:val="005011F6"/>
    <w:rsid w:val="005014F2"/>
    <w:rsid w:val="00501901"/>
    <w:rsid w:val="00501B49"/>
    <w:rsid w:val="00501C0D"/>
    <w:rsid w:val="00501CED"/>
    <w:rsid w:val="0050214D"/>
    <w:rsid w:val="005021BD"/>
    <w:rsid w:val="005023AF"/>
    <w:rsid w:val="00502AF7"/>
    <w:rsid w:val="00502F94"/>
    <w:rsid w:val="0050309C"/>
    <w:rsid w:val="005038D0"/>
    <w:rsid w:val="00503B08"/>
    <w:rsid w:val="00503CC8"/>
    <w:rsid w:val="00503F05"/>
    <w:rsid w:val="00504037"/>
    <w:rsid w:val="005040D3"/>
    <w:rsid w:val="00504271"/>
    <w:rsid w:val="005047D7"/>
    <w:rsid w:val="00504DC8"/>
    <w:rsid w:val="00505198"/>
    <w:rsid w:val="005053FC"/>
    <w:rsid w:val="00505A01"/>
    <w:rsid w:val="00505A08"/>
    <w:rsid w:val="00505AF2"/>
    <w:rsid w:val="00505B34"/>
    <w:rsid w:val="00505BEA"/>
    <w:rsid w:val="00505D82"/>
    <w:rsid w:val="00505E4F"/>
    <w:rsid w:val="00506760"/>
    <w:rsid w:val="00506793"/>
    <w:rsid w:val="00506B38"/>
    <w:rsid w:val="00506C04"/>
    <w:rsid w:val="0050711D"/>
    <w:rsid w:val="00507541"/>
    <w:rsid w:val="00507966"/>
    <w:rsid w:val="00507A24"/>
    <w:rsid w:val="00507A86"/>
    <w:rsid w:val="00507B7B"/>
    <w:rsid w:val="00507F8E"/>
    <w:rsid w:val="00510183"/>
    <w:rsid w:val="005107C2"/>
    <w:rsid w:val="00510836"/>
    <w:rsid w:val="005109B3"/>
    <w:rsid w:val="00510A57"/>
    <w:rsid w:val="00510AF5"/>
    <w:rsid w:val="00510E09"/>
    <w:rsid w:val="00510EB4"/>
    <w:rsid w:val="0051166C"/>
    <w:rsid w:val="00511DD3"/>
    <w:rsid w:val="00511F97"/>
    <w:rsid w:val="00512310"/>
    <w:rsid w:val="005126C6"/>
    <w:rsid w:val="00512A95"/>
    <w:rsid w:val="00512FD6"/>
    <w:rsid w:val="0051335C"/>
    <w:rsid w:val="005136A8"/>
    <w:rsid w:val="00513D22"/>
    <w:rsid w:val="00514655"/>
    <w:rsid w:val="00514C53"/>
    <w:rsid w:val="0051556B"/>
    <w:rsid w:val="005157EC"/>
    <w:rsid w:val="00515E4B"/>
    <w:rsid w:val="00515F24"/>
    <w:rsid w:val="00516437"/>
    <w:rsid w:val="005166BF"/>
    <w:rsid w:val="00516A5B"/>
    <w:rsid w:val="00517156"/>
    <w:rsid w:val="00517176"/>
    <w:rsid w:val="005172CF"/>
    <w:rsid w:val="00517D68"/>
    <w:rsid w:val="00517F80"/>
    <w:rsid w:val="0052046F"/>
    <w:rsid w:val="00520DD8"/>
    <w:rsid w:val="00521461"/>
    <w:rsid w:val="005217FD"/>
    <w:rsid w:val="005218DC"/>
    <w:rsid w:val="00521E34"/>
    <w:rsid w:val="00521E80"/>
    <w:rsid w:val="00522745"/>
    <w:rsid w:val="00522CAE"/>
    <w:rsid w:val="00522D70"/>
    <w:rsid w:val="00522D91"/>
    <w:rsid w:val="00522E0A"/>
    <w:rsid w:val="00522E5E"/>
    <w:rsid w:val="00522FB7"/>
    <w:rsid w:val="0052309C"/>
    <w:rsid w:val="005232C5"/>
    <w:rsid w:val="00523430"/>
    <w:rsid w:val="00523560"/>
    <w:rsid w:val="00523772"/>
    <w:rsid w:val="0052383B"/>
    <w:rsid w:val="005238DE"/>
    <w:rsid w:val="005239E9"/>
    <w:rsid w:val="00523B15"/>
    <w:rsid w:val="00523BFC"/>
    <w:rsid w:val="00523E29"/>
    <w:rsid w:val="00524213"/>
    <w:rsid w:val="0052433D"/>
    <w:rsid w:val="005244D5"/>
    <w:rsid w:val="00524527"/>
    <w:rsid w:val="00524663"/>
    <w:rsid w:val="00524D27"/>
    <w:rsid w:val="00524EFB"/>
    <w:rsid w:val="00524FA6"/>
    <w:rsid w:val="00525264"/>
    <w:rsid w:val="00525428"/>
    <w:rsid w:val="005254C7"/>
    <w:rsid w:val="00525739"/>
    <w:rsid w:val="00525C33"/>
    <w:rsid w:val="0052635B"/>
    <w:rsid w:val="0052662E"/>
    <w:rsid w:val="00526635"/>
    <w:rsid w:val="005269A1"/>
    <w:rsid w:val="00526D8D"/>
    <w:rsid w:val="00526FB4"/>
    <w:rsid w:val="00527469"/>
    <w:rsid w:val="005275E8"/>
    <w:rsid w:val="00527C54"/>
    <w:rsid w:val="00527C7F"/>
    <w:rsid w:val="00527C8A"/>
    <w:rsid w:val="00527F06"/>
    <w:rsid w:val="005305D3"/>
    <w:rsid w:val="0053093D"/>
    <w:rsid w:val="00530A8E"/>
    <w:rsid w:val="00530DFE"/>
    <w:rsid w:val="00531095"/>
    <w:rsid w:val="005310D1"/>
    <w:rsid w:val="0053113A"/>
    <w:rsid w:val="0053133F"/>
    <w:rsid w:val="005314E1"/>
    <w:rsid w:val="00531626"/>
    <w:rsid w:val="00531683"/>
    <w:rsid w:val="00531788"/>
    <w:rsid w:val="00531AE7"/>
    <w:rsid w:val="00531BE4"/>
    <w:rsid w:val="00531C6F"/>
    <w:rsid w:val="00531D5D"/>
    <w:rsid w:val="00531F18"/>
    <w:rsid w:val="00532360"/>
    <w:rsid w:val="00532747"/>
    <w:rsid w:val="0053274D"/>
    <w:rsid w:val="005327B9"/>
    <w:rsid w:val="00532935"/>
    <w:rsid w:val="0053351E"/>
    <w:rsid w:val="00533622"/>
    <w:rsid w:val="0053364C"/>
    <w:rsid w:val="0053384F"/>
    <w:rsid w:val="005339C4"/>
    <w:rsid w:val="00533F48"/>
    <w:rsid w:val="00533F56"/>
    <w:rsid w:val="00533FF6"/>
    <w:rsid w:val="00534131"/>
    <w:rsid w:val="00534899"/>
    <w:rsid w:val="005349C9"/>
    <w:rsid w:val="00534DA9"/>
    <w:rsid w:val="0053503C"/>
    <w:rsid w:val="0053504E"/>
    <w:rsid w:val="0053519F"/>
    <w:rsid w:val="00535382"/>
    <w:rsid w:val="005356D1"/>
    <w:rsid w:val="0053596A"/>
    <w:rsid w:val="0053598D"/>
    <w:rsid w:val="00535FFC"/>
    <w:rsid w:val="00536795"/>
    <w:rsid w:val="005368DB"/>
    <w:rsid w:val="00536B48"/>
    <w:rsid w:val="00536BD9"/>
    <w:rsid w:val="0053703D"/>
    <w:rsid w:val="005370D3"/>
    <w:rsid w:val="00537114"/>
    <w:rsid w:val="005371A9"/>
    <w:rsid w:val="005376A4"/>
    <w:rsid w:val="00537ADB"/>
    <w:rsid w:val="00537C89"/>
    <w:rsid w:val="00537ED0"/>
    <w:rsid w:val="00540097"/>
    <w:rsid w:val="00540368"/>
    <w:rsid w:val="00541204"/>
    <w:rsid w:val="005412EB"/>
    <w:rsid w:val="0054133D"/>
    <w:rsid w:val="00541713"/>
    <w:rsid w:val="005418EF"/>
    <w:rsid w:val="00541B2A"/>
    <w:rsid w:val="00541BB2"/>
    <w:rsid w:val="00541E2A"/>
    <w:rsid w:val="00541F08"/>
    <w:rsid w:val="00542301"/>
    <w:rsid w:val="00542303"/>
    <w:rsid w:val="005423F5"/>
    <w:rsid w:val="00542498"/>
    <w:rsid w:val="00542D41"/>
    <w:rsid w:val="00542E6F"/>
    <w:rsid w:val="00543087"/>
    <w:rsid w:val="00543155"/>
    <w:rsid w:val="005431F9"/>
    <w:rsid w:val="005433CA"/>
    <w:rsid w:val="00543465"/>
    <w:rsid w:val="00543809"/>
    <w:rsid w:val="0054386F"/>
    <w:rsid w:val="005438C9"/>
    <w:rsid w:val="00543DF9"/>
    <w:rsid w:val="00544D97"/>
    <w:rsid w:val="00544E32"/>
    <w:rsid w:val="005453D7"/>
    <w:rsid w:val="00545991"/>
    <w:rsid w:val="00545D81"/>
    <w:rsid w:val="00545DD4"/>
    <w:rsid w:val="00545ED8"/>
    <w:rsid w:val="00546234"/>
    <w:rsid w:val="00546313"/>
    <w:rsid w:val="005464A6"/>
    <w:rsid w:val="005464A9"/>
    <w:rsid w:val="00546BB4"/>
    <w:rsid w:val="00547104"/>
    <w:rsid w:val="005471ED"/>
    <w:rsid w:val="00547D4F"/>
    <w:rsid w:val="00547D9B"/>
    <w:rsid w:val="00547F3E"/>
    <w:rsid w:val="00547F5F"/>
    <w:rsid w:val="0055012C"/>
    <w:rsid w:val="00550187"/>
    <w:rsid w:val="0055029B"/>
    <w:rsid w:val="0055034C"/>
    <w:rsid w:val="00550377"/>
    <w:rsid w:val="00550500"/>
    <w:rsid w:val="00550736"/>
    <w:rsid w:val="00550CE4"/>
    <w:rsid w:val="00551248"/>
    <w:rsid w:val="00551583"/>
    <w:rsid w:val="005516A4"/>
    <w:rsid w:val="005517F9"/>
    <w:rsid w:val="00551DF1"/>
    <w:rsid w:val="00552505"/>
    <w:rsid w:val="00553DDE"/>
    <w:rsid w:val="005542F9"/>
    <w:rsid w:val="00554A12"/>
    <w:rsid w:val="00554EA2"/>
    <w:rsid w:val="00555230"/>
    <w:rsid w:val="00555235"/>
    <w:rsid w:val="005556DA"/>
    <w:rsid w:val="00555BDA"/>
    <w:rsid w:val="00555D9F"/>
    <w:rsid w:val="00556110"/>
    <w:rsid w:val="00556165"/>
    <w:rsid w:val="005565EC"/>
    <w:rsid w:val="005566C5"/>
    <w:rsid w:val="005567D1"/>
    <w:rsid w:val="00556938"/>
    <w:rsid w:val="00556A15"/>
    <w:rsid w:val="00556AB9"/>
    <w:rsid w:val="00556BA9"/>
    <w:rsid w:val="00556EBA"/>
    <w:rsid w:val="00557176"/>
    <w:rsid w:val="0055748A"/>
    <w:rsid w:val="0055751E"/>
    <w:rsid w:val="00557BB5"/>
    <w:rsid w:val="00557CF6"/>
    <w:rsid w:val="005601B8"/>
    <w:rsid w:val="005602D3"/>
    <w:rsid w:val="0056042A"/>
    <w:rsid w:val="0056073C"/>
    <w:rsid w:val="00560B95"/>
    <w:rsid w:val="00560EF3"/>
    <w:rsid w:val="00561361"/>
    <w:rsid w:val="005618CA"/>
    <w:rsid w:val="00561A09"/>
    <w:rsid w:val="00561AE9"/>
    <w:rsid w:val="00561B13"/>
    <w:rsid w:val="00561B79"/>
    <w:rsid w:val="0056205E"/>
    <w:rsid w:val="00562641"/>
    <w:rsid w:val="00562823"/>
    <w:rsid w:val="00562927"/>
    <w:rsid w:val="0056295A"/>
    <w:rsid w:val="00562BB2"/>
    <w:rsid w:val="00562BEE"/>
    <w:rsid w:val="00562C57"/>
    <w:rsid w:val="005630D0"/>
    <w:rsid w:val="0056314D"/>
    <w:rsid w:val="0056337D"/>
    <w:rsid w:val="00563506"/>
    <w:rsid w:val="0056376A"/>
    <w:rsid w:val="005640F8"/>
    <w:rsid w:val="005644D2"/>
    <w:rsid w:val="00564630"/>
    <w:rsid w:val="00564637"/>
    <w:rsid w:val="0056463E"/>
    <w:rsid w:val="00564946"/>
    <w:rsid w:val="00564C1B"/>
    <w:rsid w:val="00564C8D"/>
    <w:rsid w:val="00564D74"/>
    <w:rsid w:val="00565168"/>
    <w:rsid w:val="005654D3"/>
    <w:rsid w:val="005656E0"/>
    <w:rsid w:val="005658C5"/>
    <w:rsid w:val="00565B78"/>
    <w:rsid w:val="00565F22"/>
    <w:rsid w:val="005664B7"/>
    <w:rsid w:val="00566D07"/>
    <w:rsid w:val="00566D20"/>
    <w:rsid w:val="00566E04"/>
    <w:rsid w:val="00567206"/>
    <w:rsid w:val="005673B4"/>
    <w:rsid w:val="00567685"/>
    <w:rsid w:val="0056793D"/>
    <w:rsid w:val="00567CE7"/>
    <w:rsid w:val="0057019D"/>
    <w:rsid w:val="0057036C"/>
    <w:rsid w:val="005710A2"/>
    <w:rsid w:val="00571398"/>
    <w:rsid w:val="00571833"/>
    <w:rsid w:val="005719EE"/>
    <w:rsid w:val="00571CC8"/>
    <w:rsid w:val="00571EF0"/>
    <w:rsid w:val="0057262E"/>
    <w:rsid w:val="00572764"/>
    <w:rsid w:val="00572853"/>
    <w:rsid w:val="00572D49"/>
    <w:rsid w:val="00573823"/>
    <w:rsid w:val="0057392D"/>
    <w:rsid w:val="00573AEE"/>
    <w:rsid w:val="00573E71"/>
    <w:rsid w:val="005743C1"/>
    <w:rsid w:val="005743C2"/>
    <w:rsid w:val="00574AB6"/>
    <w:rsid w:val="00574B82"/>
    <w:rsid w:val="00574D02"/>
    <w:rsid w:val="00574D1A"/>
    <w:rsid w:val="00574DB5"/>
    <w:rsid w:val="00574EF0"/>
    <w:rsid w:val="00574EF4"/>
    <w:rsid w:val="0057545A"/>
    <w:rsid w:val="005754F7"/>
    <w:rsid w:val="0057567B"/>
    <w:rsid w:val="0057571F"/>
    <w:rsid w:val="005758B4"/>
    <w:rsid w:val="00575CB7"/>
    <w:rsid w:val="00575DAA"/>
    <w:rsid w:val="0057639F"/>
    <w:rsid w:val="00576577"/>
    <w:rsid w:val="00576610"/>
    <w:rsid w:val="0057679B"/>
    <w:rsid w:val="00576864"/>
    <w:rsid w:val="00576E9C"/>
    <w:rsid w:val="005775E8"/>
    <w:rsid w:val="0057774E"/>
    <w:rsid w:val="005778D6"/>
    <w:rsid w:val="00577A46"/>
    <w:rsid w:val="00577F45"/>
    <w:rsid w:val="00577F57"/>
    <w:rsid w:val="00577FC4"/>
    <w:rsid w:val="005807C7"/>
    <w:rsid w:val="005808C1"/>
    <w:rsid w:val="00580D1B"/>
    <w:rsid w:val="00581519"/>
    <w:rsid w:val="005819E4"/>
    <w:rsid w:val="005822D3"/>
    <w:rsid w:val="00582406"/>
    <w:rsid w:val="005824BF"/>
    <w:rsid w:val="00582ADA"/>
    <w:rsid w:val="00582B69"/>
    <w:rsid w:val="00582F97"/>
    <w:rsid w:val="0058311C"/>
    <w:rsid w:val="00583280"/>
    <w:rsid w:val="005832F8"/>
    <w:rsid w:val="00583B9A"/>
    <w:rsid w:val="005841D1"/>
    <w:rsid w:val="005841FC"/>
    <w:rsid w:val="00584378"/>
    <w:rsid w:val="005843D3"/>
    <w:rsid w:val="005849AB"/>
    <w:rsid w:val="00584BB2"/>
    <w:rsid w:val="00584C06"/>
    <w:rsid w:val="00584C7E"/>
    <w:rsid w:val="00584F03"/>
    <w:rsid w:val="0058538A"/>
    <w:rsid w:val="00585F5B"/>
    <w:rsid w:val="005860DD"/>
    <w:rsid w:val="005860EA"/>
    <w:rsid w:val="00586134"/>
    <w:rsid w:val="0058629F"/>
    <w:rsid w:val="00586583"/>
    <w:rsid w:val="00586951"/>
    <w:rsid w:val="00586F23"/>
    <w:rsid w:val="00586F2A"/>
    <w:rsid w:val="005870E3"/>
    <w:rsid w:val="005872F9"/>
    <w:rsid w:val="0058757A"/>
    <w:rsid w:val="005876FD"/>
    <w:rsid w:val="00587DAA"/>
    <w:rsid w:val="00587E31"/>
    <w:rsid w:val="005903AA"/>
    <w:rsid w:val="00590AEE"/>
    <w:rsid w:val="00590E39"/>
    <w:rsid w:val="00591195"/>
    <w:rsid w:val="005914CB"/>
    <w:rsid w:val="005916FB"/>
    <w:rsid w:val="00591A4B"/>
    <w:rsid w:val="00591BB6"/>
    <w:rsid w:val="00591BC1"/>
    <w:rsid w:val="00591E6A"/>
    <w:rsid w:val="00592C65"/>
    <w:rsid w:val="00592EE6"/>
    <w:rsid w:val="00593334"/>
    <w:rsid w:val="0059378B"/>
    <w:rsid w:val="00593A14"/>
    <w:rsid w:val="00593EF8"/>
    <w:rsid w:val="00593FCD"/>
    <w:rsid w:val="00594734"/>
    <w:rsid w:val="00594B88"/>
    <w:rsid w:val="0059548C"/>
    <w:rsid w:val="005956F6"/>
    <w:rsid w:val="005958CD"/>
    <w:rsid w:val="0059591D"/>
    <w:rsid w:val="00595A22"/>
    <w:rsid w:val="00595B07"/>
    <w:rsid w:val="00595C61"/>
    <w:rsid w:val="00595C78"/>
    <w:rsid w:val="00595D1D"/>
    <w:rsid w:val="005961E5"/>
    <w:rsid w:val="0059624B"/>
    <w:rsid w:val="00596347"/>
    <w:rsid w:val="005965AF"/>
    <w:rsid w:val="005966BE"/>
    <w:rsid w:val="005969EC"/>
    <w:rsid w:val="00596A6E"/>
    <w:rsid w:val="00596B04"/>
    <w:rsid w:val="00596CB9"/>
    <w:rsid w:val="00596CF7"/>
    <w:rsid w:val="00596F6F"/>
    <w:rsid w:val="0059706F"/>
    <w:rsid w:val="005976B9"/>
    <w:rsid w:val="00597959"/>
    <w:rsid w:val="00597C60"/>
    <w:rsid w:val="00597FD9"/>
    <w:rsid w:val="005A018A"/>
    <w:rsid w:val="005A025F"/>
    <w:rsid w:val="005A03FD"/>
    <w:rsid w:val="005A0682"/>
    <w:rsid w:val="005A06AC"/>
    <w:rsid w:val="005A07AA"/>
    <w:rsid w:val="005A07E5"/>
    <w:rsid w:val="005A09FD"/>
    <w:rsid w:val="005A0A82"/>
    <w:rsid w:val="005A0F77"/>
    <w:rsid w:val="005A106D"/>
    <w:rsid w:val="005A135A"/>
    <w:rsid w:val="005A187B"/>
    <w:rsid w:val="005A208D"/>
    <w:rsid w:val="005A22D5"/>
    <w:rsid w:val="005A22F8"/>
    <w:rsid w:val="005A2B11"/>
    <w:rsid w:val="005A2FCF"/>
    <w:rsid w:val="005A3129"/>
    <w:rsid w:val="005A3440"/>
    <w:rsid w:val="005A38D8"/>
    <w:rsid w:val="005A3D97"/>
    <w:rsid w:val="005A408F"/>
    <w:rsid w:val="005A41CC"/>
    <w:rsid w:val="005A436A"/>
    <w:rsid w:val="005A4537"/>
    <w:rsid w:val="005A46E2"/>
    <w:rsid w:val="005A4A15"/>
    <w:rsid w:val="005A4A73"/>
    <w:rsid w:val="005A4DA5"/>
    <w:rsid w:val="005A4F45"/>
    <w:rsid w:val="005A523B"/>
    <w:rsid w:val="005A5390"/>
    <w:rsid w:val="005A5C3A"/>
    <w:rsid w:val="005A5E0B"/>
    <w:rsid w:val="005A5E1F"/>
    <w:rsid w:val="005A5FDC"/>
    <w:rsid w:val="005A62C9"/>
    <w:rsid w:val="005A65A1"/>
    <w:rsid w:val="005A67D7"/>
    <w:rsid w:val="005A6B62"/>
    <w:rsid w:val="005A6CE9"/>
    <w:rsid w:val="005A6D5D"/>
    <w:rsid w:val="005A6DD7"/>
    <w:rsid w:val="005A6E84"/>
    <w:rsid w:val="005A73B1"/>
    <w:rsid w:val="005A758E"/>
    <w:rsid w:val="005A7722"/>
    <w:rsid w:val="005A7A95"/>
    <w:rsid w:val="005A7DCE"/>
    <w:rsid w:val="005A7EBA"/>
    <w:rsid w:val="005B0111"/>
    <w:rsid w:val="005B0545"/>
    <w:rsid w:val="005B07A4"/>
    <w:rsid w:val="005B0A00"/>
    <w:rsid w:val="005B12FA"/>
    <w:rsid w:val="005B195A"/>
    <w:rsid w:val="005B1E9E"/>
    <w:rsid w:val="005B1F09"/>
    <w:rsid w:val="005B21AF"/>
    <w:rsid w:val="005B267F"/>
    <w:rsid w:val="005B26A0"/>
    <w:rsid w:val="005B280F"/>
    <w:rsid w:val="005B3936"/>
    <w:rsid w:val="005B3DAE"/>
    <w:rsid w:val="005B3DE8"/>
    <w:rsid w:val="005B3EAE"/>
    <w:rsid w:val="005B415E"/>
    <w:rsid w:val="005B4598"/>
    <w:rsid w:val="005B4600"/>
    <w:rsid w:val="005B4923"/>
    <w:rsid w:val="005B4CAF"/>
    <w:rsid w:val="005B529D"/>
    <w:rsid w:val="005B56FF"/>
    <w:rsid w:val="005B587B"/>
    <w:rsid w:val="005B5CE6"/>
    <w:rsid w:val="005B5DA0"/>
    <w:rsid w:val="005B627F"/>
    <w:rsid w:val="005B6842"/>
    <w:rsid w:val="005B6956"/>
    <w:rsid w:val="005B6B22"/>
    <w:rsid w:val="005B6DB4"/>
    <w:rsid w:val="005B73F2"/>
    <w:rsid w:val="005B75EB"/>
    <w:rsid w:val="005B79B8"/>
    <w:rsid w:val="005B7FE2"/>
    <w:rsid w:val="005C0341"/>
    <w:rsid w:val="005C04AB"/>
    <w:rsid w:val="005C07DF"/>
    <w:rsid w:val="005C0B2E"/>
    <w:rsid w:val="005C0D03"/>
    <w:rsid w:val="005C0D4B"/>
    <w:rsid w:val="005C0DAF"/>
    <w:rsid w:val="005C0ED0"/>
    <w:rsid w:val="005C0FE4"/>
    <w:rsid w:val="005C1274"/>
    <w:rsid w:val="005C1711"/>
    <w:rsid w:val="005C19D6"/>
    <w:rsid w:val="005C1B6C"/>
    <w:rsid w:val="005C1E38"/>
    <w:rsid w:val="005C1E82"/>
    <w:rsid w:val="005C1F17"/>
    <w:rsid w:val="005C2245"/>
    <w:rsid w:val="005C24D2"/>
    <w:rsid w:val="005C27B4"/>
    <w:rsid w:val="005C2844"/>
    <w:rsid w:val="005C2874"/>
    <w:rsid w:val="005C2965"/>
    <w:rsid w:val="005C3285"/>
    <w:rsid w:val="005C370C"/>
    <w:rsid w:val="005C3AFE"/>
    <w:rsid w:val="005C3EF5"/>
    <w:rsid w:val="005C3EFB"/>
    <w:rsid w:val="005C414A"/>
    <w:rsid w:val="005C4720"/>
    <w:rsid w:val="005C48BC"/>
    <w:rsid w:val="005C4A6F"/>
    <w:rsid w:val="005C4B1A"/>
    <w:rsid w:val="005C4B58"/>
    <w:rsid w:val="005C5464"/>
    <w:rsid w:val="005C565E"/>
    <w:rsid w:val="005C5889"/>
    <w:rsid w:val="005C5950"/>
    <w:rsid w:val="005C59D3"/>
    <w:rsid w:val="005C5F25"/>
    <w:rsid w:val="005C5F79"/>
    <w:rsid w:val="005C62F6"/>
    <w:rsid w:val="005C6865"/>
    <w:rsid w:val="005C6B45"/>
    <w:rsid w:val="005C6E43"/>
    <w:rsid w:val="005C781E"/>
    <w:rsid w:val="005C78F0"/>
    <w:rsid w:val="005C7A1C"/>
    <w:rsid w:val="005C7C99"/>
    <w:rsid w:val="005D010C"/>
    <w:rsid w:val="005D0130"/>
    <w:rsid w:val="005D0282"/>
    <w:rsid w:val="005D08A5"/>
    <w:rsid w:val="005D0BE9"/>
    <w:rsid w:val="005D0C4E"/>
    <w:rsid w:val="005D1016"/>
    <w:rsid w:val="005D1650"/>
    <w:rsid w:val="005D17A5"/>
    <w:rsid w:val="005D1AC1"/>
    <w:rsid w:val="005D1D54"/>
    <w:rsid w:val="005D1F08"/>
    <w:rsid w:val="005D21B8"/>
    <w:rsid w:val="005D225E"/>
    <w:rsid w:val="005D238E"/>
    <w:rsid w:val="005D2752"/>
    <w:rsid w:val="005D29E3"/>
    <w:rsid w:val="005D2A6E"/>
    <w:rsid w:val="005D2AAE"/>
    <w:rsid w:val="005D2F7E"/>
    <w:rsid w:val="005D304E"/>
    <w:rsid w:val="005D3344"/>
    <w:rsid w:val="005D3479"/>
    <w:rsid w:val="005D3961"/>
    <w:rsid w:val="005D3BC3"/>
    <w:rsid w:val="005D3BD5"/>
    <w:rsid w:val="005D4710"/>
    <w:rsid w:val="005D4896"/>
    <w:rsid w:val="005D4D72"/>
    <w:rsid w:val="005D5F39"/>
    <w:rsid w:val="005D63F6"/>
    <w:rsid w:val="005D649E"/>
    <w:rsid w:val="005D65AD"/>
    <w:rsid w:val="005D6763"/>
    <w:rsid w:val="005D6E15"/>
    <w:rsid w:val="005D72DA"/>
    <w:rsid w:val="005D73FF"/>
    <w:rsid w:val="005D764F"/>
    <w:rsid w:val="005D7F05"/>
    <w:rsid w:val="005E00F4"/>
    <w:rsid w:val="005E047C"/>
    <w:rsid w:val="005E0D01"/>
    <w:rsid w:val="005E0EAB"/>
    <w:rsid w:val="005E186E"/>
    <w:rsid w:val="005E1A16"/>
    <w:rsid w:val="005E2165"/>
    <w:rsid w:val="005E22F3"/>
    <w:rsid w:val="005E23BF"/>
    <w:rsid w:val="005E2B14"/>
    <w:rsid w:val="005E2C3B"/>
    <w:rsid w:val="005E2F41"/>
    <w:rsid w:val="005E2FEF"/>
    <w:rsid w:val="005E380B"/>
    <w:rsid w:val="005E3C28"/>
    <w:rsid w:val="005E3F3A"/>
    <w:rsid w:val="005E4198"/>
    <w:rsid w:val="005E429A"/>
    <w:rsid w:val="005E451B"/>
    <w:rsid w:val="005E4B5A"/>
    <w:rsid w:val="005E4C25"/>
    <w:rsid w:val="005E4EDA"/>
    <w:rsid w:val="005E4EEA"/>
    <w:rsid w:val="005E6030"/>
    <w:rsid w:val="005E6040"/>
    <w:rsid w:val="005E68C3"/>
    <w:rsid w:val="005E69D4"/>
    <w:rsid w:val="005E6BEA"/>
    <w:rsid w:val="005E6C15"/>
    <w:rsid w:val="005E6DC9"/>
    <w:rsid w:val="005E7827"/>
    <w:rsid w:val="005E7A2A"/>
    <w:rsid w:val="005E7C14"/>
    <w:rsid w:val="005E7CC0"/>
    <w:rsid w:val="005E7E31"/>
    <w:rsid w:val="005F03C1"/>
    <w:rsid w:val="005F09E4"/>
    <w:rsid w:val="005F0A4C"/>
    <w:rsid w:val="005F0B28"/>
    <w:rsid w:val="005F0D2F"/>
    <w:rsid w:val="005F1593"/>
    <w:rsid w:val="005F15E0"/>
    <w:rsid w:val="005F1870"/>
    <w:rsid w:val="005F187E"/>
    <w:rsid w:val="005F2346"/>
    <w:rsid w:val="005F243D"/>
    <w:rsid w:val="005F25E6"/>
    <w:rsid w:val="005F2728"/>
    <w:rsid w:val="005F272A"/>
    <w:rsid w:val="005F277D"/>
    <w:rsid w:val="005F2955"/>
    <w:rsid w:val="005F2C8F"/>
    <w:rsid w:val="005F2CA7"/>
    <w:rsid w:val="005F2D5C"/>
    <w:rsid w:val="005F2FCD"/>
    <w:rsid w:val="005F2FD2"/>
    <w:rsid w:val="005F330E"/>
    <w:rsid w:val="005F35C4"/>
    <w:rsid w:val="005F3763"/>
    <w:rsid w:val="005F38F7"/>
    <w:rsid w:val="005F3ACF"/>
    <w:rsid w:val="005F3B8E"/>
    <w:rsid w:val="005F3BFD"/>
    <w:rsid w:val="005F422E"/>
    <w:rsid w:val="005F484F"/>
    <w:rsid w:val="005F4EB5"/>
    <w:rsid w:val="005F4F76"/>
    <w:rsid w:val="005F4FCB"/>
    <w:rsid w:val="005F514F"/>
    <w:rsid w:val="005F5198"/>
    <w:rsid w:val="005F586B"/>
    <w:rsid w:val="005F5B06"/>
    <w:rsid w:val="005F5BB3"/>
    <w:rsid w:val="005F61F6"/>
    <w:rsid w:val="005F6449"/>
    <w:rsid w:val="005F650E"/>
    <w:rsid w:val="005F68AA"/>
    <w:rsid w:val="005F6D30"/>
    <w:rsid w:val="005F70A7"/>
    <w:rsid w:val="005F73AD"/>
    <w:rsid w:val="005F73B5"/>
    <w:rsid w:val="005F7E3D"/>
    <w:rsid w:val="005F7F5E"/>
    <w:rsid w:val="00600DB4"/>
    <w:rsid w:val="0060101B"/>
    <w:rsid w:val="00601341"/>
    <w:rsid w:val="006016A3"/>
    <w:rsid w:val="006017D3"/>
    <w:rsid w:val="00601B1A"/>
    <w:rsid w:val="00601C2F"/>
    <w:rsid w:val="00601C67"/>
    <w:rsid w:val="00602425"/>
    <w:rsid w:val="0060293D"/>
    <w:rsid w:val="00602944"/>
    <w:rsid w:val="006035AB"/>
    <w:rsid w:val="00603694"/>
    <w:rsid w:val="0060377B"/>
    <w:rsid w:val="006039DD"/>
    <w:rsid w:val="00603AFA"/>
    <w:rsid w:val="00603C8C"/>
    <w:rsid w:val="00603CD3"/>
    <w:rsid w:val="00603CE8"/>
    <w:rsid w:val="00603D34"/>
    <w:rsid w:val="0060442D"/>
    <w:rsid w:val="00604680"/>
    <w:rsid w:val="0060478D"/>
    <w:rsid w:val="00604854"/>
    <w:rsid w:val="00604B4C"/>
    <w:rsid w:val="00604EBF"/>
    <w:rsid w:val="00605554"/>
    <w:rsid w:val="00605D59"/>
    <w:rsid w:val="00605ECF"/>
    <w:rsid w:val="0060612B"/>
    <w:rsid w:val="0060647D"/>
    <w:rsid w:val="0060668A"/>
    <w:rsid w:val="00606A28"/>
    <w:rsid w:val="00606D09"/>
    <w:rsid w:val="00607178"/>
    <w:rsid w:val="006072A3"/>
    <w:rsid w:val="006076E7"/>
    <w:rsid w:val="00607EAB"/>
    <w:rsid w:val="006100D6"/>
    <w:rsid w:val="0061014C"/>
    <w:rsid w:val="00610636"/>
    <w:rsid w:val="00610957"/>
    <w:rsid w:val="00610BF4"/>
    <w:rsid w:val="006110FD"/>
    <w:rsid w:val="0061110C"/>
    <w:rsid w:val="006114E4"/>
    <w:rsid w:val="0061158B"/>
    <w:rsid w:val="0061161D"/>
    <w:rsid w:val="006116F7"/>
    <w:rsid w:val="0061197D"/>
    <w:rsid w:val="006119A2"/>
    <w:rsid w:val="00611E53"/>
    <w:rsid w:val="00612169"/>
    <w:rsid w:val="00612196"/>
    <w:rsid w:val="00612A47"/>
    <w:rsid w:val="00612F3C"/>
    <w:rsid w:val="006131BC"/>
    <w:rsid w:val="006134CB"/>
    <w:rsid w:val="006138B8"/>
    <w:rsid w:val="0061394B"/>
    <w:rsid w:val="00613FA7"/>
    <w:rsid w:val="0061462C"/>
    <w:rsid w:val="006146D4"/>
    <w:rsid w:val="00614DD2"/>
    <w:rsid w:val="00615121"/>
    <w:rsid w:val="0061535D"/>
    <w:rsid w:val="00615673"/>
    <w:rsid w:val="006158E3"/>
    <w:rsid w:val="00615BBF"/>
    <w:rsid w:val="006160A2"/>
    <w:rsid w:val="006161E5"/>
    <w:rsid w:val="0061632B"/>
    <w:rsid w:val="006164B6"/>
    <w:rsid w:val="00616561"/>
    <w:rsid w:val="006167D8"/>
    <w:rsid w:val="006167EF"/>
    <w:rsid w:val="00616D97"/>
    <w:rsid w:val="00617070"/>
    <w:rsid w:val="00617148"/>
    <w:rsid w:val="0061735B"/>
    <w:rsid w:val="006173B0"/>
    <w:rsid w:val="00617898"/>
    <w:rsid w:val="00620776"/>
    <w:rsid w:val="006207FD"/>
    <w:rsid w:val="00620CEE"/>
    <w:rsid w:val="00620EFC"/>
    <w:rsid w:val="00621332"/>
    <w:rsid w:val="0062145A"/>
    <w:rsid w:val="006218F9"/>
    <w:rsid w:val="00621C23"/>
    <w:rsid w:val="00622383"/>
    <w:rsid w:val="00622514"/>
    <w:rsid w:val="00622CE8"/>
    <w:rsid w:val="00622D8F"/>
    <w:rsid w:val="00622E29"/>
    <w:rsid w:val="006230DC"/>
    <w:rsid w:val="00623492"/>
    <w:rsid w:val="0062363D"/>
    <w:rsid w:val="00623786"/>
    <w:rsid w:val="00623AB9"/>
    <w:rsid w:val="0062430B"/>
    <w:rsid w:val="00624360"/>
    <w:rsid w:val="0062488E"/>
    <w:rsid w:val="0062553A"/>
    <w:rsid w:val="0062575A"/>
    <w:rsid w:val="006257A9"/>
    <w:rsid w:val="006258D6"/>
    <w:rsid w:val="006259AC"/>
    <w:rsid w:val="00625EF4"/>
    <w:rsid w:val="006260CF"/>
    <w:rsid w:val="00626215"/>
    <w:rsid w:val="006262D8"/>
    <w:rsid w:val="006266AA"/>
    <w:rsid w:val="00626769"/>
    <w:rsid w:val="00626EA1"/>
    <w:rsid w:val="006271DD"/>
    <w:rsid w:val="00627551"/>
    <w:rsid w:val="00627661"/>
    <w:rsid w:val="006277C1"/>
    <w:rsid w:val="0062798C"/>
    <w:rsid w:val="00627DAE"/>
    <w:rsid w:val="00627EEB"/>
    <w:rsid w:val="0063026E"/>
    <w:rsid w:val="00630B41"/>
    <w:rsid w:val="00630C13"/>
    <w:rsid w:val="00631025"/>
    <w:rsid w:val="0063104F"/>
    <w:rsid w:val="006310C1"/>
    <w:rsid w:val="00631230"/>
    <w:rsid w:val="006312E1"/>
    <w:rsid w:val="0063166D"/>
    <w:rsid w:val="00631E3B"/>
    <w:rsid w:val="00631F4C"/>
    <w:rsid w:val="00631FAF"/>
    <w:rsid w:val="00632211"/>
    <w:rsid w:val="00632493"/>
    <w:rsid w:val="00632574"/>
    <w:rsid w:val="00632956"/>
    <w:rsid w:val="00632BA0"/>
    <w:rsid w:val="00632F36"/>
    <w:rsid w:val="0063321F"/>
    <w:rsid w:val="006333D5"/>
    <w:rsid w:val="00633405"/>
    <w:rsid w:val="0063359A"/>
    <w:rsid w:val="006335A3"/>
    <w:rsid w:val="00633854"/>
    <w:rsid w:val="006338E1"/>
    <w:rsid w:val="00633967"/>
    <w:rsid w:val="00633FDC"/>
    <w:rsid w:val="00634546"/>
    <w:rsid w:val="00634701"/>
    <w:rsid w:val="00634920"/>
    <w:rsid w:val="00634A06"/>
    <w:rsid w:val="00634A69"/>
    <w:rsid w:val="00634DC0"/>
    <w:rsid w:val="00634FB7"/>
    <w:rsid w:val="00635DCD"/>
    <w:rsid w:val="006364F7"/>
    <w:rsid w:val="00636B19"/>
    <w:rsid w:val="00636C85"/>
    <w:rsid w:val="00636E15"/>
    <w:rsid w:val="00636EE0"/>
    <w:rsid w:val="0063747A"/>
    <w:rsid w:val="0063795D"/>
    <w:rsid w:val="0063799B"/>
    <w:rsid w:val="00637BF4"/>
    <w:rsid w:val="00637C68"/>
    <w:rsid w:val="00637E93"/>
    <w:rsid w:val="00637F16"/>
    <w:rsid w:val="006404EF"/>
    <w:rsid w:val="00640F20"/>
    <w:rsid w:val="00641051"/>
    <w:rsid w:val="00641B21"/>
    <w:rsid w:val="00641C95"/>
    <w:rsid w:val="00641ED0"/>
    <w:rsid w:val="00641F15"/>
    <w:rsid w:val="0064251E"/>
    <w:rsid w:val="00642917"/>
    <w:rsid w:val="006429EC"/>
    <w:rsid w:val="00642A82"/>
    <w:rsid w:val="00642C8C"/>
    <w:rsid w:val="00642FE5"/>
    <w:rsid w:val="00642FF6"/>
    <w:rsid w:val="0064309A"/>
    <w:rsid w:val="00643373"/>
    <w:rsid w:val="00643BA8"/>
    <w:rsid w:val="006443BA"/>
    <w:rsid w:val="006449B4"/>
    <w:rsid w:val="00644A84"/>
    <w:rsid w:val="00644C01"/>
    <w:rsid w:val="00644F09"/>
    <w:rsid w:val="006450C2"/>
    <w:rsid w:val="006450E0"/>
    <w:rsid w:val="006451D0"/>
    <w:rsid w:val="006452A9"/>
    <w:rsid w:val="006453EB"/>
    <w:rsid w:val="006463F6"/>
    <w:rsid w:val="00646C26"/>
    <w:rsid w:val="0064700B"/>
    <w:rsid w:val="00647084"/>
    <w:rsid w:val="00647093"/>
    <w:rsid w:val="00647149"/>
    <w:rsid w:val="006471EC"/>
    <w:rsid w:val="006473C2"/>
    <w:rsid w:val="00647F32"/>
    <w:rsid w:val="006502C2"/>
    <w:rsid w:val="00650535"/>
    <w:rsid w:val="006507B0"/>
    <w:rsid w:val="00650AEC"/>
    <w:rsid w:val="00650C59"/>
    <w:rsid w:val="00650F8A"/>
    <w:rsid w:val="006510E4"/>
    <w:rsid w:val="006516F4"/>
    <w:rsid w:val="00651B19"/>
    <w:rsid w:val="0065203B"/>
    <w:rsid w:val="00652A0C"/>
    <w:rsid w:val="00652B82"/>
    <w:rsid w:val="00652C25"/>
    <w:rsid w:val="0065317A"/>
    <w:rsid w:val="006534E7"/>
    <w:rsid w:val="006535CE"/>
    <w:rsid w:val="00653733"/>
    <w:rsid w:val="00653A3A"/>
    <w:rsid w:val="00653DBA"/>
    <w:rsid w:val="00654108"/>
    <w:rsid w:val="0065410B"/>
    <w:rsid w:val="0065441C"/>
    <w:rsid w:val="0065469A"/>
    <w:rsid w:val="006549E1"/>
    <w:rsid w:val="00654BA2"/>
    <w:rsid w:val="00654BFF"/>
    <w:rsid w:val="00654C22"/>
    <w:rsid w:val="00654D6E"/>
    <w:rsid w:val="00654F3E"/>
    <w:rsid w:val="00654F95"/>
    <w:rsid w:val="00655130"/>
    <w:rsid w:val="006551A8"/>
    <w:rsid w:val="0065588E"/>
    <w:rsid w:val="0065646D"/>
    <w:rsid w:val="006567C7"/>
    <w:rsid w:val="00656918"/>
    <w:rsid w:val="00656FB1"/>
    <w:rsid w:val="006572F0"/>
    <w:rsid w:val="0065751D"/>
    <w:rsid w:val="00657675"/>
    <w:rsid w:val="006576A7"/>
    <w:rsid w:val="0065784F"/>
    <w:rsid w:val="00657851"/>
    <w:rsid w:val="006579BD"/>
    <w:rsid w:val="00657DAA"/>
    <w:rsid w:val="0066034F"/>
    <w:rsid w:val="0066072A"/>
    <w:rsid w:val="0066083A"/>
    <w:rsid w:val="006609B4"/>
    <w:rsid w:val="00660B8A"/>
    <w:rsid w:val="00660B96"/>
    <w:rsid w:val="00660F7C"/>
    <w:rsid w:val="006614E4"/>
    <w:rsid w:val="00661673"/>
    <w:rsid w:val="006616EF"/>
    <w:rsid w:val="0066192B"/>
    <w:rsid w:val="00661958"/>
    <w:rsid w:val="00661A78"/>
    <w:rsid w:val="00661E1D"/>
    <w:rsid w:val="00661F65"/>
    <w:rsid w:val="00662170"/>
    <w:rsid w:val="0066253F"/>
    <w:rsid w:val="00662775"/>
    <w:rsid w:val="00662B65"/>
    <w:rsid w:val="00662D3C"/>
    <w:rsid w:val="00662E03"/>
    <w:rsid w:val="00662FD8"/>
    <w:rsid w:val="00663005"/>
    <w:rsid w:val="00663073"/>
    <w:rsid w:val="00663148"/>
    <w:rsid w:val="0066386C"/>
    <w:rsid w:val="006638FF"/>
    <w:rsid w:val="006639F5"/>
    <w:rsid w:val="00663CDF"/>
    <w:rsid w:val="00663F50"/>
    <w:rsid w:val="00663FD9"/>
    <w:rsid w:val="00664075"/>
    <w:rsid w:val="006641BA"/>
    <w:rsid w:val="0066433E"/>
    <w:rsid w:val="00664787"/>
    <w:rsid w:val="00664AA6"/>
    <w:rsid w:val="00664B8C"/>
    <w:rsid w:val="00665115"/>
    <w:rsid w:val="006651F4"/>
    <w:rsid w:val="0066591A"/>
    <w:rsid w:val="00665967"/>
    <w:rsid w:val="00665B44"/>
    <w:rsid w:val="00666090"/>
    <w:rsid w:val="00666207"/>
    <w:rsid w:val="00666535"/>
    <w:rsid w:val="006666E4"/>
    <w:rsid w:val="0066671F"/>
    <w:rsid w:val="00666A21"/>
    <w:rsid w:val="00666B9E"/>
    <w:rsid w:val="00666F87"/>
    <w:rsid w:val="00667113"/>
    <w:rsid w:val="006678BE"/>
    <w:rsid w:val="00667922"/>
    <w:rsid w:val="00667CD6"/>
    <w:rsid w:val="00667DBD"/>
    <w:rsid w:val="00667F14"/>
    <w:rsid w:val="0067010F"/>
    <w:rsid w:val="00670284"/>
    <w:rsid w:val="00670336"/>
    <w:rsid w:val="00670A5E"/>
    <w:rsid w:val="00670D26"/>
    <w:rsid w:val="00670F4A"/>
    <w:rsid w:val="00671029"/>
    <w:rsid w:val="00671099"/>
    <w:rsid w:val="00671194"/>
    <w:rsid w:val="006712B9"/>
    <w:rsid w:val="00671BB1"/>
    <w:rsid w:val="006720AB"/>
    <w:rsid w:val="006721D7"/>
    <w:rsid w:val="006721FA"/>
    <w:rsid w:val="0067228C"/>
    <w:rsid w:val="006726FB"/>
    <w:rsid w:val="0067297B"/>
    <w:rsid w:val="00672AA8"/>
    <w:rsid w:val="00672CCF"/>
    <w:rsid w:val="00672D5E"/>
    <w:rsid w:val="00672F1B"/>
    <w:rsid w:val="006730D3"/>
    <w:rsid w:val="00673334"/>
    <w:rsid w:val="00673924"/>
    <w:rsid w:val="00673C42"/>
    <w:rsid w:val="00673E5F"/>
    <w:rsid w:val="00673EB7"/>
    <w:rsid w:val="00673ED4"/>
    <w:rsid w:val="00674293"/>
    <w:rsid w:val="006743C1"/>
    <w:rsid w:val="006744C2"/>
    <w:rsid w:val="00674671"/>
    <w:rsid w:val="0067478C"/>
    <w:rsid w:val="00674E9D"/>
    <w:rsid w:val="006754A7"/>
    <w:rsid w:val="00675763"/>
    <w:rsid w:val="006757AD"/>
    <w:rsid w:val="00675820"/>
    <w:rsid w:val="00675970"/>
    <w:rsid w:val="00675B18"/>
    <w:rsid w:val="00675B76"/>
    <w:rsid w:val="00675FCA"/>
    <w:rsid w:val="00676101"/>
    <w:rsid w:val="00676131"/>
    <w:rsid w:val="0067635F"/>
    <w:rsid w:val="00676908"/>
    <w:rsid w:val="006772BA"/>
    <w:rsid w:val="00677476"/>
    <w:rsid w:val="00677544"/>
    <w:rsid w:val="006779F7"/>
    <w:rsid w:val="00677CF9"/>
    <w:rsid w:val="00680FDF"/>
    <w:rsid w:val="0068117C"/>
    <w:rsid w:val="006811B2"/>
    <w:rsid w:val="006815D0"/>
    <w:rsid w:val="006816E7"/>
    <w:rsid w:val="00681CEF"/>
    <w:rsid w:val="0068226B"/>
    <w:rsid w:val="00682864"/>
    <w:rsid w:val="006828B9"/>
    <w:rsid w:val="00682A02"/>
    <w:rsid w:val="00682AC9"/>
    <w:rsid w:val="00682B18"/>
    <w:rsid w:val="00682E5B"/>
    <w:rsid w:val="006834DF"/>
    <w:rsid w:val="006835CF"/>
    <w:rsid w:val="00683614"/>
    <w:rsid w:val="006838F2"/>
    <w:rsid w:val="00683B11"/>
    <w:rsid w:val="006842E1"/>
    <w:rsid w:val="0068450E"/>
    <w:rsid w:val="006846EA"/>
    <w:rsid w:val="00684F7A"/>
    <w:rsid w:val="00684FD1"/>
    <w:rsid w:val="00685360"/>
    <w:rsid w:val="00685CEE"/>
    <w:rsid w:val="00685D77"/>
    <w:rsid w:val="00685D88"/>
    <w:rsid w:val="00685E02"/>
    <w:rsid w:val="00686168"/>
    <w:rsid w:val="00686251"/>
    <w:rsid w:val="006862F4"/>
    <w:rsid w:val="006867A8"/>
    <w:rsid w:val="006869AA"/>
    <w:rsid w:val="00686D0D"/>
    <w:rsid w:val="00686EC7"/>
    <w:rsid w:val="00686F5B"/>
    <w:rsid w:val="00686FC7"/>
    <w:rsid w:val="0068737B"/>
    <w:rsid w:val="0069033C"/>
    <w:rsid w:val="006905D1"/>
    <w:rsid w:val="006907DD"/>
    <w:rsid w:val="0069083A"/>
    <w:rsid w:val="00690867"/>
    <w:rsid w:val="00690971"/>
    <w:rsid w:val="006912DF"/>
    <w:rsid w:val="00691348"/>
    <w:rsid w:val="00691433"/>
    <w:rsid w:val="006917E5"/>
    <w:rsid w:val="00691E31"/>
    <w:rsid w:val="00691F19"/>
    <w:rsid w:val="00691F77"/>
    <w:rsid w:val="00691FC2"/>
    <w:rsid w:val="00691FCC"/>
    <w:rsid w:val="006920A9"/>
    <w:rsid w:val="00692127"/>
    <w:rsid w:val="006926C9"/>
    <w:rsid w:val="006933DC"/>
    <w:rsid w:val="00693729"/>
    <w:rsid w:val="00693E4A"/>
    <w:rsid w:val="0069419C"/>
    <w:rsid w:val="00694268"/>
    <w:rsid w:val="0069439A"/>
    <w:rsid w:val="00694C72"/>
    <w:rsid w:val="00694D16"/>
    <w:rsid w:val="00694D4B"/>
    <w:rsid w:val="00694E47"/>
    <w:rsid w:val="00694F35"/>
    <w:rsid w:val="00694F45"/>
    <w:rsid w:val="006951F2"/>
    <w:rsid w:val="006953A7"/>
    <w:rsid w:val="00695A70"/>
    <w:rsid w:val="00695B31"/>
    <w:rsid w:val="00696243"/>
    <w:rsid w:val="0069633C"/>
    <w:rsid w:val="006965F0"/>
    <w:rsid w:val="006966D4"/>
    <w:rsid w:val="00696925"/>
    <w:rsid w:val="00696B68"/>
    <w:rsid w:val="006973B6"/>
    <w:rsid w:val="0069748B"/>
    <w:rsid w:val="00697D37"/>
    <w:rsid w:val="006A00F8"/>
    <w:rsid w:val="006A0337"/>
    <w:rsid w:val="006A06B7"/>
    <w:rsid w:val="006A07FF"/>
    <w:rsid w:val="006A08F1"/>
    <w:rsid w:val="006A09EE"/>
    <w:rsid w:val="006A0A3B"/>
    <w:rsid w:val="006A0C6D"/>
    <w:rsid w:val="006A0EE1"/>
    <w:rsid w:val="006A1366"/>
    <w:rsid w:val="006A1B45"/>
    <w:rsid w:val="006A1D29"/>
    <w:rsid w:val="006A2255"/>
    <w:rsid w:val="006A2501"/>
    <w:rsid w:val="006A2BAB"/>
    <w:rsid w:val="006A2E73"/>
    <w:rsid w:val="006A2FDA"/>
    <w:rsid w:val="006A30ED"/>
    <w:rsid w:val="006A381E"/>
    <w:rsid w:val="006A384C"/>
    <w:rsid w:val="006A39C7"/>
    <w:rsid w:val="006A3BA7"/>
    <w:rsid w:val="006A3CBF"/>
    <w:rsid w:val="006A3D28"/>
    <w:rsid w:val="006A3EEA"/>
    <w:rsid w:val="006A4439"/>
    <w:rsid w:val="006A4665"/>
    <w:rsid w:val="006A4A05"/>
    <w:rsid w:val="006A4BB3"/>
    <w:rsid w:val="006A4D00"/>
    <w:rsid w:val="006A4FA9"/>
    <w:rsid w:val="006A50FA"/>
    <w:rsid w:val="006A5288"/>
    <w:rsid w:val="006A5939"/>
    <w:rsid w:val="006A5BE5"/>
    <w:rsid w:val="006A60EE"/>
    <w:rsid w:val="006A60F2"/>
    <w:rsid w:val="006A647E"/>
    <w:rsid w:val="006A69CB"/>
    <w:rsid w:val="006A6A33"/>
    <w:rsid w:val="006A6C36"/>
    <w:rsid w:val="006A71FE"/>
    <w:rsid w:val="006A741E"/>
    <w:rsid w:val="006A7E29"/>
    <w:rsid w:val="006A7F04"/>
    <w:rsid w:val="006A7F85"/>
    <w:rsid w:val="006B00E8"/>
    <w:rsid w:val="006B0408"/>
    <w:rsid w:val="006B05D1"/>
    <w:rsid w:val="006B0971"/>
    <w:rsid w:val="006B0B27"/>
    <w:rsid w:val="006B17C7"/>
    <w:rsid w:val="006B1823"/>
    <w:rsid w:val="006B190F"/>
    <w:rsid w:val="006B2265"/>
    <w:rsid w:val="006B24C9"/>
    <w:rsid w:val="006B27D4"/>
    <w:rsid w:val="006B286A"/>
    <w:rsid w:val="006B2E44"/>
    <w:rsid w:val="006B3276"/>
    <w:rsid w:val="006B36BE"/>
    <w:rsid w:val="006B3956"/>
    <w:rsid w:val="006B3BB2"/>
    <w:rsid w:val="006B3D4B"/>
    <w:rsid w:val="006B4064"/>
    <w:rsid w:val="006B40B8"/>
    <w:rsid w:val="006B40D0"/>
    <w:rsid w:val="006B4490"/>
    <w:rsid w:val="006B452C"/>
    <w:rsid w:val="006B45FC"/>
    <w:rsid w:val="006B45FE"/>
    <w:rsid w:val="006B4761"/>
    <w:rsid w:val="006B49C5"/>
    <w:rsid w:val="006B4C1C"/>
    <w:rsid w:val="006B4C4B"/>
    <w:rsid w:val="006B4CED"/>
    <w:rsid w:val="006B4CF1"/>
    <w:rsid w:val="006B511E"/>
    <w:rsid w:val="006B51BF"/>
    <w:rsid w:val="006B5643"/>
    <w:rsid w:val="006B5E32"/>
    <w:rsid w:val="006B5E90"/>
    <w:rsid w:val="006B606A"/>
    <w:rsid w:val="006B6271"/>
    <w:rsid w:val="006B68AF"/>
    <w:rsid w:val="006B6910"/>
    <w:rsid w:val="006B6A06"/>
    <w:rsid w:val="006B6A6F"/>
    <w:rsid w:val="006B6B90"/>
    <w:rsid w:val="006B6C7C"/>
    <w:rsid w:val="006B73B9"/>
    <w:rsid w:val="006B76E9"/>
    <w:rsid w:val="006B772C"/>
    <w:rsid w:val="006B7894"/>
    <w:rsid w:val="006B7D33"/>
    <w:rsid w:val="006C013C"/>
    <w:rsid w:val="006C0697"/>
    <w:rsid w:val="006C07E4"/>
    <w:rsid w:val="006C0A12"/>
    <w:rsid w:val="006C0A9F"/>
    <w:rsid w:val="006C0CEB"/>
    <w:rsid w:val="006C0DBA"/>
    <w:rsid w:val="006C1639"/>
    <w:rsid w:val="006C1693"/>
    <w:rsid w:val="006C16F4"/>
    <w:rsid w:val="006C17CE"/>
    <w:rsid w:val="006C1C0A"/>
    <w:rsid w:val="006C1D83"/>
    <w:rsid w:val="006C21AE"/>
    <w:rsid w:val="006C22C2"/>
    <w:rsid w:val="006C24B3"/>
    <w:rsid w:val="006C2714"/>
    <w:rsid w:val="006C287F"/>
    <w:rsid w:val="006C29EA"/>
    <w:rsid w:val="006C2A59"/>
    <w:rsid w:val="006C3139"/>
    <w:rsid w:val="006C34D1"/>
    <w:rsid w:val="006C384B"/>
    <w:rsid w:val="006C3AF1"/>
    <w:rsid w:val="006C3BC5"/>
    <w:rsid w:val="006C3BD6"/>
    <w:rsid w:val="006C3CF6"/>
    <w:rsid w:val="006C3F88"/>
    <w:rsid w:val="006C441F"/>
    <w:rsid w:val="006C44D4"/>
    <w:rsid w:val="006C4A54"/>
    <w:rsid w:val="006C4E0F"/>
    <w:rsid w:val="006C4E89"/>
    <w:rsid w:val="006C520D"/>
    <w:rsid w:val="006C55FE"/>
    <w:rsid w:val="006C5706"/>
    <w:rsid w:val="006C58AD"/>
    <w:rsid w:val="006C5FC0"/>
    <w:rsid w:val="006C60BE"/>
    <w:rsid w:val="006C65A2"/>
    <w:rsid w:val="006C67B9"/>
    <w:rsid w:val="006C6A9B"/>
    <w:rsid w:val="006C6F24"/>
    <w:rsid w:val="006C70BB"/>
    <w:rsid w:val="006C73B5"/>
    <w:rsid w:val="006C7559"/>
    <w:rsid w:val="006C778A"/>
    <w:rsid w:val="006C77F3"/>
    <w:rsid w:val="006C77F8"/>
    <w:rsid w:val="006C7938"/>
    <w:rsid w:val="006C7CEB"/>
    <w:rsid w:val="006C7D04"/>
    <w:rsid w:val="006C7EA2"/>
    <w:rsid w:val="006C7F3C"/>
    <w:rsid w:val="006D006F"/>
    <w:rsid w:val="006D0236"/>
    <w:rsid w:val="006D08FE"/>
    <w:rsid w:val="006D098A"/>
    <w:rsid w:val="006D0C0F"/>
    <w:rsid w:val="006D0C12"/>
    <w:rsid w:val="006D0F25"/>
    <w:rsid w:val="006D1319"/>
    <w:rsid w:val="006D147C"/>
    <w:rsid w:val="006D1791"/>
    <w:rsid w:val="006D19FD"/>
    <w:rsid w:val="006D1D76"/>
    <w:rsid w:val="006D1D98"/>
    <w:rsid w:val="006D1FB4"/>
    <w:rsid w:val="006D2416"/>
    <w:rsid w:val="006D2896"/>
    <w:rsid w:val="006D29A2"/>
    <w:rsid w:val="006D29F3"/>
    <w:rsid w:val="006D2DED"/>
    <w:rsid w:val="006D2E98"/>
    <w:rsid w:val="006D3556"/>
    <w:rsid w:val="006D35DB"/>
    <w:rsid w:val="006D36D8"/>
    <w:rsid w:val="006D381E"/>
    <w:rsid w:val="006D39AF"/>
    <w:rsid w:val="006D4826"/>
    <w:rsid w:val="006D4EA0"/>
    <w:rsid w:val="006D5110"/>
    <w:rsid w:val="006D51BE"/>
    <w:rsid w:val="006D549A"/>
    <w:rsid w:val="006D5A90"/>
    <w:rsid w:val="006D5C70"/>
    <w:rsid w:val="006D5F4A"/>
    <w:rsid w:val="006D62E2"/>
    <w:rsid w:val="006D682B"/>
    <w:rsid w:val="006D6AD8"/>
    <w:rsid w:val="006D6D16"/>
    <w:rsid w:val="006D6DC8"/>
    <w:rsid w:val="006D6E0C"/>
    <w:rsid w:val="006D6EA3"/>
    <w:rsid w:val="006D6FD0"/>
    <w:rsid w:val="006D7558"/>
    <w:rsid w:val="006D788B"/>
    <w:rsid w:val="006D79BB"/>
    <w:rsid w:val="006D7ABD"/>
    <w:rsid w:val="006D7B69"/>
    <w:rsid w:val="006E00BF"/>
    <w:rsid w:val="006E0584"/>
    <w:rsid w:val="006E05A4"/>
    <w:rsid w:val="006E06AD"/>
    <w:rsid w:val="006E0F4E"/>
    <w:rsid w:val="006E0F66"/>
    <w:rsid w:val="006E0FAB"/>
    <w:rsid w:val="006E10F1"/>
    <w:rsid w:val="006E1577"/>
    <w:rsid w:val="006E1769"/>
    <w:rsid w:val="006E1814"/>
    <w:rsid w:val="006E21AC"/>
    <w:rsid w:val="006E2399"/>
    <w:rsid w:val="006E23C3"/>
    <w:rsid w:val="006E2883"/>
    <w:rsid w:val="006E2AF6"/>
    <w:rsid w:val="006E2DF2"/>
    <w:rsid w:val="006E30F9"/>
    <w:rsid w:val="006E33FE"/>
    <w:rsid w:val="006E3733"/>
    <w:rsid w:val="006E37D1"/>
    <w:rsid w:val="006E3C07"/>
    <w:rsid w:val="006E3CB1"/>
    <w:rsid w:val="006E3D17"/>
    <w:rsid w:val="006E3D3C"/>
    <w:rsid w:val="006E3DDA"/>
    <w:rsid w:val="006E3E8F"/>
    <w:rsid w:val="006E479E"/>
    <w:rsid w:val="006E4854"/>
    <w:rsid w:val="006E4913"/>
    <w:rsid w:val="006E53D0"/>
    <w:rsid w:val="006E541F"/>
    <w:rsid w:val="006E57B4"/>
    <w:rsid w:val="006E5F0F"/>
    <w:rsid w:val="006E62B7"/>
    <w:rsid w:val="006E6303"/>
    <w:rsid w:val="006E65F9"/>
    <w:rsid w:val="006E66EE"/>
    <w:rsid w:val="006E6B70"/>
    <w:rsid w:val="006E6D63"/>
    <w:rsid w:val="006E6DD9"/>
    <w:rsid w:val="006E6E0A"/>
    <w:rsid w:val="006E6F93"/>
    <w:rsid w:val="006E74FC"/>
    <w:rsid w:val="006E76D2"/>
    <w:rsid w:val="006F04BD"/>
    <w:rsid w:val="006F0962"/>
    <w:rsid w:val="006F0974"/>
    <w:rsid w:val="006F0CFC"/>
    <w:rsid w:val="006F15FE"/>
    <w:rsid w:val="006F1C0F"/>
    <w:rsid w:val="006F1DED"/>
    <w:rsid w:val="006F222A"/>
    <w:rsid w:val="006F24F7"/>
    <w:rsid w:val="006F2759"/>
    <w:rsid w:val="006F282E"/>
    <w:rsid w:val="006F2A54"/>
    <w:rsid w:val="006F2A91"/>
    <w:rsid w:val="006F2C3D"/>
    <w:rsid w:val="006F2D33"/>
    <w:rsid w:val="006F2D7A"/>
    <w:rsid w:val="006F2FF5"/>
    <w:rsid w:val="006F32F6"/>
    <w:rsid w:val="006F33D0"/>
    <w:rsid w:val="006F379C"/>
    <w:rsid w:val="006F37AA"/>
    <w:rsid w:val="006F4220"/>
    <w:rsid w:val="006F492F"/>
    <w:rsid w:val="006F499F"/>
    <w:rsid w:val="006F4DA6"/>
    <w:rsid w:val="006F5820"/>
    <w:rsid w:val="006F5F08"/>
    <w:rsid w:val="006F61E6"/>
    <w:rsid w:val="006F62AD"/>
    <w:rsid w:val="006F6351"/>
    <w:rsid w:val="006F69F6"/>
    <w:rsid w:val="006F6BCB"/>
    <w:rsid w:val="006F6F4D"/>
    <w:rsid w:val="006F7021"/>
    <w:rsid w:val="006F7104"/>
    <w:rsid w:val="006F721C"/>
    <w:rsid w:val="006F73F2"/>
    <w:rsid w:val="006F73FC"/>
    <w:rsid w:val="006F7750"/>
    <w:rsid w:val="006F778D"/>
    <w:rsid w:val="0070084B"/>
    <w:rsid w:val="00700EC1"/>
    <w:rsid w:val="00700EC9"/>
    <w:rsid w:val="00701020"/>
    <w:rsid w:val="00701164"/>
    <w:rsid w:val="007011CA"/>
    <w:rsid w:val="00701265"/>
    <w:rsid w:val="0070161C"/>
    <w:rsid w:val="00701AFC"/>
    <w:rsid w:val="00701FFA"/>
    <w:rsid w:val="007022EC"/>
    <w:rsid w:val="00702858"/>
    <w:rsid w:val="007028F0"/>
    <w:rsid w:val="00702ABD"/>
    <w:rsid w:val="00702E94"/>
    <w:rsid w:val="00702F97"/>
    <w:rsid w:val="00703563"/>
    <w:rsid w:val="007039E6"/>
    <w:rsid w:val="00703A50"/>
    <w:rsid w:val="00703BEA"/>
    <w:rsid w:val="00703CB5"/>
    <w:rsid w:val="00703CE8"/>
    <w:rsid w:val="00704718"/>
    <w:rsid w:val="00704737"/>
    <w:rsid w:val="00704B48"/>
    <w:rsid w:val="00704C1B"/>
    <w:rsid w:val="00704F91"/>
    <w:rsid w:val="007050CF"/>
    <w:rsid w:val="00705426"/>
    <w:rsid w:val="007059EA"/>
    <w:rsid w:val="00705C2C"/>
    <w:rsid w:val="00705D34"/>
    <w:rsid w:val="00705FF4"/>
    <w:rsid w:val="00706311"/>
    <w:rsid w:val="00706362"/>
    <w:rsid w:val="0070638A"/>
    <w:rsid w:val="0070649D"/>
    <w:rsid w:val="007066EA"/>
    <w:rsid w:val="00706760"/>
    <w:rsid w:val="0070708F"/>
    <w:rsid w:val="00707108"/>
    <w:rsid w:val="0070723E"/>
    <w:rsid w:val="00707526"/>
    <w:rsid w:val="0070754C"/>
    <w:rsid w:val="00707769"/>
    <w:rsid w:val="007077B6"/>
    <w:rsid w:val="0070789E"/>
    <w:rsid w:val="007078C5"/>
    <w:rsid w:val="00707B30"/>
    <w:rsid w:val="00707EB4"/>
    <w:rsid w:val="0071015D"/>
    <w:rsid w:val="0071052D"/>
    <w:rsid w:val="00710906"/>
    <w:rsid w:val="00710A2A"/>
    <w:rsid w:val="00710E4D"/>
    <w:rsid w:val="007113ED"/>
    <w:rsid w:val="00711B1C"/>
    <w:rsid w:val="00712157"/>
    <w:rsid w:val="0071242B"/>
    <w:rsid w:val="00712433"/>
    <w:rsid w:val="00712590"/>
    <w:rsid w:val="007127D4"/>
    <w:rsid w:val="00712A22"/>
    <w:rsid w:val="00712C1D"/>
    <w:rsid w:val="00712E01"/>
    <w:rsid w:val="00712EA1"/>
    <w:rsid w:val="007131B2"/>
    <w:rsid w:val="0071398B"/>
    <w:rsid w:val="00713A30"/>
    <w:rsid w:val="00713AB4"/>
    <w:rsid w:val="00713B60"/>
    <w:rsid w:val="00713E35"/>
    <w:rsid w:val="007143E2"/>
    <w:rsid w:val="00714532"/>
    <w:rsid w:val="007148BD"/>
    <w:rsid w:val="00714EAB"/>
    <w:rsid w:val="00714FC6"/>
    <w:rsid w:val="007151DE"/>
    <w:rsid w:val="0071522D"/>
    <w:rsid w:val="007152ED"/>
    <w:rsid w:val="0071540E"/>
    <w:rsid w:val="007154F1"/>
    <w:rsid w:val="00715573"/>
    <w:rsid w:val="00715639"/>
    <w:rsid w:val="0071564C"/>
    <w:rsid w:val="0071573F"/>
    <w:rsid w:val="00715930"/>
    <w:rsid w:val="00715A41"/>
    <w:rsid w:val="00715E29"/>
    <w:rsid w:val="00715F18"/>
    <w:rsid w:val="007160DD"/>
    <w:rsid w:val="00716368"/>
    <w:rsid w:val="00716741"/>
    <w:rsid w:val="0071685D"/>
    <w:rsid w:val="00716AE1"/>
    <w:rsid w:val="00717478"/>
    <w:rsid w:val="0071774E"/>
    <w:rsid w:val="00717E8E"/>
    <w:rsid w:val="007200F0"/>
    <w:rsid w:val="007204FE"/>
    <w:rsid w:val="00720717"/>
    <w:rsid w:val="0072071E"/>
    <w:rsid w:val="007209A3"/>
    <w:rsid w:val="00720C7B"/>
    <w:rsid w:val="00721196"/>
    <w:rsid w:val="007215B9"/>
    <w:rsid w:val="007215EB"/>
    <w:rsid w:val="007216BB"/>
    <w:rsid w:val="00721C11"/>
    <w:rsid w:val="00722320"/>
    <w:rsid w:val="00722328"/>
    <w:rsid w:val="0072232D"/>
    <w:rsid w:val="00722414"/>
    <w:rsid w:val="0072256F"/>
    <w:rsid w:val="00722AEB"/>
    <w:rsid w:val="007230BA"/>
    <w:rsid w:val="007235A9"/>
    <w:rsid w:val="00723C6E"/>
    <w:rsid w:val="00724102"/>
    <w:rsid w:val="007243B4"/>
    <w:rsid w:val="007245FB"/>
    <w:rsid w:val="0072483E"/>
    <w:rsid w:val="00724CD7"/>
    <w:rsid w:val="00724E16"/>
    <w:rsid w:val="00724E6E"/>
    <w:rsid w:val="00724FE7"/>
    <w:rsid w:val="007252FB"/>
    <w:rsid w:val="007257E3"/>
    <w:rsid w:val="00726003"/>
    <w:rsid w:val="00726DD7"/>
    <w:rsid w:val="00726E3E"/>
    <w:rsid w:val="00726EE2"/>
    <w:rsid w:val="007272EE"/>
    <w:rsid w:val="007272F6"/>
    <w:rsid w:val="0072740E"/>
    <w:rsid w:val="00727575"/>
    <w:rsid w:val="00727A07"/>
    <w:rsid w:val="00727D64"/>
    <w:rsid w:val="00727EE6"/>
    <w:rsid w:val="00727F09"/>
    <w:rsid w:val="00730400"/>
    <w:rsid w:val="00730AA1"/>
    <w:rsid w:val="0073108A"/>
    <w:rsid w:val="0073126B"/>
    <w:rsid w:val="00731937"/>
    <w:rsid w:val="00731B23"/>
    <w:rsid w:val="0073200B"/>
    <w:rsid w:val="00732030"/>
    <w:rsid w:val="00732288"/>
    <w:rsid w:val="00732488"/>
    <w:rsid w:val="007325D6"/>
    <w:rsid w:val="00732A75"/>
    <w:rsid w:val="00732AD8"/>
    <w:rsid w:val="007339A7"/>
    <w:rsid w:val="00734153"/>
    <w:rsid w:val="00734505"/>
    <w:rsid w:val="00734E3B"/>
    <w:rsid w:val="0073584E"/>
    <w:rsid w:val="0073590E"/>
    <w:rsid w:val="007359AE"/>
    <w:rsid w:val="00735EAB"/>
    <w:rsid w:val="0073663C"/>
    <w:rsid w:val="0073689E"/>
    <w:rsid w:val="00736F2F"/>
    <w:rsid w:val="00737C13"/>
    <w:rsid w:val="00737DC2"/>
    <w:rsid w:val="00737DC4"/>
    <w:rsid w:val="00737F14"/>
    <w:rsid w:val="00740175"/>
    <w:rsid w:val="007404EE"/>
    <w:rsid w:val="00740A8B"/>
    <w:rsid w:val="00740AED"/>
    <w:rsid w:val="00740CC0"/>
    <w:rsid w:val="00740ECE"/>
    <w:rsid w:val="00740F19"/>
    <w:rsid w:val="0074107F"/>
    <w:rsid w:val="00741190"/>
    <w:rsid w:val="007414D5"/>
    <w:rsid w:val="0074158C"/>
    <w:rsid w:val="007416B4"/>
    <w:rsid w:val="00742190"/>
    <w:rsid w:val="007425D6"/>
    <w:rsid w:val="00742EC9"/>
    <w:rsid w:val="00742FAF"/>
    <w:rsid w:val="00743542"/>
    <w:rsid w:val="00743DEC"/>
    <w:rsid w:val="00744120"/>
    <w:rsid w:val="00744138"/>
    <w:rsid w:val="0074435F"/>
    <w:rsid w:val="00744814"/>
    <w:rsid w:val="00744AB9"/>
    <w:rsid w:val="00744FAE"/>
    <w:rsid w:val="00745231"/>
    <w:rsid w:val="0074528F"/>
    <w:rsid w:val="00745335"/>
    <w:rsid w:val="00745468"/>
    <w:rsid w:val="00745894"/>
    <w:rsid w:val="00745AA1"/>
    <w:rsid w:val="00745E02"/>
    <w:rsid w:val="007461A5"/>
    <w:rsid w:val="00746A4E"/>
    <w:rsid w:val="00746D09"/>
    <w:rsid w:val="007475B7"/>
    <w:rsid w:val="00747643"/>
    <w:rsid w:val="0074779E"/>
    <w:rsid w:val="007477CD"/>
    <w:rsid w:val="00747C38"/>
    <w:rsid w:val="00747D34"/>
    <w:rsid w:val="00750084"/>
    <w:rsid w:val="007503C3"/>
    <w:rsid w:val="00750A65"/>
    <w:rsid w:val="00750C1C"/>
    <w:rsid w:val="00750DD6"/>
    <w:rsid w:val="00750EDF"/>
    <w:rsid w:val="0075101B"/>
    <w:rsid w:val="00751028"/>
    <w:rsid w:val="007510EB"/>
    <w:rsid w:val="007511DC"/>
    <w:rsid w:val="007513BB"/>
    <w:rsid w:val="00751412"/>
    <w:rsid w:val="0075192F"/>
    <w:rsid w:val="00751956"/>
    <w:rsid w:val="007519A9"/>
    <w:rsid w:val="00751FB7"/>
    <w:rsid w:val="00752627"/>
    <w:rsid w:val="007527C2"/>
    <w:rsid w:val="007529E8"/>
    <w:rsid w:val="0075327D"/>
    <w:rsid w:val="00753CBF"/>
    <w:rsid w:val="00753E3C"/>
    <w:rsid w:val="007544DE"/>
    <w:rsid w:val="007547D9"/>
    <w:rsid w:val="00754973"/>
    <w:rsid w:val="007549EB"/>
    <w:rsid w:val="00755AE5"/>
    <w:rsid w:val="00755B47"/>
    <w:rsid w:val="00756084"/>
    <w:rsid w:val="00756302"/>
    <w:rsid w:val="0075649A"/>
    <w:rsid w:val="007565FE"/>
    <w:rsid w:val="0075663E"/>
    <w:rsid w:val="00756864"/>
    <w:rsid w:val="007568D5"/>
    <w:rsid w:val="00756BE5"/>
    <w:rsid w:val="00756F61"/>
    <w:rsid w:val="007570AD"/>
    <w:rsid w:val="007575C4"/>
    <w:rsid w:val="007577B1"/>
    <w:rsid w:val="007577E4"/>
    <w:rsid w:val="0076029B"/>
    <w:rsid w:val="00760C03"/>
    <w:rsid w:val="00760D0A"/>
    <w:rsid w:val="00760DB2"/>
    <w:rsid w:val="0076106D"/>
    <w:rsid w:val="0076111F"/>
    <w:rsid w:val="007616FB"/>
    <w:rsid w:val="007618CC"/>
    <w:rsid w:val="00761F4F"/>
    <w:rsid w:val="00762184"/>
    <w:rsid w:val="0076239D"/>
    <w:rsid w:val="0076251F"/>
    <w:rsid w:val="00762550"/>
    <w:rsid w:val="00762B7E"/>
    <w:rsid w:val="00763224"/>
    <w:rsid w:val="007632F6"/>
    <w:rsid w:val="0076340E"/>
    <w:rsid w:val="007635D1"/>
    <w:rsid w:val="007636D3"/>
    <w:rsid w:val="00763911"/>
    <w:rsid w:val="007639C1"/>
    <w:rsid w:val="00763B5D"/>
    <w:rsid w:val="00763C42"/>
    <w:rsid w:val="00763C5F"/>
    <w:rsid w:val="00763CDF"/>
    <w:rsid w:val="007640BA"/>
    <w:rsid w:val="007640C0"/>
    <w:rsid w:val="0076420A"/>
    <w:rsid w:val="00764475"/>
    <w:rsid w:val="007645A6"/>
    <w:rsid w:val="00764794"/>
    <w:rsid w:val="00764804"/>
    <w:rsid w:val="00764958"/>
    <w:rsid w:val="00764AAA"/>
    <w:rsid w:val="00764C7B"/>
    <w:rsid w:val="00764D97"/>
    <w:rsid w:val="00764DAB"/>
    <w:rsid w:val="00764E4A"/>
    <w:rsid w:val="00765219"/>
    <w:rsid w:val="0076543B"/>
    <w:rsid w:val="00765BED"/>
    <w:rsid w:val="007661B9"/>
    <w:rsid w:val="007661F9"/>
    <w:rsid w:val="007663EC"/>
    <w:rsid w:val="007664F0"/>
    <w:rsid w:val="00766B7A"/>
    <w:rsid w:val="00766D74"/>
    <w:rsid w:val="00766F86"/>
    <w:rsid w:val="00767266"/>
    <w:rsid w:val="00767396"/>
    <w:rsid w:val="0076744B"/>
    <w:rsid w:val="00767855"/>
    <w:rsid w:val="007679AD"/>
    <w:rsid w:val="00767BC9"/>
    <w:rsid w:val="00767BF0"/>
    <w:rsid w:val="00767DB1"/>
    <w:rsid w:val="007706BC"/>
    <w:rsid w:val="007709DE"/>
    <w:rsid w:val="00770C42"/>
    <w:rsid w:val="00770D3F"/>
    <w:rsid w:val="0077107F"/>
    <w:rsid w:val="007712F0"/>
    <w:rsid w:val="0077168A"/>
    <w:rsid w:val="007716C8"/>
    <w:rsid w:val="00771C84"/>
    <w:rsid w:val="00771DBC"/>
    <w:rsid w:val="00771E5B"/>
    <w:rsid w:val="007727AE"/>
    <w:rsid w:val="00772DF7"/>
    <w:rsid w:val="00772F18"/>
    <w:rsid w:val="007737AF"/>
    <w:rsid w:val="007737C1"/>
    <w:rsid w:val="00773AAD"/>
    <w:rsid w:val="00773D00"/>
    <w:rsid w:val="00773D36"/>
    <w:rsid w:val="00774042"/>
    <w:rsid w:val="007745A7"/>
    <w:rsid w:val="007747D7"/>
    <w:rsid w:val="007748DD"/>
    <w:rsid w:val="00774D04"/>
    <w:rsid w:val="00775315"/>
    <w:rsid w:val="007753A9"/>
    <w:rsid w:val="00775B73"/>
    <w:rsid w:val="00775C47"/>
    <w:rsid w:val="00775F65"/>
    <w:rsid w:val="00776031"/>
    <w:rsid w:val="0077612A"/>
    <w:rsid w:val="00776142"/>
    <w:rsid w:val="00776A27"/>
    <w:rsid w:val="0077720E"/>
    <w:rsid w:val="00777355"/>
    <w:rsid w:val="007775EB"/>
    <w:rsid w:val="00777746"/>
    <w:rsid w:val="007801AB"/>
    <w:rsid w:val="007803D7"/>
    <w:rsid w:val="0078058C"/>
    <w:rsid w:val="007805B2"/>
    <w:rsid w:val="007805E9"/>
    <w:rsid w:val="00780E83"/>
    <w:rsid w:val="0078121F"/>
    <w:rsid w:val="0078127E"/>
    <w:rsid w:val="0078141E"/>
    <w:rsid w:val="00781574"/>
    <w:rsid w:val="00781783"/>
    <w:rsid w:val="0078194F"/>
    <w:rsid w:val="00781974"/>
    <w:rsid w:val="00781B32"/>
    <w:rsid w:val="00781B63"/>
    <w:rsid w:val="00781BAF"/>
    <w:rsid w:val="007824BF"/>
    <w:rsid w:val="0078255C"/>
    <w:rsid w:val="0078260C"/>
    <w:rsid w:val="007827C8"/>
    <w:rsid w:val="00782A1F"/>
    <w:rsid w:val="00782A2E"/>
    <w:rsid w:val="00782B7D"/>
    <w:rsid w:val="00782BF7"/>
    <w:rsid w:val="00782E31"/>
    <w:rsid w:val="007837DE"/>
    <w:rsid w:val="007837E1"/>
    <w:rsid w:val="007839DB"/>
    <w:rsid w:val="00783CDE"/>
    <w:rsid w:val="00783D00"/>
    <w:rsid w:val="00783FF2"/>
    <w:rsid w:val="00784071"/>
    <w:rsid w:val="00784316"/>
    <w:rsid w:val="00784B1E"/>
    <w:rsid w:val="00784BD1"/>
    <w:rsid w:val="00784C03"/>
    <w:rsid w:val="00784F8B"/>
    <w:rsid w:val="00784FCC"/>
    <w:rsid w:val="007851E3"/>
    <w:rsid w:val="00785350"/>
    <w:rsid w:val="00785D3D"/>
    <w:rsid w:val="00785D41"/>
    <w:rsid w:val="007861CC"/>
    <w:rsid w:val="007868C8"/>
    <w:rsid w:val="00786A3A"/>
    <w:rsid w:val="00786AF3"/>
    <w:rsid w:val="00786CB0"/>
    <w:rsid w:val="00786CF6"/>
    <w:rsid w:val="00786F53"/>
    <w:rsid w:val="007870C2"/>
    <w:rsid w:val="007870E2"/>
    <w:rsid w:val="00787424"/>
    <w:rsid w:val="00787561"/>
    <w:rsid w:val="00787BEB"/>
    <w:rsid w:val="00787D27"/>
    <w:rsid w:val="00790262"/>
    <w:rsid w:val="00790339"/>
    <w:rsid w:val="007903E9"/>
    <w:rsid w:val="0079062A"/>
    <w:rsid w:val="007909A5"/>
    <w:rsid w:val="00790AC4"/>
    <w:rsid w:val="00791833"/>
    <w:rsid w:val="00791E38"/>
    <w:rsid w:val="0079208F"/>
    <w:rsid w:val="0079231E"/>
    <w:rsid w:val="007926D6"/>
    <w:rsid w:val="007928DD"/>
    <w:rsid w:val="00792D28"/>
    <w:rsid w:val="00792D31"/>
    <w:rsid w:val="00793391"/>
    <w:rsid w:val="007934ED"/>
    <w:rsid w:val="00793B5C"/>
    <w:rsid w:val="00794562"/>
    <w:rsid w:val="00794DE4"/>
    <w:rsid w:val="00794E09"/>
    <w:rsid w:val="007950C9"/>
    <w:rsid w:val="007950E0"/>
    <w:rsid w:val="0079542D"/>
    <w:rsid w:val="007958A4"/>
    <w:rsid w:val="00795B4D"/>
    <w:rsid w:val="00795C28"/>
    <w:rsid w:val="00795C89"/>
    <w:rsid w:val="00795DB4"/>
    <w:rsid w:val="00796357"/>
    <w:rsid w:val="00796681"/>
    <w:rsid w:val="0079673D"/>
    <w:rsid w:val="007967C5"/>
    <w:rsid w:val="00796D7A"/>
    <w:rsid w:val="00797573"/>
    <w:rsid w:val="00797622"/>
    <w:rsid w:val="00797852"/>
    <w:rsid w:val="00797AEF"/>
    <w:rsid w:val="00797CC4"/>
    <w:rsid w:val="00797CDB"/>
    <w:rsid w:val="00797EBC"/>
    <w:rsid w:val="007A1B9A"/>
    <w:rsid w:val="007A1C6A"/>
    <w:rsid w:val="007A2523"/>
    <w:rsid w:val="007A27C2"/>
    <w:rsid w:val="007A2922"/>
    <w:rsid w:val="007A2B28"/>
    <w:rsid w:val="007A2CCA"/>
    <w:rsid w:val="007A3724"/>
    <w:rsid w:val="007A3B34"/>
    <w:rsid w:val="007A42F5"/>
    <w:rsid w:val="007A4631"/>
    <w:rsid w:val="007A4B5E"/>
    <w:rsid w:val="007A52DE"/>
    <w:rsid w:val="007A5309"/>
    <w:rsid w:val="007A5338"/>
    <w:rsid w:val="007A559C"/>
    <w:rsid w:val="007A55C4"/>
    <w:rsid w:val="007A56AC"/>
    <w:rsid w:val="007A59C4"/>
    <w:rsid w:val="007A5CD0"/>
    <w:rsid w:val="007A6721"/>
    <w:rsid w:val="007A69E1"/>
    <w:rsid w:val="007A6A7E"/>
    <w:rsid w:val="007A6D31"/>
    <w:rsid w:val="007A6D53"/>
    <w:rsid w:val="007A6F5D"/>
    <w:rsid w:val="007A73E6"/>
    <w:rsid w:val="007A74BE"/>
    <w:rsid w:val="007A7677"/>
    <w:rsid w:val="007A78D8"/>
    <w:rsid w:val="007B02E3"/>
    <w:rsid w:val="007B04CD"/>
    <w:rsid w:val="007B0506"/>
    <w:rsid w:val="007B0554"/>
    <w:rsid w:val="007B0949"/>
    <w:rsid w:val="007B0AAB"/>
    <w:rsid w:val="007B0D4F"/>
    <w:rsid w:val="007B1032"/>
    <w:rsid w:val="007B1680"/>
    <w:rsid w:val="007B17AA"/>
    <w:rsid w:val="007B1E52"/>
    <w:rsid w:val="007B1EC6"/>
    <w:rsid w:val="007B2048"/>
    <w:rsid w:val="007B21D5"/>
    <w:rsid w:val="007B2458"/>
    <w:rsid w:val="007B25EC"/>
    <w:rsid w:val="007B2F7D"/>
    <w:rsid w:val="007B312A"/>
    <w:rsid w:val="007B37D2"/>
    <w:rsid w:val="007B3CEB"/>
    <w:rsid w:val="007B3DAC"/>
    <w:rsid w:val="007B47D3"/>
    <w:rsid w:val="007B4EE7"/>
    <w:rsid w:val="007B548F"/>
    <w:rsid w:val="007B54A5"/>
    <w:rsid w:val="007B5697"/>
    <w:rsid w:val="007B5769"/>
    <w:rsid w:val="007B57F8"/>
    <w:rsid w:val="007B599B"/>
    <w:rsid w:val="007B5D38"/>
    <w:rsid w:val="007B5E0B"/>
    <w:rsid w:val="007B6246"/>
    <w:rsid w:val="007B65B9"/>
    <w:rsid w:val="007B6659"/>
    <w:rsid w:val="007B665A"/>
    <w:rsid w:val="007B6873"/>
    <w:rsid w:val="007B6990"/>
    <w:rsid w:val="007B6BB3"/>
    <w:rsid w:val="007B6E5F"/>
    <w:rsid w:val="007B7161"/>
    <w:rsid w:val="007B71B3"/>
    <w:rsid w:val="007B724E"/>
    <w:rsid w:val="007B727E"/>
    <w:rsid w:val="007B736E"/>
    <w:rsid w:val="007B73A1"/>
    <w:rsid w:val="007B748A"/>
    <w:rsid w:val="007B74EC"/>
    <w:rsid w:val="007B7A82"/>
    <w:rsid w:val="007B7BD8"/>
    <w:rsid w:val="007B7DB0"/>
    <w:rsid w:val="007B7DD4"/>
    <w:rsid w:val="007B7E6B"/>
    <w:rsid w:val="007C08C3"/>
    <w:rsid w:val="007C0CAA"/>
    <w:rsid w:val="007C0EC1"/>
    <w:rsid w:val="007C121C"/>
    <w:rsid w:val="007C12E1"/>
    <w:rsid w:val="007C1560"/>
    <w:rsid w:val="007C161A"/>
    <w:rsid w:val="007C1B4F"/>
    <w:rsid w:val="007C1D4D"/>
    <w:rsid w:val="007C1DD8"/>
    <w:rsid w:val="007C1E6D"/>
    <w:rsid w:val="007C208D"/>
    <w:rsid w:val="007C22E7"/>
    <w:rsid w:val="007C2D70"/>
    <w:rsid w:val="007C2E1E"/>
    <w:rsid w:val="007C3198"/>
    <w:rsid w:val="007C3410"/>
    <w:rsid w:val="007C3866"/>
    <w:rsid w:val="007C3D2F"/>
    <w:rsid w:val="007C42C1"/>
    <w:rsid w:val="007C435D"/>
    <w:rsid w:val="007C4DBF"/>
    <w:rsid w:val="007C5053"/>
    <w:rsid w:val="007C52AB"/>
    <w:rsid w:val="007C5A5A"/>
    <w:rsid w:val="007C5F23"/>
    <w:rsid w:val="007C6249"/>
    <w:rsid w:val="007C62AD"/>
    <w:rsid w:val="007C64F0"/>
    <w:rsid w:val="007C6912"/>
    <w:rsid w:val="007C6D10"/>
    <w:rsid w:val="007C6E06"/>
    <w:rsid w:val="007C7096"/>
    <w:rsid w:val="007C71CA"/>
    <w:rsid w:val="007C79C0"/>
    <w:rsid w:val="007C7D6F"/>
    <w:rsid w:val="007C7DEA"/>
    <w:rsid w:val="007D034A"/>
    <w:rsid w:val="007D051A"/>
    <w:rsid w:val="007D0DEF"/>
    <w:rsid w:val="007D1002"/>
    <w:rsid w:val="007D109C"/>
    <w:rsid w:val="007D1AE5"/>
    <w:rsid w:val="007D1D03"/>
    <w:rsid w:val="007D22D4"/>
    <w:rsid w:val="007D24F6"/>
    <w:rsid w:val="007D2793"/>
    <w:rsid w:val="007D27A8"/>
    <w:rsid w:val="007D2A83"/>
    <w:rsid w:val="007D2FB6"/>
    <w:rsid w:val="007D329A"/>
    <w:rsid w:val="007D3482"/>
    <w:rsid w:val="007D34FE"/>
    <w:rsid w:val="007D36A7"/>
    <w:rsid w:val="007D3BBD"/>
    <w:rsid w:val="007D3DE8"/>
    <w:rsid w:val="007D3E13"/>
    <w:rsid w:val="007D3FBE"/>
    <w:rsid w:val="007D4891"/>
    <w:rsid w:val="007D48A5"/>
    <w:rsid w:val="007D49B5"/>
    <w:rsid w:val="007D521E"/>
    <w:rsid w:val="007D54F7"/>
    <w:rsid w:val="007D57D9"/>
    <w:rsid w:val="007D5911"/>
    <w:rsid w:val="007D5954"/>
    <w:rsid w:val="007D59C0"/>
    <w:rsid w:val="007D59C9"/>
    <w:rsid w:val="007D59F2"/>
    <w:rsid w:val="007D5CB4"/>
    <w:rsid w:val="007D5DB3"/>
    <w:rsid w:val="007D5EA8"/>
    <w:rsid w:val="007D5F0A"/>
    <w:rsid w:val="007D6673"/>
    <w:rsid w:val="007D67A6"/>
    <w:rsid w:val="007D67CE"/>
    <w:rsid w:val="007D68FC"/>
    <w:rsid w:val="007D6B92"/>
    <w:rsid w:val="007D6FEE"/>
    <w:rsid w:val="007D701D"/>
    <w:rsid w:val="007D722F"/>
    <w:rsid w:val="007D7BA9"/>
    <w:rsid w:val="007D7D3A"/>
    <w:rsid w:val="007D7D62"/>
    <w:rsid w:val="007D7DFF"/>
    <w:rsid w:val="007D7F5B"/>
    <w:rsid w:val="007E051F"/>
    <w:rsid w:val="007E06EA"/>
    <w:rsid w:val="007E07DB"/>
    <w:rsid w:val="007E0CF1"/>
    <w:rsid w:val="007E0E90"/>
    <w:rsid w:val="007E1187"/>
    <w:rsid w:val="007E13E1"/>
    <w:rsid w:val="007E16E5"/>
    <w:rsid w:val="007E19A6"/>
    <w:rsid w:val="007E19E9"/>
    <w:rsid w:val="007E1F9F"/>
    <w:rsid w:val="007E2031"/>
    <w:rsid w:val="007E20E8"/>
    <w:rsid w:val="007E2494"/>
    <w:rsid w:val="007E2946"/>
    <w:rsid w:val="007E2AD0"/>
    <w:rsid w:val="007E2B5C"/>
    <w:rsid w:val="007E2D97"/>
    <w:rsid w:val="007E320F"/>
    <w:rsid w:val="007E33AE"/>
    <w:rsid w:val="007E375A"/>
    <w:rsid w:val="007E3A38"/>
    <w:rsid w:val="007E3D4B"/>
    <w:rsid w:val="007E3F57"/>
    <w:rsid w:val="007E40EE"/>
    <w:rsid w:val="007E4607"/>
    <w:rsid w:val="007E4739"/>
    <w:rsid w:val="007E47AF"/>
    <w:rsid w:val="007E48AE"/>
    <w:rsid w:val="007E4AF8"/>
    <w:rsid w:val="007E4D10"/>
    <w:rsid w:val="007E4E87"/>
    <w:rsid w:val="007E505C"/>
    <w:rsid w:val="007E5126"/>
    <w:rsid w:val="007E5339"/>
    <w:rsid w:val="007E5453"/>
    <w:rsid w:val="007E5872"/>
    <w:rsid w:val="007E5889"/>
    <w:rsid w:val="007E5A5C"/>
    <w:rsid w:val="007E5B23"/>
    <w:rsid w:val="007E5B4E"/>
    <w:rsid w:val="007E5EBB"/>
    <w:rsid w:val="007E5F0C"/>
    <w:rsid w:val="007E6228"/>
    <w:rsid w:val="007E654D"/>
    <w:rsid w:val="007E6808"/>
    <w:rsid w:val="007E694C"/>
    <w:rsid w:val="007E6AE1"/>
    <w:rsid w:val="007E6B4D"/>
    <w:rsid w:val="007E7171"/>
    <w:rsid w:val="007E72FB"/>
    <w:rsid w:val="007E7ABF"/>
    <w:rsid w:val="007F02EA"/>
    <w:rsid w:val="007F05D8"/>
    <w:rsid w:val="007F0CED"/>
    <w:rsid w:val="007F0D3C"/>
    <w:rsid w:val="007F0FC2"/>
    <w:rsid w:val="007F1075"/>
    <w:rsid w:val="007F12FF"/>
    <w:rsid w:val="007F1347"/>
    <w:rsid w:val="007F1526"/>
    <w:rsid w:val="007F1752"/>
    <w:rsid w:val="007F17D1"/>
    <w:rsid w:val="007F1A74"/>
    <w:rsid w:val="007F1BF8"/>
    <w:rsid w:val="007F1CD8"/>
    <w:rsid w:val="007F1D30"/>
    <w:rsid w:val="007F27F7"/>
    <w:rsid w:val="007F2A15"/>
    <w:rsid w:val="007F2AD9"/>
    <w:rsid w:val="007F30EA"/>
    <w:rsid w:val="007F3358"/>
    <w:rsid w:val="007F360E"/>
    <w:rsid w:val="007F3BE7"/>
    <w:rsid w:val="007F3E0C"/>
    <w:rsid w:val="007F3F80"/>
    <w:rsid w:val="007F4196"/>
    <w:rsid w:val="007F425C"/>
    <w:rsid w:val="007F42B7"/>
    <w:rsid w:val="007F4C8C"/>
    <w:rsid w:val="007F54EC"/>
    <w:rsid w:val="007F5576"/>
    <w:rsid w:val="007F62CF"/>
    <w:rsid w:val="007F6455"/>
    <w:rsid w:val="007F6922"/>
    <w:rsid w:val="007F6ACE"/>
    <w:rsid w:val="007F6D40"/>
    <w:rsid w:val="007F6D7D"/>
    <w:rsid w:val="007F6E06"/>
    <w:rsid w:val="007F70D9"/>
    <w:rsid w:val="007F715A"/>
    <w:rsid w:val="007F7420"/>
    <w:rsid w:val="007F750A"/>
    <w:rsid w:val="007F7562"/>
    <w:rsid w:val="007F76C0"/>
    <w:rsid w:val="007F76EE"/>
    <w:rsid w:val="007F76FC"/>
    <w:rsid w:val="007F776F"/>
    <w:rsid w:val="007F7ACC"/>
    <w:rsid w:val="0080016F"/>
    <w:rsid w:val="0080024C"/>
    <w:rsid w:val="00800469"/>
    <w:rsid w:val="008008B5"/>
    <w:rsid w:val="00800B0C"/>
    <w:rsid w:val="00801064"/>
    <w:rsid w:val="008014FE"/>
    <w:rsid w:val="00801A2D"/>
    <w:rsid w:val="00801AD3"/>
    <w:rsid w:val="00801B2C"/>
    <w:rsid w:val="00801DBE"/>
    <w:rsid w:val="00802054"/>
    <w:rsid w:val="00802788"/>
    <w:rsid w:val="0080281A"/>
    <w:rsid w:val="0080281F"/>
    <w:rsid w:val="00802E3D"/>
    <w:rsid w:val="00802F29"/>
    <w:rsid w:val="0080306D"/>
    <w:rsid w:val="00803778"/>
    <w:rsid w:val="0080395C"/>
    <w:rsid w:val="00803A54"/>
    <w:rsid w:val="00803CD7"/>
    <w:rsid w:val="00803FC1"/>
    <w:rsid w:val="00804201"/>
    <w:rsid w:val="00804253"/>
    <w:rsid w:val="008042DA"/>
    <w:rsid w:val="0080479F"/>
    <w:rsid w:val="0080488F"/>
    <w:rsid w:val="00804E32"/>
    <w:rsid w:val="00805326"/>
    <w:rsid w:val="0080556E"/>
    <w:rsid w:val="00805A1B"/>
    <w:rsid w:val="00805BCE"/>
    <w:rsid w:val="00805FEC"/>
    <w:rsid w:val="008060A1"/>
    <w:rsid w:val="0080613B"/>
    <w:rsid w:val="0080645F"/>
    <w:rsid w:val="00806F9D"/>
    <w:rsid w:val="0080730F"/>
    <w:rsid w:val="008073AC"/>
    <w:rsid w:val="00807484"/>
    <w:rsid w:val="00807863"/>
    <w:rsid w:val="008078A9"/>
    <w:rsid w:val="00807D5C"/>
    <w:rsid w:val="008100EC"/>
    <w:rsid w:val="0081020F"/>
    <w:rsid w:val="00810747"/>
    <w:rsid w:val="00810ACF"/>
    <w:rsid w:val="00810B0A"/>
    <w:rsid w:val="0081135E"/>
    <w:rsid w:val="00811C69"/>
    <w:rsid w:val="00811DAA"/>
    <w:rsid w:val="00811E67"/>
    <w:rsid w:val="00811EFC"/>
    <w:rsid w:val="00812114"/>
    <w:rsid w:val="008122A0"/>
    <w:rsid w:val="008123B0"/>
    <w:rsid w:val="0081250C"/>
    <w:rsid w:val="008126DB"/>
    <w:rsid w:val="008127A4"/>
    <w:rsid w:val="0081324A"/>
    <w:rsid w:val="008134B5"/>
    <w:rsid w:val="00813740"/>
    <w:rsid w:val="008139B2"/>
    <w:rsid w:val="00813DEB"/>
    <w:rsid w:val="00814045"/>
    <w:rsid w:val="0081417A"/>
    <w:rsid w:val="008141E1"/>
    <w:rsid w:val="00814349"/>
    <w:rsid w:val="00814461"/>
    <w:rsid w:val="008144B0"/>
    <w:rsid w:val="008145A3"/>
    <w:rsid w:val="008145DD"/>
    <w:rsid w:val="00814BDD"/>
    <w:rsid w:val="0081508A"/>
    <w:rsid w:val="00815288"/>
    <w:rsid w:val="00815702"/>
    <w:rsid w:val="00815847"/>
    <w:rsid w:val="00815ADB"/>
    <w:rsid w:val="00815B41"/>
    <w:rsid w:val="00815BBE"/>
    <w:rsid w:val="00815DA5"/>
    <w:rsid w:val="00815F2E"/>
    <w:rsid w:val="00816257"/>
    <w:rsid w:val="0081668C"/>
    <w:rsid w:val="00816730"/>
    <w:rsid w:val="00816949"/>
    <w:rsid w:val="00816A82"/>
    <w:rsid w:val="00816CFC"/>
    <w:rsid w:val="00816F21"/>
    <w:rsid w:val="00817446"/>
    <w:rsid w:val="0081755D"/>
    <w:rsid w:val="0081779D"/>
    <w:rsid w:val="008177C6"/>
    <w:rsid w:val="008177CF"/>
    <w:rsid w:val="00817B01"/>
    <w:rsid w:val="00817D3C"/>
    <w:rsid w:val="0082015C"/>
    <w:rsid w:val="008202C4"/>
    <w:rsid w:val="0082050D"/>
    <w:rsid w:val="00820823"/>
    <w:rsid w:val="00820F8B"/>
    <w:rsid w:val="0082106B"/>
    <w:rsid w:val="008211BC"/>
    <w:rsid w:val="00821321"/>
    <w:rsid w:val="00821AA0"/>
    <w:rsid w:val="00821BD6"/>
    <w:rsid w:val="00821C4C"/>
    <w:rsid w:val="00821C7E"/>
    <w:rsid w:val="008224C4"/>
    <w:rsid w:val="00822E48"/>
    <w:rsid w:val="0082304B"/>
    <w:rsid w:val="0082327E"/>
    <w:rsid w:val="00823348"/>
    <w:rsid w:val="00823808"/>
    <w:rsid w:val="00823A4D"/>
    <w:rsid w:val="00823E1F"/>
    <w:rsid w:val="00823FAA"/>
    <w:rsid w:val="0082411F"/>
    <w:rsid w:val="00824B86"/>
    <w:rsid w:val="00824B95"/>
    <w:rsid w:val="00824C66"/>
    <w:rsid w:val="00824E09"/>
    <w:rsid w:val="008252C0"/>
    <w:rsid w:val="0082588D"/>
    <w:rsid w:val="0082621E"/>
    <w:rsid w:val="00826288"/>
    <w:rsid w:val="008263F2"/>
    <w:rsid w:val="008265A7"/>
    <w:rsid w:val="00826AC2"/>
    <w:rsid w:val="00826B73"/>
    <w:rsid w:val="00826C93"/>
    <w:rsid w:val="00826D4D"/>
    <w:rsid w:val="00827311"/>
    <w:rsid w:val="0082747F"/>
    <w:rsid w:val="0082784D"/>
    <w:rsid w:val="00827A3A"/>
    <w:rsid w:val="00827C33"/>
    <w:rsid w:val="0083018F"/>
    <w:rsid w:val="008303F6"/>
    <w:rsid w:val="00830A76"/>
    <w:rsid w:val="008310EA"/>
    <w:rsid w:val="008311F9"/>
    <w:rsid w:val="008316FD"/>
    <w:rsid w:val="00831810"/>
    <w:rsid w:val="00831C65"/>
    <w:rsid w:val="00831CBA"/>
    <w:rsid w:val="00831D7F"/>
    <w:rsid w:val="00831E81"/>
    <w:rsid w:val="00832059"/>
    <w:rsid w:val="0083215A"/>
    <w:rsid w:val="0083274E"/>
    <w:rsid w:val="0083275D"/>
    <w:rsid w:val="00832991"/>
    <w:rsid w:val="00832C51"/>
    <w:rsid w:val="00832D39"/>
    <w:rsid w:val="00832ED5"/>
    <w:rsid w:val="0083301A"/>
    <w:rsid w:val="008330DF"/>
    <w:rsid w:val="0083311F"/>
    <w:rsid w:val="008338F1"/>
    <w:rsid w:val="00833AD2"/>
    <w:rsid w:val="00833F28"/>
    <w:rsid w:val="008341EA"/>
    <w:rsid w:val="0083424B"/>
    <w:rsid w:val="008343EF"/>
    <w:rsid w:val="008344C6"/>
    <w:rsid w:val="008346EA"/>
    <w:rsid w:val="008347D5"/>
    <w:rsid w:val="00834BE1"/>
    <w:rsid w:val="00834C64"/>
    <w:rsid w:val="00834EE1"/>
    <w:rsid w:val="00834F75"/>
    <w:rsid w:val="008351FE"/>
    <w:rsid w:val="00835590"/>
    <w:rsid w:val="0083576D"/>
    <w:rsid w:val="00835C6A"/>
    <w:rsid w:val="00836163"/>
    <w:rsid w:val="008364A1"/>
    <w:rsid w:val="0083675E"/>
    <w:rsid w:val="008368D1"/>
    <w:rsid w:val="00836A4E"/>
    <w:rsid w:val="00836F1D"/>
    <w:rsid w:val="008370FF"/>
    <w:rsid w:val="0083771E"/>
    <w:rsid w:val="00837AA5"/>
    <w:rsid w:val="00837B8F"/>
    <w:rsid w:val="00837E9A"/>
    <w:rsid w:val="00837F11"/>
    <w:rsid w:val="0084008D"/>
    <w:rsid w:val="0084009E"/>
    <w:rsid w:val="008402B3"/>
    <w:rsid w:val="008409B3"/>
    <w:rsid w:val="00840C91"/>
    <w:rsid w:val="00840CFB"/>
    <w:rsid w:val="00840F2D"/>
    <w:rsid w:val="0084126E"/>
    <w:rsid w:val="008414C7"/>
    <w:rsid w:val="0084171D"/>
    <w:rsid w:val="008417F4"/>
    <w:rsid w:val="00841981"/>
    <w:rsid w:val="00841BF6"/>
    <w:rsid w:val="00842222"/>
    <w:rsid w:val="00842607"/>
    <w:rsid w:val="00842E33"/>
    <w:rsid w:val="00842F8A"/>
    <w:rsid w:val="008436A5"/>
    <w:rsid w:val="008440AA"/>
    <w:rsid w:val="008441E7"/>
    <w:rsid w:val="008441E9"/>
    <w:rsid w:val="0084420A"/>
    <w:rsid w:val="008444EA"/>
    <w:rsid w:val="008446FF"/>
    <w:rsid w:val="00844805"/>
    <w:rsid w:val="0084491E"/>
    <w:rsid w:val="00844B58"/>
    <w:rsid w:val="008454D6"/>
    <w:rsid w:val="00845538"/>
    <w:rsid w:val="008458C2"/>
    <w:rsid w:val="0084597A"/>
    <w:rsid w:val="00845A1D"/>
    <w:rsid w:val="00845D29"/>
    <w:rsid w:val="008461DA"/>
    <w:rsid w:val="0084625D"/>
    <w:rsid w:val="00846597"/>
    <w:rsid w:val="008468B6"/>
    <w:rsid w:val="008468C6"/>
    <w:rsid w:val="00846980"/>
    <w:rsid w:val="00846B00"/>
    <w:rsid w:val="00846B3D"/>
    <w:rsid w:val="00846D14"/>
    <w:rsid w:val="0084722D"/>
    <w:rsid w:val="008473E4"/>
    <w:rsid w:val="0084799E"/>
    <w:rsid w:val="00847DDE"/>
    <w:rsid w:val="008501F6"/>
    <w:rsid w:val="008502B0"/>
    <w:rsid w:val="008502F4"/>
    <w:rsid w:val="008505BB"/>
    <w:rsid w:val="00850B1C"/>
    <w:rsid w:val="00850E5A"/>
    <w:rsid w:val="008511B9"/>
    <w:rsid w:val="00851509"/>
    <w:rsid w:val="00851B3D"/>
    <w:rsid w:val="00851DB5"/>
    <w:rsid w:val="0085219D"/>
    <w:rsid w:val="0085236B"/>
    <w:rsid w:val="008523B4"/>
    <w:rsid w:val="00852497"/>
    <w:rsid w:val="00852676"/>
    <w:rsid w:val="00852986"/>
    <w:rsid w:val="00852D2C"/>
    <w:rsid w:val="00852DF1"/>
    <w:rsid w:val="00852ED3"/>
    <w:rsid w:val="00853022"/>
    <w:rsid w:val="008531CC"/>
    <w:rsid w:val="00853385"/>
    <w:rsid w:val="00853513"/>
    <w:rsid w:val="0085376B"/>
    <w:rsid w:val="00853988"/>
    <w:rsid w:val="00853A46"/>
    <w:rsid w:val="00853C2F"/>
    <w:rsid w:val="00853F2C"/>
    <w:rsid w:val="00854358"/>
    <w:rsid w:val="00854A0F"/>
    <w:rsid w:val="00854B2A"/>
    <w:rsid w:val="00854C67"/>
    <w:rsid w:val="00855102"/>
    <w:rsid w:val="008553AC"/>
    <w:rsid w:val="00855BEA"/>
    <w:rsid w:val="00855DDC"/>
    <w:rsid w:val="008564DB"/>
    <w:rsid w:val="00856573"/>
    <w:rsid w:val="008565AA"/>
    <w:rsid w:val="00857174"/>
    <w:rsid w:val="00857361"/>
    <w:rsid w:val="008573DB"/>
    <w:rsid w:val="00857408"/>
    <w:rsid w:val="008576DB"/>
    <w:rsid w:val="008579CB"/>
    <w:rsid w:val="00857A73"/>
    <w:rsid w:val="00857AF9"/>
    <w:rsid w:val="00857EA5"/>
    <w:rsid w:val="00857EAC"/>
    <w:rsid w:val="0086023E"/>
    <w:rsid w:val="00860296"/>
    <w:rsid w:val="008609BC"/>
    <w:rsid w:val="00860DDF"/>
    <w:rsid w:val="0086123A"/>
    <w:rsid w:val="0086143C"/>
    <w:rsid w:val="008615F8"/>
    <w:rsid w:val="0086172F"/>
    <w:rsid w:val="00861C9A"/>
    <w:rsid w:val="00861EA4"/>
    <w:rsid w:val="00862057"/>
    <w:rsid w:val="0086216E"/>
    <w:rsid w:val="00862179"/>
    <w:rsid w:val="008624EC"/>
    <w:rsid w:val="008625C9"/>
    <w:rsid w:val="00862E77"/>
    <w:rsid w:val="008632AB"/>
    <w:rsid w:val="00863C85"/>
    <w:rsid w:val="00863ED2"/>
    <w:rsid w:val="00863F72"/>
    <w:rsid w:val="00864379"/>
    <w:rsid w:val="008645ED"/>
    <w:rsid w:val="00864874"/>
    <w:rsid w:val="0086499C"/>
    <w:rsid w:val="00864D16"/>
    <w:rsid w:val="00864EF0"/>
    <w:rsid w:val="0086570D"/>
    <w:rsid w:val="008659D7"/>
    <w:rsid w:val="00865D0F"/>
    <w:rsid w:val="008662A5"/>
    <w:rsid w:val="008669D8"/>
    <w:rsid w:val="00866B8B"/>
    <w:rsid w:val="00866DAF"/>
    <w:rsid w:val="00866EA2"/>
    <w:rsid w:val="00866F29"/>
    <w:rsid w:val="008677E4"/>
    <w:rsid w:val="0086785A"/>
    <w:rsid w:val="00867BC6"/>
    <w:rsid w:val="00867C29"/>
    <w:rsid w:val="00867CE4"/>
    <w:rsid w:val="00867D73"/>
    <w:rsid w:val="00867EFE"/>
    <w:rsid w:val="0087004D"/>
    <w:rsid w:val="00870214"/>
    <w:rsid w:val="008703CC"/>
    <w:rsid w:val="0087045B"/>
    <w:rsid w:val="008707E8"/>
    <w:rsid w:val="00870A00"/>
    <w:rsid w:val="00870D08"/>
    <w:rsid w:val="0087115F"/>
    <w:rsid w:val="008717E0"/>
    <w:rsid w:val="008719A5"/>
    <w:rsid w:val="00871E53"/>
    <w:rsid w:val="00871F69"/>
    <w:rsid w:val="008725EE"/>
    <w:rsid w:val="00872753"/>
    <w:rsid w:val="00872767"/>
    <w:rsid w:val="008727D3"/>
    <w:rsid w:val="00872C7E"/>
    <w:rsid w:val="00872D01"/>
    <w:rsid w:val="00873207"/>
    <w:rsid w:val="008732DD"/>
    <w:rsid w:val="008733FB"/>
    <w:rsid w:val="008736F7"/>
    <w:rsid w:val="00873815"/>
    <w:rsid w:val="00873FA6"/>
    <w:rsid w:val="00873FF8"/>
    <w:rsid w:val="008740BF"/>
    <w:rsid w:val="0087478C"/>
    <w:rsid w:val="008749EF"/>
    <w:rsid w:val="00874E11"/>
    <w:rsid w:val="00875284"/>
    <w:rsid w:val="00875648"/>
    <w:rsid w:val="008759D2"/>
    <w:rsid w:val="00875BC7"/>
    <w:rsid w:val="0087626E"/>
    <w:rsid w:val="0087633E"/>
    <w:rsid w:val="008763E8"/>
    <w:rsid w:val="0087650A"/>
    <w:rsid w:val="00876557"/>
    <w:rsid w:val="0087686A"/>
    <w:rsid w:val="00876908"/>
    <w:rsid w:val="00876964"/>
    <w:rsid w:val="00876A60"/>
    <w:rsid w:val="00876CBC"/>
    <w:rsid w:val="0087709C"/>
    <w:rsid w:val="008771F6"/>
    <w:rsid w:val="008777B2"/>
    <w:rsid w:val="00877A38"/>
    <w:rsid w:val="00877AF5"/>
    <w:rsid w:val="00877C5B"/>
    <w:rsid w:val="00877FD6"/>
    <w:rsid w:val="008802B7"/>
    <w:rsid w:val="008803E4"/>
    <w:rsid w:val="00880C5F"/>
    <w:rsid w:val="00880D58"/>
    <w:rsid w:val="00880E76"/>
    <w:rsid w:val="0088104E"/>
    <w:rsid w:val="00881138"/>
    <w:rsid w:val="00881290"/>
    <w:rsid w:val="008818D2"/>
    <w:rsid w:val="00881B71"/>
    <w:rsid w:val="00881D78"/>
    <w:rsid w:val="00882234"/>
    <w:rsid w:val="0088292D"/>
    <w:rsid w:val="00882E2A"/>
    <w:rsid w:val="008832CE"/>
    <w:rsid w:val="008835DB"/>
    <w:rsid w:val="00883E8B"/>
    <w:rsid w:val="008840F8"/>
    <w:rsid w:val="00884248"/>
    <w:rsid w:val="0088454C"/>
    <w:rsid w:val="00884822"/>
    <w:rsid w:val="0088541C"/>
    <w:rsid w:val="008857B7"/>
    <w:rsid w:val="00885A5A"/>
    <w:rsid w:val="00886022"/>
    <w:rsid w:val="008862EE"/>
    <w:rsid w:val="00886433"/>
    <w:rsid w:val="00886859"/>
    <w:rsid w:val="00887033"/>
    <w:rsid w:val="0088719A"/>
    <w:rsid w:val="00887739"/>
    <w:rsid w:val="0088791E"/>
    <w:rsid w:val="00887CAE"/>
    <w:rsid w:val="0089008A"/>
    <w:rsid w:val="00890263"/>
    <w:rsid w:val="008904F0"/>
    <w:rsid w:val="008905C5"/>
    <w:rsid w:val="00890781"/>
    <w:rsid w:val="00890873"/>
    <w:rsid w:val="008908C9"/>
    <w:rsid w:val="00890A95"/>
    <w:rsid w:val="00890B14"/>
    <w:rsid w:val="00890CF0"/>
    <w:rsid w:val="00890E56"/>
    <w:rsid w:val="00890FF3"/>
    <w:rsid w:val="008912A8"/>
    <w:rsid w:val="0089136F"/>
    <w:rsid w:val="00891937"/>
    <w:rsid w:val="00891A11"/>
    <w:rsid w:val="00891B41"/>
    <w:rsid w:val="008920BD"/>
    <w:rsid w:val="00892153"/>
    <w:rsid w:val="00892556"/>
    <w:rsid w:val="00892F26"/>
    <w:rsid w:val="00893404"/>
    <w:rsid w:val="00894097"/>
    <w:rsid w:val="00894B3C"/>
    <w:rsid w:val="00894DB9"/>
    <w:rsid w:val="00894EB8"/>
    <w:rsid w:val="008951E1"/>
    <w:rsid w:val="008957CE"/>
    <w:rsid w:val="0089594C"/>
    <w:rsid w:val="008959DB"/>
    <w:rsid w:val="00895B97"/>
    <w:rsid w:val="00895EB2"/>
    <w:rsid w:val="008963ED"/>
    <w:rsid w:val="008963EF"/>
    <w:rsid w:val="0089695D"/>
    <w:rsid w:val="00896CDC"/>
    <w:rsid w:val="00896D91"/>
    <w:rsid w:val="00896DE7"/>
    <w:rsid w:val="00896F15"/>
    <w:rsid w:val="00897118"/>
    <w:rsid w:val="0089732D"/>
    <w:rsid w:val="0089760C"/>
    <w:rsid w:val="008A01AE"/>
    <w:rsid w:val="008A04C1"/>
    <w:rsid w:val="008A0667"/>
    <w:rsid w:val="008A0727"/>
    <w:rsid w:val="008A0940"/>
    <w:rsid w:val="008A1710"/>
    <w:rsid w:val="008A17BE"/>
    <w:rsid w:val="008A17C5"/>
    <w:rsid w:val="008A19B9"/>
    <w:rsid w:val="008A1ACE"/>
    <w:rsid w:val="008A1E32"/>
    <w:rsid w:val="008A1FAE"/>
    <w:rsid w:val="008A2233"/>
    <w:rsid w:val="008A2342"/>
    <w:rsid w:val="008A27BE"/>
    <w:rsid w:val="008A27F2"/>
    <w:rsid w:val="008A2A93"/>
    <w:rsid w:val="008A2E7A"/>
    <w:rsid w:val="008A2FF2"/>
    <w:rsid w:val="008A381F"/>
    <w:rsid w:val="008A3A04"/>
    <w:rsid w:val="008A3FCD"/>
    <w:rsid w:val="008A42D1"/>
    <w:rsid w:val="008A42EC"/>
    <w:rsid w:val="008A45F2"/>
    <w:rsid w:val="008A4A10"/>
    <w:rsid w:val="008A4B37"/>
    <w:rsid w:val="008A4BAA"/>
    <w:rsid w:val="008A4E0D"/>
    <w:rsid w:val="008A4F80"/>
    <w:rsid w:val="008A54F5"/>
    <w:rsid w:val="008A5520"/>
    <w:rsid w:val="008A56DB"/>
    <w:rsid w:val="008A588E"/>
    <w:rsid w:val="008A6607"/>
    <w:rsid w:val="008A67A7"/>
    <w:rsid w:val="008A686B"/>
    <w:rsid w:val="008A6B24"/>
    <w:rsid w:val="008A6B48"/>
    <w:rsid w:val="008A6B4E"/>
    <w:rsid w:val="008A6B90"/>
    <w:rsid w:val="008A6E09"/>
    <w:rsid w:val="008A6EF1"/>
    <w:rsid w:val="008A7E6F"/>
    <w:rsid w:val="008A7EC1"/>
    <w:rsid w:val="008B0077"/>
    <w:rsid w:val="008B03BD"/>
    <w:rsid w:val="008B0A37"/>
    <w:rsid w:val="008B0B77"/>
    <w:rsid w:val="008B0E8E"/>
    <w:rsid w:val="008B0F45"/>
    <w:rsid w:val="008B10A3"/>
    <w:rsid w:val="008B1109"/>
    <w:rsid w:val="008B15EE"/>
    <w:rsid w:val="008B22D6"/>
    <w:rsid w:val="008B22ED"/>
    <w:rsid w:val="008B24DF"/>
    <w:rsid w:val="008B2679"/>
    <w:rsid w:val="008B26A7"/>
    <w:rsid w:val="008B2799"/>
    <w:rsid w:val="008B2B06"/>
    <w:rsid w:val="008B2C26"/>
    <w:rsid w:val="008B3810"/>
    <w:rsid w:val="008B3838"/>
    <w:rsid w:val="008B3962"/>
    <w:rsid w:val="008B3E1B"/>
    <w:rsid w:val="008B3FD0"/>
    <w:rsid w:val="008B4134"/>
    <w:rsid w:val="008B4149"/>
    <w:rsid w:val="008B452B"/>
    <w:rsid w:val="008B4539"/>
    <w:rsid w:val="008B4899"/>
    <w:rsid w:val="008B4DF1"/>
    <w:rsid w:val="008B4FF4"/>
    <w:rsid w:val="008B54D2"/>
    <w:rsid w:val="008B5D91"/>
    <w:rsid w:val="008B634B"/>
    <w:rsid w:val="008B6764"/>
    <w:rsid w:val="008B6856"/>
    <w:rsid w:val="008B71B9"/>
    <w:rsid w:val="008B769A"/>
    <w:rsid w:val="008B7764"/>
    <w:rsid w:val="008B7832"/>
    <w:rsid w:val="008C00C5"/>
    <w:rsid w:val="008C0758"/>
    <w:rsid w:val="008C089B"/>
    <w:rsid w:val="008C0ADB"/>
    <w:rsid w:val="008C0BDD"/>
    <w:rsid w:val="008C0E2E"/>
    <w:rsid w:val="008C1190"/>
    <w:rsid w:val="008C19DB"/>
    <w:rsid w:val="008C19E6"/>
    <w:rsid w:val="008C1AC2"/>
    <w:rsid w:val="008C1F19"/>
    <w:rsid w:val="008C1F4B"/>
    <w:rsid w:val="008C1F5F"/>
    <w:rsid w:val="008C2061"/>
    <w:rsid w:val="008C214C"/>
    <w:rsid w:val="008C23F4"/>
    <w:rsid w:val="008C2469"/>
    <w:rsid w:val="008C2509"/>
    <w:rsid w:val="008C2659"/>
    <w:rsid w:val="008C28A9"/>
    <w:rsid w:val="008C2929"/>
    <w:rsid w:val="008C29E4"/>
    <w:rsid w:val="008C2D57"/>
    <w:rsid w:val="008C2D65"/>
    <w:rsid w:val="008C2EEE"/>
    <w:rsid w:val="008C30F3"/>
    <w:rsid w:val="008C338A"/>
    <w:rsid w:val="008C35D3"/>
    <w:rsid w:val="008C3B1F"/>
    <w:rsid w:val="008C3B58"/>
    <w:rsid w:val="008C3BD2"/>
    <w:rsid w:val="008C49B2"/>
    <w:rsid w:val="008C49E2"/>
    <w:rsid w:val="008C4A17"/>
    <w:rsid w:val="008C4B34"/>
    <w:rsid w:val="008C4EDA"/>
    <w:rsid w:val="008C4F39"/>
    <w:rsid w:val="008C4FCA"/>
    <w:rsid w:val="008C51B8"/>
    <w:rsid w:val="008C5356"/>
    <w:rsid w:val="008C542C"/>
    <w:rsid w:val="008C55BC"/>
    <w:rsid w:val="008C5A79"/>
    <w:rsid w:val="008C5CAF"/>
    <w:rsid w:val="008C5D5D"/>
    <w:rsid w:val="008C6496"/>
    <w:rsid w:val="008C677A"/>
    <w:rsid w:val="008C67B2"/>
    <w:rsid w:val="008C686D"/>
    <w:rsid w:val="008C68FE"/>
    <w:rsid w:val="008C6AF2"/>
    <w:rsid w:val="008C6D20"/>
    <w:rsid w:val="008C716A"/>
    <w:rsid w:val="008C74A2"/>
    <w:rsid w:val="008C7A0D"/>
    <w:rsid w:val="008D047A"/>
    <w:rsid w:val="008D080C"/>
    <w:rsid w:val="008D0A9F"/>
    <w:rsid w:val="008D0B5B"/>
    <w:rsid w:val="008D118E"/>
    <w:rsid w:val="008D12C7"/>
    <w:rsid w:val="008D15B0"/>
    <w:rsid w:val="008D15C6"/>
    <w:rsid w:val="008D1722"/>
    <w:rsid w:val="008D1753"/>
    <w:rsid w:val="008D1B1A"/>
    <w:rsid w:val="008D1C22"/>
    <w:rsid w:val="008D1CF5"/>
    <w:rsid w:val="008D1E7F"/>
    <w:rsid w:val="008D29F7"/>
    <w:rsid w:val="008D2A48"/>
    <w:rsid w:val="008D2A7D"/>
    <w:rsid w:val="008D2B7D"/>
    <w:rsid w:val="008D2D24"/>
    <w:rsid w:val="008D348D"/>
    <w:rsid w:val="008D368A"/>
    <w:rsid w:val="008D3806"/>
    <w:rsid w:val="008D3F70"/>
    <w:rsid w:val="008D4B4E"/>
    <w:rsid w:val="008D4F5C"/>
    <w:rsid w:val="008D52BF"/>
    <w:rsid w:val="008D53CB"/>
    <w:rsid w:val="008D5739"/>
    <w:rsid w:val="008D584A"/>
    <w:rsid w:val="008D5D50"/>
    <w:rsid w:val="008D6CEE"/>
    <w:rsid w:val="008D6E42"/>
    <w:rsid w:val="008D7185"/>
    <w:rsid w:val="008D74E9"/>
    <w:rsid w:val="008D7A0A"/>
    <w:rsid w:val="008D7EE4"/>
    <w:rsid w:val="008D7F4F"/>
    <w:rsid w:val="008E0375"/>
    <w:rsid w:val="008E038F"/>
    <w:rsid w:val="008E051A"/>
    <w:rsid w:val="008E05B3"/>
    <w:rsid w:val="008E0747"/>
    <w:rsid w:val="008E0899"/>
    <w:rsid w:val="008E0AAD"/>
    <w:rsid w:val="008E0BAD"/>
    <w:rsid w:val="008E0CE2"/>
    <w:rsid w:val="008E14C9"/>
    <w:rsid w:val="008E1714"/>
    <w:rsid w:val="008E1977"/>
    <w:rsid w:val="008E1A05"/>
    <w:rsid w:val="008E1A5F"/>
    <w:rsid w:val="008E2956"/>
    <w:rsid w:val="008E2EFF"/>
    <w:rsid w:val="008E2F56"/>
    <w:rsid w:val="008E3397"/>
    <w:rsid w:val="008E3B77"/>
    <w:rsid w:val="008E3C53"/>
    <w:rsid w:val="008E3C92"/>
    <w:rsid w:val="008E3CC9"/>
    <w:rsid w:val="008E46D9"/>
    <w:rsid w:val="008E4978"/>
    <w:rsid w:val="008E4B5F"/>
    <w:rsid w:val="008E4BCA"/>
    <w:rsid w:val="008E4DF5"/>
    <w:rsid w:val="008E4F7E"/>
    <w:rsid w:val="008E559F"/>
    <w:rsid w:val="008E5C83"/>
    <w:rsid w:val="008E6512"/>
    <w:rsid w:val="008E66C4"/>
    <w:rsid w:val="008E6956"/>
    <w:rsid w:val="008E70A0"/>
    <w:rsid w:val="008E7175"/>
    <w:rsid w:val="008E7AF7"/>
    <w:rsid w:val="008E7D0A"/>
    <w:rsid w:val="008E7E66"/>
    <w:rsid w:val="008F012A"/>
    <w:rsid w:val="008F01E8"/>
    <w:rsid w:val="008F02F8"/>
    <w:rsid w:val="008F0509"/>
    <w:rsid w:val="008F0AEF"/>
    <w:rsid w:val="008F0B04"/>
    <w:rsid w:val="008F0C86"/>
    <w:rsid w:val="008F0D99"/>
    <w:rsid w:val="008F1048"/>
    <w:rsid w:val="008F1450"/>
    <w:rsid w:val="008F15A1"/>
    <w:rsid w:val="008F1DDA"/>
    <w:rsid w:val="008F24DF"/>
    <w:rsid w:val="008F26B4"/>
    <w:rsid w:val="008F26B7"/>
    <w:rsid w:val="008F284D"/>
    <w:rsid w:val="008F2B26"/>
    <w:rsid w:val="008F2C95"/>
    <w:rsid w:val="008F2E1D"/>
    <w:rsid w:val="008F2EF1"/>
    <w:rsid w:val="008F3169"/>
    <w:rsid w:val="008F3361"/>
    <w:rsid w:val="008F350F"/>
    <w:rsid w:val="008F3545"/>
    <w:rsid w:val="008F373A"/>
    <w:rsid w:val="008F37F3"/>
    <w:rsid w:val="008F3C8B"/>
    <w:rsid w:val="008F4A29"/>
    <w:rsid w:val="008F50C1"/>
    <w:rsid w:val="008F5245"/>
    <w:rsid w:val="008F52D8"/>
    <w:rsid w:val="008F57CC"/>
    <w:rsid w:val="008F58EA"/>
    <w:rsid w:val="008F5A82"/>
    <w:rsid w:val="008F5BDC"/>
    <w:rsid w:val="008F6075"/>
    <w:rsid w:val="008F64FE"/>
    <w:rsid w:val="008F67B2"/>
    <w:rsid w:val="008F6AEA"/>
    <w:rsid w:val="008F6E4D"/>
    <w:rsid w:val="008F6F72"/>
    <w:rsid w:val="008F7357"/>
    <w:rsid w:val="008F744E"/>
    <w:rsid w:val="008F75B8"/>
    <w:rsid w:val="008F7726"/>
    <w:rsid w:val="008F79B2"/>
    <w:rsid w:val="008F7DDE"/>
    <w:rsid w:val="008F7FD8"/>
    <w:rsid w:val="00900131"/>
    <w:rsid w:val="009006D6"/>
    <w:rsid w:val="00900C0C"/>
    <w:rsid w:val="00900E9A"/>
    <w:rsid w:val="009010EB"/>
    <w:rsid w:val="00901451"/>
    <w:rsid w:val="0090152D"/>
    <w:rsid w:val="00901562"/>
    <w:rsid w:val="009016CE"/>
    <w:rsid w:val="00901A4C"/>
    <w:rsid w:val="00901B32"/>
    <w:rsid w:val="00901F0D"/>
    <w:rsid w:val="009022B4"/>
    <w:rsid w:val="009022C6"/>
    <w:rsid w:val="009024DD"/>
    <w:rsid w:val="00902ABC"/>
    <w:rsid w:val="0090329F"/>
    <w:rsid w:val="009036A5"/>
    <w:rsid w:val="00903805"/>
    <w:rsid w:val="009038AC"/>
    <w:rsid w:val="00903E3E"/>
    <w:rsid w:val="00904049"/>
    <w:rsid w:val="00904190"/>
    <w:rsid w:val="00904234"/>
    <w:rsid w:val="009042BE"/>
    <w:rsid w:val="009042E1"/>
    <w:rsid w:val="00904500"/>
    <w:rsid w:val="00904B67"/>
    <w:rsid w:val="00904B85"/>
    <w:rsid w:val="00904CAE"/>
    <w:rsid w:val="00904D10"/>
    <w:rsid w:val="00905557"/>
    <w:rsid w:val="00905753"/>
    <w:rsid w:val="00905833"/>
    <w:rsid w:val="00905A2C"/>
    <w:rsid w:val="00905CFE"/>
    <w:rsid w:val="00905E87"/>
    <w:rsid w:val="00906019"/>
    <w:rsid w:val="0090630C"/>
    <w:rsid w:val="0090660F"/>
    <w:rsid w:val="00906DA2"/>
    <w:rsid w:val="009071AC"/>
    <w:rsid w:val="009071FB"/>
    <w:rsid w:val="00907A00"/>
    <w:rsid w:val="00907BA9"/>
    <w:rsid w:val="00907F64"/>
    <w:rsid w:val="00910049"/>
    <w:rsid w:val="0091029D"/>
    <w:rsid w:val="0091061F"/>
    <w:rsid w:val="0091073A"/>
    <w:rsid w:val="00910879"/>
    <w:rsid w:val="00911B91"/>
    <w:rsid w:val="00911D53"/>
    <w:rsid w:val="00912025"/>
    <w:rsid w:val="00912404"/>
    <w:rsid w:val="00912435"/>
    <w:rsid w:val="00912521"/>
    <w:rsid w:val="00912547"/>
    <w:rsid w:val="009125C7"/>
    <w:rsid w:val="009128A3"/>
    <w:rsid w:val="009129F2"/>
    <w:rsid w:val="00912B7E"/>
    <w:rsid w:val="00912C8C"/>
    <w:rsid w:val="0091314E"/>
    <w:rsid w:val="00913199"/>
    <w:rsid w:val="00913516"/>
    <w:rsid w:val="00913735"/>
    <w:rsid w:val="009137D1"/>
    <w:rsid w:val="009138C8"/>
    <w:rsid w:val="009138E5"/>
    <w:rsid w:val="00913C3C"/>
    <w:rsid w:val="00913D66"/>
    <w:rsid w:val="00913DF6"/>
    <w:rsid w:val="00913EA4"/>
    <w:rsid w:val="0091485C"/>
    <w:rsid w:val="00914971"/>
    <w:rsid w:val="009149DC"/>
    <w:rsid w:val="00914B2C"/>
    <w:rsid w:val="00914EFE"/>
    <w:rsid w:val="00915731"/>
    <w:rsid w:val="00915910"/>
    <w:rsid w:val="00916043"/>
    <w:rsid w:val="009160C5"/>
    <w:rsid w:val="0091646A"/>
    <w:rsid w:val="00916C24"/>
    <w:rsid w:val="00916EC5"/>
    <w:rsid w:val="009171D9"/>
    <w:rsid w:val="00917B31"/>
    <w:rsid w:val="00917BD6"/>
    <w:rsid w:val="0092001C"/>
    <w:rsid w:val="00920056"/>
    <w:rsid w:val="009202EA"/>
    <w:rsid w:val="0092031C"/>
    <w:rsid w:val="009207FE"/>
    <w:rsid w:val="00920AE1"/>
    <w:rsid w:val="00920BCA"/>
    <w:rsid w:val="009211B7"/>
    <w:rsid w:val="00921438"/>
    <w:rsid w:val="00921FB9"/>
    <w:rsid w:val="00922232"/>
    <w:rsid w:val="009223A8"/>
    <w:rsid w:val="00922646"/>
    <w:rsid w:val="009227C9"/>
    <w:rsid w:val="00922885"/>
    <w:rsid w:val="00922905"/>
    <w:rsid w:val="00922CBF"/>
    <w:rsid w:val="00922F52"/>
    <w:rsid w:val="00922F94"/>
    <w:rsid w:val="009231DE"/>
    <w:rsid w:val="009232A6"/>
    <w:rsid w:val="0092346E"/>
    <w:rsid w:val="0092351F"/>
    <w:rsid w:val="00923A6F"/>
    <w:rsid w:val="00923FF1"/>
    <w:rsid w:val="00924168"/>
    <w:rsid w:val="00924731"/>
    <w:rsid w:val="009249A3"/>
    <w:rsid w:val="00924B4B"/>
    <w:rsid w:val="00924E7E"/>
    <w:rsid w:val="00925104"/>
    <w:rsid w:val="009255AF"/>
    <w:rsid w:val="0092562A"/>
    <w:rsid w:val="009256E8"/>
    <w:rsid w:val="009260EF"/>
    <w:rsid w:val="00926106"/>
    <w:rsid w:val="00926120"/>
    <w:rsid w:val="009264D2"/>
    <w:rsid w:val="009267C2"/>
    <w:rsid w:val="009267E4"/>
    <w:rsid w:val="00926B51"/>
    <w:rsid w:val="00926DFA"/>
    <w:rsid w:val="00926F03"/>
    <w:rsid w:val="0092705D"/>
    <w:rsid w:val="009274EA"/>
    <w:rsid w:val="009276D2"/>
    <w:rsid w:val="00927AC1"/>
    <w:rsid w:val="009308ED"/>
    <w:rsid w:val="00930BE0"/>
    <w:rsid w:val="00930E35"/>
    <w:rsid w:val="00930EE1"/>
    <w:rsid w:val="00931671"/>
    <w:rsid w:val="00931B7E"/>
    <w:rsid w:val="00931FF6"/>
    <w:rsid w:val="00932457"/>
    <w:rsid w:val="009324EC"/>
    <w:rsid w:val="00932545"/>
    <w:rsid w:val="00932715"/>
    <w:rsid w:val="0093292E"/>
    <w:rsid w:val="009329E6"/>
    <w:rsid w:val="00932FF3"/>
    <w:rsid w:val="00933794"/>
    <w:rsid w:val="009337AC"/>
    <w:rsid w:val="0093393D"/>
    <w:rsid w:val="00933C98"/>
    <w:rsid w:val="00933DB9"/>
    <w:rsid w:val="00934172"/>
    <w:rsid w:val="00934249"/>
    <w:rsid w:val="00934769"/>
    <w:rsid w:val="00934826"/>
    <w:rsid w:val="0093483E"/>
    <w:rsid w:val="00934EA1"/>
    <w:rsid w:val="00934F00"/>
    <w:rsid w:val="009351B2"/>
    <w:rsid w:val="009356DE"/>
    <w:rsid w:val="00935A3E"/>
    <w:rsid w:val="00935C7B"/>
    <w:rsid w:val="00935D79"/>
    <w:rsid w:val="00936145"/>
    <w:rsid w:val="00936154"/>
    <w:rsid w:val="00936217"/>
    <w:rsid w:val="00936AC0"/>
    <w:rsid w:val="00937045"/>
    <w:rsid w:val="00937ADF"/>
    <w:rsid w:val="00937BCF"/>
    <w:rsid w:val="00937E41"/>
    <w:rsid w:val="0094019F"/>
    <w:rsid w:val="00940A06"/>
    <w:rsid w:val="00940A90"/>
    <w:rsid w:val="00940AF9"/>
    <w:rsid w:val="00940F32"/>
    <w:rsid w:val="0094150D"/>
    <w:rsid w:val="0094152B"/>
    <w:rsid w:val="00941561"/>
    <w:rsid w:val="00941B5E"/>
    <w:rsid w:val="00941C49"/>
    <w:rsid w:val="00942134"/>
    <w:rsid w:val="00942168"/>
    <w:rsid w:val="0094226C"/>
    <w:rsid w:val="0094237B"/>
    <w:rsid w:val="00942594"/>
    <w:rsid w:val="009425B4"/>
    <w:rsid w:val="0094289B"/>
    <w:rsid w:val="0094313E"/>
    <w:rsid w:val="0094329E"/>
    <w:rsid w:val="00943301"/>
    <w:rsid w:val="009435DF"/>
    <w:rsid w:val="009435EC"/>
    <w:rsid w:val="009439A0"/>
    <w:rsid w:val="00943C1C"/>
    <w:rsid w:val="00943D1A"/>
    <w:rsid w:val="00943D76"/>
    <w:rsid w:val="00943DE5"/>
    <w:rsid w:val="009445B6"/>
    <w:rsid w:val="00944611"/>
    <w:rsid w:val="009446B4"/>
    <w:rsid w:val="00944A28"/>
    <w:rsid w:val="00944A94"/>
    <w:rsid w:val="0094523E"/>
    <w:rsid w:val="009454F8"/>
    <w:rsid w:val="009455F4"/>
    <w:rsid w:val="00945618"/>
    <w:rsid w:val="00945CD2"/>
    <w:rsid w:val="00945D93"/>
    <w:rsid w:val="00945EB7"/>
    <w:rsid w:val="00946350"/>
    <w:rsid w:val="00946416"/>
    <w:rsid w:val="0094658C"/>
    <w:rsid w:val="0094698A"/>
    <w:rsid w:val="00946D24"/>
    <w:rsid w:val="00947363"/>
    <w:rsid w:val="009473EF"/>
    <w:rsid w:val="009474F7"/>
    <w:rsid w:val="009476BD"/>
    <w:rsid w:val="0094798C"/>
    <w:rsid w:val="009479A0"/>
    <w:rsid w:val="00947E60"/>
    <w:rsid w:val="0095024D"/>
    <w:rsid w:val="00950442"/>
    <w:rsid w:val="009505A6"/>
    <w:rsid w:val="009507FC"/>
    <w:rsid w:val="00950ABE"/>
    <w:rsid w:val="00950B2A"/>
    <w:rsid w:val="00950FB5"/>
    <w:rsid w:val="00951114"/>
    <w:rsid w:val="0095113E"/>
    <w:rsid w:val="00951221"/>
    <w:rsid w:val="00951255"/>
    <w:rsid w:val="00951D00"/>
    <w:rsid w:val="00952061"/>
    <w:rsid w:val="00952451"/>
    <w:rsid w:val="0095276B"/>
    <w:rsid w:val="00952E11"/>
    <w:rsid w:val="00953038"/>
    <w:rsid w:val="00953333"/>
    <w:rsid w:val="00953555"/>
    <w:rsid w:val="0095361C"/>
    <w:rsid w:val="00953A35"/>
    <w:rsid w:val="00953BC6"/>
    <w:rsid w:val="00953DC1"/>
    <w:rsid w:val="00953FEF"/>
    <w:rsid w:val="0095409F"/>
    <w:rsid w:val="00954484"/>
    <w:rsid w:val="0095480F"/>
    <w:rsid w:val="00954A17"/>
    <w:rsid w:val="00955003"/>
    <w:rsid w:val="009550FE"/>
    <w:rsid w:val="00955A51"/>
    <w:rsid w:val="00955D2B"/>
    <w:rsid w:val="00955D69"/>
    <w:rsid w:val="00955E09"/>
    <w:rsid w:val="00955F9F"/>
    <w:rsid w:val="0095600C"/>
    <w:rsid w:val="00956341"/>
    <w:rsid w:val="009564AE"/>
    <w:rsid w:val="00956500"/>
    <w:rsid w:val="00956965"/>
    <w:rsid w:val="009569CB"/>
    <w:rsid w:val="009569E2"/>
    <w:rsid w:val="00956FBA"/>
    <w:rsid w:val="00956FD0"/>
    <w:rsid w:val="0095706E"/>
    <w:rsid w:val="00957401"/>
    <w:rsid w:val="0095746D"/>
    <w:rsid w:val="009574BD"/>
    <w:rsid w:val="009575FE"/>
    <w:rsid w:val="00957672"/>
    <w:rsid w:val="0095773F"/>
    <w:rsid w:val="009578A3"/>
    <w:rsid w:val="00957B64"/>
    <w:rsid w:val="00957E54"/>
    <w:rsid w:val="00957E5D"/>
    <w:rsid w:val="00960351"/>
    <w:rsid w:val="00960535"/>
    <w:rsid w:val="00960CF9"/>
    <w:rsid w:val="00960D7E"/>
    <w:rsid w:val="00961026"/>
    <w:rsid w:val="009612B5"/>
    <w:rsid w:val="00961493"/>
    <w:rsid w:val="009616D1"/>
    <w:rsid w:val="0096183B"/>
    <w:rsid w:val="00961DAC"/>
    <w:rsid w:val="00961EB2"/>
    <w:rsid w:val="009620C5"/>
    <w:rsid w:val="0096281A"/>
    <w:rsid w:val="00962A5A"/>
    <w:rsid w:val="00962D1C"/>
    <w:rsid w:val="00962FF2"/>
    <w:rsid w:val="00963304"/>
    <w:rsid w:val="00963CA0"/>
    <w:rsid w:val="00963D87"/>
    <w:rsid w:val="00963DC9"/>
    <w:rsid w:val="0096446E"/>
    <w:rsid w:val="00964840"/>
    <w:rsid w:val="00964A38"/>
    <w:rsid w:val="00964BBF"/>
    <w:rsid w:val="00964E96"/>
    <w:rsid w:val="009650F3"/>
    <w:rsid w:val="00965136"/>
    <w:rsid w:val="0096530D"/>
    <w:rsid w:val="00965937"/>
    <w:rsid w:val="00965CE0"/>
    <w:rsid w:val="00965DE7"/>
    <w:rsid w:val="00965F68"/>
    <w:rsid w:val="00966035"/>
    <w:rsid w:val="009664E6"/>
    <w:rsid w:val="00966597"/>
    <w:rsid w:val="00966AF3"/>
    <w:rsid w:val="00966CF8"/>
    <w:rsid w:val="0096705F"/>
    <w:rsid w:val="00967367"/>
    <w:rsid w:val="009673E1"/>
    <w:rsid w:val="00967408"/>
    <w:rsid w:val="0096790D"/>
    <w:rsid w:val="00967D7E"/>
    <w:rsid w:val="00967F08"/>
    <w:rsid w:val="00970009"/>
    <w:rsid w:val="0097012E"/>
    <w:rsid w:val="0097013B"/>
    <w:rsid w:val="0097027A"/>
    <w:rsid w:val="00970331"/>
    <w:rsid w:val="009705D5"/>
    <w:rsid w:val="0097097C"/>
    <w:rsid w:val="009711FB"/>
    <w:rsid w:val="00971289"/>
    <w:rsid w:val="00971624"/>
    <w:rsid w:val="00971763"/>
    <w:rsid w:val="0097194C"/>
    <w:rsid w:val="009720CA"/>
    <w:rsid w:val="0097248E"/>
    <w:rsid w:val="0097259B"/>
    <w:rsid w:val="009725F2"/>
    <w:rsid w:val="00972B9F"/>
    <w:rsid w:val="00972DC3"/>
    <w:rsid w:val="009732E2"/>
    <w:rsid w:val="009737F6"/>
    <w:rsid w:val="00973919"/>
    <w:rsid w:val="00973EB7"/>
    <w:rsid w:val="009745B7"/>
    <w:rsid w:val="00974ED7"/>
    <w:rsid w:val="00975573"/>
    <w:rsid w:val="00975773"/>
    <w:rsid w:val="009758D7"/>
    <w:rsid w:val="00975AA1"/>
    <w:rsid w:val="00975D6D"/>
    <w:rsid w:val="0097651A"/>
    <w:rsid w:val="00976609"/>
    <w:rsid w:val="009766B5"/>
    <w:rsid w:val="00976717"/>
    <w:rsid w:val="00976A3F"/>
    <w:rsid w:val="00976DA3"/>
    <w:rsid w:val="00976FB8"/>
    <w:rsid w:val="009773C9"/>
    <w:rsid w:val="0097799B"/>
    <w:rsid w:val="009779CC"/>
    <w:rsid w:val="00977AB7"/>
    <w:rsid w:val="00977E78"/>
    <w:rsid w:val="00977EA0"/>
    <w:rsid w:val="00977F6D"/>
    <w:rsid w:val="00977F99"/>
    <w:rsid w:val="00980051"/>
    <w:rsid w:val="009801CE"/>
    <w:rsid w:val="00980420"/>
    <w:rsid w:val="00980559"/>
    <w:rsid w:val="0098077A"/>
    <w:rsid w:val="00980B72"/>
    <w:rsid w:val="00980E40"/>
    <w:rsid w:val="00981842"/>
    <w:rsid w:val="00981999"/>
    <w:rsid w:val="00981CB3"/>
    <w:rsid w:val="00981FEF"/>
    <w:rsid w:val="009823D3"/>
    <w:rsid w:val="00982715"/>
    <w:rsid w:val="009828FB"/>
    <w:rsid w:val="00982DE1"/>
    <w:rsid w:val="00983210"/>
    <w:rsid w:val="00983248"/>
    <w:rsid w:val="009832DC"/>
    <w:rsid w:val="009832F3"/>
    <w:rsid w:val="00983337"/>
    <w:rsid w:val="00983589"/>
    <w:rsid w:val="00983740"/>
    <w:rsid w:val="00983A78"/>
    <w:rsid w:val="00984035"/>
    <w:rsid w:val="009840C0"/>
    <w:rsid w:val="00984322"/>
    <w:rsid w:val="00984372"/>
    <w:rsid w:val="00984674"/>
    <w:rsid w:val="009848DE"/>
    <w:rsid w:val="00984D35"/>
    <w:rsid w:val="00985779"/>
    <w:rsid w:val="009858C8"/>
    <w:rsid w:val="00985BEA"/>
    <w:rsid w:val="00985DB8"/>
    <w:rsid w:val="00985EDD"/>
    <w:rsid w:val="00985EE4"/>
    <w:rsid w:val="00986098"/>
    <w:rsid w:val="00986429"/>
    <w:rsid w:val="00986AD9"/>
    <w:rsid w:val="00986BE0"/>
    <w:rsid w:val="00986C60"/>
    <w:rsid w:val="00987177"/>
    <w:rsid w:val="00987444"/>
    <w:rsid w:val="0099042A"/>
    <w:rsid w:val="009905B7"/>
    <w:rsid w:val="009908C6"/>
    <w:rsid w:val="00990D01"/>
    <w:rsid w:val="00990EE2"/>
    <w:rsid w:val="009918F5"/>
    <w:rsid w:val="00991C1B"/>
    <w:rsid w:val="009921E9"/>
    <w:rsid w:val="00992721"/>
    <w:rsid w:val="00992768"/>
    <w:rsid w:val="0099276A"/>
    <w:rsid w:val="00992903"/>
    <w:rsid w:val="00992C1A"/>
    <w:rsid w:val="00992D18"/>
    <w:rsid w:val="0099309E"/>
    <w:rsid w:val="00993255"/>
    <w:rsid w:val="00993CDC"/>
    <w:rsid w:val="00993D33"/>
    <w:rsid w:val="00993E4A"/>
    <w:rsid w:val="00993EF6"/>
    <w:rsid w:val="0099409A"/>
    <w:rsid w:val="009941BC"/>
    <w:rsid w:val="00994A7A"/>
    <w:rsid w:val="00994B23"/>
    <w:rsid w:val="00994D01"/>
    <w:rsid w:val="00994E74"/>
    <w:rsid w:val="0099539D"/>
    <w:rsid w:val="009953CD"/>
    <w:rsid w:val="0099552B"/>
    <w:rsid w:val="00995A3F"/>
    <w:rsid w:val="00995B0B"/>
    <w:rsid w:val="009964F9"/>
    <w:rsid w:val="009966AB"/>
    <w:rsid w:val="009967C7"/>
    <w:rsid w:val="00997370"/>
    <w:rsid w:val="009978B7"/>
    <w:rsid w:val="009979D5"/>
    <w:rsid w:val="00997C81"/>
    <w:rsid w:val="00997C85"/>
    <w:rsid w:val="009A00CD"/>
    <w:rsid w:val="009A025E"/>
    <w:rsid w:val="009A083C"/>
    <w:rsid w:val="009A0B4D"/>
    <w:rsid w:val="009A1044"/>
    <w:rsid w:val="009A108D"/>
    <w:rsid w:val="009A1131"/>
    <w:rsid w:val="009A144F"/>
    <w:rsid w:val="009A1984"/>
    <w:rsid w:val="009A1A85"/>
    <w:rsid w:val="009A1F4F"/>
    <w:rsid w:val="009A29DC"/>
    <w:rsid w:val="009A2B8B"/>
    <w:rsid w:val="009A2C7E"/>
    <w:rsid w:val="009A2DA7"/>
    <w:rsid w:val="009A2F67"/>
    <w:rsid w:val="009A3137"/>
    <w:rsid w:val="009A331D"/>
    <w:rsid w:val="009A348B"/>
    <w:rsid w:val="009A370B"/>
    <w:rsid w:val="009A3D30"/>
    <w:rsid w:val="009A3D84"/>
    <w:rsid w:val="009A3F04"/>
    <w:rsid w:val="009A4449"/>
    <w:rsid w:val="009A45FD"/>
    <w:rsid w:val="009A47E2"/>
    <w:rsid w:val="009A4954"/>
    <w:rsid w:val="009A4A0F"/>
    <w:rsid w:val="009A4B34"/>
    <w:rsid w:val="009A51CB"/>
    <w:rsid w:val="009A5206"/>
    <w:rsid w:val="009A5287"/>
    <w:rsid w:val="009A5758"/>
    <w:rsid w:val="009A5801"/>
    <w:rsid w:val="009A5A0E"/>
    <w:rsid w:val="009A5A85"/>
    <w:rsid w:val="009A5B03"/>
    <w:rsid w:val="009A5EA1"/>
    <w:rsid w:val="009A670D"/>
    <w:rsid w:val="009A6C49"/>
    <w:rsid w:val="009A6F0F"/>
    <w:rsid w:val="009A703B"/>
    <w:rsid w:val="009A7173"/>
    <w:rsid w:val="009A734D"/>
    <w:rsid w:val="009A757C"/>
    <w:rsid w:val="009A75DD"/>
    <w:rsid w:val="009A76A0"/>
    <w:rsid w:val="009A76C2"/>
    <w:rsid w:val="009A7701"/>
    <w:rsid w:val="009A780F"/>
    <w:rsid w:val="009A78D4"/>
    <w:rsid w:val="009A7D1D"/>
    <w:rsid w:val="009A7E24"/>
    <w:rsid w:val="009B0801"/>
    <w:rsid w:val="009B0FBD"/>
    <w:rsid w:val="009B0FFC"/>
    <w:rsid w:val="009B1026"/>
    <w:rsid w:val="009B1066"/>
    <w:rsid w:val="009B1397"/>
    <w:rsid w:val="009B1430"/>
    <w:rsid w:val="009B154C"/>
    <w:rsid w:val="009B1A4C"/>
    <w:rsid w:val="009B1B24"/>
    <w:rsid w:val="009B1B37"/>
    <w:rsid w:val="009B1C6B"/>
    <w:rsid w:val="009B1D71"/>
    <w:rsid w:val="009B202D"/>
    <w:rsid w:val="009B2046"/>
    <w:rsid w:val="009B2085"/>
    <w:rsid w:val="009B2104"/>
    <w:rsid w:val="009B225A"/>
    <w:rsid w:val="009B235C"/>
    <w:rsid w:val="009B25D0"/>
    <w:rsid w:val="009B264D"/>
    <w:rsid w:val="009B2808"/>
    <w:rsid w:val="009B2879"/>
    <w:rsid w:val="009B2BE5"/>
    <w:rsid w:val="009B34AC"/>
    <w:rsid w:val="009B3540"/>
    <w:rsid w:val="009B370E"/>
    <w:rsid w:val="009B396F"/>
    <w:rsid w:val="009B3B6E"/>
    <w:rsid w:val="009B41DC"/>
    <w:rsid w:val="009B436A"/>
    <w:rsid w:val="009B43B2"/>
    <w:rsid w:val="009B44AB"/>
    <w:rsid w:val="009B4BF9"/>
    <w:rsid w:val="009B4C39"/>
    <w:rsid w:val="009B53BE"/>
    <w:rsid w:val="009B5E97"/>
    <w:rsid w:val="009B6916"/>
    <w:rsid w:val="009B6A28"/>
    <w:rsid w:val="009B6AD3"/>
    <w:rsid w:val="009B6B0E"/>
    <w:rsid w:val="009B6C35"/>
    <w:rsid w:val="009B6F61"/>
    <w:rsid w:val="009B705B"/>
    <w:rsid w:val="009B71CC"/>
    <w:rsid w:val="009B729A"/>
    <w:rsid w:val="009B7830"/>
    <w:rsid w:val="009B78A6"/>
    <w:rsid w:val="009C00D2"/>
    <w:rsid w:val="009C016A"/>
    <w:rsid w:val="009C01E9"/>
    <w:rsid w:val="009C0339"/>
    <w:rsid w:val="009C0365"/>
    <w:rsid w:val="009C058E"/>
    <w:rsid w:val="009C0631"/>
    <w:rsid w:val="009C09EA"/>
    <w:rsid w:val="009C0B48"/>
    <w:rsid w:val="009C1135"/>
    <w:rsid w:val="009C11D7"/>
    <w:rsid w:val="009C152D"/>
    <w:rsid w:val="009C1621"/>
    <w:rsid w:val="009C184B"/>
    <w:rsid w:val="009C1DE4"/>
    <w:rsid w:val="009C1E9A"/>
    <w:rsid w:val="009C2278"/>
    <w:rsid w:val="009C2352"/>
    <w:rsid w:val="009C2360"/>
    <w:rsid w:val="009C2371"/>
    <w:rsid w:val="009C24F9"/>
    <w:rsid w:val="009C27D3"/>
    <w:rsid w:val="009C28A2"/>
    <w:rsid w:val="009C2EED"/>
    <w:rsid w:val="009C2FB8"/>
    <w:rsid w:val="009C3064"/>
    <w:rsid w:val="009C33A3"/>
    <w:rsid w:val="009C3E52"/>
    <w:rsid w:val="009C431A"/>
    <w:rsid w:val="009C4537"/>
    <w:rsid w:val="009C4553"/>
    <w:rsid w:val="009C4571"/>
    <w:rsid w:val="009C458C"/>
    <w:rsid w:val="009C46F8"/>
    <w:rsid w:val="009C4885"/>
    <w:rsid w:val="009C4D2C"/>
    <w:rsid w:val="009C5D3E"/>
    <w:rsid w:val="009C63E8"/>
    <w:rsid w:val="009C6B5A"/>
    <w:rsid w:val="009C6C1D"/>
    <w:rsid w:val="009C72E6"/>
    <w:rsid w:val="009C760C"/>
    <w:rsid w:val="009C76BC"/>
    <w:rsid w:val="009C7877"/>
    <w:rsid w:val="009C795A"/>
    <w:rsid w:val="009C79FA"/>
    <w:rsid w:val="009C7BFA"/>
    <w:rsid w:val="009C7E16"/>
    <w:rsid w:val="009D01DD"/>
    <w:rsid w:val="009D021B"/>
    <w:rsid w:val="009D08D0"/>
    <w:rsid w:val="009D0B29"/>
    <w:rsid w:val="009D0DFB"/>
    <w:rsid w:val="009D1174"/>
    <w:rsid w:val="009D11B3"/>
    <w:rsid w:val="009D16FC"/>
    <w:rsid w:val="009D1828"/>
    <w:rsid w:val="009D1BC9"/>
    <w:rsid w:val="009D1D76"/>
    <w:rsid w:val="009D21FE"/>
    <w:rsid w:val="009D2453"/>
    <w:rsid w:val="009D246B"/>
    <w:rsid w:val="009D2787"/>
    <w:rsid w:val="009D2AF1"/>
    <w:rsid w:val="009D2B29"/>
    <w:rsid w:val="009D2C20"/>
    <w:rsid w:val="009D2E44"/>
    <w:rsid w:val="009D3095"/>
    <w:rsid w:val="009D31A7"/>
    <w:rsid w:val="009D3777"/>
    <w:rsid w:val="009D4706"/>
    <w:rsid w:val="009D4AF9"/>
    <w:rsid w:val="009D4C75"/>
    <w:rsid w:val="009D5092"/>
    <w:rsid w:val="009D5445"/>
    <w:rsid w:val="009D5A20"/>
    <w:rsid w:val="009D65EF"/>
    <w:rsid w:val="009D671E"/>
    <w:rsid w:val="009D6E9F"/>
    <w:rsid w:val="009D70C5"/>
    <w:rsid w:val="009D7116"/>
    <w:rsid w:val="009D74D9"/>
    <w:rsid w:val="009D7596"/>
    <w:rsid w:val="009D7615"/>
    <w:rsid w:val="009D77CA"/>
    <w:rsid w:val="009D7930"/>
    <w:rsid w:val="009D79C2"/>
    <w:rsid w:val="009D7D17"/>
    <w:rsid w:val="009E040E"/>
    <w:rsid w:val="009E0460"/>
    <w:rsid w:val="009E0712"/>
    <w:rsid w:val="009E099D"/>
    <w:rsid w:val="009E0D12"/>
    <w:rsid w:val="009E0D21"/>
    <w:rsid w:val="009E1256"/>
    <w:rsid w:val="009E136D"/>
    <w:rsid w:val="009E1754"/>
    <w:rsid w:val="009E1A8E"/>
    <w:rsid w:val="009E1B68"/>
    <w:rsid w:val="009E2244"/>
    <w:rsid w:val="009E248A"/>
    <w:rsid w:val="009E24CA"/>
    <w:rsid w:val="009E2909"/>
    <w:rsid w:val="009E2BC0"/>
    <w:rsid w:val="009E2C0A"/>
    <w:rsid w:val="009E2D0B"/>
    <w:rsid w:val="009E2EA2"/>
    <w:rsid w:val="009E3310"/>
    <w:rsid w:val="009E3419"/>
    <w:rsid w:val="009E4671"/>
    <w:rsid w:val="009E4719"/>
    <w:rsid w:val="009E487B"/>
    <w:rsid w:val="009E49FA"/>
    <w:rsid w:val="009E4BBB"/>
    <w:rsid w:val="009E51E9"/>
    <w:rsid w:val="009E52B3"/>
    <w:rsid w:val="009E560A"/>
    <w:rsid w:val="009E5860"/>
    <w:rsid w:val="009E5920"/>
    <w:rsid w:val="009E5E3F"/>
    <w:rsid w:val="009E606F"/>
    <w:rsid w:val="009E6338"/>
    <w:rsid w:val="009E6553"/>
    <w:rsid w:val="009E6C01"/>
    <w:rsid w:val="009E6F06"/>
    <w:rsid w:val="009E6FB0"/>
    <w:rsid w:val="009E7348"/>
    <w:rsid w:val="009E7349"/>
    <w:rsid w:val="009E783F"/>
    <w:rsid w:val="009E789F"/>
    <w:rsid w:val="009E7A4A"/>
    <w:rsid w:val="009F032C"/>
    <w:rsid w:val="009F090D"/>
    <w:rsid w:val="009F09C1"/>
    <w:rsid w:val="009F0A29"/>
    <w:rsid w:val="009F0B9D"/>
    <w:rsid w:val="009F0C6B"/>
    <w:rsid w:val="009F1111"/>
    <w:rsid w:val="009F139F"/>
    <w:rsid w:val="009F167D"/>
    <w:rsid w:val="009F190F"/>
    <w:rsid w:val="009F2028"/>
    <w:rsid w:val="009F231A"/>
    <w:rsid w:val="009F2537"/>
    <w:rsid w:val="009F28C7"/>
    <w:rsid w:val="009F2978"/>
    <w:rsid w:val="009F379E"/>
    <w:rsid w:val="009F3862"/>
    <w:rsid w:val="009F387A"/>
    <w:rsid w:val="009F3897"/>
    <w:rsid w:val="009F38E8"/>
    <w:rsid w:val="009F40BB"/>
    <w:rsid w:val="009F45D3"/>
    <w:rsid w:val="009F4EA2"/>
    <w:rsid w:val="009F5AC2"/>
    <w:rsid w:val="009F5E66"/>
    <w:rsid w:val="009F5FBA"/>
    <w:rsid w:val="009F6066"/>
    <w:rsid w:val="009F6867"/>
    <w:rsid w:val="009F6AA5"/>
    <w:rsid w:val="009F6F5A"/>
    <w:rsid w:val="009F74F0"/>
    <w:rsid w:val="009F7863"/>
    <w:rsid w:val="009F7A8D"/>
    <w:rsid w:val="009F7B6B"/>
    <w:rsid w:val="009F7D9F"/>
    <w:rsid w:val="009F7F58"/>
    <w:rsid w:val="00A00C65"/>
    <w:rsid w:val="00A00CA8"/>
    <w:rsid w:val="00A010A7"/>
    <w:rsid w:val="00A016AF"/>
    <w:rsid w:val="00A01B85"/>
    <w:rsid w:val="00A02075"/>
    <w:rsid w:val="00A025DE"/>
    <w:rsid w:val="00A029F4"/>
    <w:rsid w:val="00A02F2E"/>
    <w:rsid w:val="00A02FB4"/>
    <w:rsid w:val="00A02FE9"/>
    <w:rsid w:val="00A030EA"/>
    <w:rsid w:val="00A03308"/>
    <w:rsid w:val="00A03637"/>
    <w:rsid w:val="00A037E2"/>
    <w:rsid w:val="00A03A1E"/>
    <w:rsid w:val="00A04910"/>
    <w:rsid w:val="00A04A2C"/>
    <w:rsid w:val="00A052B0"/>
    <w:rsid w:val="00A05338"/>
    <w:rsid w:val="00A05381"/>
    <w:rsid w:val="00A059B5"/>
    <w:rsid w:val="00A05B0B"/>
    <w:rsid w:val="00A05CF5"/>
    <w:rsid w:val="00A06056"/>
    <w:rsid w:val="00A0613D"/>
    <w:rsid w:val="00A063CC"/>
    <w:rsid w:val="00A06686"/>
    <w:rsid w:val="00A0688C"/>
    <w:rsid w:val="00A06B2E"/>
    <w:rsid w:val="00A06FD2"/>
    <w:rsid w:val="00A07CED"/>
    <w:rsid w:val="00A10499"/>
    <w:rsid w:val="00A10653"/>
    <w:rsid w:val="00A1141E"/>
    <w:rsid w:val="00A1198A"/>
    <w:rsid w:val="00A11CFB"/>
    <w:rsid w:val="00A11F5B"/>
    <w:rsid w:val="00A120F3"/>
    <w:rsid w:val="00A1213E"/>
    <w:rsid w:val="00A126C2"/>
    <w:rsid w:val="00A127EA"/>
    <w:rsid w:val="00A12865"/>
    <w:rsid w:val="00A12B29"/>
    <w:rsid w:val="00A12E40"/>
    <w:rsid w:val="00A1306E"/>
    <w:rsid w:val="00A13BA1"/>
    <w:rsid w:val="00A1473C"/>
    <w:rsid w:val="00A14905"/>
    <w:rsid w:val="00A149DC"/>
    <w:rsid w:val="00A14D16"/>
    <w:rsid w:val="00A1573D"/>
    <w:rsid w:val="00A1582B"/>
    <w:rsid w:val="00A158EC"/>
    <w:rsid w:val="00A158FD"/>
    <w:rsid w:val="00A15936"/>
    <w:rsid w:val="00A159AA"/>
    <w:rsid w:val="00A15C3C"/>
    <w:rsid w:val="00A1606D"/>
    <w:rsid w:val="00A163FA"/>
    <w:rsid w:val="00A166FD"/>
    <w:rsid w:val="00A16AA2"/>
    <w:rsid w:val="00A1773F"/>
    <w:rsid w:val="00A178F2"/>
    <w:rsid w:val="00A17C98"/>
    <w:rsid w:val="00A201C5"/>
    <w:rsid w:val="00A20541"/>
    <w:rsid w:val="00A20824"/>
    <w:rsid w:val="00A20A17"/>
    <w:rsid w:val="00A20D4A"/>
    <w:rsid w:val="00A20D7A"/>
    <w:rsid w:val="00A215CB"/>
    <w:rsid w:val="00A21611"/>
    <w:rsid w:val="00A21C1C"/>
    <w:rsid w:val="00A21D35"/>
    <w:rsid w:val="00A2226B"/>
    <w:rsid w:val="00A22643"/>
    <w:rsid w:val="00A22750"/>
    <w:rsid w:val="00A22895"/>
    <w:rsid w:val="00A228C8"/>
    <w:rsid w:val="00A22B60"/>
    <w:rsid w:val="00A22D6F"/>
    <w:rsid w:val="00A22E78"/>
    <w:rsid w:val="00A22E96"/>
    <w:rsid w:val="00A23117"/>
    <w:rsid w:val="00A2325F"/>
    <w:rsid w:val="00A233C9"/>
    <w:rsid w:val="00A233CE"/>
    <w:rsid w:val="00A237D9"/>
    <w:rsid w:val="00A2384D"/>
    <w:rsid w:val="00A2399D"/>
    <w:rsid w:val="00A23A5B"/>
    <w:rsid w:val="00A23CE7"/>
    <w:rsid w:val="00A23DE1"/>
    <w:rsid w:val="00A23F32"/>
    <w:rsid w:val="00A23FCA"/>
    <w:rsid w:val="00A24648"/>
    <w:rsid w:val="00A246B1"/>
    <w:rsid w:val="00A24772"/>
    <w:rsid w:val="00A253AD"/>
    <w:rsid w:val="00A25433"/>
    <w:rsid w:val="00A2568B"/>
    <w:rsid w:val="00A256AB"/>
    <w:rsid w:val="00A258C8"/>
    <w:rsid w:val="00A25AEC"/>
    <w:rsid w:val="00A26057"/>
    <w:rsid w:val="00A26418"/>
    <w:rsid w:val="00A26585"/>
    <w:rsid w:val="00A26683"/>
    <w:rsid w:val="00A2673B"/>
    <w:rsid w:val="00A26ADD"/>
    <w:rsid w:val="00A26D55"/>
    <w:rsid w:val="00A27277"/>
    <w:rsid w:val="00A272A7"/>
    <w:rsid w:val="00A2788B"/>
    <w:rsid w:val="00A279CE"/>
    <w:rsid w:val="00A27A17"/>
    <w:rsid w:val="00A27C7E"/>
    <w:rsid w:val="00A27E94"/>
    <w:rsid w:val="00A30342"/>
    <w:rsid w:val="00A30443"/>
    <w:rsid w:val="00A30585"/>
    <w:rsid w:val="00A30C5B"/>
    <w:rsid w:val="00A30EE8"/>
    <w:rsid w:val="00A31525"/>
    <w:rsid w:val="00A31572"/>
    <w:rsid w:val="00A31A50"/>
    <w:rsid w:val="00A31B8D"/>
    <w:rsid w:val="00A31CDD"/>
    <w:rsid w:val="00A31D90"/>
    <w:rsid w:val="00A320C8"/>
    <w:rsid w:val="00A32329"/>
    <w:rsid w:val="00A32440"/>
    <w:rsid w:val="00A325DC"/>
    <w:rsid w:val="00A3273D"/>
    <w:rsid w:val="00A32750"/>
    <w:rsid w:val="00A32C09"/>
    <w:rsid w:val="00A3317C"/>
    <w:rsid w:val="00A3348B"/>
    <w:rsid w:val="00A33520"/>
    <w:rsid w:val="00A337AC"/>
    <w:rsid w:val="00A3482E"/>
    <w:rsid w:val="00A3507D"/>
    <w:rsid w:val="00A354CF"/>
    <w:rsid w:val="00A356B2"/>
    <w:rsid w:val="00A357C2"/>
    <w:rsid w:val="00A35A1A"/>
    <w:rsid w:val="00A35D0A"/>
    <w:rsid w:val="00A35F0F"/>
    <w:rsid w:val="00A35F4D"/>
    <w:rsid w:val="00A3606E"/>
    <w:rsid w:val="00A368AC"/>
    <w:rsid w:val="00A373EC"/>
    <w:rsid w:val="00A3753E"/>
    <w:rsid w:val="00A37967"/>
    <w:rsid w:val="00A37AE0"/>
    <w:rsid w:val="00A37AFD"/>
    <w:rsid w:val="00A37BAD"/>
    <w:rsid w:val="00A37F8A"/>
    <w:rsid w:val="00A401FB"/>
    <w:rsid w:val="00A40888"/>
    <w:rsid w:val="00A40903"/>
    <w:rsid w:val="00A40B61"/>
    <w:rsid w:val="00A40F3F"/>
    <w:rsid w:val="00A412D7"/>
    <w:rsid w:val="00A41381"/>
    <w:rsid w:val="00A414BF"/>
    <w:rsid w:val="00A415AE"/>
    <w:rsid w:val="00A41DC0"/>
    <w:rsid w:val="00A41DEB"/>
    <w:rsid w:val="00A4217E"/>
    <w:rsid w:val="00A42570"/>
    <w:rsid w:val="00A428E5"/>
    <w:rsid w:val="00A42977"/>
    <w:rsid w:val="00A4297D"/>
    <w:rsid w:val="00A42A19"/>
    <w:rsid w:val="00A42AED"/>
    <w:rsid w:val="00A42B29"/>
    <w:rsid w:val="00A42FD1"/>
    <w:rsid w:val="00A4386C"/>
    <w:rsid w:val="00A43997"/>
    <w:rsid w:val="00A43A53"/>
    <w:rsid w:val="00A43AC0"/>
    <w:rsid w:val="00A43D2A"/>
    <w:rsid w:val="00A43D59"/>
    <w:rsid w:val="00A43DF2"/>
    <w:rsid w:val="00A443A8"/>
    <w:rsid w:val="00A443D0"/>
    <w:rsid w:val="00A444BA"/>
    <w:rsid w:val="00A446DD"/>
    <w:rsid w:val="00A449E3"/>
    <w:rsid w:val="00A44CBD"/>
    <w:rsid w:val="00A44F66"/>
    <w:rsid w:val="00A451A2"/>
    <w:rsid w:val="00A455D9"/>
    <w:rsid w:val="00A455E4"/>
    <w:rsid w:val="00A45760"/>
    <w:rsid w:val="00A457D1"/>
    <w:rsid w:val="00A458A6"/>
    <w:rsid w:val="00A45F52"/>
    <w:rsid w:val="00A4626B"/>
    <w:rsid w:val="00A46AD1"/>
    <w:rsid w:val="00A46F6D"/>
    <w:rsid w:val="00A46FFA"/>
    <w:rsid w:val="00A475EE"/>
    <w:rsid w:val="00A478CC"/>
    <w:rsid w:val="00A47B05"/>
    <w:rsid w:val="00A47F1A"/>
    <w:rsid w:val="00A50222"/>
    <w:rsid w:val="00A50AF4"/>
    <w:rsid w:val="00A50B93"/>
    <w:rsid w:val="00A50E0F"/>
    <w:rsid w:val="00A50E5A"/>
    <w:rsid w:val="00A51014"/>
    <w:rsid w:val="00A51163"/>
    <w:rsid w:val="00A51173"/>
    <w:rsid w:val="00A51573"/>
    <w:rsid w:val="00A516B8"/>
    <w:rsid w:val="00A5177C"/>
    <w:rsid w:val="00A51A13"/>
    <w:rsid w:val="00A51A6D"/>
    <w:rsid w:val="00A51DA8"/>
    <w:rsid w:val="00A51E51"/>
    <w:rsid w:val="00A51ECF"/>
    <w:rsid w:val="00A51EDC"/>
    <w:rsid w:val="00A52913"/>
    <w:rsid w:val="00A52B74"/>
    <w:rsid w:val="00A52CE0"/>
    <w:rsid w:val="00A52F9F"/>
    <w:rsid w:val="00A535E5"/>
    <w:rsid w:val="00A536AF"/>
    <w:rsid w:val="00A53730"/>
    <w:rsid w:val="00A5420A"/>
    <w:rsid w:val="00A547B3"/>
    <w:rsid w:val="00A54DE0"/>
    <w:rsid w:val="00A54F1E"/>
    <w:rsid w:val="00A55AF8"/>
    <w:rsid w:val="00A55B0E"/>
    <w:rsid w:val="00A55B3B"/>
    <w:rsid w:val="00A55EF7"/>
    <w:rsid w:val="00A5644B"/>
    <w:rsid w:val="00A57B0E"/>
    <w:rsid w:val="00A57C0F"/>
    <w:rsid w:val="00A57CC3"/>
    <w:rsid w:val="00A608C5"/>
    <w:rsid w:val="00A608E7"/>
    <w:rsid w:val="00A60E14"/>
    <w:rsid w:val="00A610D8"/>
    <w:rsid w:val="00A61111"/>
    <w:rsid w:val="00A61634"/>
    <w:rsid w:val="00A61A2B"/>
    <w:rsid w:val="00A61C90"/>
    <w:rsid w:val="00A6211F"/>
    <w:rsid w:val="00A62239"/>
    <w:rsid w:val="00A6248B"/>
    <w:rsid w:val="00A626D7"/>
    <w:rsid w:val="00A62989"/>
    <w:rsid w:val="00A62F23"/>
    <w:rsid w:val="00A63094"/>
    <w:rsid w:val="00A6309D"/>
    <w:rsid w:val="00A639E3"/>
    <w:rsid w:val="00A63D16"/>
    <w:rsid w:val="00A63D6A"/>
    <w:rsid w:val="00A643B3"/>
    <w:rsid w:val="00A64419"/>
    <w:rsid w:val="00A6462D"/>
    <w:rsid w:val="00A646A1"/>
    <w:rsid w:val="00A6474D"/>
    <w:rsid w:val="00A647E4"/>
    <w:rsid w:val="00A648A0"/>
    <w:rsid w:val="00A64CFA"/>
    <w:rsid w:val="00A6554F"/>
    <w:rsid w:val="00A65B67"/>
    <w:rsid w:val="00A65C1A"/>
    <w:rsid w:val="00A65C23"/>
    <w:rsid w:val="00A65C5B"/>
    <w:rsid w:val="00A65D1D"/>
    <w:rsid w:val="00A675EE"/>
    <w:rsid w:val="00A677D1"/>
    <w:rsid w:val="00A678AD"/>
    <w:rsid w:val="00A67A2C"/>
    <w:rsid w:val="00A67A33"/>
    <w:rsid w:val="00A67B8E"/>
    <w:rsid w:val="00A67D44"/>
    <w:rsid w:val="00A67D79"/>
    <w:rsid w:val="00A67F83"/>
    <w:rsid w:val="00A7015B"/>
    <w:rsid w:val="00A703D8"/>
    <w:rsid w:val="00A705C4"/>
    <w:rsid w:val="00A70AE6"/>
    <w:rsid w:val="00A70F76"/>
    <w:rsid w:val="00A7116B"/>
    <w:rsid w:val="00A7176B"/>
    <w:rsid w:val="00A71D1D"/>
    <w:rsid w:val="00A7218E"/>
    <w:rsid w:val="00A7232D"/>
    <w:rsid w:val="00A7257B"/>
    <w:rsid w:val="00A72699"/>
    <w:rsid w:val="00A728A5"/>
    <w:rsid w:val="00A730A2"/>
    <w:rsid w:val="00A7345F"/>
    <w:rsid w:val="00A7385A"/>
    <w:rsid w:val="00A73988"/>
    <w:rsid w:val="00A73A1B"/>
    <w:rsid w:val="00A73D14"/>
    <w:rsid w:val="00A73F7E"/>
    <w:rsid w:val="00A74203"/>
    <w:rsid w:val="00A74D6A"/>
    <w:rsid w:val="00A7514B"/>
    <w:rsid w:val="00A754E7"/>
    <w:rsid w:val="00A75703"/>
    <w:rsid w:val="00A7585A"/>
    <w:rsid w:val="00A7595C"/>
    <w:rsid w:val="00A75A0B"/>
    <w:rsid w:val="00A75A69"/>
    <w:rsid w:val="00A75E13"/>
    <w:rsid w:val="00A75EAE"/>
    <w:rsid w:val="00A7607F"/>
    <w:rsid w:val="00A763E9"/>
    <w:rsid w:val="00A7647C"/>
    <w:rsid w:val="00A76531"/>
    <w:rsid w:val="00A7662C"/>
    <w:rsid w:val="00A7663F"/>
    <w:rsid w:val="00A76776"/>
    <w:rsid w:val="00A769E9"/>
    <w:rsid w:val="00A76CE6"/>
    <w:rsid w:val="00A76D09"/>
    <w:rsid w:val="00A770F0"/>
    <w:rsid w:val="00A7714E"/>
    <w:rsid w:val="00A778D1"/>
    <w:rsid w:val="00A77B21"/>
    <w:rsid w:val="00A80646"/>
    <w:rsid w:val="00A80706"/>
    <w:rsid w:val="00A81576"/>
    <w:rsid w:val="00A81609"/>
    <w:rsid w:val="00A817E5"/>
    <w:rsid w:val="00A81AC6"/>
    <w:rsid w:val="00A81FBF"/>
    <w:rsid w:val="00A82130"/>
    <w:rsid w:val="00A82200"/>
    <w:rsid w:val="00A82495"/>
    <w:rsid w:val="00A82567"/>
    <w:rsid w:val="00A826AE"/>
    <w:rsid w:val="00A82DC0"/>
    <w:rsid w:val="00A82F5B"/>
    <w:rsid w:val="00A8304D"/>
    <w:rsid w:val="00A8313C"/>
    <w:rsid w:val="00A83EFD"/>
    <w:rsid w:val="00A83F3A"/>
    <w:rsid w:val="00A83FD8"/>
    <w:rsid w:val="00A84170"/>
    <w:rsid w:val="00A84432"/>
    <w:rsid w:val="00A84594"/>
    <w:rsid w:val="00A84EE1"/>
    <w:rsid w:val="00A84F18"/>
    <w:rsid w:val="00A84FD0"/>
    <w:rsid w:val="00A8561D"/>
    <w:rsid w:val="00A85731"/>
    <w:rsid w:val="00A85B12"/>
    <w:rsid w:val="00A85DCB"/>
    <w:rsid w:val="00A85E99"/>
    <w:rsid w:val="00A85F2B"/>
    <w:rsid w:val="00A8656B"/>
    <w:rsid w:val="00A8657F"/>
    <w:rsid w:val="00A86607"/>
    <w:rsid w:val="00A8679F"/>
    <w:rsid w:val="00A86F0E"/>
    <w:rsid w:val="00A878F9"/>
    <w:rsid w:val="00A87A7C"/>
    <w:rsid w:val="00A87D1B"/>
    <w:rsid w:val="00A90004"/>
    <w:rsid w:val="00A90568"/>
    <w:rsid w:val="00A91763"/>
    <w:rsid w:val="00A9194C"/>
    <w:rsid w:val="00A91B7D"/>
    <w:rsid w:val="00A91D05"/>
    <w:rsid w:val="00A92ADB"/>
    <w:rsid w:val="00A92F61"/>
    <w:rsid w:val="00A93233"/>
    <w:rsid w:val="00A93280"/>
    <w:rsid w:val="00A932BF"/>
    <w:rsid w:val="00A934FE"/>
    <w:rsid w:val="00A935BE"/>
    <w:rsid w:val="00A937E8"/>
    <w:rsid w:val="00A93B0F"/>
    <w:rsid w:val="00A93ECB"/>
    <w:rsid w:val="00A94064"/>
    <w:rsid w:val="00A94082"/>
    <w:rsid w:val="00A94479"/>
    <w:rsid w:val="00A94789"/>
    <w:rsid w:val="00A94819"/>
    <w:rsid w:val="00A94E53"/>
    <w:rsid w:val="00A95071"/>
    <w:rsid w:val="00A950DD"/>
    <w:rsid w:val="00A95329"/>
    <w:rsid w:val="00A9576B"/>
    <w:rsid w:val="00A9596E"/>
    <w:rsid w:val="00A95EFD"/>
    <w:rsid w:val="00A95F86"/>
    <w:rsid w:val="00A96313"/>
    <w:rsid w:val="00A96357"/>
    <w:rsid w:val="00A96551"/>
    <w:rsid w:val="00A9679B"/>
    <w:rsid w:val="00A96841"/>
    <w:rsid w:val="00A96887"/>
    <w:rsid w:val="00A96D0C"/>
    <w:rsid w:val="00A97856"/>
    <w:rsid w:val="00A978FE"/>
    <w:rsid w:val="00A97EF3"/>
    <w:rsid w:val="00AA0075"/>
    <w:rsid w:val="00AA0336"/>
    <w:rsid w:val="00AA057F"/>
    <w:rsid w:val="00AA0D5A"/>
    <w:rsid w:val="00AA0EF4"/>
    <w:rsid w:val="00AA104C"/>
    <w:rsid w:val="00AA10C7"/>
    <w:rsid w:val="00AA188B"/>
    <w:rsid w:val="00AA18FA"/>
    <w:rsid w:val="00AA1AAD"/>
    <w:rsid w:val="00AA1C06"/>
    <w:rsid w:val="00AA1D55"/>
    <w:rsid w:val="00AA1F6F"/>
    <w:rsid w:val="00AA2106"/>
    <w:rsid w:val="00AA23A8"/>
    <w:rsid w:val="00AA252D"/>
    <w:rsid w:val="00AA26D3"/>
    <w:rsid w:val="00AA2855"/>
    <w:rsid w:val="00AA2A86"/>
    <w:rsid w:val="00AA2A9E"/>
    <w:rsid w:val="00AA2FB1"/>
    <w:rsid w:val="00AA2FEA"/>
    <w:rsid w:val="00AA318A"/>
    <w:rsid w:val="00AA3278"/>
    <w:rsid w:val="00AA3868"/>
    <w:rsid w:val="00AA39B1"/>
    <w:rsid w:val="00AA3A26"/>
    <w:rsid w:val="00AA3C73"/>
    <w:rsid w:val="00AA407E"/>
    <w:rsid w:val="00AA4104"/>
    <w:rsid w:val="00AA4377"/>
    <w:rsid w:val="00AA4724"/>
    <w:rsid w:val="00AA4E9C"/>
    <w:rsid w:val="00AA55DE"/>
    <w:rsid w:val="00AA602A"/>
    <w:rsid w:val="00AA60F4"/>
    <w:rsid w:val="00AA61A3"/>
    <w:rsid w:val="00AA648D"/>
    <w:rsid w:val="00AA65D8"/>
    <w:rsid w:val="00AA670E"/>
    <w:rsid w:val="00AA676A"/>
    <w:rsid w:val="00AA69E3"/>
    <w:rsid w:val="00AA6FEE"/>
    <w:rsid w:val="00AA7BCB"/>
    <w:rsid w:val="00AA7CFB"/>
    <w:rsid w:val="00AA7DC1"/>
    <w:rsid w:val="00AA7DC2"/>
    <w:rsid w:val="00AB0123"/>
    <w:rsid w:val="00AB02D4"/>
    <w:rsid w:val="00AB08D7"/>
    <w:rsid w:val="00AB0FAA"/>
    <w:rsid w:val="00AB12B2"/>
    <w:rsid w:val="00AB1553"/>
    <w:rsid w:val="00AB1559"/>
    <w:rsid w:val="00AB2146"/>
    <w:rsid w:val="00AB2548"/>
    <w:rsid w:val="00AB28D1"/>
    <w:rsid w:val="00AB2A52"/>
    <w:rsid w:val="00AB2B33"/>
    <w:rsid w:val="00AB2B43"/>
    <w:rsid w:val="00AB2C9C"/>
    <w:rsid w:val="00AB2EA4"/>
    <w:rsid w:val="00AB3482"/>
    <w:rsid w:val="00AB36A1"/>
    <w:rsid w:val="00AB40B1"/>
    <w:rsid w:val="00AB4111"/>
    <w:rsid w:val="00AB46CF"/>
    <w:rsid w:val="00AB46D0"/>
    <w:rsid w:val="00AB4783"/>
    <w:rsid w:val="00AB4CAC"/>
    <w:rsid w:val="00AB4D54"/>
    <w:rsid w:val="00AB4D60"/>
    <w:rsid w:val="00AB5B0C"/>
    <w:rsid w:val="00AB61A3"/>
    <w:rsid w:val="00AB66B3"/>
    <w:rsid w:val="00AB6809"/>
    <w:rsid w:val="00AB68CD"/>
    <w:rsid w:val="00AB6BBD"/>
    <w:rsid w:val="00AB7064"/>
    <w:rsid w:val="00AB73FF"/>
    <w:rsid w:val="00AB7701"/>
    <w:rsid w:val="00AB77A7"/>
    <w:rsid w:val="00AB7C7A"/>
    <w:rsid w:val="00AB7D1B"/>
    <w:rsid w:val="00AB7D9B"/>
    <w:rsid w:val="00AC001C"/>
    <w:rsid w:val="00AC02FA"/>
    <w:rsid w:val="00AC0731"/>
    <w:rsid w:val="00AC10AA"/>
    <w:rsid w:val="00AC10D1"/>
    <w:rsid w:val="00AC133A"/>
    <w:rsid w:val="00AC133E"/>
    <w:rsid w:val="00AC1415"/>
    <w:rsid w:val="00AC17BA"/>
    <w:rsid w:val="00AC18F4"/>
    <w:rsid w:val="00AC1C83"/>
    <w:rsid w:val="00AC1DB1"/>
    <w:rsid w:val="00AC2338"/>
    <w:rsid w:val="00AC277F"/>
    <w:rsid w:val="00AC29AC"/>
    <w:rsid w:val="00AC2AED"/>
    <w:rsid w:val="00AC2BC1"/>
    <w:rsid w:val="00AC2EC4"/>
    <w:rsid w:val="00AC2F85"/>
    <w:rsid w:val="00AC30DB"/>
    <w:rsid w:val="00AC364E"/>
    <w:rsid w:val="00AC3962"/>
    <w:rsid w:val="00AC3B49"/>
    <w:rsid w:val="00AC3E70"/>
    <w:rsid w:val="00AC3E9E"/>
    <w:rsid w:val="00AC3FA1"/>
    <w:rsid w:val="00AC3FDD"/>
    <w:rsid w:val="00AC4139"/>
    <w:rsid w:val="00AC4490"/>
    <w:rsid w:val="00AC4589"/>
    <w:rsid w:val="00AC4855"/>
    <w:rsid w:val="00AC4CCE"/>
    <w:rsid w:val="00AC4F24"/>
    <w:rsid w:val="00AC5270"/>
    <w:rsid w:val="00AC536B"/>
    <w:rsid w:val="00AC53F0"/>
    <w:rsid w:val="00AC5D35"/>
    <w:rsid w:val="00AC60C1"/>
    <w:rsid w:val="00AC6A9B"/>
    <w:rsid w:val="00AC6AB8"/>
    <w:rsid w:val="00AC6ED0"/>
    <w:rsid w:val="00AC71AC"/>
    <w:rsid w:val="00AC722A"/>
    <w:rsid w:val="00AC763C"/>
    <w:rsid w:val="00AC7657"/>
    <w:rsid w:val="00AC79FC"/>
    <w:rsid w:val="00AD03B8"/>
    <w:rsid w:val="00AD047E"/>
    <w:rsid w:val="00AD04E2"/>
    <w:rsid w:val="00AD06D9"/>
    <w:rsid w:val="00AD0831"/>
    <w:rsid w:val="00AD1047"/>
    <w:rsid w:val="00AD1525"/>
    <w:rsid w:val="00AD1784"/>
    <w:rsid w:val="00AD18AD"/>
    <w:rsid w:val="00AD1B5F"/>
    <w:rsid w:val="00AD1BB8"/>
    <w:rsid w:val="00AD1BBF"/>
    <w:rsid w:val="00AD1E0D"/>
    <w:rsid w:val="00AD1FD7"/>
    <w:rsid w:val="00AD2676"/>
    <w:rsid w:val="00AD27D9"/>
    <w:rsid w:val="00AD28A8"/>
    <w:rsid w:val="00AD28F7"/>
    <w:rsid w:val="00AD29A7"/>
    <w:rsid w:val="00AD2CD6"/>
    <w:rsid w:val="00AD2CE2"/>
    <w:rsid w:val="00AD2D7F"/>
    <w:rsid w:val="00AD3168"/>
    <w:rsid w:val="00AD3A94"/>
    <w:rsid w:val="00AD3BF5"/>
    <w:rsid w:val="00AD3CD9"/>
    <w:rsid w:val="00AD4311"/>
    <w:rsid w:val="00AD4B66"/>
    <w:rsid w:val="00AD4EA6"/>
    <w:rsid w:val="00AD50DB"/>
    <w:rsid w:val="00AD5316"/>
    <w:rsid w:val="00AD5575"/>
    <w:rsid w:val="00AD5576"/>
    <w:rsid w:val="00AD57A8"/>
    <w:rsid w:val="00AD5953"/>
    <w:rsid w:val="00AD5B51"/>
    <w:rsid w:val="00AD5CC6"/>
    <w:rsid w:val="00AD5CEB"/>
    <w:rsid w:val="00AD5F11"/>
    <w:rsid w:val="00AD60A0"/>
    <w:rsid w:val="00AD62FD"/>
    <w:rsid w:val="00AD6DB4"/>
    <w:rsid w:val="00AD7026"/>
    <w:rsid w:val="00AD7182"/>
    <w:rsid w:val="00AD7B1C"/>
    <w:rsid w:val="00AD7B28"/>
    <w:rsid w:val="00AD7B8D"/>
    <w:rsid w:val="00AD7F60"/>
    <w:rsid w:val="00AE0062"/>
    <w:rsid w:val="00AE03E1"/>
    <w:rsid w:val="00AE0775"/>
    <w:rsid w:val="00AE0E30"/>
    <w:rsid w:val="00AE1158"/>
    <w:rsid w:val="00AE11D3"/>
    <w:rsid w:val="00AE11DB"/>
    <w:rsid w:val="00AE11FA"/>
    <w:rsid w:val="00AE1262"/>
    <w:rsid w:val="00AE1314"/>
    <w:rsid w:val="00AE14B1"/>
    <w:rsid w:val="00AE1827"/>
    <w:rsid w:val="00AE1838"/>
    <w:rsid w:val="00AE1C26"/>
    <w:rsid w:val="00AE1DAD"/>
    <w:rsid w:val="00AE1E8C"/>
    <w:rsid w:val="00AE1EA0"/>
    <w:rsid w:val="00AE2078"/>
    <w:rsid w:val="00AE2448"/>
    <w:rsid w:val="00AE2D8E"/>
    <w:rsid w:val="00AE305C"/>
    <w:rsid w:val="00AE324B"/>
    <w:rsid w:val="00AE3CC8"/>
    <w:rsid w:val="00AE3D93"/>
    <w:rsid w:val="00AE4A6E"/>
    <w:rsid w:val="00AE4ABE"/>
    <w:rsid w:val="00AE4D23"/>
    <w:rsid w:val="00AE4D24"/>
    <w:rsid w:val="00AE5749"/>
    <w:rsid w:val="00AE5917"/>
    <w:rsid w:val="00AE599C"/>
    <w:rsid w:val="00AE59B9"/>
    <w:rsid w:val="00AE5B8C"/>
    <w:rsid w:val="00AE5BE7"/>
    <w:rsid w:val="00AE5F6B"/>
    <w:rsid w:val="00AE64AC"/>
    <w:rsid w:val="00AE6794"/>
    <w:rsid w:val="00AE6FD4"/>
    <w:rsid w:val="00AE6FDF"/>
    <w:rsid w:val="00AE70ED"/>
    <w:rsid w:val="00AE74DF"/>
    <w:rsid w:val="00AE752E"/>
    <w:rsid w:val="00AE776F"/>
    <w:rsid w:val="00AE7A98"/>
    <w:rsid w:val="00AE7FD4"/>
    <w:rsid w:val="00AF0032"/>
    <w:rsid w:val="00AF0A12"/>
    <w:rsid w:val="00AF0C4B"/>
    <w:rsid w:val="00AF0D2F"/>
    <w:rsid w:val="00AF0DDB"/>
    <w:rsid w:val="00AF0F10"/>
    <w:rsid w:val="00AF0F13"/>
    <w:rsid w:val="00AF11F9"/>
    <w:rsid w:val="00AF139C"/>
    <w:rsid w:val="00AF1521"/>
    <w:rsid w:val="00AF1E3A"/>
    <w:rsid w:val="00AF1E60"/>
    <w:rsid w:val="00AF1F43"/>
    <w:rsid w:val="00AF1F95"/>
    <w:rsid w:val="00AF223A"/>
    <w:rsid w:val="00AF239D"/>
    <w:rsid w:val="00AF2766"/>
    <w:rsid w:val="00AF28CA"/>
    <w:rsid w:val="00AF2950"/>
    <w:rsid w:val="00AF29D1"/>
    <w:rsid w:val="00AF3062"/>
    <w:rsid w:val="00AF3D25"/>
    <w:rsid w:val="00AF4635"/>
    <w:rsid w:val="00AF4872"/>
    <w:rsid w:val="00AF48A7"/>
    <w:rsid w:val="00AF48D9"/>
    <w:rsid w:val="00AF509F"/>
    <w:rsid w:val="00AF50FF"/>
    <w:rsid w:val="00AF5198"/>
    <w:rsid w:val="00AF533B"/>
    <w:rsid w:val="00AF5E22"/>
    <w:rsid w:val="00AF5F7A"/>
    <w:rsid w:val="00AF6485"/>
    <w:rsid w:val="00AF661B"/>
    <w:rsid w:val="00AF66B6"/>
    <w:rsid w:val="00AF68EC"/>
    <w:rsid w:val="00AF6A4A"/>
    <w:rsid w:val="00AF70E7"/>
    <w:rsid w:val="00AF7AB9"/>
    <w:rsid w:val="00AF7FD7"/>
    <w:rsid w:val="00B00309"/>
    <w:rsid w:val="00B00326"/>
    <w:rsid w:val="00B0037D"/>
    <w:rsid w:val="00B004A4"/>
    <w:rsid w:val="00B0084B"/>
    <w:rsid w:val="00B008AC"/>
    <w:rsid w:val="00B00DA6"/>
    <w:rsid w:val="00B01269"/>
    <w:rsid w:val="00B0144E"/>
    <w:rsid w:val="00B015E4"/>
    <w:rsid w:val="00B01604"/>
    <w:rsid w:val="00B0180C"/>
    <w:rsid w:val="00B01B58"/>
    <w:rsid w:val="00B01D40"/>
    <w:rsid w:val="00B01D8E"/>
    <w:rsid w:val="00B02017"/>
    <w:rsid w:val="00B0229D"/>
    <w:rsid w:val="00B0257E"/>
    <w:rsid w:val="00B02AEE"/>
    <w:rsid w:val="00B02BA9"/>
    <w:rsid w:val="00B02D35"/>
    <w:rsid w:val="00B0311A"/>
    <w:rsid w:val="00B031E2"/>
    <w:rsid w:val="00B03701"/>
    <w:rsid w:val="00B039A4"/>
    <w:rsid w:val="00B03B0C"/>
    <w:rsid w:val="00B03B4B"/>
    <w:rsid w:val="00B03DE1"/>
    <w:rsid w:val="00B0441A"/>
    <w:rsid w:val="00B044FD"/>
    <w:rsid w:val="00B04DFB"/>
    <w:rsid w:val="00B04EAE"/>
    <w:rsid w:val="00B05017"/>
    <w:rsid w:val="00B0547C"/>
    <w:rsid w:val="00B0551F"/>
    <w:rsid w:val="00B05733"/>
    <w:rsid w:val="00B057D6"/>
    <w:rsid w:val="00B05998"/>
    <w:rsid w:val="00B05AB9"/>
    <w:rsid w:val="00B05B00"/>
    <w:rsid w:val="00B05BF1"/>
    <w:rsid w:val="00B05C55"/>
    <w:rsid w:val="00B05FE9"/>
    <w:rsid w:val="00B06036"/>
    <w:rsid w:val="00B06077"/>
    <w:rsid w:val="00B0680D"/>
    <w:rsid w:val="00B06B2D"/>
    <w:rsid w:val="00B06B64"/>
    <w:rsid w:val="00B07257"/>
    <w:rsid w:val="00B072DC"/>
    <w:rsid w:val="00B07817"/>
    <w:rsid w:val="00B1079E"/>
    <w:rsid w:val="00B108FA"/>
    <w:rsid w:val="00B10A43"/>
    <w:rsid w:val="00B10BC4"/>
    <w:rsid w:val="00B10F0C"/>
    <w:rsid w:val="00B10FB5"/>
    <w:rsid w:val="00B11525"/>
    <w:rsid w:val="00B1173C"/>
    <w:rsid w:val="00B11A35"/>
    <w:rsid w:val="00B11AFF"/>
    <w:rsid w:val="00B1208C"/>
    <w:rsid w:val="00B12814"/>
    <w:rsid w:val="00B12863"/>
    <w:rsid w:val="00B12E28"/>
    <w:rsid w:val="00B12ECA"/>
    <w:rsid w:val="00B12F05"/>
    <w:rsid w:val="00B130A3"/>
    <w:rsid w:val="00B13604"/>
    <w:rsid w:val="00B13B00"/>
    <w:rsid w:val="00B13BCE"/>
    <w:rsid w:val="00B13F11"/>
    <w:rsid w:val="00B1414C"/>
    <w:rsid w:val="00B142D9"/>
    <w:rsid w:val="00B149D2"/>
    <w:rsid w:val="00B14BD8"/>
    <w:rsid w:val="00B15095"/>
    <w:rsid w:val="00B15125"/>
    <w:rsid w:val="00B15410"/>
    <w:rsid w:val="00B15554"/>
    <w:rsid w:val="00B15B5C"/>
    <w:rsid w:val="00B15BE8"/>
    <w:rsid w:val="00B15D8B"/>
    <w:rsid w:val="00B15F3A"/>
    <w:rsid w:val="00B15FB4"/>
    <w:rsid w:val="00B16199"/>
    <w:rsid w:val="00B16C3E"/>
    <w:rsid w:val="00B16D88"/>
    <w:rsid w:val="00B16DC0"/>
    <w:rsid w:val="00B16E6E"/>
    <w:rsid w:val="00B1709C"/>
    <w:rsid w:val="00B1717C"/>
    <w:rsid w:val="00B17A38"/>
    <w:rsid w:val="00B17D0E"/>
    <w:rsid w:val="00B200B8"/>
    <w:rsid w:val="00B202A1"/>
    <w:rsid w:val="00B20374"/>
    <w:rsid w:val="00B2054E"/>
    <w:rsid w:val="00B2068E"/>
    <w:rsid w:val="00B206BF"/>
    <w:rsid w:val="00B209AE"/>
    <w:rsid w:val="00B20D80"/>
    <w:rsid w:val="00B21231"/>
    <w:rsid w:val="00B2131C"/>
    <w:rsid w:val="00B2135B"/>
    <w:rsid w:val="00B213F2"/>
    <w:rsid w:val="00B21460"/>
    <w:rsid w:val="00B21785"/>
    <w:rsid w:val="00B218BA"/>
    <w:rsid w:val="00B21904"/>
    <w:rsid w:val="00B21935"/>
    <w:rsid w:val="00B21AF7"/>
    <w:rsid w:val="00B21AFE"/>
    <w:rsid w:val="00B21D08"/>
    <w:rsid w:val="00B221E0"/>
    <w:rsid w:val="00B22930"/>
    <w:rsid w:val="00B22A66"/>
    <w:rsid w:val="00B22AF1"/>
    <w:rsid w:val="00B22C00"/>
    <w:rsid w:val="00B230B7"/>
    <w:rsid w:val="00B2339B"/>
    <w:rsid w:val="00B23C36"/>
    <w:rsid w:val="00B24002"/>
    <w:rsid w:val="00B2433C"/>
    <w:rsid w:val="00B246D4"/>
    <w:rsid w:val="00B25454"/>
    <w:rsid w:val="00B25457"/>
    <w:rsid w:val="00B2573E"/>
    <w:rsid w:val="00B25BE9"/>
    <w:rsid w:val="00B25DBC"/>
    <w:rsid w:val="00B25E44"/>
    <w:rsid w:val="00B25F86"/>
    <w:rsid w:val="00B263B3"/>
    <w:rsid w:val="00B26438"/>
    <w:rsid w:val="00B26540"/>
    <w:rsid w:val="00B269AD"/>
    <w:rsid w:val="00B269AE"/>
    <w:rsid w:val="00B26D2C"/>
    <w:rsid w:val="00B26DE7"/>
    <w:rsid w:val="00B26E36"/>
    <w:rsid w:val="00B26F9C"/>
    <w:rsid w:val="00B27393"/>
    <w:rsid w:val="00B278A9"/>
    <w:rsid w:val="00B27BCE"/>
    <w:rsid w:val="00B27DAD"/>
    <w:rsid w:val="00B3063C"/>
    <w:rsid w:val="00B30753"/>
    <w:rsid w:val="00B307C0"/>
    <w:rsid w:val="00B307C2"/>
    <w:rsid w:val="00B30A6A"/>
    <w:rsid w:val="00B30C90"/>
    <w:rsid w:val="00B30FD7"/>
    <w:rsid w:val="00B31095"/>
    <w:rsid w:val="00B316A1"/>
    <w:rsid w:val="00B31D5B"/>
    <w:rsid w:val="00B31E5B"/>
    <w:rsid w:val="00B320C9"/>
    <w:rsid w:val="00B3211B"/>
    <w:rsid w:val="00B3223D"/>
    <w:rsid w:val="00B3246F"/>
    <w:rsid w:val="00B33694"/>
    <w:rsid w:val="00B337A5"/>
    <w:rsid w:val="00B3393A"/>
    <w:rsid w:val="00B33F2A"/>
    <w:rsid w:val="00B341DE"/>
    <w:rsid w:val="00B34B4D"/>
    <w:rsid w:val="00B34B57"/>
    <w:rsid w:val="00B34F72"/>
    <w:rsid w:val="00B355E7"/>
    <w:rsid w:val="00B35B06"/>
    <w:rsid w:val="00B35DA0"/>
    <w:rsid w:val="00B35E4A"/>
    <w:rsid w:val="00B365FD"/>
    <w:rsid w:val="00B36963"/>
    <w:rsid w:val="00B36966"/>
    <w:rsid w:val="00B36A4F"/>
    <w:rsid w:val="00B376E0"/>
    <w:rsid w:val="00B3776C"/>
    <w:rsid w:val="00B37969"/>
    <w:rsid w:val="00B37B0B"/>
    <w:rsid w:val="00B40088"/>
    <w:rsid w:val="00B4055F"/>
    <w:rsid w:val="00B40690"/>
    <w:rsid w:val="00B40FEB"/>
    <w:rsid w:val="00B419F4"/>
    <w:rsid w:val="00B41D2A"/>
    <w:rsid w:val="00B41DA9"/>
    <w:rsid w:val="00B42034"/>
    <w:rsid w:val="00B42183"/>
    <w:rsid w:val="00B4269D"/>
    <w:rsid w:val="00B4280D"/>
    <w:rsid w:val="00B42B0A"/>
    <w:rsid w:val="00B42CEE"/>
    <w:rsid w:val="00B42F19"/>
    <w:rsid w:val="00B43160"/>
    <w:rsid w:val="00B433EA"/>
    <w:rsid w:val="00B434A8"/>
    <w:rsid w:val="00B43659"/>
    <w:rsid w:val="00B43946"/>
    <w:rsid w:val="00B4398B"/>
    <w:rsid w:val="00B439BF"/>
    <w:rsid w:val="00B43D8E"/>
    <w:rsid w:val="00B43D90"/>
    <w:rsid w:val="00B43EF8"/>
    <w:rsid w:val="00B43FF7"/>
    <w:rsid w:val="00B44012"/>
    <w:rsid w:val="00B443D0"/>
    <w:rsid w:val="00B4458C"/>
    <w:rsid w:val="00B4458D"/>
    <w:rsid w:val="00B44CA9"/>
    <w:rsid w:val="00B44EB6"/>
    <w:rsid w:val="00B454DF"/>
    <w:rsid w:val="00B455D7"/>
    <w:rsid w:val="00B45695"/>
    <w:rsid w:val="00B458CD"/>
    <w:rsid w:val="00B45BB7"/>
    <w:rsid w:val="00B45BE2"/>
    <w:rsid w:val="00B4601B"/>
    <w:rsid w:val="00B46913"/>
    <w:rsid w:val="00B46943"/>
    <w:rsid w:val="00B470F0"/>
    <w:rsid w:val="00B47309"/>
    <w:rsid w:val="00B475B9"/>
    <w:rsid w:val="00B47812"/>
    <w:rsid w:val="00B47A5C"/>
    <w:rsid w:val="00B47FB7"/>
    <w:rsid w:val="00B50525"/>
    <w:rsid w:val="00B50651"/>
    <w:rsid w:val="00B5069C"/>
    <w:rsid w:val="00B50B42"/>
    <w:rsid w:val="00B50E2F"/>
    <w:rsid w:val="00B517EA"/>
    <w:rsid w:val="00B51E7B"/>
    <w:rsid w:val="00B5220B"/>
    <w:rsid w:val="00B524F4"/>
    <w:rsid w:val="00B52593"/>
    <w:rsid w:val="00B5273A"/>
    <w:rsid w:val="00B527AB"/>
    <w:rsid w:val="00B52A44"/>
    <w:rsid w:val="00B52BE8"/>
    <w:rsid w:val="00B52D4D"/>
    <w:rsid w:val="00B531EB"/>
    <w:rsid w:val="00B536F5"/>
    <w:rsid w:val="00B53A29"/>
    <w:rsid w:val="00B5423E"/>
    <w:rsid w:val="00B542E1"/>
    <w:rsid w:val="00B54382"/>
    <w:rsid w:val="00B543C4"/>
    <w:rsid w:val="00B54560"/>
    <w:rsid w:val="00B547B4"/>
    <w:rsid w:val="00B548A1"/>
    <w:rsid w:val="00B549F3"/>
    <w:rsid w:val="00B54D0E"/>
    <w:rsid w:val="00B54DEE"/>
    <w:rsid w:val="00B54FCD"/>
    <w:rsid w:val="00B551C1"/>
    <w:rsid w:val="00B557AC"/>
    <w:rsid w:val="00B55A2A"/>
    <w:rsid w:val="00B55BB0"/>
    <w:rsid w:val="00B55FC9"/>
    <w:rsid w:val="00B56476"/>
    <w:rsid w:val="00B564FC"/>
    <w:rsid w:val="00B56796"/>
    <w:rsid w:val="00B567AF"/>
    <w:rsid w:val="00B568D4"/>
    <w:rsid w:val="00B56CAF"/>
    <w:rsid w:val="00B5752C"/>
    <w:rsid w:val="00B57880"/>
    <w:rsid w:val="00B57B9D"/>
    <w:rsid w:val="00B57C14"/>
    <w:rsid w:val="00B57E50"/>
    <w:rsid w:val="00B6009E"/>
    <w:rsid w:val="00B60235"/>
    <w:rsid w:val="00B603C7"/>
    <w:rsid w:val="00B603F1"/>
    <w:rsid w:val="00B60534"/>
    <w:rsid w:val="00B60BD5"/>
    <w:rsid w:val="00B60C9E"/>
    <w:rsid w:val="00B612D2"/>
    <w:rsid w:val="00B61507"/>
    <w:rsid w:val="00B617FF"/>
    <w:rsid w:val="00B61EB3"/>
    <w:rsid w:val="00B620F0"/>
    <w:rsid w:val="00B62287"/>
    <w:rsid w:val="00B6247E"/>
    <w:rsid w:val="00B62A99"/>
    <w:rsid w:val="00B62C78"/>
    <w:rsid w:val="00B62D51"/>
    <w:rsid w:val="00B62F6F"/>
    <w:rsid w:val="00B63065"/>
    <w:rsid w:val="00B63295"/>
    <w:rsid w:val="00B633EF"/>
    <w:rsid w:val="00B6379A"/>
    <w:rsid w:val="00B63806"/>
    <w:rsid w:val="00B63B9B"/>
    <w:rsid w:val="00B63EF2"/>
    <w:rsid w:val="00B64019"/>
    <w:rsid w:val="00B649CC"/>
    <w:rsid w:val="00B64AC2"/>
    <w:rsid w:val="00B64F42"/>
    <w:rsid w:val="00B65144"/>
    <w:rsid w:val="00B653C6"/>
    <w:rsid w:val="00B65AAD"/>
    <w:rsid w:val="00B65B86"/>
    <w:rsid w:val="00B660A1"/>
    <w:rsid w:val="00B66B79"/>
    <w:rsid w:val="00B66D5C"/>
    <w:rsid w:val="00B67276"/>
    <w:rsid w:val="00B6732D"/>
    <w:rsid w:val="00B673B3"/>
    <w:rsid w:val="00B67462"/>
    <w:rsid w:val="00B67544"/>
    <w:rsid w:val="00B6778A"/>
    <w:rsid w:val="00B6795F"/>
    <w:rsid w:val="00B67D0E"/>
    <w:rsid w:val="00B67D70"/>
    <w:rsid w:val="00B703AC"/>
    <w:rsid w:val="00B7095F"/>
    <w:rsid w:val="00B70B15"/>
    <w:rsid w:val="00B70CF9"/>
    <w:rsid w:val="00B71257"/>
    <w:rsid w:val="00B71268"/>
    <w:rsid w:val="00B713CB"/>
    <w:rsid w:val="00B717F1"/>
    <w:rsid w:val="00B71976"/>
    <w:rsid w:val="00B71D0B"/>
    <w:rsid w:val="00B71DF9"/>
    <w:rsid w:val="00B71E13"/>
    <w:rsid w:val="00B71E54"/>
    <w:rsid w:val="00B71EC7"/>
    <w:rsid w:val="00B72063"/>
    <w:rsid w:val="00B7215D"/>
    <w:rsid w:val="00B72294"/>
    <w:rsid w:val="00B725E2"/>
    <w:rsid w:val="00B726A9"/>
    <w:rsid w:val="00B72773"/>
    <w:rsid w:val="00B728B1"/>
    <w:rsid w:val="00B7309F"/>
    <w:rsid w:val="00B73903"/>
    <w:rsid w:val="00B73927"/>
    <w:rsid w:val="00B73AE1"/>
    <w:rsid w:val="00B73C73"/>
    <w:rsid w:val="00B73D36"/>
    <w:rsid w:val="00B7464C"/>
    <w:rsid w:val="00B747CF"/>
    <w:rsid w:val="00B74808"/>
    <w:rsid w:val="00B7483B"/>
    <w:rsid w:val="00B74958"/>
    <w:rsid w:val="00B74C31"/>
    <w:rsid w:val="00B74C7D"/>
    <w:rsid w:val="00B74D16"/>
    <w:rsid w:val="00B7519F"/>
    <w:rsid w:val="00B75205"/>
    <w:rsid w:val="00B753AB"/>
    <w:rsid w:val="00B753DE"/>
    <w:rsid w:val="00B75970"/>
    <w:rsid w:val="00B75A21"/>
    <w:rsid w:val="00B75B62"/>
    <w:rsid w:val="00B762E5"/>
    <w:rsid w:val="00B76566"/>
    <w:rsid w:val="00B7693C"/>
    <w:rsid w:val="00B76AB8"/>
    <w:rsid w:val="00B77292"/>
    <w:rsid w:val="00B778A6"/>
    <w:rsid w:val="00B77A73"/>
    <w:rsid w:val="00B8019A"/>
    <w:rsid w:val="00B803CA"/>
    <w:rsid w:val="00B80833"/>
    <w:rsid w:val="00B80A33"/>
    <w:rsid w:val="00B80DBC"/>
    <w:rsid w:val="00B81280"/>
    <w:rsid w:val="00B81329"/>
    <w:rsid w:val="00B81A75"/>
    <w:rsid w:val="00B82331"/>
    <w:rsid w:val="00B825EA"/>
    <w:rsid w:val="00B82EE8"/>
    <w:rsid w:val="00B82FB7"/>
    <w:rsid w:val="00B8373D"/>
    <w:rsid w:val="00B83830"/>
    <w:rsid w:val="00B839BC"/>
    <w:rsid w:val="00B83FDD"/>
    <w:rsid w:val="00B84506"/>
    <w:rsid w:val="00B84950"/>
    <w:rsid w:val="00B84C25"/>
    <w:rsid w:val="00B84D6E"/>
    <w:rsid w:val="00B84FDB"/>
    <w:rsid w:val="00B8535C"/>
    <w:rsid w:val="00B8541F"/>
    <w:rsid w:val="00B8564B"/>
    <w:rsid w:val="00B85CCA"/>
    <w:rsid w:val="00B85D6C"/>
    <w:rsid w:val="00B85E1F"/>
    <w:rsid w:val="00B8643B"/>
    <w:rsid w:val="00B86812"/>
    <w:rsid w:val="00B868FE"/>
    <w:rsid w:val="00B86E5D"/>
    <w:rsid w:val="00B8735D"/>
    <w:rsid w:val="00B87385"/>
    <w:rsid w:val="00B876E2"/>
    <w:rsid w:val="00B87951"/>
    <w:rsid w:val="00B9005B"/>
    <w:rsid w:val="00B9006D"/>
    <w:rsid w:val="00B90BCA"/>
    <w:rsid w:val="00B90BD0"/>
    <w:rsid w:val="00B90EFD"/>
    <w:rsid w:val="00B9114E"/>
    <w:rsid w:val="00B912FE"/>
    <w:rsid w:val="00B91320"/>
    <w:rsid w:val="00B91935"/>
    <w:rsid w:val="00B9201D"/>
    <w:rsid w:val="00B9230C"/>
    <w:rsid w:val="00B92352"/>
    <w:rsid w:val="00B928C1"/>
    <w:rsid w:val="00B92973"/>
    <w:rsid w:val="00B93639"/>
    <w:rsid w:val="00B93B66"/>
    <w:rsid w:val="00B93C72"/>
    <w:rsid w:val="00B93DAB"/>
    <w:rsid w:val="00B93EFE"/>
    <w:rsid w:val="00B9424E"/>
    <w:rsid w:val="00B9428F"/>
    <w:rsid w:val="00B943DC"/>
    <w:rsid w:val="00B943E8"/>
    <w:rsid w:val="00B945BC"/>
    <w:rsid w:val="00B94771"/>
    <w:rsid w:val="00B949C5"/>
    <w:rsid w:val="00B94B88"/>
    <w:rsid w:val="00B94E96"/>
    <w:rsid w:val="00B94F0F"/>
    <w:rsid w:val="00B95411"/>
    <w:rsid w:val="00B958EA"/>
    <w:rsid w:val="00B959CC"/>
    <w:rsid w:val="00B95B56"/>
    <w:rsid w:val="00B96141"/>
    <w:rsid w:val="00B962ED"/>
    <w:rsid w:val="00B96366"/>
    <w:rsid w:val="00B96594"/>
    <w:rsid w:val="00B96973"/>
    <w:rsid w:val="00B96B79"/>
    <w:rsid w:val="00B96D5E"/>
    <w:rsid w:val="00B96DBC"/>
    <w:rsid w:val="00B975AD"/>
    <w:rsid w:val="00B97757"/>
    <w:rsid w:val="00B977DF"/>
    <w:rsid w:val="00B97BBE"/>
    <w:rsid w:val="00BA0837"/>
    <w:rsid w:val="00BA090A"/>
    <w:rsid w:val="00BA0C78"/>
    <w:rsid w:val="00BA0D15"/>
    <w:rsid w:val="00BA0EDA"/>
    <w:rsid w:val="00BA104E"/>
    <w:rsid w:val="00BA1296"/>
    <w:rsid w:val="00BA1355"/>
    <w:rsid w:val="00BA1746"/>
    <w:rsid w:val="00BA1761"/>
    <w:rsid w:val="00BA179F"/>
    <w:rsid w:val="00BA17D0"/>
    <w:rsid w:val="00BA1C09"/>
    <w:rsid w:val="00BA1F90"/>
    <w:rsid w:val="00BA2006"/>
    <w:rsid w:val="00BA2314"/>
    <w:rsid w:val="00BA2466"/>
    <w:rsid w:val="00BA2645"/>
    <w:rsid w:val="00BA2708"/>
    <w:rsid w:val="00BA287F"/>
    <w:rsid w:val="00BA31CD"/>
    <w:rsid w:val="00BA3608"/>
    <w:rsid w:val="00BA395B"/>
    <w:rsid w:val="00BA468D"/>
    <w:rsid w:val="00BA4A48"/>
    <w:rsid w:val="00BA4CAC"/>
    <w:rsid w:val="00BA4ED5"/>
    <w:rsid w:val="00BA52B0"/>
    <w:rsid w:val="00BA5302"/>
    <w:rsid w:val="00BA53F4"/>
    <w:rsid w:val="00BA5B65"/>
    <w:rsid w:val="00BA5BB4"/>
    <w:rsid w:val="00BA64BE"/>
    <w:rsid w:val="00BA6E77"/>
    <w:rsid w:val="00BA7064"/>
    <w:rsid w:val="00BA77B4"/>
    <w:rsid w:val="00BA7B6A"/>
    <w:rsid w:val="00BB0099"/>
    <w:rsid w:val="00BB0571"/>
    <w:rsid w:val="00BB0903"/>
    <w:rsid w:val="00BB0DFC"/>
    <w:rsid w:val="00BB1B2F"/>
    <w:rsid w:val="00BB1F66"/>
    <w:rsid w:val="00BB1FAF"/>
    <w:rsid w:val="00BB213B"/>
    <w:rsid w:val="00BB21B7"/>
    <w:rsid w:val="00BB2631"/>
    <w:rsid w:val="00BB28CC"/>
    <w:rsid w:val="00BB2BE3"/>
    <w:rsid w:val="00BB30CA"/>
    <w:rsid w:val="00BB322B"/>
    <w:rsid w:val="00BB3520"/>
    <w:rsid w:val="00BB38BF"/>
    <w:rsid w:val="00BB3A2F"/>
    <w:rsid w:val="00BB3C0D"/>
    <w:rsid w:val="00BB4033"/>
    <w:rsid w:val="00BB4488"/>
    <w:rsid w:val="00BB4B33"/>
    <w:rsid w:val="00BB4C0A"/>
    <w:rsid w:val="00BB4DF6"/>
    <w:rsid w:val="00BB4FFE"/>
    <w:rsid w:val="00BB5079"/>
    <w:rsid w:val="00BB53FA"/>
    <w:rsid w:val="00BB54AB"/>
    <w:rsid w:val="00BB5A88"/>
    <w:rsid w:val="00BB6903"/>
    <w:rsid w:val="00BB6C59"/>
    <w:rsid w:val="00BB6F0D"/>
    <w:rsid w:val="00BB71B8"/>
    <w:rsid w:val="00BB7445"/>
    <w:rsid w:val="00BB75D1"/>
    <w:rsid w:val="00BB7724"/>
    <w:rsid w:val="00BB7839"/>
    <w:rsid w:val="00BB7854"/>
    <w:rsid w:val="00BB785E"/>
    <w:rsid w:val="00BB78B1"/>
    <w:rsid w:val="00BB7917"/>
    <w:rsid w:val="00BB7A79"/>
    <w:rsid w:val="00BB7BFD"/>
    <w:rsid w:val="00BB7D7E"/>
    <w:rsid w:val="00BB7E78"/>
    <w:rsid w:val="00BB7F44"/>
    <w:rsid w:val="00BC0065"/>
    <w:rsid w:val="00BC02FD"/>
    <w:rsid w:val="00BC0615"/>
    <w:rsid w:val="00BC0B1A"/>
    <w:rsid w:val="00BC0F21"/>
    <w:rsid w:val="00BC13EC"/>
    <w:rsid w:val="00BC15F1"/>
    <w:rsid w:val="00BC17CA"/>
    <w:rsid w:val="00BC1A81"/>
    <w:rsid w:val="00BC1B43"/>
    <w:rsid w:val="00BC1D92"/>
    <w:rsid w:val="00BC2069"/>
    <w:rsid w:val="00BC2269"/>
    <w:rsid w:val="00BC230C"/>
    <w:rsid w:val="00BC268A"/>
    <w:rsid w:val="00BC272D"/>
    <w:rsid w:val="00BC27AE"/>
    <w:rsid w:val="00BC29E9"/>
    <w:rsid w:val="00BC2CD3"/>
    <w:rsid w:val="00BC2CDB"/>
    <w:rsid w:val="00BC2EF7"/>
    <w:rsid w:val="00BC308E"/>
    <w:rsid w:val="00BC3096"/>
    <w:rsid w:val="00BC3123"/>
    <w:rsid w:val="00BC34BB"/>
    <w:rsid w:val="00BC3A68"/>
    <w:rsid w:val="00BC3BF0"/>
    <w:rsid w:val="00BC40B1"/>
    <w:rsid w:val="00BC42ED"/>
    <w:rsid w:val="00BC434C"/>
    <w:rsid w:val="00BC445F"/>
    <w:rsid w:val="00BC4845"/>
    <w:rsid w:val="00BC49BA"/>
    <w:rsid w:val="00BC4EED"/>
    <w:rsid w:val="00BC5196"/>
    <w:rsid w:val="00BC5397"/>
    <w:rsid w:val="00BC53DE"/>
    <w:rsid w:val="00BC552E"/>
    <w:rsid w:val="00BC5551"/>
    <w:rsid w:val="00BC592D"/>
    <w:rsid w:val="00BC5CA0"/>
    <w:rsid w:val="00BC5D41"/>
    <w:rsid w:val="00BC62FE"/>
    <w:rsid w:val="00BC6622"/>
    <w:rsid w:val="00BC674F"/>
    <w:rsid w:val="00BC69C4"/>
    <w:rsid w:val="00BC69FC"/>
    <w:rsid w:val="00BC6D91"/>
    <w:rsid w:val="00BC6F94"/>
    <w:rsid w:val="00BC6F9E"/>
    <w:rsid w:val="00BC721F"/>
    <w:rsid w:val="00BC737D"/>
    <w:rsid w:val="00BC73C5"/>
    <w:rsid w:val="00BC7614"/>
    <w:rsid w:val="00BC7924"/>
    <w:rsid w:val="00BC79F3"/>
    <w:rsid w:val="00BC7FB8"/>
    <w:rsid w:val="00BD0368"/>
    <w:rsid w:val="00BD054B"/>
    <w:rsid w:val="00BD0AA7"/>
    <w:rsid w:val="00BD159B"/>
    <w:rsid w:val="00BD165F"/>
    <w:rsid w:val="00BD17E8"/>
    <w:rsid w:val="00BD1E9F"/>
    <w:rsid w:val="00BD1F59"/>
    <w:rsid w:val="00BD22EA"/>
    <w:rsid w:val="00BD296B"/>
    <w:rsid w:val="00BD2AD1"/>
    <w:rsid w:val="00BD2D4E"/>
    <w:rsid w:val="00BD2DAF"/>
    <w:rsid w:val="00BD345F"/>
    <w:rsid w:val="00BD3600"/>
    <w:rsid w:val="00BD388F"/>
    <w:rsid w:val="00BD3EF9"/>
    <w:rsid w:val="00BD47A8"/>
    <w:rsid w:val="00BD48D3"/>
    <w:rsid w:val="00BD4AA6"/>
    <w:rsid w:val="00BD4C28"/>
    <w:rsid w:val="00BD4E31"/>
    <w:rsid w:val="00BD52A7"/>
    <w:rsid w:val="00BD54E9"/>
    <w:rsid w:val="00BD562B"/>
    <w:rsid w:val="00BD5CAD"/>
    <w:rsid w:val="00BD6155"/>
    <w:rsid w:val="00BD6202"/>
    <w:rsid w:val="00BD64F8"/>
    <w:rsid w:val="00BD6B2F"/>
    <w:rsid w:val="00BD76DA"/>
    <w:rsid w:val="00BD79BE"/>
    <w:rsid w:val="00BD7A8E"/>
    <w:rsid w:val="00BD7B60"/>
    <w:rsid w:val="00BD7BBD"/>
    <w:rsid w:val="00BD7D0F"/>
    <w:rsid w:val="00BE00B2"/>
    <w:rsid w:val="00BE0155"/>
    <w:rsid w:val="00BE03FB"/>
    <w:rsid w:val="00BE056B"/>
    <w:rsid w:val="00BE068A"/>
    <w:rsid w:val="00BE07FA"/>
    <w:rsid w:val="00BE0D93"/>
    <w:rsid w:val="00BE13F2"/>
    <w:rsid w:val="00BE14BD"/>
    <w:rsid w:val="00BE1715"/>
    <w:rsid w:val="00BE174A"/>
    <w:rsid w:val="00BE1A43"/>
    <w:rsid w:val="00BE1DDA"/>
    <w:rsid w:val="00BE1FD4"/>
    <w:rsid w:val="00BE2440"/>
    <w:rsid w:val="00BE253E"/>
    <w:rsid w:val="00BE2579"/>
    <w:rsid w:val="00BE268B"/>
    <w:rsid w:val="00BE26C4"/>
    <w:rsid w:val="00BE2975"/>
    <w:rsid w:val="00BE2AA9"/>
    <w:rsid w:val="00BE3035"/>
    <w:rsid w:val="00BE360A"/>
    <w:rsid w:val="00BE3E9B"/>
    <w:rsid w:val="00BE42BB"/>
    <w:rsid w:val="00BE460A"/>
    <w:rsid w:val="00BE4631"/>
    <w:rsid w:val="00BE46E9"/>
    <w:rsid w:val="00BE4799"/>
    <w:rsid w:val="00BE489A"/>
    <w:rsid w:val="00BE4C95"/>
    <w:rsid w:val="00BE4F60"/>
    <w:rsid w:val="00BE5277"/>
    <w:rsid w:val="00BE55DE"/>
    <w:rsid w:val="00BE5664"/>
    <w:rsid w:val="00BE584B"/>
    <w:rsid w:val="00BE5933"/>
    <w:rsid w:val="00BE5CCD"/>
    <w:rsid w:val="00BE5E33"/>
    <w:rsid w:val="00BE615C"/>
    <w:rsid w:val="00BE6176"/>
    <w:rsid w:val="00BE6627"/>
    <w:rsid w:val="00BE66CF"/>
    <w:rsid w:val="00BE68A7"/>
    <w:rsid w:val="00BE6C11"/>
    <w:rsid w:val="00BE70BB"/>
    <w:rsid w:val="00BE76BE"/>
    <w:rsid w:val="00BE77F4"/>
    <w:rsid w:val="00BE7D49"/>
    <w:rsid w:val="00BE7EF2"/>
    <w:rsid w:val="00BE7EFE"/>
    <w:rsid w:val="00BF04FE"/>
    <w:rsid w:val="00BF0652"/>
    <w:rsid w:val="00BF081E"/>
    <w:rsid w:val="00BF0B78"/>
    <w:rsid w:val="00BF0BFA"/>
    <w:rsid w:val="00BF0FE7"/>
    <w:rsid w:val="00BF1053"/>
    <w:rsid w:val="00BF125B"/>
    <w:rsid w:val="00BF1830"/>
    <w:rsid w:val="00BF1872"/>
    <w:rsid w:val="00BF1E2E"/>
    <w:rsid w:val="00BF1EBC"/>
    <w:rsid w:val="00BF2581"/>
    <w:rsid w:val="00BF327F"/>
    <w:rsid w:val="00BF32D4"/>
    <w:rsid w:val="00BF37D6"/>
    <w:rsid w:val="00BF3865"/>
    <w:rsid w:val="00BF3949"/>
    <w:rsid w:val="00BF39CD"/>
    <w:rsid w:val="00BF3C8D"/>
    <w:rsid w:val="00BF3F44"/>
    <w:rsid w:val="00BF4168"/>
    <w:rsid w:val="00BF424D"/>
    <w:rsid w:val="00BF511D"/>
    <w:rsid w:val="00BF5158"/>
    <w:rsid w:val="00BF52C5"/>
    <w:rsid w:val="00BF5416"/>
    <w:rsid w:val="00BF55FE"/>
    <w:rsid w:val="00BF56F0"/>
    <w:rsid w:val="00BF5A0E"/>
    <w:rsid w:val="00BF5E3B"/>
    <w:rsid w:val="00BF63B2"/>
    <w:rsid w:val="00BF643D"/>
    <w:rsid w:val="00BF663B"/>
    <w:rsid w:val="00BF6866"/>
    <w:rsid w:val="00BF6B3C"/>
    <w:rsid w:val="00BF6B7F"/>
    <w:rsid w:val="00BF6E61"/>
    <w:rsid w:val="00BF71F2"/>
    <w:rsid w:val="00BF7304"/>
    <w:rsid w:val="00BF758C"/>
    <w:rsid w:val="00BF7A72"/>
    <w:rsid w:val="00BF7E14"/>
    <w:rsid w:val="00C00776"/>
    <w:rsid w:val="00C00A84"/>
    <w:rsid w:val="00C00CE4"/>
    <w:rsid w:val="00C00F90"/>
    <w:rsid w:val="00C01598"/>
    <w:rsid w:val="00C01634"/>
    <w:rsid w:val="00C017CA"/>
    <w:rsid w:val="00C01BCA"/>
    <w:rsid w:val="00C02084"/>
    <w:rsid w:val="00C023EF"/>
    <w:rsid w:val="00C024C2"/>
    <w:rsid w:val="00C02941"/>
    <w:rsid w:val="00C02B19"/>
    <w:rsid w:val="00C02D42"/>
    <w:rsid w:val="00C02F28"/>
    <w:rsid w:val="00C02FE6"/>
    <w:rsid w:val="00C0338D"/>
    <w:rsid w:val="00C03B5B"/>
    <w:rsid w:val="00C03FB4"/>
    <w:rsid w:val="00C03FCA"/>
    <w:rsid w:val="00C049DB"/>
    <w:rsid w:val="00C053B8"/>
    <w:rsid w:val="00C05C9F"/>
    <w:rsid w:val="00C05FA2"/>
    <w:rsid w:val="00C0612E"/>
    <w:rsid w:val="00C06205"/>
    <w:rsid w:val="00C06397"/>
    <w:rsid w:val="00C06464"/>
    <w:rsid w:val="00C06659"/>
    <w:rsid w:val="00C066F8"/>
    <w:rsid w:val="00C067F3"/>
    <w:rsid w:val="00C06B22"/>
    <w:rsid w:val="00C06B3A"/>
    <w:rsid w:val="00C06BE8"/>
    <w:rsid w:val="00C06D90"/>
    <w:rsid w:val="00C07796"/>
    <w:rsid w:val="00C07C21"/>
    <w:rsid w:val="00C07DF4"/>
    <w:rsid w:val="00C1011C"/>
    <w:rsid w:val="00C1045D"/>
    <w:rsid w:val="00C10480"/>
    <w:rsid w:val="00C106D1"/>
    <w:rsid w:val="00C10903"/>
    <w:rsid w:val="00C10CC0"/>
    <w:rsid w:val="00C10E85"/>
    <w:rsid w:val="00C11040"/>
    <w:rsid w:val="00C114FB"/>
    <w:rsid w:val="00C11B58"/>
    <w:rsid w:val="00C11C3C"/>
    <w:rsid w:val="00C11D18"/>
    <w:rsid w:val="00C11D66"/>
    <w:rsid w:val="00C11E98"/>
    <w:rsid w:val="00C11F32"/>
    <w:rsid w:val="00C1276D"/>
    <w:rsid w:val="00C12DF5"/>
    <w:rsid w:val="00C1326F"/>
    <w:rsid w:val="00C134A4"/>
    <w:rsid w:val="00C13559"/>
    <w:rsid w:val="00C13912"/>
    <w:rsid w:val="00C14529"/>
    <w:rsid w:val="00C14711"/>
    <w:rsid w:val="00C147A5"/>
    <w:rsid w:val="00C14ABD"/>
    <w:rsid w:val="00C14C76"/>
    <w:rsid w:val="00C14CC8"/>
    <w:rsid w:val="00C15105"/>
    <w:rsid w:val="00C15406"/>
    <w:rsid w:val="00C15411"/>
    <w:rsid w:val="00C15C6A"/>
    <w:rsid w:val="00C15ECF"/>
    <w:rsid w:val="00C162DB"/>
    <w:rsid w:val="00C16487"/>
    <w:rsid w:val="00C168F0"/>
    <w:rsid w:val="00C16AAC"/>
    <w:rsid w:val="00C17013"/>
    <w:rsid w:val="00C170F5"/>
    <w:rsid w:val="00C171C7"/>
    <w:rsid w:val="00C17233"/>
    <w:rsid w:val="00C17321"/>
    <w:rsid w:val="00C17837"/>
    <w:rsid w:val="00C17E90"/>
    <w:rsid w:val="00C20014"/>
    <w:rsid w:val="00C2011F"/>
    <w:rsid w:val="00C20DFF"/>
    <w:rsid w:val="00C211A5"/>
    <w:rsid w:val="00C21383"/>
    <w:rsid w:val="00C2138A"/>
    <w:rsid w:val="00C213EE"/>
    <w:rsid w:val="00C214D8"/>
    <w:rsid w:val="00C21669"/>
    <w:rsid w:val="00C2174E"/>
    <w:rsid w:val="00C2275B"/>
    <w:rsid w:val="00C22A7C"/>
    <w:rsid w:val="00C22C3C"/>
    <w:rsid w:val="00C22EFA"/>
    <w:rsid w:val="00C2323D"/>
    <w:rsid w:val="00C2334F"/>
    <w:rsid w:val="00C23864"/>
    <w:rsid w:val="00C238E7"/>
    <w:rsid w:val="00C23914"/>
    <w:rsid w:val="00C2398B"/>
    <w:rsid w:val="00C239AC"/>
    <w:rsid w:val="00C239E1"/>
    <w:rsid w:val="00C23AB9"/>
    <w:rsid w:val="00C23B7C"/>
    <w:rsid w:val="00C23C00"/>
    <w:rsid w:val="00C23C64"/>
    <w:rsid w:val="00C23E3A"/>
    <w:rsid w:val="00C240E7"/>
    <w:rsid w:val="00C243A2"/>
    <w:rsid w:val="00C24A9B"/>
    <w:rsid w:val="00C24B0B"/>
    <w:rsid w:val="00C24B93"/>
    <w:rsid w:val="00C24F9C"/>
    <w:rsid w:val="00C25DC8"/>
    <w:rsid w:val="00C25EC4"/>
    <w:rsid w:val="00C25FA7"/>
    <w:rsid w:val="00C261D3"/>
    <w:rsid w:val="00C2623D"/>
    <w:rsid w:val="00C263F1"/>
    <w:rsid w:val="00C264E1"/>
    <w:rsid w:val="00C26661"/>
    <w:rsid w:val="00C268FA"/>
    <w:rsid w:val="00C26BEB"/>
    <w:rsid w:val="00C26F31"/>
    <w:rsid w:val="00C27679"/>
    <w:rsid w:val="00C27B27"/>
    <w:rsid w:val="00C27BE7"/>
    <w:rsid w:val="00C27CE7"/>
    <w:rsid w:val="00C3034D"/>
    <w:rsid w:val="00C30407"/>
    <w:rsid w:val="00C31760"/>
    <w:rsid w:val="00C318B4"/>
    <w:rsid w:val="00C31923"/>
    <w:rsid w:val="00C31BCF"/>
    <w:rsid w:val="00C322C5"/>
    <w:rsid w:val="00C3269A"/>
    <w:rsid w:val="00C328EE"/>
    <w:rsid w:val="00C32994"/>
    <w:rsid w:val="00C329A2"/>
    <w:rsid w:val="00C32D32"/>
    <w:rsid w:val="00C331B6"/>
    <w:rsid w:val="00C33364"/>
    <w:rsid w:val="00C33500"/>
    <w:rsid w:val="00C339C7"/>
    <w:rsid w:val="00C33BEC"/>
    <w:rsid w:val="00C33F19"/>
    <w:rsid w:val="00C346DB"/>
    <w:rsid w:val="00C34819"/>
    <w:rsid w:val="00C34BCD"/>
    <w:rsid w:val="00C353D3"/>
    <w:rsid w:val="00C353F4"/>
    <w:rsid w:val="00C3580C"/>
    <w:rsid w:val="00C35AB3"/>
    <w:rsid w:val="00C35BA8"/>
    <w:rsid w:val="00C35FEC"/>
    <w:rsid w:val="00C3647A"/>
    <w:rsid w:val="00C36643"/>
    <w:rsid w:val="00C3694C"/>
    <w:rsid w:val="00C36AD5"/>
    <w:rsid w:val="00C36B34"/>
    <w:rsid w:val="00C36D3B"/>
    <w:rsid w:val="00C36FC0"/>
    <w:rsid w:val="00C37D20"/>
    <w:rsid w:val="00C37DCF"/>
    <w:rsid w:val="00C400FE"/>
    <w:rsid w:val="00C40500"/>
    <w:rsid w:val="00C40B97"/>
    <w:rsid w:val="00C40F43"/>
    <w:rsid w:val="00C41142"/>
    <w:rsid w:val="00C41448"/>
    <w:rsid w:val="00C41A5F"/>
    <w:rsid w:val="00C41A61"/>
    <w:rsid w:val="00C41C2E"/>
    <w:rsid w:val="00C41C5D"/>
    <w:rsid w:val="00C41E93"/>
    <w:rsid w:val="00C421EB"/>
    <w:rsid w:val="00C423D9"/>
    <w:rsid w:val="00C4341C"/>
    <w:rsid w:val="00C437A2"/>
    <w:rsid w:val="00C438ED"/>
    <w:rsid w:val="00C44908"/>
    <w:rsid w:val="00C449B6"/>
    <w:rsid w:val="00C44DC2"/>
    <w:rsid w:val="00C450B6"/>
    <w:rsid w:val="00C45173"/>
    <w:rsid w:val="00C4541E"/>
    <w:rsid w:val="00C45696"/>
    <w:rsid w:val="00C456FE"/>
    <w:rsid w:val="00C45C7E"/>
    <w:rsid w:val="00C45D85"/>
    <w:rsid w:val="00C45E20"/>
    <w:rsid w:val="00C463A5"/>
    <w:rsid w:val="00C4695B"/>
    <w:rsid w:val="00C47212"/>
    <w:rsid w:val="00C47369"/>
    <w:rsid w:val="00C4752A"/>
    <w:rsid w:val="00C47711"/>
    <w:rsid w:val="00C4780E"/>
    <w:rsid w:val="00C47920"/>
    <w:rsid w:val="00C47E51"/>
    <w:rsid w:val="00C47FBD"/>
    <w:rsid w:val="00C503CB"/>
    <w:rsid w:val="00C506AA"/>
    <w:rsid w:val="00C50C02"/>
    <w:rsid w:val="00C51758"/>
    <w:rsid w:val="00C5185F"/>
    <w:rsid w:val="00C51BF8"/>
    <w:rsid w:val="00C51FF8"/>
    <w:rsid w:val="00C52191"/>
    <w:rsid w:val="00C52845"/>
    <w:rsid w:val="00C52EF1"/>
    <w:rsid w:val="00C53415"/>
    <w:rsid w:val="00C535D4"/>
    <w:rsid w:val="00C537B7"/>
    <w:rsid w:val="00C53E10"/>
    <w:rsid w:val="00C54753"/>
    <w:rsid w:val="00C54805"/>
    <w:rsid w:val="00C5482D"/>
    <w:rsid w:val="00C54AF2"/>
    <w:rsid w:val="00C54D50"/>
    <w:rsid w:val="00C54E72"/>
    <w:rsid w:val="00C5505B"/>
    <w:rsid w:val="00C55189"/>
    <w:rsid w:val="00C55251"/>
    <w:rsid w:val="00C55389"/>
    <w:rsid w:val="00C553CB"/>
    <w:rsid w:val="00C55416"/>
    <w:rsid w:val="00C554B5"/>
    <w:rsid w:val="00C5552B"/>
    <w:rsid w:val="00C555C0"/>
    <w:rsid w:val="00C5572F"/>
    <w:rsid w:val="00C5579F"/>
    <w:rsid w:val="00C5582B"/>
    <w:rsid w:val="00C55C65"/>
    <w:rsid w:val="00C55E9B"/>
    <w:rsid w:val="00C55EE0"/>
    <w:rsid w:val="00C56143"/>
    <w:rsid w:val="00C56377"/>
    <w:rsid w:val="00C56391"/>
    <w:rsid w:val="00C56459"/>
    <w:rsid w:val="00C566AF"/>
    <w:rsid w:val="00C56A00"/>
    <w:rsid w:val="00C56B8D"/>
    <w:rsid w:val="00C56C4F"/>
    <w:rsid w:val="00C5755E"/>
    <w:rsid w:val="00C57817"/>
    <w:rsid w:val="00C57A78"/>
    <w:rsid w:val="00C57B07"/>
    <w:rsid w:val="00C6027A"/>
    <w:rsid w:val="00C602EA"/>
    <w:rsid w:val="00C607A0"/>
    <w:rsid w:val="00C6084A"/>
    <w:rsid w:val="00C608AB"/>
    <w:rsid w:val="00C60970"/>
    <w:rsid w:val="00C60C7E"/>
    <w:rsid w:val="00C60ED3"/>
    <w:rsid w:val="00C612BA"/>
    <w:rsid w:val="00C61945"/>
    <w:rsid w:val="00C61F4C"/>
    <w:rsid w:val="00C6207A"/>
    <w:rsid w:val="00C62103"/>
    <w:rsid w:val="00C624EE"/>
    <w:rsid w:val="00C626CA"/>
    <w:rsid w:val="00C62714"/>
    <w:rsid w:val="00C62C3A"/>
    <w:rsid w:val="00C62DD3"/>
    <w:rsid w:val="00C63016"/>
    <w:rsid w:val="00C631B2"/>
    <w:rsid w:val="00C632AB"/>
    <w:rsid w:val="00C634BA"/>
    <w:rsid w:val="00C634FD"/>
    <w:rsid w:val="00C636B4"/>
    <w:rsid w:val="00C63AFE"/>
    <w:rsid w:val="00C63CA0"/>
    <w:rsid w:val="00C63F21"/>
    <w:rsid w:val="00C6412F"/>
    <w:rsid w:val="00C64670"/>
    <w:rsid w:val="00C648F9"/>
    <w:rsid w:val="00C64A4E"/>
    <w:rsid w:val="00C64B12"/>
    <w:rsid w:val="00C64D3F"/>
    <w:rsid w:val="00C64DF6"/>
    <w:rsid w:val="00C64E54"/>
    <w:rsid w:val="00C65197"/>
    <w:rsid w:val="00C651EA"/>
    <w:rsid w:val="00C655A0"/>
    <w:rsid w:val="00C659B5"/>
    <w:rsid w:val="00C65EF5"/>
    <w:rsid w:val="00C65F8D"/>
    <w:rsid w:val="00C65FCD"/>
    <w:rsid w:val="00C66483"/>
    <w:rsid w:val="00C664AD"/>
    <w:rsid w:val="00C66842"/>
    <w:rsid w:val="00C66E8C"/>
    <w:rsid w:val="00C67105"/>
    <w:rsid w:val="00C674F6"/>
    <w:rsid w:val="00C6758E"/>
    <w:rsid w:val="00C67B2C"/>
    <w:rsid w:val="00C67B88"/>
    <w:rsid w:val="00C67C64"/>
    <w:rsid w:val="00C70034"/>
    <w:rsid w:val="00C70191"/>
    <w:rsid w:val="00C70AAF"/>
    <w:rsid w:val="00C70AD3"/>
    <w:rsid w:val="00C70E56"/>
    <w:rsid w:val="00C70F76"/>
    <w:rsid w:val="00C71541"/>
    <w:rsid w:val="00C71DE9"/>
    <w:rsid w:val="00C725CF"/>
    <w:rsid w:val="00C72ABC"/>
    <w:rsid w:val="00C72CDA"/>
    <w:rsid w:val="00C72E47"/>
    <w:rsid w:val="00C72E9D"/>
    <w:rsid w:val="00C73096"/>
    <w:rsid w:val="00C7310B"/>
    <w:rsid w:val="00C73160"/>
    <w:rsid w:val="00C73187"/>
    <w:rsid w:val="00C733B6"/>
    <w:rsid w:val="00C73504"/>
    <w:rsid w:val="00C73770"/>
    <w:rsid w:val="00C737B8"/>
    <w:rsid w:val="00C738A8"/>
    <w:rsid w:val="00C73CF1"/>
    <w:rsid w:val="00C74005"/>
    <w:rsid w:val="00C74225"/>
    <w:rsid w:val="00C74375"/>
    <w:rsid w:val="00C7437E"/>
    <w:rsid w:val="00C743EE"/>
    <w:rsid w:val="00C745D1"/>
    <w:rsid w:val="00C74926"/>
    <w:rsid w:val="00C7496D"/>
    <w:rsid w:val="00C749BF"/>
    <w:rsid w:val="00C74A02"/>
    <w:rsid w:val="00C74A83"/>
    <w:rsid w:val="00C74C98"/>
    <w:rsid w:val="00C74D46"/>
    <w:rsid w:val="00C75926"/>
    <w:rsid w:val="00C7599E"/>
    <w:rsid w:val="00C75BB0"/>
    <w:rsid w:val="00C75E3F"/>
    <w:rsid w:val="00C76505"/>
    <w:rsid w:val="00C76D69"/>
    <w:rsid w:val="00C77360"/>
    <w:rsid w:val="00C77679"/>
    <w:rsid w:val="00C776FD"/>
    <w:rsid w:val="00C77FEC"/>
    <w:rsid w:val="00C80282"/>
    <w:rsid w:val="00C80318"/>
    <w:rsid w:val="00C8043D"/>
    <w:rsid w:val="00C806CD"/>
    <w:rsid w:val="00C80953"/>
    <w:rsid w:val="00C810B4"/>
    <w:rsid w:val="00C81201"/>
    <w:rsid w:val="00C81261"/>
    <w:rsid w:val="00C8159E"/>
    <w:rsid w:val="00C817AF"/>
    <w:rsid w:val="00C81D2B"/>
    <w:rsid w:val="00C8228C"/>
    <w:rsid w:val="00C82535"/>
    <w:rsid w:val="00C828AF"/>
    <w:rsid w:val="00C829D9"/>
    <w:rsid w:val="00C82BE1"/>
    <w:rsid w:val="00C82D8C"/>
    <w:rsid w:val="00C82D8F"/>
    <w:rsid w:val="00C82EEB"/>
    <w:rsid w:val="00C82FED"/>
    <w:rsid w:val="00C83277"/>
    <w:rsid w:val="00C833AA"/>
    <w:rsid w:val="00C836BA"/>
    <w:rsid w:val="00C8397E"/>
    <w:rsid w:val="00C83BCA"/>
    <w:rsid w:val="00C83D83"/>
    <w:rsid w:val="00C83FD2"/>
    <w:rsid w:val="00C84259"/>
    <w:rsid w:val="00C84519"/>
    <w:rsid w:val="00C847FA"/>
    <w:rsid w:val="00C849C2"/>
    <w:rsid w:val="00C84E55"/>
    <w:rsid w:val="00C84FED"/>
    <w:rsid w:val="00C850E0"/>
    <w:rsid w:val="00C86015"/>
    <w:rsid w:val="00C86184"/>
    <w:rsid w:val="00C8647A"/>
    <w:rsid w:val="00C86516"/>
    <w:rsid w:val="00C869FD"/>
    <w:rsid w:val="00C86B61"/>
    <w:rsid w:val="00C86D7E"/>
    <w:rsid w:val="00C87581"/>
    <w:rsid w:val="00C8777C"/>
    <w:rsid w:val="00C87D66"/>
    <w:rsid w:val="00C87E17"/>
    <w:rsid w:val="00C87F39"/>
    <w:rsid w:val="00C900A1"/>
    <w:rsid w:val="00C90167"/>
    <w:rsid w:val="00C904AA"/>
    <w:rsid w:val="00C9067B"/>
    <w:rsid w:val="00C908A3"/>
    <w:rsid w:val="00C90987"/>
    <w:rsid w:val="00C90B94"/>
    <w:rsid w:val="00C90BF0"/>
    <w:rsid w:val="00C910BF"/>
    <w:rsid w:val="00C91232"/>
    <w:rsid w:val="00C913F9"/>
    <w:rsid w:val="00C91456"/>
    <w:rsid w:val="00C916E2"/>
    <w:rsid w:val="00C919F6"/>
    <w:rsid w:val="00C91A2C"/>
    <w:rsid w:val="00C91A42"/>
    <w:rsid w:val="00C91B5A"/>
    <w:rsid w:val="00C91C20"/>
    <w:rsid w:val="00C92275"/>
    <w:rsid w:val="00C924BB"/>
    <w:rsid w:val="00C926CD"/>
    <w:rsid w:val="00C92DA5"/>
    <w:rsid w:val="00C92E17"/>
    <w:rsid w:val="00C931C0"/>
    <w:rsid w:val="00C93D52"/>
    <w:rsid w:val="00C93F94"/>
    <w:rsid w:val="00C9400E"/>
    <w:rsid w:val="00C945E5"/>
    <w:rsid w:val="00C945F4"/>
    <w:rsid w:val="00C94844"/>
    <w:rsid w:val="00C94AC8"/>
    <w:rsid w:val="00C94C20"/>
    <w:rsid w:val="00C94E37"/>
    <w:rsid w:val="00C94E85"/>
    <w:rsid w:val="00C95579"/>
    <w:rsid w:val="00C959FD"/>
    <w:rsid w:val="00C95C35"/>
    <w:rsid w:val="00C95ED3"/>
    <w:rsid w:val="00C961FA"/>
    <w:rsid w:val="00C962A8"/>
    <w:rsid w:val="00C962B4"/>
    <w:rsid w:val="00C963B6"/>
    <w:rsid w:val="00C964AA"/>
    <w:rsid w:val="00C964C0"/>
    <w:rsid w:val="00C9676E"/>
    <w:rsid w:val="00C9697B"/>
    <w:rsid w:val="00C96C0F"/>
    <w:rsid w:val="00C96FF1"/>
    <w:rsid w:val="00C971EA"/>
    <w:rsid w:val="00C97437"/>
    <w:rsid w:val="00C977E8"/>
    <w:rsid w:val="00C97831"/>
    <w:rsid w:val="00C979EE"/>
    <w:rsid w:val="00C97A0F"/>
    <w:rsid w:val="00CA005C"/>
    <w:rsid w:val="00CA011E"/>
    <w:rsid w:val="00CA065F"/>
    <w:rsid w:val="00CA0F03"/>
    <w:rsid w:val="00CA0FD6"/>
    <w:rsid w:val="00CA1656"/>
    <w:rsid w:val="00CA17B9"/>
    <w:rsid w:val="00CA1BF5"/>
    <w:rsid w:val="00CA1DF5"/>
    <w:rsid w:val="00CA1FAB"/>
    <w:rsid w:val="00CA2479"/>
    <w:rsid w:val="00CA2BA0"/>
    <w:rsid w:val="00CA2C61"/>
    <w:rsid w:val="00CA2C89"/>
    <w:rsid w:val="00CA2E68"/>
    <w:rsid w:val="00CA30AC"/>
    <w:rsid w:val="00CA30B7"/>
    <w:rsid w:val="00CA32FD"/>
    <w:rsid w:val="00CA3386"/>
    <w:rsid w:val="00CA35A5"/>
    <w:rsid w:val="00CA365D"/>
    <w:rsid w:val="00CA3BBB"/>
    <w:rsid w:val="00CA45E2"/>
    <w:rsid w:val="00CA46E7"/>
    <w:rsid w:val="00CA4B34"/>
    <w:rsid w:val="00CA4F0A"/>
    <w:rsid w:val="00CA50DF"/>
    <w:rsid w:val="00CA5323"/>
    <w:rsid w:val="00CA558D"/>
    <w:rsid w:val="00CA59BD"/>
    <w:rsid w:val="00CA5CDA"/>
    <w:rsid w:val="00CA5F9D"/>
    <w:rsid w:val="00CA62B3"/>
    <w:rsid w:val="00CA62B6"/>
    <w:rsid w:val="00CA6456"/>
    <w:rsid w:val="00CA6664"/>
    <w:rsid w:val="00CA6782"/>
    <w:rsid w:val="00CA702E"/>
    <w:rsid w:val="00CA721B"/>
    <w:rsid w:val="00CA735B"/>
    <w:rsid w:val="00CA7431"/>
    <w:rsid w:val="00CA7465"/>
    <w:rsid w:val="00CA74E0"/>
    <w:rsid w:val="00CA79DC"/>
    <w:rsid w:val="00CA7B39"/>
    <w:rsid w:val="00CA7BEB"/>
    <w:rsid w:val="00CA7F18"/>
    <w:rsid w:val="00CB032C"/>
    <w:rsid w:val="00CB0362"/>
    <w:rsid w:val="00CB0743"/>
    <w:rsid w:val="00CB08BB"/>
    <w:rsid w:val="00CB0957"/>
    <w:rsid w:val="00CB09A4"/>
    <w:rsid w:val="00CB0A52"/>
    <w:rsid w:val="00CB0DE0"/>
    <w:rsid w:val="00CB108F"/>
    <w:rsid w:val="00CB12A3"/>
    <w:rsid w:val="00CB12E7"/>
    <w:rsid w:val="00CB1300"/>
    <w:rsid w:val="00CB1493"/>
    <w:rsid w:val="00CB163A"/>
    <w:rsid w:val="00CB1761"/>
    <w:rsid w:val="00CB1891"/>
    <w:rsid w:val="00CB1B46"/>
    <w:rsid w:val="00CB1CE5"/>
    <w:rsid w:val="00CB2BFB"/>
    <w:rsid w:val="00CB2F0A"/>
    <w:rsid w:val="00CB3077"/>
    <w:rsid w:val="00CB3CB4"/>
    <w:rsid w:val="00CB3F22"/>
    <w:rsid w:val="00CB4236"/>
    <w:rsid w:val="00CB474D"/>
    <w:rsid w:val="00CB4ABF"/>
    <w:rsid w:val="00CB4B8D"/>
    <w:rsid w:val="00CB4BDD"/>
    <w:rsid w:val="00CB4DF6"/>
    <w:rsid w:val="00CB4FC6"/>
    <w:rsid w:val="00CB55FF"/>
    <w:rsid w:val="00CB56FF"/>
    <w:rsid w:val="00CB5926"/>
    <w:rsid w:val="00CB5CAA"/>
    <w:rsid w:val="00CB5D9F"/>
    <w:rsid w:val="00CB60A5"/>
    <w:rsid w:val="00CB6C5A"/>
    <w:rsid w:val="00CB6E35"/>
    <w:rsid w:val="00CB6E44"/>
    <w:rsid w:val="00CB6EA4"/>
    <w:rsid w:val="00CB73C4"/>
    <w:rsid w:val="00CB7784"/>
    <w:rsid w:val="00CB77AE"/>
    <w:rsid w:val="00CC002A"/>
    <w:rsid w:val="00CC0170"/>
    <w:rsid w:val="00CC01FE"/>
    <w:rsid w:val="00CC027D"/>
    <w:rsid w:val="00CC0280"/>
    <w:rsid w:val="00CC02F2"/>
    <w:rsid w:val="00CC0376"/>
    <w:rsid w:val="00CC065F"/>
    <w:rsid w:val="00CC0998"/>
    <w:rsid w:val="00CC1413"/>
    <w:rsid w:val="00CC1573"/>
    <w:rsid w:val="00CC1B2D"/>
    <w:rsid w:val="00CC1B94"/>
    <w:rsid w:val="00CC1DBF"/>
    <w:rsid w:val="00CC2156"/>
    <w:rsid w:val="00CC2333"/>
    <w:rsid w:val="00CC2903"/>
    <w:rsid w:val="00CC2DB1"/>
    <w:rsid w:val="00CC31DE"/>
    <w:rsid w:val="00CC37C1"/>
    <w:rsid w:val="00CC3DCC"/>
    <w:rsid w:val="00CC40E5"/>
    <w:rsid w:val="00CC41A2"/>
    <w:rsid w:val="00CC426F"/>
    <w:rsid w:val="00CC4726"/>
    <w:rsid w:val="00CC49D5"/>
    <w:rsid w:val="00CC4B9E"/>
    <w:rsid w:val="00CC4FAB"/>
    <w:rsid w:val="00CC533D"/>
    <w:rsid w:val="00CC545D"/>
    <w:rsid w:val="00CC552F"/>
    <w:rsid w:val="00CC5633"/>
    <w:rsid w:val="00CC5688"/>
    <w:rsid w:val="00CC57C6"/>
    <w:rsid w:val="00CC5FA4"/>
    <w:rsid w:val="00CC6236"/>
    <w:rsid w:val="00CC6734"/>
    <w:rsid w:val="00CC68EE"/>
    <w:rsid w:val="00CC6A6C"/>
    <w:rsid w:val="00CC70A2"/>
    <w:rsid w:val="00CC75B9"/>
    <w:rsid w:val="00CC7B51"/>
    <w:rsid w:val="00CC7CC6"/>
    <w:rsid w:val="00CC7D01"/>
    <w:rsid w:val="00CC7D2E"/>
    <w:rsid w:val="00CD022B"/>
    <w:rsid w:val="00CD033D"/>
    <w:rsid w:val="00CD03F0"/>
    <w:rsid w:val="00CD0510"/>
    <w:rsid w:val="00CD0693"/>
    <w:rsid w:val="00CD0784"/>
    <w:rsid w:val="00CD083E"/>
    <w:rsid w:val="00CD0B1A"/>
    <w:rsid w:val="00CD0C5B"/>
    <w:rsid w:val="00CD1260"/>
    <w:rsid w:val="00CD157B"/>
    <w:rsid w:val="00CD186C"/>
    <w:rsid w:val="00CD1992"/>
    <w:rsid w:val="00CD1A2F"/>
    <w:rsid w:val="00CD1BB6"/>
    <w:rsid w:val="00CD2834"/>
    <w:rsid w:val="00CD2BB2"/>
    <w:rsid w:val="00CD2BF8"/>
    <w:rsid w:val="00CD3149"/>
    <w:rsid w:val="00CD368B"/>
    <w:rsid w:val="00CD3943"/>
    <w:rsid w:val="00CD3D7E"/>
    <w:rsid w:val="00CD436A"/>
    <w:rsid w:val="00CD4A96"/>
    <w:rsid w:val="00CD4EE0"/>
    <w:rsid w:val="00CD511E"/>
    <w:rsid w:val="00CD51BB"/>
    <w:rsid w:val="00CD5298"/>
    <w:rsid w:val="00CD5F11"/>
    <w:rsid w:val="00CD6538"/>
    <w:rsid w:val="00CD7008"/>
    <w:rsid w:val="00CD73C1"/>
    <w:rsid w:val="00CD7965"/>
    <w:rsid w:val="00CD7CF1"/>
    <w:rsid w:val="00CD7E51"/>
    <w:rsid w:val="00CD7E93"/>
    <w:rsid w:val="00CD7ED1"/>
    <w:rsid w:val="00CE0127"/>
    <w:rsid w:val="00CE0671"/>
    <w:rsid w:val="00CE068A"/>
    <w:rsid w:val="00CE0AEB"/>
    <w:rsid w:val="00CE0BB6"/>
    <w:rsid w:val="00CE0C94"/>
    <w:rsid w:val="00CE0D01"/>
    <w:rsid w:val="00CE12B8"/>
    <w:rsid w:val="00CE12EE"/>
    <w:rsid w:val="00CE156E"/>
    <w:rsid w:val="00CE1A70"/>
    <w:rsid w:val="00CE1C1E"/>
    <w:rsid w:val="00CE1ED6"/>
    <w:rsid w:val="00CE1EEA"/>
    <w:rsid w:val="00CE2BB8"/>
    <w:rsid w:val="00CE2DC5"/>
    <w:rsid w:val="00CE2F89"/>
    <w:rsid w:val="00CE33DF"/>
    <w:rsid w:val="00CE36C1"/>
    <w:rsid w:val="00CE37D7"/>
    <w:rsid w:val="00CE3861"/>
    <w:rsid w:val="00CE3DFD"/>
    <w:rsid w:val="00CE3EFE"/>
    <w:rsid w:val="00CE40E2"/>
    <w:rsid w:val="00CE4474"/>
    <w:rsid w:val="00CE495F"/>
    <w:rsid w:val="00CE4A19"/>
    <w:rsid w:val="00CE4C6C"/>
    <w:rsid w:val="00CE4CE1"/>
    <w:rsid w:val="00CE4DC6"/>
    <w:rsid w:val="00CE4EFD"/>
    <w:rsid w:val="00CE5028"/>
    <w:rsid w:val="00CE5644"/>
    <w:rsid w:val="00CE5820"/>
    <w:rsid w:val="00CE58A7"/>
    <w:rsid w:val="00CE5B07"/>
    <w:rsid w:val="00CE5D74"/>
    <w:rsid w:val="00CE5ECF"/>
    <w:rsid w:val="00CE64F6"/>
    <w:rsid w:val="00CE6658"/>
    <w:rsid w:val="00CE6C1D"/>
    <w:rsid w:val="00CE6DFB"/>
    <w:rsid w:val="00CE700D"/>
    <w:rsid w:val="00CE73D9"/>
    <w:rsid w:val="00CE74B2"/>
    <w:rsid w:val="00CE7CF8"/>
    <w:rsid w:val="00CF06CA"/>
    <w:rsid w:val="00CF0706"/>
    <w:rsid w:val="00CF0A99"/>
    <w:rsid w:val="00CF0BD9"/>
    <w:rsid w:val="00CF1778"/>
    <w:rsid w:val="00CF186E"/>
    <w:rsid w:val="00CF1E9E"/>
    <w:rsid w:val="00CF22B4"/>
    <w:rsid w:val="00CF2DF6"/>
    <w:rsid w:val="00CF3020"/>
    <w:rsid w:val="00CF3141"/>
    <w:rsid w:val="00CF3278"/>
    <w:rsid w:val="00CF346F"/>
    <w:rsid w:val="00CF3774"/>
    <w:rsid w:val="00CF3A3C"/>
    <w:rsid w:val="00CF4175"/>
    <w:rsid w:val="00CF426D"/>
    <w:rsid w:val="00CF4B79"/>
    <w:rsid w:val="00CF4D45"/>
    <w:rsid w:val="00CF5345"/>
    <w:rsid w:val="00CF54B4"/>
    <w:rsid w:val="00CF572D"/>
    <w:rsid w:val="00CF584D"/>
    <w:rsid w:val="00CF58FE"/>
    <w:rsid w:val="00CF5D42"/>
    <w:rsid w:val="00CF5DCC"/>
    <w:rsid w:val="00CF5F17"/>
    <w:rsid w:val="00CF6286"/>
    <w:rsid w:val="00CF62B7"/>
    <w:rsid w:val="00CF656C"/>
    <w:rsid w:val="00CF6A35"/>
    <w:rsid w:val="00CF6A86"/>
    <w:rsid w:val="00CF6E76"/>
    <w:rsid w:val="00CF7156"/>
    <w:rsid w:val="00CF7BA1"/>
    <w:rsid w:val="00CF7BB2"/>
    <w:rsid w:val="00CF7BD2"/>
    <w:rsid w:val="00CF7DA3"/>
    <w:rsid w:val="00D00678"/>
    <w:rsid w:val="00D00758"/>
    <w:rsid w:val="00D009C0"/>
    <w:rsid w:val="00D00B8B"/>
    <w:rsid w:val="00D00C0B"/>
    <w:rsid w:val="00D00FD6"/>
    <w:rsid w:val="00D01147"/>
    <w:rsid w:val="00D018D5"/>
    <w:rsid w:val="00D01B6F"/>
    <w:rsid w:val="00D01CA7"/>
    <w:rsid w:val="00D01FA6"/>
    <w:rsid w:val="00D01FF0"/>
    <w:rsid w:val="00D0206E"/>
    <w:rsid w:val="00D0210F"/>
    <w:rsid w:val="00D021FE"/>
    <w:rsid w:val="00D02493"/>
    <w:rsid w:val="00D0259A"/>
    <w:rsid w:val="00D02608"/>
    <w:rsid w:val="00D028EA"/>
    <w:rsid w:val="00D02C69"/>
    <w:rsid w:val="00D02D95"/>
    <w:rsid w:val="00D02F55"/>
    <w:rsid w:val="00D0304D"/>
    <w:rsid w:val="00D033A1"/>
    <w:rsid w:val="00D036B5"/>
    <w:rsid w:val="00D03994"/>
    <w:rsid w:val="00D03FC6"/>
    <w:rsid w:val="00D04112"/>
    <w:rsid w:val="00D049BD"/>
    <w:rsid w:val="00D04F74"/>
    <w:rsid w:val="00D05169"/>
    <w:rsid w:val="00D055CC"/>
    <w:rsid w:val="00D05B8D"/>
    <w:rsid w:val="00D05BC2"/>
    <w:rsid w:val="00D05D0E"/>
    <w:rsid w:val="00D06434"/>
    <w:rsid w:val="00D06505"/>
    <w:rsid w:val="00D065B9"/>
    <w:rsid w:val="00D06726"/>
    <w:rsid w:val="00D06830"/>
    <w:rsid w:val="00D06CEF"/>
    <w:rsid w:val="00D07050"/>
    <w:rsid w:val="00D07203"/>
    <w:rsid w:val="00D07400"/>
    <w:rsid w:val="00D077A4"/>
    <w:rsid w:val="00D078F8"/>
    <w:rsid w:val="00D07B99"/>
    <w:rsid w:val="00D07EB7"/>
    <w:rsid w:val="00D07FC1"/>
    <w:rsid w:val="00D100EC"/>
    <w:rsid w:val="00D10361"/>
    <w:rsid w:val="00D10805"/>
    <w:rsid w:val="00D10C0D"/>
    <w:rsid w:val="00D10CCF"/>
    <w:rsid w:val="00D10F54"/>
    <w:rsid w:val="00D10FB9"/>
    <w:rsid w:val="00D11532"/>
    <w:rsid w:val="00D11A9C"/>
    <w:rsid w:val="00D11AC3"/>
    <w:rsid w:val="00D11EB6"/>
    <w:rsid w:val="00D12095"/>
    <w:rsid w:val="00D12257"/>
    <w:rsid w:val="00D1232A"/>
    <w:rsid w:val="00D123C8"/>
    <w:rsid w:val="00D126C5"/>
    <w:rsid w:val="00D12AC5"/>
    <w:rsid w:val="00D12AF0"/>
    <w:rsid w:val="00D12B7A"/>
    <w:rsid w:val="00D12C1F"/>
    <w:rsid w:val="00D13137"/>
    <w:rsid w:val="00D13148"/>
    <w:rsid w:val="00D131EB"/>
    <w:rsid w:val="00D13553"/>
    <w:rsid w:val="00D135BE"/>
    <w:rsid w:val="00D13744"/>
    <w:rsid w:val="00D137CE"/>
    <w:rsid w:val="00D13804"/>
    <w:rsid w:val="00D13B54"/>
    <w:rsid w:val="00D13C48"/>
    <w:rsid w:val="00D141E2"/>
    <w:rsid w:val="00D146B4"/>
    <w:rsid w:val="00D14772"/>
    <w:rsid w:val="00D14BA9"/>
    <w:rsid w:val="00D14DC7"/>
    <w:rsid w:val="00D15025"/>
    <w:rsid w:val="00D1574C"/>
    <w:rsid w:val="00D15798"/>
    <w:rsid w:val="00D158CC"/>
    <w:rsid w:val="00D15A0F"/>
    <w:rsid w:val="00D15EA5"/>
    <w:rsid w:val="00D15EC1"/>
    <w:rsid w:val="00D15FD1"/>
    <w:rsid w:val="00D16244"/>
    <w:rsid w:val="00D162DF"/>
    <w:rsid w:val="00D1630C"/>
    <w:rsid w:val="00D16333"/>
    <w:rsid w:val="00D16347"/>
    <w:rsid w:val="00D16441"/>
    <w:rsid w:val="00D16A49"/>
    <w:rsid w:val="00D16BA9"/>
    <w:rsid w:val="00D16FA7"/>
    <w:rsid w:val="00D17349"/>
    <w:rsid w:val="00D17BB3"/>
    <w:rsid w:val="00D17F5F"/>
    <w:rsid w:val="00D2021E"/>
    <w:rsid w:val="00D20376"/>
    <w:rsid w:val="00D204FC"/>
    <w:rsid w:val="00D205DC"/>
    <w:rsid w:val="00D20600"/>
    <w:rsid w:val="00D20671"/>
    <w:rsid w:val="00D207AB"/>
    <w:rsid w:val="00D20D5D"/>
    <w:rsid w:val="00D215DE"/>
    <w:rsid w:val="00D21666"/>
    <w:rsid w:val="00D21812"/>
    <w:rsid w:val="00D21B6E"/>
    <w:rsid w:val="00D2215C"/>
    <w:rsid w:val="00D22981"/>
    <w:rsid w:val="00D22E4F"/>
    <w:rsid w:val="00D2321D"/>
    <w:rsid w:val="00D2329D"/>
    <w:rsid w:val="00D233F0"/>
    <w:rsid w:val="00D23787"/>
    <w:rsid w:val="00D2427A"/>
    <w:rsid w:val="00D248E8"/>
    <w:rsid w:val="00D24B78"/>
    <w:rsid w:val="00D24C41"/>
    <w:rsid w:val="00D250D3"/>
    <w:rsid w:val="00D251FD"/>
    <w:rsid w:val="00D25287"/>
    <w:rsid w:val="00D2540B"/>
    <w:rsid w:val="00D25AA0"/>
    <w:rsid w:val="00D2618B"/>
    <w:rsid w:val="00D261CA"/>
    <w:rsid w:val="00D2641C"/>
    <w:rsid w:val="00D26806"/>
    <w:rsid w:val="00D26947"/>
    <w:rsid w:val="00D26E53"/>
    <w:rsid w:val="00D26FF0"/>
    <w:rsid w:val="00D2717D"/>
    <w:rsid w:val="00D271E5"/>
    <w:rsid w:val="00D272B2"/>
    <w:rsid w:val="00D27319"/>
    <w:rsid w:val="00D27352"/>
    <w:rsid w:val="00D27A32"/>
    <w:rsid w:val="00D27BF3"/>
    <w:rsid w:val="00D27FEB"/>
    <w:rsid w:val="00D30018"/>
    <w:rsid w:val="00D30268"/>
    <w:rsid w:val="00D3041F"/>
    <w:rsid w:val="00D30B21"/>
    <w:rsid w:val="00D30D84"/>
    <w:rsid w:val="00D30F2D"/>
    <w:rsid w:val="00D31056"/>
    <w:rsid w:val="00D313C8"/>
    <w:rsid w:val="00D31A2A"/>
    <w:rsid w:val="00D31D26"/>
    <w:rsid w:val="00D31F22"/>
    <w:rsid w:val="00D32355"/>
    <w:rsid w:val="00D32450"/>
    <w:rsid w:val="00D32495"/>
    <w:rsid w:val="00D3295B"/>
    <w:rsid w:val="00D3329C"/>
    <w:rsid w:val="00D333B0"/>
    <w:rsid w:val="00D33449"/>
    <w:rsid w:val="00D343F1"/>
    <w:rsid w:val="00D3444C"/>
    <w:rsid w:val="00D3448D"/>
    <w:rsid w:val="00D3449D"/>
    <w:rsid w:val="00D345BA"/>
    <w:rsid w:val="00D345C3"/>
    <w:rsid w:val="00D3463A"/>
    <w:rsid w:val="00D346A4"/>
    <w:rsid w:val="00D346DB"/>
    <w:rsid w:val="00D347B7"/>
    <w:rsid w:val="00D34E55"/>
    <w:rsid w:val="00D34F94"/>
    <w:rsid w:val="00D35103"/>
    <w:rsid w:val="00D354DD"/>
    <w:rsid w:val="00D35985"/>
    <w:rsid w:val="00D35BC8"/>
    <w:rsid w:val="00D35E64"/>
    <w:rsid w:val="00D36581"/>
    <w:rsid w:val="00D3669C"/>
    <w:rsid w:val="00D3681A"/>
    <w:rsid w:val="00D36D16"/>
    <w:rsid w:val="00D36F45"/>
    <w:rsid w:val="00D3765D"/>
    <w:rsid w:val="00D37893"/>
    <w:rsid w:val="00D402CC"/>
    <w:rsid w:val="00D40555"/>
    <w:rsid w:val="00D407E4"/>
    <w:rsid w:val="00D409EB"/>
    <w:rsid w:val="00D40A74"/>
    <w:rsid w:val="00D40CC2"/>
    <w:rsid w:val="00D40D70"/>
    <w:rsid w:val="00D40F95"/>
    <w:rsid w:val="00D4159C"/>
    <w:rsid w:val="00D4170E"/>
    <w:rsid w:val="00D41724"/>
    <w:rsid w:val="00D42208"/>
    <w:rsid w:val="00D428D6"/>
    <w:rsid w:val="00D42BBE"/>
    <w:rsid w:val="00D42BE0"/>
    <w:rsid w:val="00D42E8C"/>
    <w:rsid w:val="00D42FC1"/>
    <w:rsid w:val="00D433D7"/>
    <w:rsid w:val="00D43437"/>
    <w:rsid w:val="00D437EF"/>
    <w:rsid w:val="00D43BB2"/>
    <w:rsid w:val="00D43D10"/>
    <w:rsid w:val="00D43F26"/>
    <w:rsid w:val="00D44489"/>
    <w:rsid w:val="00D44FF6"/>
    <w:rsid w:val="00D4505B"/>
    <w:rsid w:val="00D4551C"/>
    <w:rsid w:val="00D45803"/>
    <w:rsid w:val="00D45815"/>
    <w:rsid w:val="00D45E0D"/>
    <w:rsid w:val="00D45FE2"/>
    <w:rsid w:val="00D46335"/>
    <w:rsid w:val="00D4653A"/>
    <w:rsid w:val="00D466E7"/>
    <w:rsid w:val="00D4671B"/>
    <w:rsid w:val="00D46B1A"/>
    <w:rsid w:val="00D46DA4"/>
    <w:rsid w:val="00D4710B"/>
    <w:rsid w:val="00D47A24"/>
    <w:rsid w:val="00D47A2D"/>
    <w:rsid w:val="00D47AD8"/>
    <w:rsid w:val="00D47DB9"/>
    <w:rsid w:val="00D47E5F"/>
    <w:rsid w:val="00D50585"/>
    <w:rsid w:val="00D517A7"/>
    <w:rsid w:val="00D5184A"/>
    <w:rsid w:val="00D51E2C"/>
    <w:rsid w:val="00D52393"/>
    <w:rsid w:val="00D524D5"/>
    <w:rsid w:val="00D52516"/>
    <w:rsid w:val="00D52937"/>
    <w:rsid w:val="00D52CB8"/>
    <w:rsid w:val="00D531B1"/>
    <w:rsid w:val="00D53546"/>
    <w:rsid w:val="00D53625"/>
    <w:rsid w:val="00D538E3"/>
    <w:rsid w:val="00D539F2"/>
    <w:rsid w:val="00D539FF"/>
    <w:rsid w:val="00D53BEF"/>
    <w:rsid w:val="00D53CFA"/>
    <w:rsid w:val="00D53F3B"/>
    <w:rsid w:val="00D542C6"/>
    <w:rsid w:val="00D549B7"/>
    <w:rsid w:val="00D54DD2"/>
    <w:rsid w:val="00D55048"/>
    <w:rsid w:val="00D55470"/>
    <w:rsid w:val="00D557C4"/>
    <w:rsid w:val="00D56020"/>
    <w:rsid w:val="00D561F6"/>
    <w:rsid w:val="00D56211"/>
    <w:rsid w:val="00D56300"/>
    <w:rsid w:val="00D56432"/>
    <w:rsid w:val="00D56B9A"/>
    <w:rsid w:val="00D570AD"/>
    <w:rsid w:val="00D57128"/>
    <w:rsid w:val="00D5772F"/>
    <w:rsid w:val="00D57868"/>
    <w:rsid w:val="00D578C5"/>
    <w:rsid w:val="00D57DDF"/>
    <w:rsid w:val="00D57FE3"/>
    <w:rsid w:val="00D6008A"/>
    <w:rsid w:val="00D60604"/>
    <w:rsid w:val="00D60689"/>
    <w:rsid w:val="00D6086F"/>
    <w:rsid w:val="00D60D89"/>
    <w:rsid w:val="00D6142D"/>
    <w:rsid w:val="00D61FAE"/>
    <w:rsid w:val="00D6253D"/>
    <w:rsid w:val="00D62645"/>
    <w:rsid w:val="00D6289B"/>
    <w:rsid w:val="00D62A0E"/>
    <w:rsid w:val="00D62EEE"/>
    <w:rsid w:val="00D63133"/>
    <w:rsid w:val="00D6390E"/>
    <w:rsid w:val="00D6471F"/>
    <w:rsid w:val="00D64ADC"/>
    <w:rsid w:val="00D6546B"/>
    <w:rsid w:val="00D654BD"/>
    <w:rsid w:val="00D65B15"/>
    <w:rsid w:val="00D65BEB"/>
    <w:rsid w:val="00D65D0E"/>
    <w:rsid w:val="00D65E1A"/>
    <w:rsid w:val="00D6600F"/>
    <w:rsid w:val="00D663D0"/>
    <w:rsid w:val="00D66682"/>
    <w:rsid w:val="00D6680B"/>
    <w:rsid w:val="00D66A63"/>
    <w:rsid w:val="00D67CB3"/>
    <w:rsid w:val="00D7012A"/>
    <w:rsid w:val="00D70CB2"/>
    <w:rsid w:val="00D70F61"/>
    <w:rsid w:val="00D714F3"/>
    <w:rsid w:val="00D716F8"/>
    <w:rsid w:val="00D719F8"/>
    <w:rsid w:val="00D71DCF"/>
    <w:rsid w:val="00D725F5"/>
    <w:rsid w:val="00D72678"/>
    <w:rsid w:val="00D7293C"/>
    <w:rsid w:val="00D72C44"/>
    <w:rsid w:val="00D72CB4"/>
    <w:rsid w:val="00D72CD7"/>
    <w:rsid w:val="00D72DAB"/>
    <w:rsid w:val="00D732A1"/>
    <w:rsid w:val="00D733BD"/>
    <w:rsid w:val="00D7368F"/>
    <w:rsid w:val="00D73927"/>
    <w:rsid w:val="00D739C2"/>
    <w:rsid w:val="00D741BC"/>
    <w:rsid w:val="00D74400"/>
    <w:rsid w:val="00D7477B"/>
    <w:rsid w:val="00D7487A"/>
    <w:rsid w:val="00D74AE4"/>
    <w:rsid w:val="00D74B50"/>
    <w:rsid w:val="00D74D94"/>
    <w:rsid w:val="00D7555B"/>
    <w:rsid w:val="00D758BB"/>
    <w:rsid w:val="00D760A4"/>
    <w:rsid w:val="00D763C9"/>
    <w:rsid w:val="00D76459"/>
    <w:rsid w:val="00D76F8D"/>
    <w:rsid w:val="00D77246"/>
    <w:rsid w:val="00D776A0"/>
    <w:rsid w:val="00D778A4"/>
    <w:rsid w:val="00D778BD"/>
    <w:rsid w:val="00D800CD"/>
    <w:rsid w:val="00D801A0"/>
    <w:rsid w:val="00D80881"/>
    <w:rsid w:val="00D80B8C"/>
    <w:rsid w:val="00D80C7B"/>
    <w:rsid w:val="00D8111B"/>
    <w:rsid w:val="00D811CF"/>
    <w:rsid w:val="00D811F7"/>
    <w:rsid w:val="00D813D4"/>
    <w:rsid w:val="00D814F3"/>
    <w:rsid w:val="00D81939"/>
    <w:rsid w:val="00D81F03"/>
    <w:rsid w:val="00D82325"/>
    <w:rsid w:val="00D82B33"/>
    <w:rsid w:val="00D82E60"/>
    <w:rsid w:val="00D82EFE"/>
    <w:rsid w:val="00D82F2A"/>
    <w:rsid w:val="00D8318F"/>
    <w:rsid w:val="00D831B1"/>
    <w:rsid w:val="00D83545"/>
    <w:rsid w:val="00D83736"/>
    <w:rsid w:val="00D8387E"/>
    <w:rsid w:val="00D83A92"/>
    <w:rsid w:val="00D83BE7"/>
    <w:rsid w:val="00D83E4F"/>
    <w:rsid w:val="00D84128"/>
    <w:rsid w:val="00D845F5"/>
    <w:rsid w:val="00D84696"/>
    <w:rsid w:val="00D847FF"/>
    <w:rsid w:val="00D84975"/>
    <w:rsid w:val="00D85268"/>
    <w:rsid w:val="00D85814"/>
    <w:rsid w:val="00D858B8"/>
    <w:rsid w:val="00D8599D"/>
    <w:rsid w:val="00D85B09"/>
    <w:rsid w:val="00D85BC4"/>
    <w:rsid w:val="00D85DD0"/>
    <w:rsid w:val="00D86200"/>
    <w:rsid w:val="00D86506"/>
    <w:rsid w:val="00D86678"/>
    <w:rsid w:val="00D86759"/>
    <w:rsid w:val="00D86C03"/>
    <w:rsid w:val="00D86CE9"/>
    <w:rsid w:val="00D86D53"/>
    <w:rsid w:val="00D86F76"/>
    <w:rsid w:val="00D86FED"/>
    <w:rsid w:val="00D87018"/>
    <w:rsid w:val="00D870B7"/>
    <w:rsid w:val="00D873CF"/>
    <w:rsid w:val="00D87471"/>
    <w:rsid w:val="00D87DF9"/>
    <w:rsid w:val="00D87E90"/>
    <w:rsid w:val="00D87F1F"/>
    <w:rsid w:val="00D9076D"/>
    <w:rsid w:val="00D9079F"/>
    <w:rsid w:val="00D909CD"/>
    <w:rsid w:val="00D90C31"/>
    <w:rsid w:val="00D9116A"/>
    <w:rsid w:val="00D9145B"/>
    <w:rsid w:val="00D91500"/>
    <w:rsid w:val="00D915C4"/>
    <w:rsid w:val="00D9164E"/>
    <w:rsid w:val="00D91CF7"/>
    <w:rsid w:val="00D91D02"/>
    <w:rsid w:val="00D91D63"/>
    <w:rsid w:val="00D91F28"/>
    <w:rsid w:val="00D920CD"/>
    <w:rsid w:val="00D9235E"/>
    <w:rsid w:val="00D92630"/>
    <w:rsid w:val="00D9276B"/>
    <w:rsid w:val="00D9285C"/>
    <w:rsid w:val="00D92BF2"/>
    <w:rsid w:val="00D92D1E"/>
    <w:rsid w:val="00D93319"/>
    <w:rsid w:val="00D938C3"/>
    <w:rsid w:val="00D93902"/>
    <w:rsid w:val="00D94560"/>
    <w:rsid w:val="00D94588"/>
    <w:rsid w:val="00D9485E"/>
    <w:rsid w:val="00D94A0B"/>
    <w:rsid w:val="00D94B21"/>
    <w:rsid w:val="00D94C61"/>
    <w:rsid w:val="00D94C96"/>
    <w:rsid w:val="00D94CEE"/>
    <w:rsid w:val="00D94D40"/>
    <w:rsid w:val="00D94FFF"/>
    <w:rsid w:val="00D9562C"/>
    <w:rsid w:val="00D95ACE"/>
    <w:rsid w:val="00D95BF2"/>
    <w:rsid w:val="00D95E36"/>
    <w:rsid w:val="00D95EA5"/>
    <w:rsid w:val="00D95EDF"/>
    <w:rsid w:val="00D9602C"/>
    <w:rsid w:val="00D96B71"/>
    <w:rsid w:val="00D96F01"/>
    <w:rsid w:val="00D9747C"/>
    <w:rsid w:val="00D97567"/>
    <w:rsid w:val="00D97794"/>
    <w:rsid w:val="00D97AA7"/>
    <w:rsid w:val="00D97BBC"/>
    <w:rsid w:val="00D97DC7"/>
    <w:rsid w:val="00D97F67"/>
    <w:rsid w:val="00DA0194"/>
    <w:rsid w:val="00DA0443"/>
    <w:rsid w:val="00DA056C"/>
    <w:rsid w:val="00DA0649"/>
    <w:rsid w:val="00DA0665"/>
    <w:rsid w:val="00DA0696"/>
    <w:rsid w:val="00DA0ABE"/>
    <w:rsid w:val="00DA0AC9"/>
    <w:rsid w:val="00DA0C39"/>
    <w:rsid w:val="00DA1063"/>
    <w:rsid w:val="00DA120D"/>
    <w:rsid w:val="00DA12CE"/>
    <w:rsid w:val="00DA1968"/>
    <w:rsid w:val="00DA1980"/>
    <w:rsid w:val="00DA1A8F"/>
    <w:rsid w:val="00DA1AF4"/>
    <w:rsid w:val="00DA1B1A"/>
    <w:rsid w:val="00DA1E2E"/>
    <w:rsid w:val="00DA2275"/>
    <w:rsid w:val="00DA2483"/>
    <w:rsid w:val="00DA2736"/>
    <w:rsid w:val="00DA287C"/>
    <w:rsid w:val="00DA2FFE"/>
    <w:rsid w:val="00DA3248"/>
    <w:rsid w:val="00DA34CF"/>
    <w:rsid w:val="00DA365C"/>
    <w:rsid w:val="00DA3687"/>
    <w:rsid w:val="00DA39AE"/>
    <w:rsid w:val="00DA3C43"/>
    <w:rsid w:val="00DA3DD5"/>
    <w:rsid w:val="00DA4292"/>
    <w:rsid w:val="00DA476C"/>
    <w:rsid w:val="00DA5132"/>
    <w:rsid w:val="00DA52E4"/>
    <w:rsid w:val="00DA576A"/>
    <w:rsid w:val="00DA589A"/>
    <w:rsid w:val="00DA59C0"/>
    <w:rsid w:val="00DA5A72"/>
    <w:rsid w:val="00DA5BD5"/>
    <w:rsid w:val="00DA5E13"/>
    <w:rsid w:val="00DA5EA7"/>
    <w:rsid w:val="00DA5EFA"/>
    <w:rsid w:val="00DA6204"/>
    <w:rsid w:val="00DA631F"/>
    <w:rsid w:val="00DA6B1C"/>
    <w:rsid w:val="00DA7044"/>
    <w:rsid w:val="00DA721E"/>
    <w:rsid w:val="00DA7315"/>
    <w:rsid w:val="00DA731F"/>
    <w:rsid w:val="00DA7966"/>
    <w:rsid w:val="00DA797F"/>
    <w:rsid w:val="00DA7C12"/>
    <w:rsid w:val="00DA7C57"/>
    <w:rsid w:val="00DB02F7"/>
    <w:rsid w:val="00DB03E3"/>
    <w:rsid w:val="00DB0540"/>
    <w:rsid w:val="00DB0B10"/>
    <w:rsid w:val="00DB0ECC"/>
    <w:rsid w:val="00DB0EEF"/>
    <w:rsid w:val="00DB1822"/>
    <w:rsid w:val="00DB1B6C"/>
    <w:rsid w:val="00DB1CCB"/>
    <w:rsid w:val="00DB1D1C"/>
    <w:rsid w:val="00DB1E6C"/>
    <w:rsid w:val="00DB226E"/>
    <w:rsid w:val="00DB25B6"/>
    <w:rsid w:val="00DB2660"/>
    <w:rsid w:val="00DB28A8"/>
    <w:rsid w:val="00DB2A3E"/>
    <w:rsid w:val="00DB2A59"/>
    <w:rsid w:val="00DB2B44"/>
    <w:rsid w:val="00DB2EDD"/>
    <w:rsid w:val="00DB3C19"/>
    <w:rsid w:val="00DB3D1C"/>
    <w:rsid w:val="00DB3D80"/>
    <w:rsid w:val="00DB41F2"/>
    <w:rsid w:val="00DB4619"/>
    <w:rsid w:val="00DB46CC"/>
    <w:rsid w:val="00DB5046"/>
    <w:rsid w:val="00DB506A"/>
    <w:rsid w:val="00DB5112"/>
    <w:rsid w:val="00DB534F"/>
    <w:rsid w:val="00DB5BDE"/>
    <w:rsid w:val="00DB601C"/>
    <w:rsid w:val="00DB6150"/>
    <w:rsid w:val="00DB63E7"/>
    <w:rsid w:val="00DB63EF"/>
    <w:rsid w:val="00DB64B6"/>
    <w:rsid w:val="00DB64E1"/>
    <w:rsid w:val="00DB66E4"/>
    <w:rsid w:val="00DB675D"/>
    <w:rsid w:val="00DB6D46"/>
    <w:rsid w:val="00DB6DE4"/>
    <w:rsid w:val="00DB7191"/>
    <w:rsid w:val="00DB7386"/>
    <w:rsid w:val="00DB7D08"/>
    <w:rsid w:val="00DB7DC0"/>
    <w:rsid w:val="00DC0860"/>
    <w:rsid w:val="00DC08E1"/>
    <w:rsid w:val="00DC09AB"/>
    <w:rsid w:val="00DC0CAD"/>
    <w:rsid w:val="00DC125F"/>
    <w:rsid w:val="00DC13B6"/>
    <w:rsid w:val="00DC144C"/>
    <w:rsid w:val="00DC1556"/>
    <w:rsid w:val="00DC1BE7"/>
    <w:rsid w:val="00DC1FAB"/>
    <w:rsid w:val="00DC2749"/>
    <w:rsid w:val="00DC2841"/>
    <w:rsid w:val="00DC28AA"/>
    <w:rsid w:val="00DC29B7"/>
    <w:rsid w:val="00DC2ADA"/>
    <w:rsid w:val="00DC2DAE"/>
    <w:rsid w:val="00DC2DF5"/>
    <w:rsid w:val="00DC3793"/>
    <w:rsid w:val="00DC37C4"/>
    <w:rsid w:val="00DC3E9F"/>
    <w:rsid w:val="00DC4264"/>
    <w:rsid w:val="00DC42E2"/>
    <w:rsid w:val="00DC4403"/>
    <w:rsid w:val="00DC44FB"/>
    <w:rsid w:val="00DC47C0"/>
    <w:rsid w:val="00DC4857"/>
    <w:rsid w:val="00DC4FB6"/>
    <w:rsid w:val="00DC5072"/>
    <w:rsid w:val="00DC52CC"/>
    <w:rsid w:val="00DC540E"/>
    <w:rsid w:val="00DC569B"/>
    <w:rsid w:val="00DC5AE8"/>
    <w:rsid w:val="00DC5BC2"/>
    <w:rsid w:val="00DC5E23"/>
    <w:rsid w:val="00DC5EDF"/>
    <w:rsid w:val="00DC6736"/>
    <w:rsid w:val="00DC6B63"/>
    <w:rsid w:val="00DC6C95"/>
    <w:rsid w:val="00DC71D4"/>
    <w:rsid w:val="00DC768C"/>
    <w:rsid w:val="00DC7736"/>
    <w:rsid w:val="00DC7A6C"/>
    <w:rsid w:val="00DC7B5A"/>
    <w:rsid w:val="00DD035B"/>
    <w:rsid w:val="00DD0413"/>
    <w:rsid w:val="00DD044B"/>
    <w:rsid w:val="00DD05BB"/>
    <w:rsid w:val="00DD05D1"/>
    <w:rsid w:val="00DD107B"/>
    <w:rsid w:val="00DD1262"/>
    <w:rsid w:val="00DD18D6"/>
    <w:rsid w:val="00DD19F5"/>
    <w:rsid w:val="00DD1DBD"/>
    <w:rsid w:val="00DD24A4"/>
    <w:rsid w:val="00DD2C2C"/>
    <w:rsid w:val="00DD2C71"/>
    <w:rsid w:val="00DD2D2A"/>
    <w:rsid w:val="00DD3871"/>
    <w:rsid w:val="00DD39BD"/>
    <w:rsid w:val="00DD3B94"/>
    <w:rsid w:val="00DD3FEB"/>
    <w:rsid w:val="00DD4019"/>
    <w:rsid w:val="00DD46EB"/>
    <w:rsid w:val="00DD4952"/>
    <w:rsid w:val="00DD4DE7"/>
    <w:rsid w:val="00DD5206"/>
    <w:rsid w:val="00DD538B"/>
    <w:rsid w:val="00DD53FC"/>
    <w:rsid w:val="00DD567B"/>
    <w:rsid w:val="00DD5FB6"/>
    <w:rsid w:val="00DD60B6"/>
    <w:rsid w:val="00DD6100"/>
    <w:rsid w:val="00DD62D0"/>
    <w:rsid w:val="00DD6756"/>
    <w:rsid w:val="00DD696C"/>
    <w:rsid w:val="00DD6A47"/>
    <w:rsid w:val="00DD6C14"/>
    <w:rsid w:val="00DD6E56"/>
    <w:rsid w:val="00DD6FFF"/>
    <w:rsid w:val="00DD7311"/>
    <w:rsid w:val="00DD74BB"/>
    <w:rsid w:val="00DD7745"/>
    <w:rsid w:val="00DD786B"/>
    <w:rsid w:val="00DD791E"/>
    <w:rsid w:val="00DD7D99"/>
    <w:rsid w:val="00DD7F6A"/>
    <w:rsid w:val="00DD7FB2"/>
    <w:rsid w:val="00DE04B5"/>
    <w:rsid w:val="00DE0665"/>
    <w:rsid w:val="00DE0931"/>
    <w:rsid w:val="00DE0A78"/>
    <w:rsid w:val="00DE0BD4"/>
    <w:rsid w:val="00DE0E33"/>
    <w:rsid w:val="00DE0F3F"/>
    <w:rsid w:val="00DE123D"/>
    <w:rsid w:val="00DE12F4"/>
    <w:rsid w:val="00DE18DB"/>
    <w:rsid w:val="00DE2880"/>
    <w:rsid w:val="00DE2ACB"/>
    <w:rsid w:val="00DE2DC8"/>
    <w:rsid w:val="00DE2E17"/>
    <w:rsid w:val="00DE31D2"/>
    <w:rsid w:val="00DE33D8"/>
    <w:rsid w:val="00DE3403"/>
    <w:rsid w:val="00DE3576"/>
    <w:rsid w:val="00DE3C95"/>
    <w:rsid w:val="00DE3D97"/>
    <w:rsid w:val="00DE3E27"/>
    <w:rsid w:val="00DE3ED2"/>
    <w:rsid w:val="00DE4070"/>
    <w:rsid w:val="00DE44C8"/>
    <w:rsid w:val="00DE4B00"/>
    <w:rsid w:val="00DE4B7B"/>
    <w:rsid w:val="00DE4CB0"/>
    <w:rsid w:val="00DE52AC"/>
    <w:rsid w:val="00DE5476"/>
    <w:rsid w:val="00DE568F"/>
    <w:rsid w:val="00DE59A3"/>
    <w:rsid w:val="00DE5CE2"/>
    <w:rsid w:val="00DE5EEB"/>
    <w:rsid w:val="00DE657F"/>
    <w:rsid w:val="00DE6A15"/>
    <w:rsid w:val="00DE6D70"/>
    <w:rsid w:val="00DE708D"/>
    <w:rsid w:val="00DE734F"/>
    <w:rsid w:val="00DE7A01"/>
    <w:rsid w:val="00DF0441"/>
    <w:rsid w:val="00DF0592"/>
    <w:rsid w:val="00DF05EF"/>
    <w:rsid w:val="00DF0883"/>
    <w:rsid w:val="00DF0A0D"/>
    <w:rsid w:val="00DF0C2E"/>
    <w:rsid w:val="00DF0D25"/>
    <w:rsid w:val="00DF0E92"/>
    <w:rsid w:val="00DF1083"/>
    <w:rsid w:val="00DF117E"/>
    <w:rsid w:val="00DF11EF"/>
    <w:rsid w:val="00DF1865"/>
    <w:rsid w:val="00DF1C98"/>
    <w:rsid w:val="00DF1CF7"/>
    <w:rsid w:val="00DF1E45"/>
    <w:rsid w:val="00DF1EC7"/>
    <w:rsid w:val="00DF1EE7"/>
    <w:rsid w:val="00DF1F92"/>
    <w:rsid w:val="00DF202A"/>
    <w:rsid w:val="00DF23FB"/>
    <w:rsid w:val="00DF2537"/>
    <w:rsid w:val="00DF2654"/>
    <w:rsid w:val="00DF2DAF"/>
    <w:rsid w:val="00DF2FE8"/>
    <w:rsid w:val="00DF313A"/>
    <w:rsid w:val="00DF3196"/>
    <w:rsid w:val="00DF3328"/>
    <w:rsid w:val="00DF34B3"/>
    <w:rsid w:val="00DF3716"/>
    <w:rsid w:val="00DF37BF"/>
    <w:rsid w:val="00DF39C3"/>
    <w:rsid w:val="00DF3CCC"/>
    <w:rsid w:val="00DF3DD0"/>
    <w:rsid w:val="00DF404C"/>
    <w:rsid w:val="00DF4572"/>
    <w:rsid w:val="00DF495D"/>
    <w:rsid w:val="00DF4B39"/>
    <w:rsid w:val="00DF4C79"/>
    <w:rsid w:val="00DF4F52"/>
    <w:rsid w:val="00DF535C"/>
    <w:rsid w:val="00DF5362"/>
    <w:rsid w:val="00DF547F"/>
    <w:rsid w:val="00DF5532"/>
    <w:rsid w:val="00DF569F"/>
    <w:rsid w:val="00DF56C4"/>
    <w:rsid w:val="00DF588F"/>
    <w:rsid w:val="00DF5913"/>
    <w:rsid w:val="00DF5921"/>
    <w:rsid w:val="00DF5D8D"/>
    <w:rsid w:val="00DF5FDD"/>
    <w:rsid w:val="00DF6390"/>
    <w:rsid w:val="00DF6397"/>
    <w:rsid w:val="00DF67B7"/>
    <w:rsid w:val="00DF6AEC"/>
    <w:rsid w:val="00DF6D3F"/>
    <w:rsid w:val="00DF6DF5"/>
    <w:rsid w:val="00DF6FB1"/>
    <w:rsid w:val="00DF6FB9"/>
    <w:rsid w:val="00DF7066"/>
    <w:rsid w:val="00DF71C7"/>
    <w:rsid w:val="00DF735D"/>
    <w:rsid w:val="00DF756E"/>
    <w:rsid w:val="00DF7670"/>
    <w:rsid w:val="00DF7758"/>
    <w:rsid w:val="00DF78D1"/>
    <w:rsid w:val="00DF7CBD"/>
    <w:rsid w:val="00E00030"/>
    <w:rsid w:val="00E000F1"/>
    <w:rsid w:val="00E00107"/>
    <w:rsid w:val="00E00191"/>
    <w:rsid w:val="00E001F2"/>
    <w:rsid w:val="00E00876"/>
    <w:rsid w:val="00E009CB"/>
    <w:rsid w:val="00E00AF3"/>
    <w:rsid w:val="00E00BDA"/>
    <w:rsid w:val="00E00D3E"/>
    <w:rsid w:val="00E00E36"/>
    <w:rsid w:val="00E011FD"/>
    <w:rsid w:val="00E018F5"/>
    <w:rsid w:val="00E01B7B"/>
    <w:rsid w:val="00E01BAF"/>
    <w:rsid w:val="00E029A7"/>
    <w:rsid w:val="00E02BAB"/>
    <w:rsid w:val="00E02DD0"/>
    <w:rsid w:val="00E0334E"/>
    <w:rsid w:val="00E03447"/>
    <w:rsid w:val="00E0375E"/>
    <w:rsid w:val="00E038CC"/>
    <w:rsid w:val="00E03D20"/>
    <w:rsid w:val="00E03E13"/>
    <w:rsid w:val="00E03FE1"/>
    <w:rsid w:val="00E04010"/>
    <w:rsid w:val="00E04732"/>
    <w:rsid w:val="00E04824"/>
    <w:rsid w:val="00E04BF5"/>
    <w:rsid w:val="00E05048"/>
    <w:rsid w:val="00E05291"/>
    <w:rsid w:val="00E05299"/>
    <w:rsid w:val="00E05305"/>
    <w:rsid w:val="00E054D2"/>
    <w:rsid w:val="00E0568A"/>
    <w:rsid w:val="00E0581D"/>
    <w:rsid w:val="00E05826"/>
    <w:rsid w:val="00E05AC6"/>
    <w:rsid w:val="00E05CB2"/>
    <w:rsid w:val="00E05EF8"/>
    <w:rsid w:val="00E060ED"/>
    <w:rsid w:val="00E06147"/>
    <w:rsid w:val="00E06262"/>
    <w:rsid w:val="00E06502"/>
    <w:rsid w:val="00E06A21"/>
    <w:rsid w:val="00E06A34"/>
    <w:rsid w:val="00E06BFB"/>
    <w:rsid w:val="00E06C4B"/>
    <w:rsid w:val="00E06F07"/>
    <w:rsid w:val="00E07537"/>
    <w:rsid w:val="00E07835"/>
    <w:rsid w:val="00E079AF"/>
    <w:rsid w:val="00E07AC8"/>
    <w:rsid w:val="00E07BDC"/>
    <w:rsid w:val="00E07C50"/>
    <w:rsid w:val="00E07CE7"/>
    <w:rsid w:val="00E10828"/>
    <w:rsid w:val="00E10D9C"/>
    <w:rsid w:val="00E10DD1"/>
    <w:rsid w:val="00E1136E"/>
    <w:rsid w:val="00E11416"/>
    <w:rsid w:val="00E1143A"/>
    <w:rsid w:val="00E11662"/>
    <w:rsid w:val="00E118C7"/>
    <w:rsid w:val="00E11CC1"/>
    <w:rsid w:val="00E11CD4"/>
    <w:rsid w:val="00E11EED"/>
    <w:rsid w:val="00E11FDC"/>
    <w:rsid w:val="00E122C9"/>
    <w:rsid w:val="00E12332"/>
    <w:rsid w:val="00E12775"/>
    <w:rsid w:val="00E12823"/>
    <w:rsid w:val="00E12937"/>
    <w:rsid w:val="00E12987"/>
    <w:rsid w:val="00E12D03"/>
    <w:rsid w:val="00E130C1"/>
    <w:rsid w:val="00E1378A"/>
    <w:rsid w:val="00E139AF"/>
    <w:rsid w:val="00E13A68"/>
    <w:rsid w:val="00E13E43"/>
    <w:rsid w:val="00E13EED"/>
    <w:rsid w:val="00E13FAF"/>
    <w:rsid w:val="00E14231"/>
    <w:rsid w:val="00E14DEA"/>
    <w:rsid w:val="00E14E35"/>
    <w:rsid w:val="00E14F06"/>
    <w:rsid w:val="00E152A2"/>
    <w:rsid w:val="00E1595D"/>
    <w:rsid w:val="00E15D51"/>
    <w:rsid w:val="00E15FC0"/>
    <w:rsid w:val="00E162D9"/>
    <w:rsid w:val="00E16321"/>
    <w:rsid w:val="00E163AA"/>
    <w:rsid w:val="00E16851"/>
    <w:rsid w:val="00E168F0"/>
    <w:rsid w:val="00E1690D"/>
    <w:rsid w:val="00E16B79"/>
    <w:rsid w:val="00E177BC"/>
    <w:rsid w:val="00E179D6"/>
    <w:rsid w:val="00E20077"/>
    <w:rsid w:val="00E200F5"/>
    <w:rsid w:val="00E2040E"/>
    <w:rsid w:val="00E20745"/>
    <w:rsid w:val="00E20D82"/>
    <w:rsid w:val="00E210A9"/>
    <w:rsid w:val="00E21178"/>
    <w:rsid w:val="00E21E66"/>
    <w:rsid w:val="00E221E1"/>
    <w:rsid w:val="00E22302"/>
    <w:rsid w:val="00E22FC5"/>
    <w:rsid w:val="00E2344B"/>
    <w:rsid w:val="00E23484"/>
    <w:rsid w:val="00E2352F"/>
    <w:rsid w:val="00E23AE7"/>
    <w:rsid w:val="00E23AF1"/>
    <w:rsid w:val="00E242BE"/>
    <w:rsid w:val="00E2497C"/>
    <w:rsid w:val="00E24A9E"/>
    <w:rsid w:val="00E24CF0"/>
    <w:rsid w:val="00E24DB4"/>
    <w:rsid w:val="00E2502E"/>
    <w:rsid w:val="00E25034"/>
    <w:rsid w:val="00E253CE"/>
    <w:rsid w:val="00E254C4"/>
    <w:rsid w:val="00E2576B"/>
    <w:rsid w:val="00E25B75"/>
    <w:rsid w:val="00E25F72"/>
    <w:rsid w:val="00E261C2"/>
    <w:rsid w:val="00E26215"/>
    <w:rsid w:val="00E2624C"/>
    <w:rsid w:val="00E26401"/>
    <w:rsid w:val="00E26581"/>
    <w:rsid w:val="00E269AB"/>
    <w:rsid w:val="00E26EBF"/>
    <w:rsid w:val="00E27914"/>
    <w:rsid w:val="00E279C6"/>
    <w:rsid w:val="00E27C8A"/>
    <w:rsid w:val="00E27DCC"/>
    <w:rsid w:val="00E3000D"/>
    <w:rsid w:val="00E300CD"/>
    <w:rsid w:val="00E30165"/>
    <w:rsid w:val="00E3016D"/>
    <w:rsid w:val="00E30420"/>
    <w:rsid w:val="00E3078D"/>
    <w:rsid w:val="00E310AA"/>
    <w:rsid w:val="00E31158"/>
    <w:rsid w:val="00E31176"/>
    <w:rsid w:val="00E31516"/>
    <w:rsid w:val="00E316D8"/>
    <w:rsid w:val="00E3173F"/>
    <w:rsid w:val="00E31C2B"/>
    <w:rsid w:val="00E31E14"/>
    <w:rsid w:val="00E31F77"/>
    <w:rsid w:val="00E31FA0"/>
    <w:rsid w:val="00E31FB2"/>
    <w:rsid w:val="00E320EE"/>
    <w:rsid w:val="00E32381"/>
    <w:rsid w:val="00E325B0"/>
    <w:rsid w:val="00E32957"/>
    <w:rsid w:val="00E32A1A"/>
    <w:rsid w:val="00E32E84"/>
    <w:rsid w:val="00E32F94"/>
    <w:rsid w:val="00E32FB1"/>
    <w:rsid w:val="00E33560"/>
    <w:rsid w:val="00E336CC"/>
    <w:rsid w:val="00E33E05"/>
    <w:rsid w:val="00E33E6A"/>
    <w:rsid w:val="00E340B2"/>
    <w:rsid w:val="00E342C0"/>
    <w:rsid w:val="00E34ABC"/>
    <w:rsid w:val="00E34B91"/>
    <w:rsid w:val="00E35061"/>
    <w:rsid w:val="00E3520E"/>
    <w:rsid w:val="00E35B11"/>
    <w:rsid w:val="00E35BAD"/>
    <w:rsid w:val="00E35C9F"/>
    <w:rsid w:val="00E36130"/>
    <w:rsid w:val="00E36220"/>
    <w:rsid w:val="00E36A79"/>
    <w:rsid w:val="00E36C40"/>
    <w:rsid w:val="00E36DCC"/>
    <w:rsid w:val="00E36EED"/>
    <w:rsid w:val="00E36EF2"/>
    <w:rsid w:val="00E375F2"/>
    <w:rsid w:val="00E37D35"/>
    <w:rsid w:val="00E40160"/>
    <w:rsid w:val="00E40750"/>
    <w:rsid w:val="00E41348"/>
    <w:rsid w:val="00E4196D"/>
    <w:rsid w:val="00E41993"/>
    <w:rsid w:val="00E41B68"/>
    <w:rsid w:val="00E41EDE"/>
    <w:rsid w:val="00E41F88"/>
    <w:rsid w:val="00E4201F"/>
    <w:rsid w:val="00E42070"/>
    <w:rsid w:val="00E42386"/>
    <w:rsid w:val="00E42780"/>
    <w:rsid w:val="00E427C1"/>
    <w:rsid w:val="00E428A8"/>
    <w:rsid w:val="00E42E20"/>
    <w:rsid w:val="00E43067"/>
    <w:rsid w:val="00E4336A"/>
    <w:rsid w:val="00E433CF"/>
    <w:rsid w:val="00E4341C"/>
    <w:rsid w:val="00E4347B"/>
    <w:rsid w:val="00E434E5"/>
    <w:rsid w:val="00E4365C"/>
    <w:rsid w:val="00E43A37"/>
    <w:rsid w:val="00E43BD4"/>
    <w:rsid w:val="00E43CC1"/>
    <w:rsid w:val="00E443B3"/>
    <w:rsid w:val="00E44443"/>
    <w:rsid w:val="00E444F5"/>
    <w:rsid w:val="00E44586"/>
    <w:rsid w:val="00E447EA"/>
    <w:rsid w:val="00E44D87"/>
    <w:rsid w:val="00E44D88"/>
    <w:rsid w:val="00E44ECE"/>
    <w:rsid w:val="00E44F16"/>
    <w:rsid w:val="00E44F49"/>
    <w:rsid w:val="00E45866"/>
    <w:rsid w:val="00E459F4"/>
    <w:rsid w:val="00E45C46"/>
    <w:rsid w:val="00E45DDA"/>
    <w:rsid w:val="00E45FB1"/>
    <w:rsid w:val="00E4675C"/>
    <w:rsid w:val="00E468EB"/>
    <w:rsid w:val="00E46ADF"/>
    <w:rsid w:val="00E46F8B"/>
    <w:rsid w:val="00E470C4"/>
    <w:rsid w:val="00E470F3"/>
    <w:rsid w:val="00E47100"/>
    <w:rsid w:val="00E4770F"/>
    <w:rsid w:val="00E4779E"/>
    <w:rsid w:val="00E4790E"/>
    <w:rsid w:val="00E47993"/>
    <w:rsid w:val="00E47F13"/>
    <w:rsid w:val="00E50382"/>
    <w:rsid w:val="00E507A8"/>
    <w:rsid w:val="00E50956"/>
    <w:rsid w:val="00E50DFC"/>
    <w:rsid w:val="00E50E19"/>
    <w:rsid w:val="00E50E7E"/>
    <w:rsid w:val="00E510CF"/>
    <w:rsid w:val="00E514E3"/>
    <w:rsid w:val="00E51AF9"/>
    <w:rsid w:val="00E522C2"/>
    <w:rsid w:val="00E5234E"/>
    <w:rsid w:val="00E52777"/>
    <w:rsid w:val="00E52B3F"/>
    <w:rsid w:val="00E5325E"/>
    <w:rsid w:val="00E5349F"/>
    <w:rsid w:val="00E53ADF"/>
    <w:rsid w:val="00E53BCD"/>
    <w:rsid w:val="00E5409A"/>
    <w:rsid w:val="00E5457D"/>
    <w:rsid w:val="00E54656"/>
    <w:rsid w:val="00E54D85"/>
    <w:rsid w:val="00E5522E"/>
    <w:rsid w:val="00E554BB"/>
    <w:rsid w:val="00E558D4"/>
    <w:rsid w:val="00E5598C"/>
    <w:rsid w:val="00E55A3C"/>
    <w:rsid w:val="00E55C02"/>
    <w:rsid w:val="00E55EEC"/>
    <w:rsid w:val="00E568FF"/>
    <w:rsid w:val="00E56B40"/>
    <w:rsid w:val="00E56CE6"/>
    <w:rsid w:val="00E5717B"/>
    <w:rsid w:val="00E578BB"/>
    <w:rsid w:val="00E578E2"/>
    <w:rsid w:val="00E5799B"/>
    <w:rsid w:val="00E57A23"/>
    <w:rsid w:val="00E57C8C"/>
    <w:rsid w:val="00E60556"/>
    <w:rsid w:val="00E605C3"/>
    <w:rsid w:val="00E60756"/>
    <w:rsid w:val="00E60CEA"/>
    <w:rsid w:val="00E60D60"/>
    <w:rsid w:val="00E60E75"/>
    <w:rsid w:val="00E60F93"/>
    <w:rsid w:val="00E61155"/>
    <w:rsid w:val="00E61608"/>
    <w:rsid w:val="00E61A37"/>
    <w:rsid w:val="00E61AEC"/>
    <w:rsid w:val="00E61BCF"/>
    <w:rsid w:val="00E61C14"/>
    <w:rsid w:val="00E61F3F"/>
    <w:rsid w:val="00E62624"/>
    <w:rsid w:val="00E63ABD"/>
    <w:rsid w:val="00E63B8C"/>
    <w:rsid w:val="00E63CDD"/>
    <w:rsid w:val="00E63D14"/>
    <w:rsid w:val="00E6422B"/>
    <w:rsid w:val="00E6430D"/>
    <w:rsid w:val="00E64646"/>
    <w:rsid w:val="00E64905"/>
    <w:rsid w:val="00E64A11"/>
    <w:rsid w:val="00E64B20"/>
    <w:rsid w:val="00E64CC9"/>
    <w:rsid w:val="00E64D2A"/>
    <w:rsid w:val="00E64D68"/>
    <w:rsid w:val="00E64DCE"/>
    <w:rsid w:val="00E64E42"/>
    <w:rsid w:val="00E64E89"/>
    <w:rsid w:val="00E6505E"/>
    <w:rsid w:val="00E654A3"/>
    <w:rsid w:val="00E65977"/>
    <w:rsid w:val="00E65999"/>
    <w:rsid w:val="00E65A23"/>
    <w:rsid w:val="00E65D1E"/>
    <w:rsid w:val="00E65D52"/>
    <w:rsid w:val="00E661E7"/>
    <w:rsid w:val="00E66A4B"/>
    <w:rsid w:val="00E66DDE"/>
    <w:rsid w:val="00E66F30"/>
    <w:rsid w:val="00E670F9"/>
    <w:rsid w:val="00E671AC"/>
    <w:rsid w:val="00E67349"/>
    <w:rsid w:val="00E67EB0"/>
    <w:rsid w:val="00E7013C"/>
    <w:rsid w:val="00E70177"/>
    <w:rsid w:val="00E70281"/>
    <w:rsid w:val="00E704CD"/>
    <w:rsid w:val="00E70F31"/>
    <w:rsid w:val="00E711FC"/>
    <w:rsid w:val="00E71806"/>
    <w:rsid w:val="00E71837"/>
    <w:rsid w:val="00E72330"/>
    <w:rsid w:val="00E729AB"/>
    <w:rsid w:val="00E72D3F"/>
    <w:rsid w:val="00E72E67"/>
    <w:rsid w:val="00E72F7E"/>
    <w:rsid w:val="00E72FAF"/>
    <w:rsid w:val="00E7305A"/>
    <w:rsid w:val="00E7309C"/>
    <w:rsid w:val="00E73482"/>
    <w:rsid w:val="00E7400C"/>
    <w:rsid w:val="00E74082"/>
    <w:rsid w:val="00E74083"/>
    <w:rsid w:val="00E74352"/>
    <w:rsid w:val="00E74576"/>
    <w:rsid w:val="00E745E9"/>
    <w:rsid w:val="00E74614"/>
    <w:rsid w:val="00E74644"/>
    <w:rsid w:val="00E74758"/>
    <w:rsid w:val="00E749E2"/>
    <w:rsid w:val="00E74D41"/>
    <w:rsid w:val="00E74E1E"/>
    <w:rsid w:val="00E74E26"/>
    <w:rsid w:val="00E750F5"/>
    <w:rsid w:val="00E75213"/>
    <w:rsid w:val="00E752C0"/>
    <w:rsid w:val="00E75522"/>
    <w:rsid w:val="00E755E5"/>
    <w:rsid w:val="00E75663"/>
    <w:rsid w:val="00E75952"/>
    <w:rsid w:val="00E75955"/>
    <w:rsid w:val="00E75969"/>
    <w:rsid w:val="00E75DFD"/>
    <w:rsid w:val="00E76492"/>
    <w:rsid w:val="00E7685C"/>
    <w:rsid w:val="00E76B47"/>
    <w:rsid w:val="00E76BB5"/>
    <w:rsid w:val="00E76D85"/>
    <w:rsid w:val="00E76F11"/>
    <w:rsid w:val="00E7705E"/>
    <w:rsid w:val="00E77272"/>
    <w:rsid w:val="00E774AB"/>
    <w:rsid w:val="00E775EF"/>
    <w:rsid w:val="00E77892"/>
    <w:rsid w:val="00E7789B"/>
    <w:rsid w:val="00E77D0F"/>
    <w:rsid w:val="00E800E3"/>
    <w:rsid w:val="00E805C4"/>
    <w:rsid w:val="00E8095B"/>
    <w:rsid w:val="00E80B4D"/>
    <w:rsid w:val="00E80B65"/>
    <w:rsid w:val="00E80C39"/>
    <w:rsid w:val="00E810F1"/>
    <w:rsid w:val="00E8111C"/>
    <w:rsid w:val="00E813FD"/>
    <w:rsid w:val="00E81812"/>
    <w:rsid w:val="00E81A05"/>
    <w:rsid w:val="00E82548"/>
    <w:rsid w:val="00E8280C"/>
    <w:rsid w:val="00E82A2A"/>
    <w:rsid w:val="00E82D06"/>
    <w:rsid w:val="00E82F35"/>
    <w:rsid w:val="00E83330"/>
    <w:rsid w:val="00E8338B"/>
    <w:rsid w:val="00E83639"/>
    <w:rsid w:val="00E8384D"/>
    <w:rsid w:val="00E84093"/>
    <w:rsid w:val="00E841D7"/>
    <w:rsid w:val="00E84747"/>
    <w:rsid w:val="00E84845"/>
    <w:rsid w:val="00E849E6"/>
    <w:rsid w:val="00E84C2A"/>
    <w:rsid w:val="00E84C4F"/>
    <w:rsid w:val="00E84D82"/>
    <w:rsid w:val="00E853EA"/>
    <w:rsid w:val="00E855C6"/>
    <w:rsid w:val="00E85926"/>
    <w:rsid w:val="00E85C51"/>
    <w:rsid w:val="00E85F11"/>
    <w:rsid w:val="00E8627F"/>
    <w:rsid w:val="00E86502"/>
    <w:rsid w:val="00E86961"/>
    <w:rsid w:val="00E87063"/>
    <w:rsid w:val="00E873DB"/>
    <w:rsid w:val="00E873EB"/>
    <w:rsid w:val="00E87589"/>
    <w:rsid w:val="00E87699"/>
    <w:rsid w:val="00E8790E"/>
    <w:rsid w:val="00E879DA"/>
    <w:rsid w:val="00E87AC4"/>
    <w:rsid w:val="00E9089B"/>
    <w:rsid w:val="00E909D6"/>
    <w:rsid w:val="00E909F7"/>
    <w:rsid w:val="00E90C81"/>
    <w:rsid w:val="00E90DB4"/>
    <w:rsid w:val="00E91353"/>
    <w:rsid w:val="00E915C8"/>
    <w:rsid w:val="00E91C54"/>
    <w:rsid w:val="00E91E54"/>
    <w:rsid w:val="00E91EEF"/>
    <w:rsid w:val="00E91F3D"/>
    <w:rsid w:val="00E91F54"/>
    <w:rsid w:val="00E921A3"/>
    <w:rsid w:val="00E9233E"/>
    <w:rsid w:val="00E92398"/>
    <w:rsid w:val="00E92796"/>
    <w:rsid w:val="00E92C80"/>
    <w:rsid w:val="00E92DEE"/>
    <w:rsid w:val="00E92FBE"/>
    <w:rsid w:val="00E933D4"/>
    <w:rsid w:val="00E93454"/>
    <w:rsid w:val="00E937C7"/>
    <w:rsid w:val="00E93BB9"/>
    <w:rsid w:val="00E93CDD"/>
    <w:rsid w:val="00E93ED8"/>
    <w:rsid w:val="00E94402"/>
    <w:rsid w:val="00E94B53"/>
    <w:rsid w:val="00E94C39"/>
    <w:rsid w:val="00E94CE2"/>
    <w:rsid w:val="00E94FC4"/>
    <w:rsid w:val="00E95276"/>
    <w:rsid w:val="00E955AC"/>
    <w:rsid w:val="00E95CA1"/>
    <w:rsid w:val="00E960E4"/>
    <w:rsid w:val="00E9640A"/>
    <w:rsid w:val="00E9679B"/>
    <w:rsid w:val="00E967F9"/>
    <w:rsid w:val="00E96810"/>
    <w:rsid w:val="00E96A99"/>
    <w:rsid w:val="00E96ACF"/>
    <w:rsid w:val="00E96B66"/>
    <w:rsid w:val="00E96F9D"/>
    <w:rsid w:val="00E97124"/>
    <w:rsid w:val="00E972BD"/>
    <w:rsid w:val="00E97987"/>
    <w:rsid w:val="00E97B47"/>
    <w:rsid w:val="00E97D0D"/>
    <w:rsid w:val="00EA0030"/>
    <w:rsid w:val="00EA0279"/>
    <w:rsid w:val="00EA0714"/>
    <w:rsid w:val="00EA0725"/>
    <w:rsid w:val="00EA09CB"/>
    <w:rsid w:val="00EA0BEE"/>
    <w:rsid w:val="00EA101C"/>
    <w:rsid w:val="00EA109C"/>
    <w:rsid w:val="00EA116F"/>
    <w:rsid w:val="00EA1366"/>
    <w:rsid w:val="00EA15D6"/>
    <w:rsid w:val="00EA1FF3"/>
    <w:rsid w:val="00EA240B"/>
    <w:rsid w:val="00EA2529"/>
    <w:rsid w:val="00EA27D2"/>
    <w:rsid w:val="00EA2968"/>
    <w:rsid w:val="00EA329B"/>
    <w:rsid w:val="00EA39E8"/>
    <w:rsid w:val="00EA408D"/>
    <w:rsid w:val="00EA4498"/>
    <w:rsid w:val="00EA4777"/>
    <w:rsid w:val="00EA4996"/>
    <w:rsid w:val="00EA4DC2"/>
    <w:rsid w:val="00EA5105"/>
    <w:rsid w:val="00EA5284"/>
    <w:rsid w:val="00EA5882"/>
    <w:rsid w:val="00EA58D9"/>
    <w:rsid w:val="00EA5E5B"/>
    <w:rsid w:val="00EA619F"/>
    <w:rsid w:val="00EA6927"/>
    <w:rsid w:val="00EA6B1A"/>
    <w:rsid w:val="00EA6B6D"/>
    <w:rsid w:val="00EA6D77"/>
    <w:rsid w:val="00EA6E7B"/>
    <w:rsid w:val="00EA7642"/>
    <w:rsid w:val="00EA7C05"/>
    <w:rsid w:val="00EA7C17"/>
    <w:rsid w:val="00EB0953"/>
    <w:rsid w:val="00EB13E6"/>
    <w:rsid w:val="00EB149F"/>
    <w:rsid w:val="00EB15A2"/>
    <w:rsid w:val="00EB1916"/>
    <w:rsid w:val="00EB1929"/>
    <w:rsid w:val="00EB1A5F"/>
    <w:rsid w:val="00EB1C36"/>
    <w:rsid w:val="00EB1F8D"/>
    <w:rsid w:val="00EB2037"/>
    <w:rsid w:val="00EB21E2"/>
    <w:rsid w:val="00EB2519"/>
    <w:rsid w:val="00EB2B4C"/>
    <w:rsid w:val="00EB2C1D"/>
    <w:rsid w:val="00EB327D"/>
    <w:rsid w:val="00EB3307"/>
    <w:rsid w:val="00EB33AE"/>
    <w:rsid w:val="00EB3520"/>
    <w:rsid w:val="00EB39B5"/>
    <w:rsid w:val="00EB3CB7"/>
    <w:rsid w:val="00EB3EFE"/>
    <w:rsid w:val="00EB404E"/>
    <w:rsid w:val="00EB407C"/>
    <w:rsid w:val="00EB41A9"/>
    <w:rsid w:val="00EB46A3"/>
    <w:rsid w:val="00EB49E8"/>
    <w:rsid w:val="00EB4A75"/>
    <w:rsid w:val="00EB5146"/>
    <w:rsid w:val="00EB55A7"/>
    <w:rsid w:val="00EB585D"/>
    <w:rsid w:val="00EB591A"/>
    <w:rsid w:val="00EB5A3D"/>
    <w:rsid w:val="00EB5B88"/>
    <w:rsid w:val="00EB611E"/>
    <w:rsid w:val="00EB636E"/>
    <w:rsid w:val="00EB65A7"/>
    <w:rsid w:val="00EB697D"/>
    <w:rsid w:val="00EB6AD3"/>
    <w:rsid w:val="00EB6D81"/>
    <w:rsid w:val="00EB72BC"/>
    <w:rsid w:val="00EB733C"/>
    <w:rsid w:val="00EB741B"/>
    <w:rsid w:val="00EB75ED"/>
    <w:rsid w:val="00EB7629"/>
    <w:rsid w:val="00EB7A03"/>
    <w:rsid w:val="00EB7EF0"/>
    <w:rsid w:val="00EB7EF1"/>
    <w:rsid w:val="00EB7F4D"/>
    <w:rsid w:val="00EC005A"/>
    <w:rsid w:val="00EC02E5"/>
    <w:rsid w:val="00EC033D"/>
    <w:rsid w:val="00EC05D8"/>
    <w:rsid w:val="00EC092D"/>
    <w:rsid w:val="00EC096C"/>
    <w:rsid w:val="00EC1184"/>
    <w:rsid w:val="00EC147F"/>
    <w:rsid w:val="00EC1518"/>
    <w:rsid w:val="00EC173A"/>
    <w:rsid w:val="00EC245D"/>
    <w:rsid w:val="00EC288D"/>
    <w:rsid w:val="00EC2893"/>
    <w:rsid w:val="00EC2A0C"/>
    <w:rsid w:val="00EC2B1F"/>
    <w:rsid w:val="00EC2B39"/>
    <w:rsid w:val="00EC2B7F"/>
    <w:rsid w:val="00EC2D2B"/>
    <w:rsid w:val="00EC32EA"/>
    <w:rsid w:val="00EC36FE"/>
    <w:rsid w:val="00EC3AED"/>
    <w:rsid w:val="00EC3CF8"/>
    <w:rsid w:val="00EC3D62"/>
    <w:rsid w:val="00EC4046"/>
    <w:rsid w:val="00EC439D"/>
    <w:rsid w:val="00EC46FB"/>
    <w:rsid w:val="00EC488D"/>
    <w:rsid w:val="00EC4894"/>
    <w:rsid w:val="00EC49A0"/>
    <w:rsid w:val="00EC4AD1"/>
    <w:rsid w:val="00EC563D"/>
    <w:rsid w:val="00EC591E"/>
    <w:rsid w:val="00EC594C"/>
    <w:rsid w:val="00EC599D"/>
    <w:rsid w:val="00EC5E7A"/>
    <w:rsid w:val="00EC5F73"/>
    <w:rsid w:val="00EC6106"/>
    <w:rsid w:val="00EC61E0"/>
    <w:rsid w:val="00EC662D"/>
    <w:rsid w:val="00EC6A1C"/>
    <w:rsid w:val="00EC6CC0"/>
    <w:rsid w:val="00EC6CDA"/>
    <w:rsid w:val="00EC6E11"/>
    <w:rsid w:val="00EC6E3B"/>
    <w:rsid w:val="00EC7AB8"/>
    <w:rsid w:val="00EC7B57"/>
    <w:rsid w:val="00EC7D02"/>
    <w:rsid w:val="00ED01CB"/>
    <w:rsid w:val="00ED050D"/>
    <w:rsid w:val="00ED087A"/>
    <w:rsid w:val="00ED0BF3"/>
    <w:rsid w:val="00ED0C42"/>
    <w:rsid w:val="00ED147F"/>
    <w:rsid w:val="00ED1E79"/>
    <w:rsid w:val="00ED1FA5"/>
    <w:rsid w:val="00ED22E0"/>
    <w:rsid w:val="00ED24E3"/>
    <w:rsid w:val="00ED2651"/>
    <w:rsid w:val="00ED27A7"/>
    <w:rsid w:val="00ED2CC8"/>
    <w:rsid w:val="00ED2DF5"/>
    <w:rsid w:val="00ED304E"/>
    <w:rsid w:val="00ED326C"/>
    <w:rsid w:val="00ED32E5"/>
    <w:rsid w:val="00ED33A1"/>
    <w:rsid w:val="00ED35FA"/>
    <w:rsid w:val="00ED3666"/>
    <w:rsid w:val="00ED3A45"/>
    <w:rsid w:val="00ED45DE"/>
    <w:rsid w:val="00ED467A"/>
    <w:rsid w:val="00ED4A52"/>
    <w:rsid w:val="00ED4B13"/>
    <w:rsid w:val="00ED4CF4"/>
    <w:rsid w:val="00ED4D3E"/>
    <w:rsid w:val="00ED513F"/>
    <w:rsid w:val="00ED56EB"/>
    <w:rsid w:val="00ED5757"/>
    <w:rsid w:val="00ED5883"/>
    <w:rsid w:val="00ED599F"/>
    <w:rsid w:val="00ED5A70"/>
    <w:rsid w:val="00ED5DD8"/>
    <w:rsid w:val="00ED5F94"/>
    <w:rsid w:val="00ED6179"/>
    <w:rsid w:val="00ED667A"/>
    <w:rsid w:val="00ED6AFD"/>
    <w:rsid w:val="00ED6C0F"/>
    <w:rsid w:val="00ED6CBF"/>
    <w:rsid w:val="00ED6F56"/>
    <w:rsid w:val="00ED763D"/>
    <w:rsid w:val="00ED76B2"/>
    <w:rsid w:val="00ED76B6"/>
    <w:rsid w:val="00ED7B8A"/>
    <w:rsid w:val="00EE06A0"/>
    <w:rsid w:val="00EE0718"/>
    <w:rsid w:val="00EE082F"/>
    <w:rsid w:val="00EE0874"/>
    <w:rsid w:val="00EE0DDF"/>
    <w:rsid w:val="00EE0F73"/>
    <w:rsid w:val="00EE101B"/>
    <w:rsid w:val="00EE11D2"/>
    <w:rsid w:val="00EE13EC"/>
    <w:rsid w:val="00EE1449"/>
    <w:rsid w:val="00EE1697"/>
    <w:rsid w:val="00EE1702"/>
    <w:rsid w:val="00EE1BF3"/>
    <w:rsid w:val="00EE2133"/>
    <w:rsid w:val="00EE28B0"/>
    <w:rsid w:val="00EE293A"/>
    <w:rsid w:val="00EE2F9E"/>
    <w:rsid w:val="00EE300D"/>
    <w:rsid w:val="00EE3311"/>
    <w:rsid w:val="00EE3456"/>
    <w:rsid w:val="00EE36D7"/>
    <w:rsid w:val="00EE3842"/>
    <w:rsid w:val="00EE3948"/>
    <w:rsid w:val="00EE4400"/>
    <w:rsid w:val="00EE471F"/>
    <w:rsid w:val="00EE47B3"/>
    <w:rsid w:val="00EE4D70"/>
    <w:rsid w:val="00EE4FF5"/>
    <w:rsid w:val="00EE500D"/>
    <w:rsid w:val="00EE5014"/>
    <w:rsid w:val="00EE521D"/>
    <w:rsid w:val="00EE59CC"/>
    <w:rsid w:val="00EE5E30"/>
    <w:rsid w:val="00EE5E76"/>
    <w:rsid w:val="00EE616C"/>
    <w:rsid w:val="00EE6450"/>
    <w:rsid w:val="00EE6632"/>
    <w:rsid w:val="00EE70D9"/>
    <w:rsid w:val="00EE730F"/>
    <w:rsid w:val="00EE7411"/>
    <w:rsid w:val="00EE75A2"/>
    <w:rsid w:val="00EE75D4"/>
    <w:rsid w:val="00EE7BA6"/>
    <w:rsid w:val="00EE7E53"/>
    <w:rsid w:val="00EF05F4"/>
    <w:rsid w:val="00EF0A27"/>
    <w:rsid w:val="00EF1073"/>
    <w:rsid w:val="00EF132C"/>
    <w:rsid w:val="00EF140E"/>
    <w:rsid w:val="00EF1B03"/>
    <w:rsid w:val="00EF1F7C"/>
    <w:rsid w:val="00EF25F3"/>
    <w:rsid w:val="00EF2922"/>
    <w:rsid w:val="00EF2C83"/>
    <w:rsid w:val="00EF2DB4"/>
    <w:rsid w:val="00EF2E32"/>
    <w:rsid w:val="00EF2F56"/>
    <w:rsid w:val="00EF32AC"/>
    <w:rsid w:val="00EF383D"/>
    <w:rsid w:val="00EF3AA0"/>
    <w:rsid w:val="00EF472A"/>
    <w:rsid w:val="00EF4E32"/>
    <w:rsid w:val="00EF521E"/>
    <w:rsid w:val="00EF5250"/>
    <w:rsid w:val="00EF5937"/>
    <w:rsid w:val="00EF5ABF"/>
    <w:rsid w:val="00EF5CC0"/>
    <w:rsid w:val="00EF6109"/>
    <w:rsid w:val="00EF635B"/>
    <w:rsid w:val="00EF65A6"/>
    <w:rsid w:val="00EF6780"/>
    <w:rsid w:val="00EF6CBE"/>
    <w:rsid w:val="00EF7252"/>
    <w:rsid w:val="00EF726E"/>
    <w:rsid w:val="00EF7543"/>
    <w:rsid w:val="00EF7932"/>
    <w:rsid w:val="00EF7C10"/>
    <w:rsid w:val="00EF7CFD"/>
    <w:rsid w:val="00EF7E6E"/>
    <w:rsid w:val="00F0014C"/>
    <w:rsid w:val="00F00235"/>
    <w:rsid w:val="00F00345"/>
    <w:rsid w:val="00F00A0E"/>
    <w:rsid w:val="00F00B68"/>
    <w:rsid w:val="00F00C18"/>
    <w:rsid w:val="00F00C2C"/>
    <w:rsid w:val="00F00D96"/>
    <w:rsid w:val="00F014C6"/>
    <w:rsid w:val="00F015CC"/>
    <w:rsid w:val="00F01603"/>
    <w:rsid w:val="00F01879"/>
    <w:rsid w:val="00F01C62"/>
    <w:rsid w:val="00F023B8"/>
    <w:rsid w:val="00F02520"/>
    <w:rsid w:val="00F03016"/>
    <w:rsid w:val="00F03381"/>
    <w:rsid w:val="00F033C1"/>
    <w:rsid w:val="00F03A5D"/>
    <w:rsid w:val="00F03A71"/>
    <w:rsid w:val="00F03B0B"/>
    <w:rsid w:val="00F03C3F"/>
    <w:rsid w:val="00F03C44"/>
    <w:rsid w:val="00F043B7"/>
    <w:rsid w:val="00F047C3"/>
    <w:rsid w:val="00F048AE"/>
    <w:rsid w:val="00F04921"/>
    <w:rsid w:val="00F04B66"/>
    <w:rsid w:val="00F04DA9"/>
    <w:rsid w:val="00F04EF2"/>
    <w:rsid w:val="00F05631"/>
    <w:rsid w:val="00F05929"/>
    <w:rsid w:val="00F06032"/>
    <w:rsid w:val="00F0617F"/>
    <w:rsid w:val="00F064D6"/>
    <w:rsid w:val="00F0680F"/>
    <w:rsid w:val="00F0769A"/>
    <w:rsid w:val="00F07FCB"/>
    <w:rsid w:val="00F10234"/>
    <w:rsid w:val="00F10385"/>
    <w:rsid w:val="00F10648"/>
    <w:rsid w:val="00F106C7"/>
    <w:rsid w:val="00F10911"/>
    <w:rsid w:val="00F10DDE"/>
    <w:rsid w:val="00F11569"/>
    <w:rsid w:val="00F116FC"/>
    <w:rsid w:val="00F117C2"/>
    <w:rsid w:val="00F11BAD"/>
    <w:rsid w:val="00F11E93"/>
    <w:rsid w:val="00F12052"/>
    <w:rsid w:val="00F121AE"/>
    <w:rsid w:val="00F12536"/>
    <w:rsid w:val="00F12BFC"/>
    <w:rsid w:val="00F12CCF"/>
    <w:rsid w:val="00F12D62"/>
    <w:rsid w:val="00F13338"/>
    <w:rsid w:val="00F133FD"/>
    <w:rsid w:val="00F135CD"/>
    <w:rsid w:val="00F13794"/>
    <w:rsid w:val="00F142C3"/>
    <w:rsid w:val="00F14B21"/>
    <w:rsid w:val="00F14C0C"/>
    <w:rsid w:val="00F14EA6"/>
    <w:rsid w:val="00F14F09"/>
    <w:rsid w:val="00F1529B"/>
    <w:rsid w:val="00F15362"/>
    <w:rsid w:val="00F15739"/>
    <w:rsid w:val="00F1589C"/>
    <w:rsid w:val="00F15B62"/>
    <w:rsid w:val="00F15BE8"/>
    <w:rsid w:val="00F15DFC"/>
    <w:rsid w:val="00F15FBE"/>
    <w:rsid w:val="00F15FEF"/>
    <w:rsid w:val="00F161C4"/>
    <w:rsid w:val="00F162C9"/>
    <w:rsid w:val="00F1678E"/>
    <w:rsid w:val="00F16871"/>
    <w:rsid w:val="00F16AEB"/>
    <w:rsid w:val="00F16E67"/>
    <w:rsid w:val="00F16F1B"/>
    <w:rsid w:val="00F17078"/>
    <w:rsid w:val="00F17081"/>
    <w:rsid w:val="00F17568"/>
    <w:rsid w:val="00F175AC"/>
    <w:rsid w:val="00F17C00"/>
    <w:rsid w:val="00F20393"/>
    <w:rsid w:val="00F20AA4"/>
    <w:rsid w:val="00F20D23"/>
    <w:rsid w:val="00F21023"/>
    <w:rsid w:val="00F21166"/>
    <w:rsid w:val="00F212BC"/>
    <w:rsid w:val="00F2133F"/>
    <w:rsid w:val="00F21701"/>
    <w:rsid w:val="00F220F0"/>
    <w:rsid w:val="00F22163"/>
    <w:rsid w:val="00F22DBF"/>
    <w:rsid w:val="00F22FAF"/>
    <w:rsid w:val="00F2339B"/>
    <w:rsid w:val="00F233DD"/>
    <w:rsid w:val="00F2342D"/>
    <w:rsid w:val="00F2353A"/>
    <w:rsid w:val="00F239D7"/>
    <w:rsid w:val="00F239E2"/>
    <w:rsid w:val="00F23C67"/>
    <w:rsid w:val="00F240ED"/>
    <w:rsid w:val="00F2421A"/>
    <w:rsid w:val="00F243E5"/>
    <w:rsid w:val="00F244FA"/>
    <w:rsid w:val="00F248D9"/>
    <w:rsid w:val="00F24A62"/>
    <w:rsid w:val="00F250E5"/>
    <w:rsid w:val="00F255FB"/>
    <w:rsid w:val="00F258D4"/>
    <w:rsid w:val="00F25A52"/>
    <w:rsid w:val="00F25D4F"/>
    <w:rsid w:val="00F25E86"/>
    <w:rsid w:val="00F25F24"/>
    <w:rsid w:val="00F2606E"/>
    <w:rsid w:val="00F26121"/>
    <w:rsid w:val="00F262DD"/>
    <w:rsid w:val="00F263F0"/>
    <w:rsid w:val="00F2650A"/>
    <w:rsid w:val="00F265CE"/>
    <w:rsid w:val="00F2664F"/>
    <w:rsid w:val="00F26775"/>
    <w:rsid w:val="00F26859"/>
    <w:rsid w:val="00F26C85"/>
    <w:rsid w:val="00F26E2D"/>
    <w:rsid w:val="00F26E98"/>
    <w:rsid w:val="00F26EE3"/>
    <w:rsid w:val="00F26EED"/>
    <w:rsid w:val="00F27532"/>
    <w:rsid w:val="00F276E5"/>
    <w:rsid w:val="00F27909"/>
    <w:rsid w:val="00F3002B"/>
    <w:rsid w:val="00F306AB"/>
    <w:rsid w:val="00F30735"/>
    <w:rsid w:val="00F30EE0"/>
    <w:rsid w:val="00F311F9"/>
    <w:rsid w:val="00F3150F"/>
    <w:rsid w:val="00F31664"/>
    <w:rsid w:val="00F316B8"/>
    <w:rsid w:val="00F31719"/>
    <w:rsid w:val="00F31CD7"/>
    <w:rsid w:val="00F31D4D"/>
    <w:rsid w:val="00F31FF9"/>
    <w:rsid w:val="00F326A8"/>
    <w:rsid w:val="00F326C4"/>
    <w:rsid w:val="00F32AB0"/>
    <w:rsid w:val="00F32C11"/>
    <w:rsid w:val="00F32D4C"/>
    <w:rsid w:val="00F32D75"/>
    <w:rsid w:val="00F3309C"/>
    <w:rsid w:val="00F33144"/>
    <w:rsid w:val="00F3336D"/>
    <w:rsid w:val="00F33762"/>
    <w:rsid w:val="00F33891"/>
    <w:rsid w:val="00F339A2"/>
    <w:rsid w:val="00F340C4"/>
    <w:rsid w:val="00F341E9"/>
    <w:rsid w:val="00F34482"/>
    <w:rsid w:val="00F3478F"/>
    <w:rsid w:val="00F34933"/>
    <w:rsid w:val="00F34BD3"/>
    <w:rsid w:val="00F35301"/>
    <w:rsid w:val="00F3542B"/>
    <w:rsid w:val="00F355A5"/>
    <w:rsid w:val="00F3573D"/>
    <w:rsid w:val="00F359B0"/>
    <w:rsid w:val="00F36343"/>
    <w:rsid w:val="00F3676B"/>
    <w:rsid w:val="00F36980"/>
    <w:rsid w:val="00F36EA1"/>
    <w:rsid w:val="00F3722E"/>
    <w:rsid w:val="00F37237"/>
    <w:rsid w:val="00F379B7"/>
    <w:rsid w:val="00F37AA6"/>
    <w:rsid w:val="00F37AB7"/>
    <w:rsid w:val="00F37BFA"/>
    <w:rsid w:val="00F37F17"/>
    <w:rsid w:val="00F40326"/>
    <w:rsid w:val="00F40528"/>
    <w:rsid w:val="00F40700"/>
    <w:rsid w:val="00F40730"/>
    <w:rsid w:val="00F40DBE"/>
    <w:rsid w:val="00F41513"/>
    <w:rsid w:val="00F418B3"/>
    <w:rsid w:val="00F41975"/>
    <w:rsid w:val="00F41AE7"/>
    <w:rsid w:val="00F41B21"/>
    <w:rsid w:val="00F41B8A"/>
    <w:rsid w:val="00F42031"/>
    <w:rsid w:val="00F42441"/>
    <w:rsid w:val="00F42509"/>
    <w:rsid w:val="00F42555"/>
    <w:rsid w:val="00F42682"/>
    <w:rsid w:val="00F4294A"/>
    <w:rsid w:val="00F42EE4"/>
    <w:rsid w:val="00F42EE8"/>
    <w:rsid w:val="00F42F41"/>
    <w:rsid w:val="00F437B4"/>
    <w:rsid w:val="00F437D3"/>
    <w:rsid w:val="00F44123"/>
    <w:rsid w:val="00F443A2"/>
    <w:rsid w:val="00F44565"/>
    <w:rsid w:val="00F44D89"/>
    <w:rsid w:val="00F450B4"/>
    <w:rsid w:val="00F45760"/>
    <w:rsid w:val="00F45841"/>
    <w:rsid w:val="00F459DC"/>
    <w:rsid w:val="00F45C0A"/>
    <w:rsid w:val="00F45C2B"/>
    <w:rsid w:val="00F45DF1"/>
    <w:rsid w:val="00F46031"/>
    <w:rsid w:val="00F4614C"/>
    <w:rsid w:val="00F462E1"/>
    <w:rsid w:val="00F46408"/>
    <w:rsid w:val="00F46454"/>
    <w:rsid w:val="00F465AB"/>
    <w:rsid w:val="00F4672C"/>
    <w:rsid w:val="00F4677B"/>
    <w:rsid w:val="00F469D4"/>
    <w:rsid w:val="00F4710F"/>
    <w:rsid w:val="00F47A38"/>
    <w:rsid w:val="00F47C3F"/>
    <w:rsid w:val="00F47CC6"/>
    <w:rsid w:val="00F47F34"/>
    <w:rsid w:val="00F47F79"/>
    <w:rsid w:val="00F504A9"/>
    <w:rsid w:val="00F508DD"/>
    <w:rsid w:val="00F50BD5"/>
    <w:rsid w:val="00F50C1F"/>
    <w:rsid w:val="00F50CC1"/>
    <w:rsid w:val="00F51369"/>
    <w:rsid w:val="00F51B4B"/>
    <w:rsid w:val="00F51FDA"/>
    <w:rsid w:val="00F5205A"/>
    <w:rsid w:val="00F5238B"/>
    <w:rsid w:val="00F52409"/>
    <w:rsid w:val="00F526D6"/>
    <w:rsid w:val="00F52808"/>
    <w:rsid w:val="00F52883"/>
    <w:rsid w:val="00F52AFA"/>
    <w:rsid w:val="00F53AB5"/>
    <w:rsid w:val="00F53F40"/>
    <w:rsid w:val="00F540EB"/>
    <w:rsid w:val="00F542CE"/>
    <w:rsid w:val="00F549BC"/>
    <w:rsid w:val="00F54A26"/>
    <w:rsid w:val="00F54CBE"/>
    <w:rsid w:val="00F54DA7"/>
    <w:rsid w:val="00F555C1"/>
    <w:rsid w:val="00F555F1"/>
    <w:rsid w:val="00F55A8F"/>
    <w:rsid w:val="00F55E1C"/>
    <w:rsid w:val="00F55EB4"/>
    <w:rsid w:val="00F5622B"/>
    <w:rsid w:val="00F56320"/>
    <w:rsid w:val="00F56332"/>
    <w:rsid w:val="00F565B0"/>
    <w:rsid w:val="00F56CEF"/>
    <w:rsid w:val="00F57063"/>
    <w:rsid w:val="00F571AE"/>
    <w:rsid w:val="00F572B8"/>
    <w:rsid w:val="00F57622"/>
    <w:rsid w:val="00F57D76"/>
    <w:rsid w:val="00F600CB"/>
    <w:rsid w:val="00F602AC"/>
    <w:rsid w:val="00F60717"/>
    <w:rsid w:val="00F61065"/>
    <w:rsid w:val="00F6107F"/>
    <w:rsid w:val="00F61142"/>
    <w:rsid w:val="00F617C5"/>
    <w:rsid w:val="00F619F9"/>
    <w:rsid w:val="00F61EFB"/>
    <w:rsid w:val="00F621E5"/>
    <w:rsid w:val="00F6228C"/>
    <w:rsid w:val="00F623A2"/>
    <w:rsid w:val="00F62442"/>
    <w:rsid w:val="00F625B2"/>
    <w:rsid w:val="00F628EA"/>
    <w:rsid w:val="00F62B26"/>
    <w:rsid w:val="00F62CF9"/>
    <w:rsid w:val="00F62F9F"/>
    <w:rsid w:val="00F636BD"/>
    <w:rsid w:val="00F637C1"/>
    <w:rsid w:val="00F63886"/>
    <w:rsid w:val="00F63986"/>
    <w:rsid w:val="00F63A18"/>
    <w:rsid w:val="00F6403E"/>
    <w:rsid w:val="00F64176"/>
    <w:rsid w:val="00F6418E"/>
    <w:rsid w:val="00F6420E"/>
    <w:rsid w:val="00F6444D"/>
    <w:rsid w:val="00F648FF"/>
    <w:rsid w:val="00F64B49"/>
    <w:rsid w:val="00F64B66"/>
    <w:rsid w:val="00F64C47"/>
    <w:rsid w:val="00F64F11"/>
    <w:rsid w:val="00F64F8A"/>
    <w:rsid w:val="00F650CE"/>
    <w:rsid w:val="00F65323"/>
    <w:rsid w:val="00F6567B"/>
    <w:rsid w:val="00F65A04"/>
    <w:rsid w:val="00F6600E"/>
    <w:rsid w:val="00F665DD"/>
    <w:rsid w:val="00F66CF5"/>
    <w:rsid w:val="00F66E35"/>
    <w:rsid w:val="00F66F55"/>
    <w:rsid w:val="00F66FC8"/>
    <w:rsid w:val="00F67038"/>
    <w:rsid w:val="00F673B1"/>
    <w:rsid w:val="00F67913"/>
    <w:rsid w:val="00F67FA3"/>
    <w:rsid w:val="00F7002B"/>
    <w:rsid w:val="00F7059A"/>
    <w:rsid w:val="00F7095F"/>
    <w:rsid w:val="00F7124C"/>
    <w:rsid w:val="00F71343"/>
    <w:rsid w:val="00F713AA"/>
    <w:rsid w:val="00F71755"/>
    <w:rsid w:val="00F71798"/>
    <w:rsid w:val="00F71998"/>
    <w:rsid w:val="00F71AB3"/>
    <w:rsid w:val="00F71C51"/>
    <w:rsid w:val="00F71E63"/>
    <w:rsid w:val="00F7207B"/>
    <w:rsid w:val="00F720DA"/>
    <w:rsid w:val="00F7242A"/>
    <w:rsid w:val="00F72684"/>
    <w:rsid w:val="00F72884"/>
    <w:rsid w:val="00F72923"/>
    <w:rsid w:val="00F72BF1"/>
    <w:rsid w:val="00F730C1"/>
    <w:rsid w:val="00F73185"/>
    <w:rsid w:val="00F737A9"/>
    <w:rsid w:val="00F7400E"/>
    <w:rsid w:val="00F74058"/>
    <w:rsid w:val="00F740B7"/>
    <w:rsid w:val="00F740E3"/>
    <w:rsid w:val="00F7431D"/>
    <w:rsid w:val="00F7445B"/>
    <w:rsid w:val="00F74D4D"/>
    <w:rsid w:val="00F74D81"/>
    <w:rsid w:val="00F7500E"/>
    <w:rsid w:val="00F751EA"/>
    <w:rsid w:val="00F755A3"/>
    <w:rsid w:val="00F75A91"/>
    <w:rsid w:val="00F7619D"/>
    <w:rsid w:val="00F76A30"/>
    <w:rsid w:val="00F76DD6"/>
    <w:rsid w:val="00F774E1"/>
    <w:rsid w:val="00F77AA5"/>
    <w:rsid w:val="00F80291"/>
    <w:rsid w:val="00F8069A"/>
    <w:rsid w:val="00F80B8B"/>
    <w:rsid w:val="00F80BE7"/>
    <w:rsid w:val="00F80F27"/>
    <w:rsid w:val="00F81099"/>
    <w:rsid w:val="00F81406"/>
    <w:rsid w:val="00F81677"/>
    <w:rsid w:val="00F81917"/>
    <w:rsid w:val="00F81B26"/>
    <w:rsid w:val="00F81C49"/>
    <w:rsid w:val="00F81C81"/>
    <w:rsid w:val="00F82025"/>
    <w:rsid w:val="00F8220F"/>
    <w:rsid w:val="00F822C5"/>
    <w:rsid w:val="00F822D6"/>
    <w:rsid w:val="00F824E0"/>
    <w:rsid w:val="00F82AFD"/>
    <w:rsid w:val="00F82FA8"/>
    <w:rsid w:val="00F830DC"/>
    <w:rsid w:val="00F83668"/>
    <w:rsid w:val="00F836F3"/>
    <w:rsid w:val="00F83BB6"/>
    <w:rsid w:val="00F83C8C"/>
    <w:rsid w:val="00F83E0B"/>
    <w:rsid w:val="00F83E66"/>
    <w:rsid w:val="00F83FD9"/>
    <w:rsid w:val="00F842FD"/>
    <w:rsid w:val="00F846AE"/>
    <w:rsid w:val="00F84732"/>
    <w:rsid w:val="00F84D40"/>
    <w:rsid w:val="00F8514B"/>
    <w:rsid w:val="00F851EF"/>
    <w:rsid w:val="00F85DA4"/>
    <w:rsid w:val="00F85F94"/>
    <w:rsid w:val="00F86448"/>
    <w:rsid w:val="00F86B86"/>
    <w:rsid w:val="00F870D7"/>
    <w:rsid w:val="00F871CA"/>
    <w:rsid w:val="00F871E1"/>
    <w:rsid w:val="00F874AD"/>
    <w:rsid w:val="00F87C22"/>
    <w:rsid w:val="00F90487"/>
    <w:rsid w:val="00F9059B"/>
    <w:rsid w:val="00F90D24"/>
    <w:rsid w:val="00F91767"/>
    <w:rsid w:val="00F91F3F"/>
    <w:rsid w:val="00F9224D"/>
    <w:rsid w:val="00F92308"/>
    <w:rsid w:val="00F92490"/>
    <w:rsid w:val="00F92523"/>
    <w:rsid w:val="00F92593"/>
    <w:rsid w:val="00F92602"/>
    <w:rsid w:val="00F929BC"/>
    <w:rsid w:val="00F92F98"/>
    <w:rsid w:val="00F930A6"/>
    <w:rsid w:val="00F932EE"/>
    <w:rsid w:val="00F9333C"/>
    <w:rsid w:val="00F93948"/>
    <w:rsid w:val="00F939FD"/>
    <w:rsid w:val="00F93AD1"/>
    <w:rsid w:val="00F93B9B"/>
    <w:rsid w:val="00F93CC4"/>
    <w:rsid w:val="00F93D1E"/>
    <w:rsid w:val="00F94004"/>
    <w:rsid w:val="00F94805"/>
    <w:rsid w:val="00F948C7"/>
    <w:rsid w:val="00F9492D"/>
    <w:rsid w:val="00F94A57"/>
    <w:rsid w:val="00F94C40"/>
    <w:rsid w:val="00F9513B"/>
    <w:rsid w:val="00F9531F"/>
    <w:rsid w:val="00F95400"/>
    <w:rsid w:val="00F95499"/>
    <w:rsid w:val="00F955D0"/>
    <w:rsid w:val="00F95686"/>
    <w:rsid w:val="00F95951"/>
    <w:rsid w:val="00F959A4"/>
    <w:rsid w:val="00F95B48"/>
    <w:rsid w:val="00F95BF6"/>
    <w:rsid w:val="00F95C7E"/>
    <w:rsid w:val="00F95DB9"/>
    <w:rsid w:val="00F96043"/>
    <w:rsid w:val="00F960F4"/>
    <w:rsid w:val="00F9624B"/>
    <w:rsid w:val="00F963D3"/>
    <w:rsid w:val="00F964DC"/>
    <w:rsid w:val="00F966D2"/>
    <w:rsid w:val="00F96866"/>
    <w:rsid w:val="00F96A56"/>
    <w:rsid w:val="00F96C8D"/>
    <w:rsid w:val="00F96DC1"/>
    <w:rsid w:val="00F979C1"/>
    <w:rsid w:val="00F97A38"/>
    <w:rsid w:val="00F97ADF"/>
    <w:rsid w:val="00F97FBB"/>
    <w:rsid w:val="00FA0B85"/>
    <w:rsid w:val="00FA0BE2"/>
    <w:rsid w:val="00FA0CC5"/>
    <w:rsid w:val="00FA0CE6"/>
    <w:rsid w:val="00FA10C8"/>
    <w:rsid w:val="00FA1717"/>
    <w:rsid w:val="00FA1761"/>
    <w:rsid w:val="00FA18F8"/>
    <w:rsid w:val="00FA1AD8"/>
    <w:rsid w:val="00FA29B1"/>
    <w:rsid w:val="00FA2A58"/>
    <w:rsid w:val="00FA2AD3"/>
    <w:rsid w:val="00FA2C43"/>
    <w:rsid w:val="00FA3043"/>
    <w:rsid w:val="00FA3335"/>
    <w:rsid w:val="00FA34B5"/>
    <w:rsid w:val="00FA35DD"/>
    <w:rsid w:val="00FA3692"/>
    <w:rsid w:val="00FA373F"/>
    <w:rsid w:val="00FA37C8"/>
    <w:rsid w:val="00FA3810"/>
    <w:rsid w:val="00FA3CB7"/>
    <w:rsid w:val="00FA3EB8"/>
    <w:rsid w:val="00FA3F60"/>
    <w:rsid w:val="00FA4009"/>
    <w:rsid w:val="00FA4029"/>
    <w:rsid w:val="00FA40FC"/>
    <w:rsid w:val="00FA43A1"/>
    <w:rsid w:val="00FA4605"/>
    <w:rsid w:val="00FA4642"/>
    <w:rsid w:val="00FA4E7E"/>
    <w:rsid w:val="00FA4F87"/>
    <w:rsid w:val="00FA511E"/>
    <w:rsid w:val="00FA52E1"/>
    <w:rsid w:val="00FA536D"/>
    <w:rsid w:val="00FA5721"/>
    <w:rsid w:val="00FA5ADB"/>
    <w:rsid w:val="00FA5D82"/>
    <w:rsid w:val="00FA61AE"/>
    <w:rsid w:val="00FA6246"/>
    <w:rsid w:val="00FA6A5C"/>
    <w:rsid w:val="00FA6C8A"/>
    <w:rsid w:val="00FA6CDF"/>
    <w:rsid w:val="00FA701F"/>
    <w:rsid w:val="00FA720F"/>
    <w:rsid w:val="00FA76BF"/>
    <w:rsid w:val="00FA7886"/>
    <w:rsid w:val="00FA7C35"/>
    <w:rsid w:val="00FA7E33"/>
    <w:rsid w:val="00FB04F9"/>
    <w:rsid w:val="00FB052F"/>
    <w:rsid w:val="00FB054C"/>
    <w:rsid w:val="00FB06B9"/>
    <w:rsid w:val="00FB074D"/>
    <w:rsid w:val="00FB0D9F"/>
    <w:rsid w:val="00FB140A"/>
    <w:rsid w:val="00FB163A"/>
    <w:rsid w:val="00FB1C88"/>
    <w:rsid w:val="00FB1FAF"/>
    <w:rsid w:val="00FB2155"/>
    <w:rsid w:val="00FB252B"/>
    <w:rsid w:val="00FB27B4"/>
    <w:rsid w:val="00FB30D2"/>
    <w:rsid w:val="00FB37D8"/>
    <w:rsid w:val="00FB37FF"/>
    <w:rsid w:val="00FB39E9"/>
    <w:rsid w:val="00FB3D43"/>
    <w:rsid w:val="00FB3FD2"/>
    <w:rsid w:val="00FB41C7"/>
    <w:rsid w:val="00FB4762"/>
    <w:rsid w:val="00FB495D"/>
    <w:rsid w:val="00FB4A0D"/>
    <w:rsid w:val="00FB4B75"/>
    <w:rsid w:val="00FB4F42"/>
    <w:rsid w:val="00FB5084"/>
    <w:rsid w:val="00FB52E5"/>
    <w:rsid w:val="00FB5502"/>
    <w:rsid w:val="00FB595F"/>
    <w:rsid w:val="00FB616F"/>
    <w:rsid w:val="00FB6326"/>
    <w:rsid w:val="00FB64F1"/>
    <w:rsid w:val="00FB66F2"/>
    <w:rsid w:val="00FB67D1"/>
    <w:rsid w:val="00FB67E8"/>
    <w:rsid w:val="00FB6867"/>
    <w:rsid w:val="00FB689E"/>
    <w:rsid w:val="00FB6C2E"/>
    <w:rsid w:val="00FB6CC5"/>
    <w:rsid w:val="00FB7028"/>
    <w:rsid w:val="00FB7131"/>
    <w:rsid w:val="00FB722F"/>
    <w:rsid w:val="00FB7293"/>
    <w:rsid w:val="00FB7307"/>
    <w:rsid w:val="00FB7315"/>
    <w:rsid w:val="00FB778F"/>
    <w:rsid w:val="00FB7887"/>
    <w:rsid w:val="00FB7AE9"/>
    <w:rsid w:val="00FB7FFD"/>
    <w:rsid w:val="00FC003B"/>
    <w:rsid w:val="00FC0130"/>
    <w:rsid w:val="00FC02FA"/>
    <w:rsid w:val="00FC07A9"/>
    <w:rsid w:val="00FC0844"/>
    <w:rsid w:val="00FC0861"/>
    <w:rsid w:val="00FC0BAA"/>
    <w:rsid w:val="00FC1115"/>
    <w:rsid w:val="00FC11DD"/>
    <w:rsid w:val="00FC1230"/>
    <w:rsid w:val="00FC15A9"/>
    <w:rsid w:val="00FC1788"/>
    <w:rsid w:val="00FC1E25"/>
    <w:rsid w:val="00FC1EC1"/>
    <w:rsid w:val="00FC2050"/>
    <w:rsid w:val="00FC213C"/>
    <w:rsid w:val="00FC2215"/>
    <w:rsid w:val="00FC2505"/>
    <w:rsid w:val="00FC28BE"/>
    <w:rsid w:val="00FC2A9E"/>
    <w:rsid w:val="00FC2D68"/>
    <w:rsid w:val="00FC33D3"/>
    <w:rsid w:val="00FC3C13"/>
    <w:rsid w:val="00FC3D36"/>
    <w:rsid w:val="00FC3F31"/>
    <w:rsid w:val="00FC40B8"/>
    <w:rsid w:val="00FC4224"/>
    <w:rsid w:val="00FC434E"/>
    <w:rsid w:val="00FC43F0"/>
    <w:rsid w:val="00FC4504"/>
    <w:rsid w:val="00FC4610"/>
    <w:rsid w:val="00FC4CDC"/>
    <w:rsid w:val="00FC4E15"/>
    <w:rsid w:val="00FC53E9"/>
    <w:rsid w:val="00FC5E10"/>
    <w:rsid w:val="00FC5E33"/>
    <w:rsid w:val="00FC605B"/>
    <w:rsid w:val="00FC6331"/>
    <w:rsid w:val="00FC656A"/>
    <w:rsid w:val="00FC65E9"/>
    <w:rsid w:val="00FC667B"/>
    <w:rsid w:val="00FC66A8"/>
    <w:rsid w:val="00FC6865"/>
    <w:rsid w:val="00FC691D"/>
    <w:rsid w:val="00FC6BAA"/>
    <w:rsid w:val="00FC6CA2"/>
    <w:rsid w:val="00FC72E4"/>
    <w:rsid w:val="00FC79A7"/>
    <w:rsid w:val="00FC7C2F"/>
    <w:rsid w:val="00FC7E20"/>
    <w:rsid w:val="00FD009E"/>
    <w:rsid w:val="00FD01B8"/>
    <w:rsid w:val="00FD0212"/>
    <w:rsid w:val="00FD04DB"/>
    <w:rsid w:val="00FD0722"/>
    <w:rsid w:val="00FD0910"/>
    <w:rsid w:val="00FD0BCD"/>
    <w:rsid w:val="00FD0BD2"/>
    <w:rsid w:val="00FD0C40"/>
    <w:rsid w:val="00FD0C89"/>
    <w:rsid w:val="00FD0F53"/>
    <w:rsid w:val="00FD1215"/>
    <w:rsid w:val="00FD1288"/>
    <w:rsid w:val="00FD1464"/>
    <w:rsid w:val="00FD15D7"/>
    <w:rsid w:val="00FD181F"/>
    <w:rsid w:val="00FD1B37"/>
    <w:rsid w:val="00FD1F76"/>
    <w:rsid w:val="00FD2213"/>
    <w:rsid w:val="00FD24AF"/>
    <w:rsid w:val="00FD256C"/>
    <w:rsid w:val="00FD2666"/>
    <w:rsid w:val="00FD2C3F"/>
    <w:rsid w:val="00FD2F63"/>
    <w:rsid w:val="00FD30A3"/>
    <w:rsid w:val="00FD30C6"/>
    <w:rsid w:val="00FD32C6"/>
    <w:rsid w:val="00FD3706"/>
    <w:rsid w:val="00FD37F2"/>
    <w:rsid w:val="00FD38E2"/>
    <w:rsid w:val="00FD38ED"/>
    <w:rsid w:val="00FD3C10"/>
    <w:rsid w:val="00FD415C"/>
    <w:rsid w:val="00FD4385"/>
    <w:rsid w:val="00FD4C9B"/>
    <w:rsid w:val="00FD4CF8"/>
    <w:rsid w:val="00FD52A0"/>
    <w:rsid w:val="00FD5383"/>
    <w:rsid w:val="00FD583D"/>
    <w:rsid w:val="00FD5C3D"/>
    <w:rsid w:val="00FD5DF7"/>
    <w:rsid w:val="00FD6A00"/>
    <w:rsid w:val="00FD6AD9"/>
    <w:rsid w:val="00FD6B53"/>
    <w:rsid w:val="00FD6E99"/>
    <w:rsid w:val="00FD6F7E"/>
    <w:rsid w:val="00FD6FB3"/>
    <w:rsid w:val="00FD6FF2"/>
    <w:rsid w:val="00FD7017"/>
    <w:rsid w:val="00FD7088"/>
    <w:rsid w:val="00FD7324"/>
    <w:rsid w:val="00FD7C8D"/>
    <w:rsid w:val="00FE0304"/>
    <w:rsid w:val="00FE04F0"/>
    <w:rsid w:val="00FE05AC"/>
    <w:rsid w:val="00FE07D0"/>
    <w:rsid w:val="00FE0866"/>
    <w:rsid w:val="00FE0E23"/>
    <w:rsid w:val="00FE10C6"/>
    <w:rsid w:val="00FE155C"/>
    <w:rsid w:val="00FE158A"/>
    <w:rsid w:val="00FE19EE"/>
    <w:rsid w:val="00FE19F9"/>
    <w:rsid w:val="00FE1D0A"/>
    <w:rsid w:val="00FE2166"/>
    <w:rsid w:val="00FE21C1"/>
    <w:rsid w:val="00FE21F4"/>
    <w:rsid w:val="00FE24BD"/>
    <w:rsid w:val="00FE28E4"/>
    <w:rsid w:val="00FE2D0D"/>
    <w:rsid w:val="00FE2F05"/>
    <w:rsid w:val="00FE3314"/>
    <w:rsid w:val="00FE3363"/>
    <w:rsid w:val="00FE34F4"/>
    <w:rsid w:val="00FE38E0"/>
    <w:rsid w:val="00FE3DA2"/>
    <w:rsid w:val="00FE4082"/>
    <w:rsid w:val="00FE40FB"/>
    <w:rsid w:val="00FE43D2"/>
    <w:rsid w:val="00FE4405"/>
    <w:rsid w:val="00FE4652"/>
    <w:rsid w:val="00FE4707"/>
    <w:rsid w:val="00FE4889"/>
    <w:rsid w:val="00FE4BA0"/>
    <w:rsid w:val="00FE512D"/>
    <w:rsid w:val="00FE5478"/>
    <w:rsid w:val="00FE5915"/>
    <w:rsid w:val="00FE5B22"/>
    <w:rsid w:val="00FE66D6"/>
    <w:rsid w:val="00FE67E3"/>
    <w:rsid w:val="00FE6A61"/>
    <w:rsid w:val="00FE6F89"/>
    <w:rsid w:val="00FE7768"/>
    <w:rsid w:val="00FE7B05"/>
    <w:rsid w:val="00FE7E79"/>
    <w:rsid w:val="00FF002A"/>
    <w:rsid w:val="00FF01B7"/>
    <w:rsid w:val="00FF0340"/>
    <w:rsid w:val="00FF0356"/>
    <w:rsid w:val="00FF0737"/>
    <w:rsid w:val="00FF0790"/>
    <w:rsid w:val="00FF0954"/>
    <w:rsid w:val="00FF097D"/>
    <w:rsid w:val="00FF09C3"/>
    <w:rsid w:val="00FF0B8C"/>
    <w:rsid w:val="00FF0BA9"/>
    <w:rsid w:val="00FF0CC1"/>
    <w:rsid w:val="00FF0E0E"/>
    <w:rsid w:val="00FF1407"/>
    <w:rsid w:val="00FF1DE8"/>
    <w:rsid w:val="00FF25B1"/>
    <w:rsid w:val="00FF29D6"/>
    <w:rsid w:val="00FF2B18"/>
    <w:rsid w:val="00FF2C3E"/>
    <w:rsid w:val="00FF2E49"/>
    <w:rsid w:val="00FF2F19"/>
    <w:rsid w:val="00FF354D"/>
    <w:rsid w:val="00FF363A"/>
    <w:rsid w:val="00FF3963"/>
    <w:rsid w:val="00FF3AFF"/>
    <w:rsid w:val="00FF4127"/>
    <w:rsid w:val="00FF41F9"/>
    <w:rsid w:val="00FF4206"/>
    <w:rsid w:val="00FF42F2"/>
    <w:rsid w:val="00FF43DA"/>
    <w:rsid w:val="00FF4667"/>
    <w:rsid w:val="00FF4924"/>
    <w:rsid w:val="00FF4AFB"/>
    <w:rsid w:val="00FF4C2D"/>
    <w:rsid w:val="00FF4D91"/>
    <w:rsid w:val="00FF50CF"/>
    <w:rsid w:val="00FF532B"/>
    <w:rsid w:val="00FF579E"/>
    <w:rsid w:val="00FF5EAA"/>
    <w:rsid w:val="00FF60A2"/>
    <w:rsid w:val="00FF65D5"/>
    <w:rsid w:val="00FF6719"/>
    <w:rsid w:val="00FF6972"/>
    <w:rsid w:val="00FF69C9"/>
    <w:rsid w:val="00FF6A35"/>
    <w:rsid w:val="00FF6BAA"/>
    <w:rsid w:val="00FF6CAE"/>
    <w:rsid w:val="00FF6D35"/>
    <w:rsid w:val="00FF6D3E"/>
    <w:rsid w:val="00FF6E87"/>
    <w:rsid w:val="00FF6FE9"/>
    <w:rsid w:val="00FF702B"/>
    <w:rsid w:val="00FF719C"/>
    <w:rsid w:val="00FF7322"/>
    <w:rsid w:val="00FF737E"/>
    <w:rsid w:val="00FF749D"/>
    <w:rsid w:val="00FF7756"/>
    <w:rsid w:val="00FF7803"/>
    <w:rsid w:val="00FF798E"/>
    <w:rsid w:val="00FF7D96"/>
    <w:rsid w:val="00FF7E2A"/>
    <w:rsid w:val="0197D708"/>
    <w:rsid w:val="02A917FC"/>
    <w:rsid w:val="03A189C4"/>
    <w:rsid w:val="055EA3FE"/>
    <w:rsid w:val="061FEDD3"/>
    <w:rsid w:val="06CE4EEE"/>
    <w:rsid w:val="07551FCB"/>
    <w:rsid w:val="0C3B4CE7"/>
    <w:rsid w:val="0ED52D00"/>
    <w:rsid w:val="0FC60DE1"/>
    <w:rsid w:val="1071B0E2"/>
    <w:rsid w:val="11CB97A8"/>
    <w:rsid w:val="137ADBD9"/>
    <w:rsid w:val="15542DFD"/>
    <w:rsid w:val="17FCD28B"/>
    <w:rsid w:val="1A1537BB"/>
    <w:rsid w:val="1BA07435"/>
    <w:rsid w:val="1C134A84"/>
    <w:rsid w:val="1CCC3DAE"/>
    <w:rsid w:val="1FCB3BD9"/>
    <w:rsid w:val="203A0A9D"/>
    <w:rsid w:val="20417DCF"/>
    <w:rsid w:val="214317C1"/>
    <w:rsid w:val="21B8B1ED"/>
    <w:rsid w:val="22052F31"/>
    <w:rsid w:val="23C7FB3C"/>
    <w:rsid w:val="23E65E46"/>
    <w:rsid w:val="243618D9"/>
    <w:rsid w:val="2746F551"/>
    <w:rsid w:val="277CC82C"/>
    <w:rsid w:val="28D7D15A"/>
    <w:rsid w:val="2CA54ABA"/>
    <w:rsid w:val="2DFC6817"/>
    <w:rsid w:val="2E63BB06"/>
    <w:rsid w:val="2EF06540"/>
    <w:rsid w:val="2FF6591E"/>
    <w:rsid w:val="304DEB54"/>
    <w:rsid w:val="31054B6C"/>
    <w:rsid w:val="313DA914"/>
    <w:rsid w:val="32378408"/>
    <w:rsid w:val="32C5DF1A"/>
    <w:rsid w:val="32EBF731"/>
    <w:rsid w:val="35A24C40"/>
    <w:rsid w:val="35F84874"/>
    <w:rsid w:val="37314B9F"/>
    <w:rsid w:val="37920966"/>
    <w:rsid w:val="37C3B582"/>
    <w:rsid w:val="38AB57C5"/>
    <w:rsid w:val="38ADE289"/>
    <w:rsid w:val="3C1C71F6"/>
    <w:rsid w:val="3C43BD89"/>
    <w:rsid w:val="3E859C65"/>
    <w:rsid w:val="3FFAA818"/>
    <w:rsid w:val="4088AF89"/>
    <w:rsid w:val="416CF8EE"/>
    <w:rsid w:val="41F5CB71"/>
    <w:rsid w:val="43998AFB"/>
    <w:rsid w:val="44FB43A7"/>
    <w:rsid w:val="45070AC8"/>
    <w:rsid w:val="45B099BE"/>
    <w:rsid w:val="4640E2EE"/>
    <w:rsid w:val="4A0A2209"/>
    <w:rsid w:val="4B1D36A6"/>
    <w:rsid w:val="4BD71ADC"/>
    <w:rsid w:val="4D70EFF4"/>
    <w:rsid w:val="4F144E73"/>
    <w:rsid w:val="4F8250B5"/>
    <w:rsid w:val="518C9930"/>
    <w:rsid w:val="51F6135E"/>
    <w:rsid w:val="55ECC07C"/>
    <w:rsid w:val="5681FFCC"/>
    <w:rsid w:val="56D97F19"/>
    <w:rsid w:val="5A9D5BE8"/>
    <w:rsid w:val="5AA5F232"/>
    <w:rsid w:val="5B0F3FF9"/>
    <w:rsid w:val="5D0876C5"/>
    <w:rsid w:val="5D77DA76"/>
    <w:rsid w:val="5E7D60DC"/>
    <w:rsid w:val="5E95FAEF"/>
    <w:rsid w:val="5F554F32"/>
    <w:rsid w:val="5FD2E213"/>
    <w:rsid w:val="60D85F01"/>
    <w:rsid w:val="612507A9"/>
    <w:rsid w:val="61D9AD4A"/>
    <w:rsid w:val="62826E1E"/>
    <w:rsid w:val="635CDD3A"/>
    <w:rsid w:val="63D4CE53"/>
    <w:rsid w:val="63E1A4CF"/>
    <w:rsid w:val="64E9C703"/>
    <w:rsid w:val="65A995C3"/>
    <w:rsid w:val="67793BF1"/>
    <w:rsid w:val="686948DA"/>
    <w:rsid w:val="69716BAE"/>
    <w:rsid w:val="6BD56AED"/>
    <w:rsid w:val="6C0091E8"/>
    <w:rsid w:val="6D3EF4B1"/>
    <w:rsid w:val="6F517F40"/>
    <w:rsid w:val="708C7CDE"/>
    <w:rsid w:val="72D2016A"/>
    <w:rsid w:val="755C5B0A"/>
    <w:rsid w:val="7593BDB9"/>
    <w:rsid w:val="772357C8"/>
    <w:rsid w:val="78F84FE9"/>
    <w:rsid w:val="79CDCDF5"/>
    <w:rsid w:val="79EA940F"/>
    <w:rsid w:val="7A7CDA96"/>
    <w:rsid w:val="7B6B0997"/>
    <w:rsid w:val="7BA8A7C8"/>
    <w:rsid w:val="7C468C93"/>
    <w:rsid w:val="7CB18207"/>
    <w:rsid w:val="7D2538BB"/>
    <w:rsid w:val="7D7ECC70"/>
    <w:rsid w:val="7E78E9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18557D"/>
  <w15:docId w15:val="{42377A28-2331-4496-90FF-D0FF8CE05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5C24D2"/>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5C24D2"/>
    <w:pPr>
      <w:keepNext/>
      <w:keepLines/>
      <w:numPr>
        <w:ilvl w:val="1"/>
        <w:numId w:val="11"/>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24D2"/>
    <w:pPr>
      <w:keepNext/>
      <w:keepLines/>
      <w:numPr>
        <w:ilvl w:val="2"/>
        <w:numId w:val="11"/>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24D2"/>
    <w:pPr>
      <w:numPr>
        <w:ilvl w:val="3"/>
        <w:numId w:val="11"/>
      </w:numPr>
      <w:tabs>
        <w:tab w:val="clear" w:pos="851"/>
        <w:tab w:val="num" w:pos="426"/>
      </w:tabs>
      <w:spacing w:before="200"/>
      <w:ind w:left="426"/>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aliases w:val="Footnote Text Char Char Char Char,Footnote Text Char Char Char Char Char Char,Footnote Text1,Footnote Text Char Char Char Char Char Char1,Footnote Text Char Char Char Char Char Char Char,Footnote Text1 Char Char Char,fn,FT,ft"/>
    <w:basedOn w:val="Normal"/>
    <w:link w:val="FootnoteTextChar"/>
    <w:uiPriority w:val="99"/>
    <w:qFormat/>
    <w:rsid w:val="00EB327D"/>
    <w:pPr>
      <w:keepLines/>
      <w:tabs>
        <w:tab w:val="left" w:pos="340"/>
      </w:tabs>
      <w:spacing w:before="0" w:after="60" w:line="180" w:lineRule="atLeast"/>
    </w:pPr>
    <w:rPr>
      <w:sz w:val="18"/>
    </w:rPr>
  </w:style>
  <w:style w:type="character" w:styleId="FootnoteReference">
    <w:name w:val="footnote reference"/>
    <w:basedOn w:val="DefaultParagraphFont"/>
    <w:uiPriority w:val="99"/>
    <w:unhideWhenUsed/>
    <w:qFormat/>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CFFD4" w:themeFill="accent1" w:themeFillTint="33"/>
    </w:tcPr>
    <w:tblStylePr w:type="firstRow">
      <w:rPr>
        <w:b/>
        <w:bCs/>
      </w:rPr>
      <w:tblPr/>
      <w:tcPr>
        <w:shd w:val="clear" w:color="auto" w:fill="79FFA9" w:themeFill="accent1" w:themeFillTint="66"/>
      </w:tcPr>
    </w:tblStylePr>
    <w:tblStylePr w:type="lastRow">
      <w:rPr>
        <w:b/>
        <w:bCs/>
        <w:color w:val="232222" w:themeColor="text1"/>
      </w:rPr>
      <w:tblPr/>
      <w:tcPr>
        <w:shd w:val="clear" w:color="auto" w:fill="79FFA9" w:themeFill="accent1" w:themeFillTint="66"/>
      </w:tcPr>
    </w:tblStylePr>
    <w:tblStylePr w:type="firstCol">
      <w:rPr>
        <w:color w:val="FFFFFF" w:themeColor="background1"/>
      </w:rPr>
      <w:tblPr/>
      <w:tcPr>
        <w:shd w:val="clear" w:color="auto" w:fill="00842F" w:themeFill="accent1" w:themeFillShade="BF"/>
      </w:tcPr>
    </w:tblStylePr>
    <w:tblStylePr w:type="lastCol">
      <w:rPr>
        <w:color w:val="FFFFFF" w:themeColor="background1"/>
      </w:rPr>
      <w:tblPr/>
      <w:tcPr>
        <w:shd w:val="clear" w:color="auto" w:fill="00842F" w:themeFill="accent1" w:themeFillShade="BF"/>
      </w:tc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7D3" w:themeFill="accent2" w:themeFillTint="33"/>
    </w:tcPr>
    <w:tblStylePr w:type="firstRow">
      <w:rPr>
        <w:b/>
        <w:bCs/>
      </w:rPr>
      <w:tblPr/>
      <w:tcPr>
        <w:shd w:val="clear" w:color="auto" w:fill="FEEFA7" w:themeFill="accent2" w:themeFillTint="66"/>
      </w:tcPr>
    </w:tblStylePr>
    <w:tblStylePr w:type="lastRow">
      <w:rPr>
        <w:b/>
        <w:bCs/>
        <w:color w:val="232222" w:themeColor="text1"/>
      </w:rPr>
      <w:tblPr/>
      <w:tcPr>
        <w:shd w:val="clear" w:color="auto" w:fill="FEEFA7" w:themeFill="accent2" w:themeFillTint="66"/>
      </w:tcPr>
    </w:tblStylePr>
    <w:tblStylePr w:type="firstCol">
      <w:rPr>
        <w:color w:val="FFFFFF" w:themeColor="background1"/>
      </w:rPr>
      <w:tblPr/>
      <w:tcPr>
        <w:shd w:val="clear" w:color="auto" w:fill="D6B302" w:themeFill="accent2" w:themeFillShade="BF"/>
      </w:tcPr>
    </w:tblStylePr>
    <w:tblStylePr w:type="lastCol">
      <w:rPr>
        <w:color w:val="FFFFFF" w:themeColor="background1"/>
      </w:rPr>
      <w:tblPr/>
      <w:tcPr>
        <w:shd w:val="clear" w:color="auto" w:fill="D6B302" w:themeFill="accent2" w:themeFillShade="BF"/>
      </w:tc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F5E7" w:themeFill="accent5" w:themeFillTint="33"/>
    </w:tcPr>
    <w:tblStylePr w:type="firstRow">
      <w:rPr>
        <w:b/>
        <w:bCs/>
      </w:rPr>
      <w:tblPr/>
      <w:tcPr>
        <w:shd w:val="clear" w:color="auto" w:fill="C1ECD0" w:themeFill="accent5" w:themeFillTint="66"/>
      </w:tcPr>
    </w:tblStylePr>
    <w:tblStylePr w:type="lastRow">
      <w:rPr>
        <w:b/>
        <w:bCs/>
        <w:color w:val="232222" w:themeColor="text1"/>
      </w:rPr>
      <w:tblPr/>
      <w:tcPr>
        <w:shd w:val="clear" w:color="auto" w:fill="C1ECD0" w:themeFill="accent5" w:themeFillTint="66"/>
      </w:tcPr>
    </w:tblStylePr>
    <w:tblStylePr w:type="firstCol">
      <w:rPr>
        <w:color w:val="FFFFFF" w:themeColor="background1"/>
      </w:rPr>
      <w:tblPr/>
      <w:tcPr>
        <w:shd w:val="clear" w:color="auto" w:fill="36B162" w:themeFill="accent5" w:themeFillShade="BF"/>
      </w:tcPr>
    </w:tblStylePr>
    <w:tblStylePr w:type="lastCol">
      <w:rPr>
        <w:color w:val="FFFFFF" w:themeColor="background1"/>
      </w:rPr>
      <w:tblPr/>
      <w:tcPr>
        <w:shd w:val="clear" w:color="auto" w:fill="36B162" w:themeFill="accent5" w:themeFillShade="BF"/>
      </w:tc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EFAE4" w:themeFill="accent6" w:themeFillTint="33"/>
    </w:tcPr>
    <w:tblStylePr w:type="firstRow">
      <w:rPr>
        <w:b/>
        <w:bCs/>
      </w:rPr>
      <w:tblPr/>
      <w:tcPr>
        <w:shd w:val="clear" w:color="auto" w:fill="FEF6CA" w:themeFill="accent6" w:themeFillTint="66"/>
      </w:tcPr>
    </w:tblStylePr>
    <w:tblStylePr w:type="lastRow">
      <w:rPr>
        <w:b/>
        <w:bCs/>
        <w:color w:val="232222" w:themeColor="text1"/>
      </w:rPr>
      <w:tblPr/>
      <w:tcPr>
        <w:shd w:val="clear" w:color="auto" w:fill="FEF6CA" w:themeFill="accent6" w:themeFillTint="66"/>
      </w:tcPr>
    </w:tblStylePr>
    <w:tblStylePr w:type="firstCol">
      <w:rPr>
        <w:color w:val="FFFFFF" w:themeColor="background1"/>
      </w:rPr>
      <w:tblPr/>
      <w:tcPr>
        <w:shd w:val="clear" w:color="auto" w:fill="FDD81D" w:themeFill="accent6" w:themeFillShade="BF"/>
      </w:tcPr>
    </w:tblStylePr>
    <w:tblStylePr w:type="lastCol">
      <w:rPr>
        <w:color w:val="FFFFFF" w:themeColor="background1"/>
      </w:rPr>
      <w:tblPr/>
      <w:tcPr>
        <w:shd w:val="clear" w:color="auto" w:fill="FDD81D" w:themeFill="accent6" w:themeFillShade="BF"/>
      </w:tc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EFFEA" w:themeFill="accen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1" w:themeFillTint="3F"/>
      </w:tcPr>
    </w:tblStylePr>
    <w:tblStylePr w:type="band1Horz">
      <w:tblPr/>
      <w:tcPr>
        <w:shd w:val="clear" w:color="auto" w:fill="BCFF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EFBE9" w:themeFill="accent2"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8" w:themeFill="accent2" w:themeFillTint="3F"/>
      </w:tcPr>
    </w:tblStylePr>
    <w:tblStylePr w:type="band1Horz">
      <w:tblPr/>
      <w:tcPr>
        <w:shd w:val="clear" w:color="auto" w:fill="FEF7D3"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AF3" w:themeFill="accent5" w:themeFillTint="19"/>
    </w:tcPr>
    <w:tblStylePr w:type="firstRow">
      <w:rPr>
        <w:b/>
        <w:bCs/>
        <w:color w:val="FFFFFF" w:themeColor="background1"/>
      </w:rPr>
      <w:tblPr/>
      <w:tcPr>
        <w:tcBorders>
          <w:bottom w:val="single" w:sz="12" w:space="0" w:color="FFFFFF" w:themeColor="background1"/>
        </w:tcBorders>
        <w:shd w:val="clear" w:color="auto" w:fill="FDDB30" w:themeFill="accent6" w:themeFillShade="CC"/>
      </w:tcPr>
    </w:tblStylePr>
    <w:tblStylePr w:type="lastRow">
      <w:rPr>
        <w:b/>
        <w:bCs/>
        <w:color w:val="FDDB30"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E2" w:themeFill="accent5" w:themeFillTint="3F"/>
      </w:tcPr>
    </w:tblStylePr>
    <w:tblStylePr w:type="band1Horz">
      <w:tblPr/>
      <w:tcPr>
        <w:shd w:val="clear" w:color="auto" w:fill="E0F5E7"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CF2" w:themeFill="accent6" w:themeFillTint="19"/>
    </w:tcPr>
    <w:tblStylePr w:type="firstRow">
      <w:rPr>
        <w:b/>
        <w:bCs/>
        <w:color w:val="FFFFFF" w:themeColor="background1"/>
      </w:rPr>
      <w:tblPr/>
      <w:tcPr>
        <w:tcBorders>
          <w:bottom w:val="single" w:sz="12" w:space="0" w:color="FFFFFF" w:themeColor="background1"/>
        </w:tcBorders>
        <w:shd w:val="clear" w:color="auto" w:fill="3ABD69" w:themeFill="accent5" w:themeFillShade="CC"/>
      </w:tcPr>
    </w:tblStylePr>
    <w:tblStylePr w:type="lastRow">
      <w:rPr>
        <w:b/>
        <w:bCs/>
        <w:color w:val="3ABD6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DE" w:themeFill="accent6" w:themeFillTint="3F"/>
      </w:tcPr>
    </w:tblStylePr>
    <w:tblStylePr w:type="band1Horz">
      <w:tblPr/>
      <w:tcPr>
        <w:shd w:val="clear" w:color="auto" w:fill="FEFA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DDA24"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DDA24" w:themeColor="accent2"/>
        <w:left w:val="single" w:sz="4" w:space="0" w:color="00B140" w:themeColor="accent1"/>
        <w:bottom w:val="single" w:sz="4" w:space="0" w:color="00B140" w:themeColor="accent1"/>
        <w:right w:val="single" w:sz="4" w:space="0" w:color="00B140" w:themeColor="accent1"/>
        <w:insideH w:val="single" w:sz="4" w:space="0" w:color="FFFFFF" w:themeColor="background1"/>
        <w:insideV w:val="single" w:sz="4" w:space="0" w:color="FFFFFF" w:themeColor="background1"/>
      </w:tblBorders>
    </w:tblPr>
    <w:tcPr>
      <w:shd w:val="clear" w:color="auto" w:fill="DEFFEA" w:themeFill="accen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1" w:themeFillShade="99"/>
      </w:tcPr>
    </w:tblStylePr>
    <w:tblStylePr w:type="firstCol">
      <w:rPr>
        <w:color w:val="FFFFFF" w:themeColor="background1"/>
      </w:rPr>
      <w:tblPr/>
      <w:tcPr>
        <w:tcBorders>
          <w:top w:val="nil"/>
          <w:left w:val="nil"/>
          <w:bottom w:val="nil"/>
          <w:right w:val="nil"/>
          <w:insideH w:val="single" w:sz="4" w:space="0" w:color="006A26" w:themeColor="accent1" w:themeShade="99"/>
          <w:insideV w:val="nil"/>
        </w:tcBorders>
        <w:shd w:val="clear" w:color="auto" w:fill="006A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1" w:themeFillShade="99"/>
      </w:tcPr>
    </w:tblStylePr>
    <w:tblStylePr w:type="band1Vert">
      <w:tblPr/>
      <w:tcPr>
        <w:shd w:val="clear" w:color="auto" w:fill="79FFA9" w:themeFill="accent1" w:themeFillTint="66"/>
      </w:tcPr>
    </w:tblStylePr>
    <w:tblStylePr w:type="band1Horz">
      <w:tblPr/>
      <w:tcPr>
        <w:shd w:val="clear" w:color="auto" w:fill="59FF94"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DDA24" w:themeColor="accent2"/>
        <w:left w:val="single" w:sz="4" w:space="0" w:color="FDDA24" w:themeColor="accent2"/>
        <w:bottom w:val="single" w:sz="4" w:space="0" w:color="FDDA24" w:themeColor="accent2"/>
        <w:right w:val="single" w:sz="4" w:space="0" w:color="FDDA24" w:themeColor="accent2"/>
        <w:insideH w:val="single" w:sz="4" w:space="0" w:color="FFFFFF" w:themeColor="background1"/>
        <w:insideV w:val="single" w:sz="4" w:space="0" w:color="FFFFFF" w:themeColor="background1"/>
      </w:tblBorders>
    </w:tblPr>
    <w:tcPr>
      <w:shd w:val="clear" w:color="auto" w:fill="FEFBE9" w:themeFill="accent2"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8F01" w:themeFill="accent2" w:themeFillShade="99"/>
      </w:tcPr>
    </w:tblStylePr>
    <w:tblStylePr w:type="firstCol">
      <w:rPr>
        <w:color w:val="FFFFFF" w:themeColor="background1"/>
      </w:rPr>
      <w:tblPr/>
      <w:tcPr>
        <w:tcBorders>
          <w:top w:val="nil"/>
          <w:left w:val="nil"/>
          <w:bottom w:val="nil"/>
          <w:right w:val="nil"/>
          <w:insideH w:val="single" w:sz="4" w:space="0" w:color="AB8F01" w:themeColor="accent2" w:themeShade="99"/>
          <w:insideV w:val="nil"/>
        </w:tcBorders>
        <w:shd w:val="clear" w:color="auto" w:fill="AB8F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8F01" w:themeFill="accent2" w:themeFillShade="99"/>
      </w:tcPr>
    </w:tblStylePr>
    <w:tblStylePr w:type="band1Vert">
      <w:tblPr/>
      <w:tcPr>
        <w:shd w:val="clear" w:color="auto" w:fill="FEEFA7" w:themeFill="accent2" w:themeFillTint="66"/>
      </w:tcPr>
    </w:tblStylePr>
    <w:tblStylePr w:type="band1Horz">
      <w:tblPr/>
      <w:tcPr>
        <w:shd w:val="clear" w:color="auto" w:fill="FEEC91"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EE97C" w:themeColor="accent6"/>
        <w:left w:val="single" w:sz="4" w:space="0" w:color="66D08C" w:themeColor="accent5"/>
        <w:bottom w:val="single" w:sz="4" w:space="0" w:color="66D08C" w:themeColor="accent5"/>
        <w:right w:val="single" w:sz="4" w:space="0" w:color="66D08C" w:themeColor="accent5"/>
        <w:insideH w:val="single" w:sz="4" w:space="0" w:color="FFFFFF" w:themeColor="background1"/>
        <w:insideV w:val="single" w:sz="4" w:space="0" w:color="FFFFFF" w:themeColor="background1"/>
      </w:tblBorders>
    </w:tblPr>
    <w:tcPr>
      <w:shd w:val="clear" w:color="auto" w:fill="EFFAF3" w:themeFill="accent5" w:themeFillTint="19"/>
    </w:tcPr>
    <w:tblStylePr w:type="firstRow">
      <w:rPr>
        <w:b/>
        <w:bCs/>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E4E" w:themeFill="accent5" w:themeFillShade="99"/>
      </w:tcPr>
    </w:tblStylePr>
    <w:tblStylePr w:type="firstCol">
      <w:rPr>
        <w:color w:val="FFFFFF" w:themeColor="background1"/>
      </w:rPr>
      <w:tblPr/>
      <w:tcPr>
        <w:tcBorders>
          <w:top w:val="nil"/>
          <w:left w:val="nil"/>
          <w:bottom w:val="nil"/>
          <w:right w:val="nil"/>
          <w:insideH w:val="single" w:sz="4" w:space="0" w:color="2B8E4E" w:themeColor="accent5" w:themeShade="99"/>
          <w:insideV w:val="nil"/>
        </w:tcBorders>
        <w:shd w:val="clear" w:color="auto" w:fill="2B8E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B8E4E" w:themeFill="accent5" w:themeFillShade="99"/>
      </w:tcPr>
    </w:tblStylePr>
    <w:tblStylePr w:type="band1Vert">
      <w:tblPr/>
      <w:tcPr>
        <w:shd w:val="clear" w:color="auto" w:fill="C1ECD0" w:themeFill="accent5" w:themeFillTint="66"/>
      </w:tcPr>
    </w:tblStylePr>
    <w:tblStylePr w:type="band1Horz">
      <w:tblPr/>
      <w:tcPr>
        <w:shd w:val="clear" w:color="auto" w:fill="B2E7C5"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D08C" w:themeColor="accent5"/>
        <w:left w:val="single" w:sz="4" w:space="0" w:color="FEE97C" w:themeColor="accent6"/>
        <w:bottom w:val="single" w:sz="4" w:space="0" w:color="FEE97C" w:themeColor="accent6"/>
        <w:right w:val="single" w:sz="4" w:space="0" w:color="FEE97C" w:themeColor="accent6"/>
        <w:insideH w:val="single" w:sz="4" w:space="0" w:color="FFFFFF" w:themeColor="background1"/>
        <w:insideV w:val="single" w:sz="4" w:space="0" w:color="FFFFFF" w:themeColor="background1"/>
      </w:tblBorders>
    </w:tblPr>
    <w:tcPr>
      <w:shd w:val="clear" w:color="auto" w:fill="FFFCF2" w:themeFill="accent6" w:themeFillTint="19"/>
    </w:tcPr>
    <w:tblStylePr w:type="firstRow">
      <w:rPr>
        <w:b/>
        <w:bCs/>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BC01" w:themeFill="accent6" w:themeFillShade="99"/>
      </w:tcPr>
    </w:tblStylePr>
    <w:tblStylePr w:type="firstCol">
      <w:rPr>
        <w:color w:val="FFFFFF" w:themeColor="background1"/>
      </w:rPr>
      <w:tblPr/>
      <w:tcPr>
        <w:tcBorders>
          <w:top w:val="nil"/>
          <w:left w:val="nil"/>
          <w:bottom w:val="nil"/>
          <w:right w:val="nil"/>
          <w:insideH w:val="single" w:sz="4" w:space="0" w:color="E0BC01" w:themeColor="accent6" w:themeShade="99"/>
          <w:insideV w:val="nil"/>
        </w:tcBorders>
        <w:shd w:val="clear" w:color="auto" w:fill="E0BC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BC01" w:themeFill="accent6" w:themeFillShade="99"/>
      </w:tcPr>
    </w:tblStylePr>
    <w:tblStylePr w:type="band1Vert">
      <w:tblPr/>
      <w:tcPr>
        <w:shd w:val="clear" w:color="auto" w:fill="FEF6CA" w:themeFill="accent6" w:themeFillTint="66"/>
      </w:tcPr>
    </w:tblStylePr>
    <w:tblStylePr w:type="band1Horz">
      <w:tblPr/>
      <w:tcPr>
        <w:shd w:val="clear" w:color="auto" w:fill="FEF3BD"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B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1" w:themeFillShade="BF"/>
      </w:tcPr>
    </w:tblStylePr>
    <w:tblStylePr w:type="band1Vert">
      <w:tblPr/>
      <w:tcPr>
        <w:tcBorders>
          <w:top w:val="nil"/>
          <w:left w:val="nil"/>
          <w:bottom w:val="nil"/>
          <w:right w:val="nil"/>
          <w:insideH w:val="nil"/>
          <w:insideV w:val="nil"/>
        </w:tcBorders>
        <w:shd w:val="clear" w:color="auto" w:fill="00842F" w:themeFill="accent1" w:themeFillShade="BF"/>
      </w:tcPr>
    </w:tblStylePr>
    <w:tblStylePr w:type="band1Horz">
      <w:tblPr/>
      <w:tcPr>
        <w:tcBorders>
          <w:top w:val="nil"/>
          <w:left w:val="nil"/>
          <w:bottom w:val="nil"/>
          <w:right w:val="nil"/>
          <w:insideH w:val="nil"/>
          <w:insideV w:val="nil"/>
        </w:tcBorders>
        <w:shd w:val="clear" w:color="auto" w:fill="00842F"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DDA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77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B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B302" w:themeFill="accent2" w:themeFillShade="BF"/>
      </w:tcPr>
    </w:tblStylePr>
    <w:tblStylePr w:type="band1Vert">
      <w:tblPr/>
      <w:tcPr>
        <w:tcBorders>
          <w:top w:val="nil"/>
          <w:left w:val="nil"/>
          <w:bottom w:val="nil"/>
          <w:right w:val="nil"/>
          <w:insideH w:val="nil"/>
          <w:insideV w:val="nil"/>
        </w:tcBorders>
        <w:shd w:val="clear" w:color="auto" w:fill="D6B302" w:themeFill="accent2" w:themeFillShade="BF"/>
      </w:tcPr>
    </w:tblStylePr>
    <w:tblStylePr w:type="band1Horz">
      <w:tblPr/>
      <w:tcPr>
        <w:tcBorders>
          <w:top w:val="nil"/>
          <w:left w:val="nil"/>
          <w:bottom w:val="nil"/>
          <w:right w:val="nil"/>
          <w:insideH w:val="nil"/>
          <w:insideV w:val="nil"/>
        </w:tcBorders>
        <w:shd w:val="clear" w:color="auto" w:fill="D6B302"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D0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476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6B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6B162" w:themeFill="accent5" w:themeFillShade="BF"/>
      </w:tcPr>
    </w:tblStylePr>
    <w:tblStylePr w:type="band1Vert">
      <w:tblPr/>
      <w:tcPr>
        <w:tcBorders>
          <w:top w:val="nil"/>
          <w:left w:val="nil"/>
          <w:bottom w:val="nil"/>
          <w:right w:val="nil"/>
          <w:insideH w:val="nil"/>
          <w:insideV w:val="nil"/>
        </w:tcBorders>
        <w:shd w:val="clear" w:color="auto" w:fill="36B162" w:themeFill="accent5" w:themeFillShade="BF"/>
      </w:tcPr>
    </w:tblStylePr>
    <w:tblStylePr w:type="band1Horz">
      <w:tblPr/>
      <w:tcPr>
        <w:tcBorders>
          <w:top w:val="nil"/>
          <w:left w:val="nil"/>
          <w:bottom w:val="nil"/>
          <w:right w:val="nil"/>
          <w:insideH w:val="nil"/>
          <w:insideV w:val="nil"/>
        </w:tcBorders>
        <w:shd w:val="clear" w:color="auto" w:fill="36B16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EE97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A9C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D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D81D" w:themeFill="accent6" w:themeFillShade="BF"/>
      </w:tcPr>
    </w:tblStylePr>
    <w:tblStylePr w:type="band1Vert">
      <w:tblPr/>
      <w:tcPr>
        <w:tcBorders>
          <w:top w:val="nil"/>
          <w:left w:val="nil"/>
          <w:bottom w:val="nil"/>
          <w:right w:val="nil"/>
          <w:insideH w:val="nil"/>
          <w:insideV w:val="nil"/>
        </w:tcBorders>
        <w:shd w:val="clear" w:color="auto" w:fill="FDD81D" w:themeFill="accent6" w:themeFillShade="BF"/>
      </w:tcPr>
    </w:tblStylePr>
    <w:tblStylePr w:type="band1Horz">
      <w:tblPr/>
      <w:tcPr>
        <w:tcBorders>
          <w:top w:val="nil"/>
          <w:left w:val="nil"/>
          <w:bottom w:val="nil"/>
          <w:right w:val="nil"/>
          <w:insideH w:val="nil"/>
          <w:insideV w:val="nil"/>
        </w:tcBorders>
        <w:shd w:val="clear" w:color="auto" w:fill="FDD81D"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9FFA9" w:themeColor="accent1" w:themeTint="66"/>
        <w:left w:val="single" w:sz="4" w:space="0" w:color="79FFA9" w:themeColor="accent1" w:themeTint="66"/>
        <w:bottom w:val="single" w:sz="4" w:space="0" w:color="79FFA9" w:themeColor="accent1" w:themeTint="66"/>
        <w:right w:val="single" w:sz="4" w:space="0" w:color="79FFA9" w:themeColor="accent1" w:themeTint="66"/>
        <w:insideH w:val="single" w:sz="4" w:space="0" w:color="79FFA9" w:themeColor="accent1" w:themeTint="66"/>
        <w:insideV w:val="single" w:sz="4" w:space="0" w:color="79FFA9" w:themeColor="accent1" w:themeTint="66"/>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2" w:space="0" w:color="37FF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EFA7" w:themeColor="accent2" w:themeTint="66"/>
        <w:left w:val="single" w:sz="4" w:space="0" w:color="FEEFA7" w:themeColor="accent2" w:themeTint="66"/>
        <w:bottom w:val="single" w:sz="4" w:space="0" w:color="FEEFA7" w:themeColor="accent2" w:themeTint="66"/>
        <w:right w:val="single" w:sz="4" w:space="0" w:color="FEEFA7" w:themeColor="accent2" w:themeTint="66"/>
        <w:insideH w:val="single" w:sz="4" w:space="0" w:color="FEEFA7" w:themeColor="accent2" w:themeTint="66"/>
        <w:insideV w:val="single" w:sz="4" w:space="0" w:color="FEEFA7" w:themeColor="accent2" w:themeTint="66"/>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2" w:space="0" w:color="FDE87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ECD0" w:themeColor="accent5" w:themeTint="66"/>
        <w:left w:val="single" w:sz="4" w:space="0" w:color="C1ECD0" w:themeColor="accent5" w:themeTint="66"/>
        <w:bottom w:val="single" w:sz="4" w:space="0" w:color="C1ECD0" w:themeColor="accent5" w:themeTint="66"/>
        <w:right w:val="single" w:sz="4" w:space="0" w:color="C1ECD0" w:themeColor="accent5" w:themeTint="66"/>
        <w:insideH w:val="single" w:sz="4" w:space="0" w:color="C1ECD0" w:themeColor="accent5" w:themeTint="66"/>
        <w:insideV w:val="single" w:sz="4" w:space="0" w:color="C1ECD0" w:themeColor="accent5" w:themeTint="66"/>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2" w:space="0" w:color="A3E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EF6CA" w:themeColor="accent6" w:themeTint="66"/>
        <w:left w:val="single" w:sz="4" w:space="0" w:color="FEF6CA" w:themeColor="accent6" w:themeTint="66"/>
        <w:bottom w:val="single" w:sz="4" w:space="0" w:color="FEF6CA" w:themeColor="accent6" w:themeTint="66"/>
        <w:right w:val="single" w:sz="4" w:space="0" w:color="FEF6CA" w:themeColor="accent6" w:themeTint="66"/>
        <w:insideH w:val="single" w:sz="4" w:space="0" w:color="FEF6CA" w:themeColor="accent6" w:themeTint="66"/>
        <w:insideV w:val="single" w:sz="4" w:space="0" w:color="FEF6CA" w:themeColor="accent6" w:themeTint="66"/>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2" w:space="0" w:color="FEF1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37FF7F" w:themeColor="accent1" w:themeTint="99"/>
        <w:bottom w:val="single" w:sz="2" w:space="0" w:color="37FF7F" w:themeColor="accent1" w:themeTint="99"/>
        <w:insideH w:val="single" w:sz="2" w:space="0" w:color="37FF7F" w:themeColor="accent1" w:themeTint="99"/>
        <w:insideV w:val="single" w:sz="2" w:space="0" w:color="37FF7F" w:themeColor="accent1" w:themeTint="99"/>
      </w:tblBorders>
    </w:tblPr>
    <w:tblStylePr w:type="firstRow">
      <w:rPr>
        <w:b/>
        <w:bCs/>
      </w:rPr>
      <w:tblPr/>
      <w:tcPr>
        <w:tcBorders>
          <w:top w:val="nil"/>
          <w:bottom w:val="single" w:sz="12" w:space="0" w:color="37FF7F" w:themeColor="accent1" w:themeTint="99"/>
          <w:insideH w:val="nil"/>
          <w:insideV w:val="nil"/>
        </w:tcBorders>
        <w:shd w:val="clear" w:color="auto" w:fill="FFFFFF" w:themeFill="background1"/>
      </w:tcPr>
    </w:tblStylePr>
    <w:tblStylePr w:type="lastRow">
      <w:rPr>
        <w:b/>
        <w:bCs/>
      </w:rPr>
      <w:tblPr/>
      <w:tcPr>
        <w:tcBorders>
          <w:top w:val="double" w:sz="2" w:space="0" w:color="37FF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DE87B" w:themeColor="accent2" w:themeTint="99"/>
        <w:bottom w:val="single" w:sz="2" w:space="0" w:color="FDE87B" w:themeColor="accent2" w:themeTint="99"/>
        <w:insideH w:val="single" w:sz="2" w:space="0" w:color="FDE87B" w:themeColor="accent2" w:themeTint="99"/>
        <w:insideV w:val="single" w:sz="2" w:space="0" w:color="FDE87B" w:themeColor="accent2" w:themeTint="99"/>
      </w:tblBorders>
    </w:tblPr>
    <w:tblStylePr w:type="firstRow">
      <w:rPr>
        <w:b/>
        <w:bCs/>
      </w:rPr>
      <w:tblPr/>
      <w:tcPr>
        <w:tcBorders>
          <w:top w:val="nil"/>
          <w:bottom w:val="single" w:sz="12" w:space="0" w:color="FDE87B" w:themeColor="accent2" w:themeTint="99"/>
          <w:insideH w:val="nil"/>
          <w:insideV w:val="nil"/>
        </w:tcBorders>
        <w:shd w:val="clear" w:color="auto" w:fill="FFFFFF" w:themeFill="background1"/>
      </w:tcPr>
    </w:tblStylePr>
    <w:tblStylePr w:type="lastRow">
      <w:rPr>
        <w:b/>
        <w:bCs/>
      </w:rPr>
      <w:tblPr/>
      <w:tcPr>
        <w:tcBorders>
          <w:top w:val="double" w:sz="2" w:space="0" w:color="FDE8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E2B9" w:themeColor="accent5" w:themeTint="99"/>
        <w:bottom w:val="single" w:sz="2" w:space="0" w:color="A3E2B9" w:themeColor="accent5" w:themeTint="99"/>
        <w:insideH w:val="single" w:sz="2" w:space="0" w:color="A3E2B9" w:themeColor="accent5" w:themeTint="99"/>
        <w:insideV w:val="single" w:sz="2" w:space="0" w:color="A3E2B9" w:themeColor="accent5" w:themeTint="99"/>
      </w:tblBorders>
    </w:tblPr>
    <w:tblStylePr w:type="firstRow">
      <w:rPr>
        <w:b/>
        <w:bCs/>
      </w:rPr>
      <w:tblPr/>
      <w:tcPr>
        <w:tcBorders>
          <w:top w:val="nil"/>
          <w:bottom w:val="single" w:sz="12" w:space="0" w:color="A3E2B9" w:themeColor="accent5" w:themeTint="99"/>
          <w:insideH w:val="nil"/>
          <w:insideV w:val="nil"/>
        </w:tcBorders>
        <w:shd w:val="clear" w:color="auto" w:fill="FFFFFF" w:themeFill="background1"/>
      </w:tcPr>
    </w:tblStylePr>
    <w:tblStylePr w:type="lastRow">
      <w:rPr>
        <w:b/>
        <w:bCs/>
      </w:rPr>
      <w:tblPr/>
      <w:tcPr>
        <w:tcBorders>
          <w:top w:val="double" w:sz="2" w:space="0" w:color="A3E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EF1B0" w:themeColor="accent6" w:themeTint="99"/>
        <w:bottom w:val="single" w:sz="2" w:space="0" w:color="FEF1B0" w:themeColor="accent6" w:themeTint="99"/>
        <w:insideH w:val="single" w:sz="2" w:space="0" w:color="FEF1B0" w:themeColor="accent6" w:themeTint="99"/>
        <w:insideV w:val="single" w:sz="2" w:space="0" w:color="FEF1B0" w:themeColor="accent6" w:themeTint="99"/>
      </w:tblBorders>
    </w:tblPr>
    <w:tblStylePr w:type="firstRow">
      <w:rPr>
        <w:b/>
        <w:bCs/>
      </w:rPr>
      <w:tblPr/>
      <w:tcPr>
        <w:tcBorders>
          <w:top w:val="nil"/>
          <w:bottom w:val="single" w:sz="12" w:space="0" w:color="FEF1B0" w:themeColor="accent6" w:themeTint="99"/>
          <w:insideH w:val="nil"/>
          <w:insideV w:val="nil"/>
        </w:tcBorders>
        <w:shd w:val="clear" w:color="auto" w:fill="FFFFFF" w:themeFill="background1"/>
      </w:tcPr>
    </w:tblStylePr>
    <w:tblStylePr w:type="lastRow">
      <w:rPr>
        <w:b/>
        <w:bCs/>
      </w:rPr>
      <w:tblPr/>
      <w:tcPr>
        <w:tcBorders>
          <w:top w:val="double" w:sz="2" w:space="0" w:color="FEF1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insideV w:val="nil"/>
        </w:tcBorders>
        <w:shd w:val="clear" w:color="auto" w:fill="00B140" w:themeFill="accent1"/>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insideV w:val="nil"/>
        </w:tcBorders>
        <w:shd w:val="clear" w:color="auto" w:fill="FDDA24" w:themeFill="accent2"/>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insideV w:val="nil"/>
        </w:tcBorders>
        <w:shd w:val="clear" w:color="auto" w:fill="66D08C" w:themeFill="accent5"/>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insideV w:val="nil"/>
        </w:tcBorders>
        <w:shd w:val="clear" w:color="auto" w:fill="FEE97C" w:themeFill="accent6"/>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1"/>
      </w:tcPr>
    </w:tblStylePr>
    <w:tblStylePr w:type="band1Vert">
      <w:tblPr/>
      <w:tcPr>
        <w:shd w:val="clear" w:color="auto" w:fill="79FFA9" w:themeFill="accent1" w:themeFillTint="66"/>
      </w:tcPr>
    </w:tblStylePr>
    <w:tblStylePr w:type="band1Horz">
      <w:tblPr/>
      <w:tcPr>
        <w:shd w:val="clear" w:color="auto" w:fill="79FF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A2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A2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A2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A24" w:themeFill="accent2"/>
      </w:tcPr>
    </w:tblStylePr>
    <w:tblStylePr w:type="band1Vert">
      <w:tblPr/>
      <w:tcPr>
        <w:shd w:val="clear" w:color="auto" w:fill="FEEFA7" w:themeFill="accent2" w:themeFillTint="66"/>
      </w:tcPr>
    </w:tblStylePr>
    <w:tblStylePr w:type="band1Horz">
      <w:tblPr/>
      <w:tcPr>
        <w:shd w:val="clear" w:color="auto" w:fill="FEEFA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0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0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0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08C" w:themeFill="accent5"/>
      </w:tcPr>
    </w:tblStylePr>
    <w:tblStylePr w:type="band1Vert">
      <w:tblPr/>
      <w:tcPr>
        <w:shd w:val="clear" w:color="auto" w:fill="C1ECD0" w:themeFill="accent5" w:themeFillTint="66"/>
      </w:tcPr>
    </w:tblStylePr>
    <w:tblStylePr w:type="band1Horz">
      <w:tblPr/>
      <w:tcPr>
        <w:shd w:val="clear" w:color="auto" w:fill="C1ECD0"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A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E9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E9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E9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E97C" w:themeFill="accent6"/>
      </w:tcPr>
    </w:tblStylePr>
    <w:tblStylePr w:type="band1Vert">
      <w:tblPr/>
      <w:tcPr>
        <w:shd w:val="clear" w:color="auto" w:fill="FEF6CA" w:themeFill="accent6" w:themeFillTint="66"/>
      </w:tcPr>
    </w:tblStylePr>
    <w:tblStylePr w:type="band1Horz">
      <w:tblPr/>
      <w:tcPr>
        <w:shd w:val="clear" w:color="auto" w:fill="FEF6CA"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6Colorful-Accent2">
    <w:name w:val="Grid Table 6 Colorful Accent 2"/>
    <w:basedOn w:val="TableNormal"/>
    <w:uiPriority w:val="51"/>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6Colorful-Accent6">
    <w:name w:val="Grid Table 6 Colorful Accent 6"/>
    <w:basedOn w:val="TableNormal"/>
    <w:uiPriority w:val="51"/>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7Colorful-Accent2">
    <w:name w:val="Grid Table 7 Colorful Accent 2"/>
    <w:basedOn w:val="TableNormal"/>
    <w:uiPriority w:val="52"/>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7Colorful-Accent6">
    <w:name w:val="Grid Table 7 Colorful Accent 6"/>
    <w:basedOn w:val="TableNormal"/>
    <w:uiPriority w:val="52"/>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18" w:space="0" w:color="00B140" w:themeColor="accent1"/>
          <w:right w:val="single" w:sz="8" w:space="0" w:color="00B140" w:themeColor="accent1"/>
          <w:insideH w:val="nil"/>
          <w:insideV w:val="single" w:sz="8" w:space="0" w:color="00B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insideH w:val="nil"/>
          <w:insideV w:val="single" w:sz="8" w:space="0" w:color="00B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shd w:val="clear" w:color="auto" w:fill="ACFFCA" w:themeFill="accent1" w:themeFillTint="3F"/>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shd w:val="clear" w:color="auto" w:fill="ACFFCA" w:themeFill="accent1" w:themeFillTint="3F"/>
      </w:tcPr>
    </w:tblStylePr>
    <w:tblStylePr w:type="band2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18" w:space="0" w:color="FDDA24" w:themeColor="accent2"/>
          <w:right w:val="single" w:sz="8" w:space="0" w:color="FDDA24" w:themeColor="accent2"/>
          <w:insideH w:val="nil"/>
          <w:insideV w:val="single" w:sz="8" w:space="0" w:color="FDDA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insideH w:val="nil"/>
          <w:insideV w:val="single" w:sz="8" w:space="0" w:color="FDDA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shd w:val="clear" w:color="auto" w:fill="FEF5C8" w:themeFill="accent2" w:themeFillTint="3F"/>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shd w:val="clear" w:color="auto" w:fill="FEF5C8" w:themeFill="accent2" w:themeFillTint="3F"/>
      </w:tcPr>
    </w:tblStylePr>
    <w:tblStylePr w:type="band2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18" w:space="0" w:color="66D08C" w:themeColor="accent5"/>
          <w:right w:val="single" w:sz="8" w:space="0" w:color="66D08C" w:themeColor="accent5"/>
          <w:insideH w:val="nil"/>
          <w:insideV w:val="single" w:sz="8" w:space="0" w:color="66D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insideH w:val="nil"/>
          <w:insideV w:val="single" w:sz="8" w:space="0" w:color="66D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shd w:val="clear" w:color="auto" w:fill="D9F3E2" w:themeFill="accent5" w:themeFillTint="3F"/>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shd w:val="clear" w:color="auto" w:fill="D9F3E2" w:themeFill="accent5" w:themeFillTint="3F"/>
      </w:tcPr>
    </w:tblStylePr>
    <w:tblStylePr w:type="band2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18" w:space="0" w:color="FEE97C" w:themeColor="accent6"/>
          <w:right w:val="single" w:sz="8" w:space="0" w:color="FEE97C" w:themeColor="accent6"/>
          <w:insideH w:val="nil"/>
          <w:insideV w:val="single" w:sz="8" w:space="0" w:color="FEE97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insideH w:val="nil"/>
          <w:insideV w:val="single" w:sz="8" w:space="0" w:color="FEE97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shd w:val="clear" w:color="auto" w:fill="FEF9DE" w:themeFill="accent6" w:themeFillTint="3F"/>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shd w:val="clear" w:color="auto" w:fill="FEF9DE" w:themeFill="accent6" w:themeFillTint="3F"/>
      </w:tcPr>
    </w:tblStylePr>
    <w:tblStylePr w:type="band2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pPr>
        <w:spacing w:before="0" w:after="0" w:line="240" w:lineRule="auto"/>
      </w:pPr>
      <w:rPr>
        <w:b/>
        <w:bCs/>
        <w:color w:val="FFFFFF" w:themeColor="background1"/>
      </w:rPr>
      <w:tblPr/>
      <w:tcPr>
        <w:shd w:val="clear" w:color="auto" w:fill="00B140" w:themeFill="accent1"/>
      </w:tcPr>
    </w:tblStylePr>
    <w:tblStylePr w:type="lastRow">
      <w:pPr>
        <w:spacing w:before="0" w:after="0" w:line="240" w:lineRule="auto"/>
      </w:pPr>
      <w:rPr>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tcBorders>
      </w:tcPr>
    </w:tblStylePr>
    <w:tblStylePr w:type="firstCol">
      <w:rPr>
        <w:b/>
        <w:bCs/>
      </w:rPr>
    </w:tblStylePr>
    <w:tblStylePr w:type="lastCol">
      <w:rPr>
        <w:b/>
        <w:bCs/>
      </w:r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pPr>
        <w:spacing w:before="0" w:after="0" w:line="240" w:lineRule="auto"/>
      </w:pPr>
      <w:rPr>
        <w:b/>
        <w:bCs/>
        <w:color w:val="FFFFFF" w:themeColor="background1"/>
      </w:rPr>
      <w:tblPr/>
      <w:tcPr>
        <w:shd w:val="clear" w:color="auto" w:fill="FDDA24" w:themeFill="accent2"/>
      </w:tcPr>
    </w:tblStylePr>
    <w:tblStylePr w:type="lastRow">
      <w:pPr>
        <w:spacing w:before="0" w:after="0" w:line="240" w:lineRule="auto"/>
      </w:pPr>
      <w:rPr>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tcBorders>
      </w:tcPr>
    </w:tblStylePr>
    <w:tblStylePr w:type="firstCol">
      <w:rPr>
        <w:b/>
        <w:bCs/>
      </w:rPr>
    </w:tblStylePr>
    <w:tblStylePr w:type="lastCol">
      <w:rPr>
        <w:b/>
        <w:bCs/>
      </w:r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pPr>
        <w:spacing w:before="0" w:after="0" w:line="240" w:lineRule="auto"/>
      </w:pPr>
      <w:rPr>
        <w:b/>
        <w:bCs/>
        <w:color w:val="FFFFFF" w:themeColor="background1"/>
      </w:rPr>
      <w:tblPr/>
      <w:tcPr>
        <w:shd w:val="clear" w:color="auto" w:fill="66D08C" w:themeFill="accent5"/>
      </w:tcPr>
    </w:tblStylePr>
    <w:tblStylePr w:type="lastRow">
      <w:pPr>
        <w:spacing w:before="0" w:after="0" w:line="240" w:lineRule="auto"/>
      </w:pPr>
      <w:rPr>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tcBorders>
      </w:tcPr>
    </w:tblStylePr>
    <w:tblStylePr w:type="firstCol">
      <w:rPr>
        <w:b/>
        <w:bCs/>
      </w:rPr>
    </w:tblStylePr>
    <w:tblStylePr w:type="lastCol">
      <w:rPr>
        <w:b/>
        <w:bCs/>
      </w:r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pPr>
        <w:spacing w:before="0" w:after="0" w:line="240" w:lineRule="auto"/>
      </w:pPr>
      <w:rPr>
        <w:b/>
        <w:bCs/>
        <w:color w:val="FFFFFF" w:themeColor="background1"/>
      </w:rPr>
      <w:tblPr/>
      <w:tcPr>
        <w:shd w:val="clear" w:color="auto" w:fill="FEE97C" w:themeFill="accent6"/>
      </w:tcPr>
    </w:tblStylePr>
    <w:tblStylePr w:type="lastRow">
      <w:pPr>
        <w:spacing w:before="0" w:after="0" w:line="240" w:lineRule="auto"/>
      </w:pPr>
      <w:rPr>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tcBorders>
      </w:tcPr>
    </w:tblStylePr>
    <w:tblStylePr w:type="firstCol">
      <w:rPr>
        <w:b/>
        <w:bCs/>
      </w:rPr>
    </w:tblStylePr>
    <w:tblStylePr w:type="lastCol">
      <w:rPr>
        <w:b/>
        <w:bCs/>
      </w:r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842F" w:themeColor="accent1" w:themeShade="BF"/>
    </w:rPr>
    <w:tblPr>
      <w:tblStyleRowBandSize w:val="1"/>
      <w:tblStyleColBandSize w:val="1"/>
      <w:tblBorders>
        <w:top w:val="single" w:sz="8" w:space="0" w:color="00B140" w:themeColor="accent1"/>
        <w:bottom w:val="single" w:sz="8" w:space="0" w:color="00B140" w:themeColor="accent1"/>
      </w:tblBorders>
    </w:tblPr>
    <w:tblStylePr w:type="fir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la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LightShading-Accent2">
    <w:name w:val="Light Shading Accent 2"/>
    <w:basedOn w:val="TableNormal"/>
    <w:uiPriority w:val="60"/>
    <w:semiHidden/>
    <w:rsid w:val="0058629F"/>
    <w:rPr>
      <w:color w:val="D6B302" w:themeColor="accent2" w:themeShade="BF"/>
    </w:rPr>
    <w:tblPr>
      <w:tblStyleRowBandSize w:val="1"/>
      <w:tblStyleColBandSize w:val="1"/>
      <w:tblBorders>
        <w:top w:val="single" w:sz="8" w:space="0" w:color="FDDA24" w:themeColor="accent2"/>
        <w:bottom w:val="single" w:sz="8" w:space="0" w:color="FDDA24" w:themeColor="accent2"/>
      </w:tblBorders>
    </w:tblPr>
    <w:tblStylePr w:type="fir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la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left w:val="nil"/>
          <w:right w:val="nil"/>
          <w:insideH w:val="nil"/>
          <w:insideV w:val="nil"/>
        </w:tcBorders>
        <w:shd w:val="clear" w:color="auto" w:fill="FEF5C8"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6B162" w:themeColor="accent5" w:themeShade="BF"/>
    </w:rPr>
    <w:tblPr>
      <w:tblStyleRowBandSize w:val="1"/>
      <w:tblStyleColBandSize w:val="1"/>
      <w:tblBorders>
        <w:top w:val="single" w:sz="8" w:space="0" w:color="66D08C" w:themeColor="accent5"/>
        <w:bottom w:val="single" w:sz="8" w:space="0" w:color="66D08C" w:themeColor="accent5"/>
      </w:tblBorders>
    </w:tblPr>
    <w:tblStylePr w:type="fir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la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left w:val="nil"/>
          <w:right w:val="nil"/>
          <w:insideH w:val="nil"/>
          <w:insideV w:val="nil"/>
        </w:tcBorders>
        <w:shd w:val="clear" w:color="auto" w:fill="D9F3E2" w:themeFill="accent5" w:themeFillTint="3F"/>
      </w:tcPr>
    </w:tblStylePr>
  </w:style>
  <w:style w:type="table" w:styleId="LightShading-Accent6">
    <w:name w:val="Light Shading Accent 6"/>
    <w:basedOn w:val="TableNormal"/>
    <w:uiPriority w:val="60"/>
    <w:semiHidden/>
    <w:rsid w:val="0058629F"/>
    <w:rPr>
      <w:color w:val="FDD81D" w:themeColor="accent6" w:themeShade="BF"/>
    </w:rPr>
    <w:tblPr>
      <w:tblStyleRowBandSize w:val="1"/>
      <w:tblStyleColBandSize w:val="1"/>
      <w:tblBorders>
        <w:top w:val="single" w:sz="8" w:space="0" w:color="FEE97C" w:themeColor="accent6"/>
        <w:bottom w:val="single" w:sz="8" w:space="0" w:color="FEE97C" w:themeColor="accent6"/>
      </w:tblBorders>
    </w:tblPr>
    <w:tblStylePr w:type="fir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la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left w:val="nil"/>
          <w:right w:val="nil"/>
          <w:insideH w:val="nil"/>
          <w:insideV w:val="nil"/>
        </w:tcBorders>
        <w:shd w:val="clear" w:color="auto" w:fill="FEF9DE"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37FF7F" w:themeColor="accent1" w:themeTint="99"/>
        </w:tcBorders>
      </w:tcPr>
    </w:tblStylePr>
    <w:tblStylePr w:type="lastRow">
      <w:rPr>
        <w:b/>
        <w:bCs/>
      </w:rPr>
      <w:tblPr/>
      <w:tcPr>
        <w:tcBorders>
          <w:top w:val="sing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DE87B" w:themeColor="accent2" w:themeTint="99"/>
        </w:tcBorders>
      </w:tcPr>
    </w:tblStylePr>
    <w:tblStylePr w:type="lastRow">
      <w:rPr>
        <w:b/>
        <w:bCs/>
      </w:rPr>
      <w:tblPr/>
      <w:tcPr>
        <w:tcBorders>
          <w:top w:val="sing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E2B9" w:themeColor="accent5" w:themeTint="99"/>
        </w:tcBorders>
      </w:tcPr>
    </w:tblStylePr>
    <w:tblStylePr w:type="lastRow">
      <w:rPr>
        <w:b/>
        <w:bCs/>
      </w:rPr>
      <w:tblPr/>
      <w:tcPr>
        <w:tcBorders>
          <w:top w:val="sing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EF1B0" w:themeColor="accent6" w:themeTint="99"/>
        </w:tcBorders>
      </w:tcPr>
    </w:tblStylePr>
    <w:tblStylePr w:type="lastRow">
      <w:rPr>
        <w:b/>
        <w:bCs/>
      </w:rPr>
      <w:tblPr/>
      <w:tcPr>
        <w:tcBorders>
          <w:top w:val="sing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37FF7F" w:themeColor="accent1" w:themeTint="99"/>
        <w:bottom w:val="single" w:sz="4" w:space="0" w:color="37FF7F" w:themeColor="accent1" w:themeTint="99"/>
        <w:insideH w:val="single" w:sz="4" w:space="0" w:color="37F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DE87B" w:themeColor="accent2" w:themeTint="99"/>
        <w:bottom w:val="single" w:sz="4" w:space="0" w:color="FDE87B" w:themeColor="accent2" w:themeTint="99"/>
        <w:insideH w:val="single" w:sz="4" w:space="0" w:color="FDE87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E2B9" w:themeColor="accent5" w:themeTint="99"/>
        <w:bottom w:val="single" w:sz="4" w:space="0" w:color="A3E2B9" w:themeColor="accent5" w:themeTint="99"/>
        <w:insideH w:val="single" w:sz="4" w:space="0" w:color="A3E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EF1B0" w:themeColor="accent6" w:themeTint="99"/>
        <w:bottom w:val="single" w:sz="4" w:space="0" w:color="FEF1B0" w:themeColor="accent6" w:themeTint="99"/>
        <w:insideH w:val="single" w:sz="4" w:space="0" w:color="FEF1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B140" w:themeColor="accent1"/>
        <w:left w:val="single" w:sz="4" w:space="0" w:color="00B140" w:themeColor="accent1"/>
        <w:bottom w:val="single" w:sz="4" w:space="0" w:color="00B140" w:themeColor="accent1"/>
        <w:right w:val="single" w:sz="4" w:space="0" w:color="00B140" w:themeColor="accent1"/>
      </w:tblBorders>
    </w:tblPr>
    <w:tblStylePr w:type="firstRow">
      <w:rPr>
        <w:b/>
        <w:bCs/>
        <w:color w:val="FFFFFF" w:themeColor="background1"/>
      </w:rPr>
      <w:tblPr/>
      <w:tcPr>
        <w:shd w:val="clear" w:color="auto" w:fill="00B140" w:themeFill="accent1"/>
      </w:tcPr>
    </w:tblStylePr>
    <w:tblStylePr w:type="lastRow">
      <w:rPr>
        <w:b/>
        <w:bCs/>
      </w:rPr>
      <w:tblPr/>
      <w:tcPr>
        <w:tcBorders>
          <w:top w:val="double" w:sz="4" w:space="0" w:color="00B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1"/>
          <w:right w:val="single" w:sz="4" w:space="0" w:color="00B140" w:themeColor="accent1"/>
        </w:tcBorders>
      </w:tcPr>
    </w:tblStylePr>
    <w:tblStylePr w:type="band1Horz">
      <w:tblPr/>
      <w:tcPr>
        <w:tcBorders>
          <w:top w:val="single" w:sz="4" w:space="0" w:color="00B140" w:themeColor="accent1"/>
          <w:bottom w:val="single" w:sz="4" w:space="0" w:color="00B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1"/>
          <w:left w:val="nil"/>
        </w:tcBorders>
      </w:tcPr>
    </w:tblStylePr>
    <w:tblStylePr w:type="swCell">
      <w:tblPr/>
      <w:tcPr>
        <w:tcBorders>
          <w:top w:val="double" w:sz="4" w:space="0" w:color="00B140"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DDA24" w:themeColor="accent2"/>
        <w:left w:val="single" w:sz="4" w:space="0" w:color="FDDA24" w:themeColor="accent2"/>
        <w:bottom w:val="single" w:sz="4" w:space="0" w:color="FDDA24" w:themeColor="accent2"/>
        <w:right w:val="single" w:sz="4" w:space="0" w:color="FDDA24" w:themeColor="accent2"/>
      </w:tblBorders>
    </w:tblPr>
    <w:tblStylePr w:type="firstRow">
      <w:rPr>
        <w:b/>
        <w:bCs/>
        <w:color w:val="FFFFFF" w:themeColor="background1"/>
      </w:rPr>
      <w:tblPr/>
      <w:tcPr>
        <w:shd w:val="clear" w:color="auto" w:fill="FDDA24" w:themeFill="accent2"/>
      </w:tcPr>
    </w:tblStylePr>
    <w:tblStylePr w:type="lastRow">
      <w:rPr>
        <w:b/>
        <w:bCs/>
      </w:rPr>
      <w:tblPr/>
      <w:tcPr>
        <w:tcBorders>
          <w:top w:val="double" w:sz="4" w:space="0" w:color="FDDA2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A24" w:themeColor="accent2"/>
          <w:right w:val="single" w:sz="4" w:space="0" w:color="FDDA24" w:themeColor="accent2"/>
        </w:tcBorders>
      </w:tcPr>
    </w:tblStylePr>
    <w:tblStylePr w:type="band1Horz">
      <w:tblPr/>
      <w:tcPr>
        <w:tcBorders>
          <w:top w:val="single" w:sz="4" w:space="0" w:color="FDDA24" w:themeColor="accent2"/>
          <w:bottom w:val="single" w:sz="4" w:space="0" w:color="FDDA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A24" w:themeColor="accent2"/>
          <w:left w:val="nil"/>
        </w:tcBorders>
      </w:tcPr>
    </w:tblStylePr>
    <w:tblStylePr w:type="swCell">
      <w:tblPr/>
      <w:tcPr>
        <w:tcBorders>
          <w:top w:val="double" w:sz="4" w:space="0" w:color="FDDA24"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D08C" w:themeColor="accent5"/>
        <w:left w:val="single" w:sz="4" w:space="0" w:color="66D08C" w:themeColor="accent5"/>
        <w:bottom w:val="single" w:sz="4" w:space="0" w:color="66D08C" w:themeColor="accent5"/>
        <w:right w:val="single" w:sz="4" w:space="0" w:color="66D08C" w:themeColor="accent5"/>
      </w:tblBorders>
    </w:tblPr>
    <w:tblStylePr w:type="firstRow">
      <w:rPr>
        <w:b/>
        <w:bCs/>
        <w:color w:val="FFFFFF" w:themeColor="background1"/>
      </w:rPr>
      <w:tblPr/>
      <w:tcPr>
        <w:shd w:val="clear" w:color="auto" w:fill="66D08C" w:themeFill="accent5"/>
      </w:tcPr>
    </w:tblStylePr>
    <w:tblStylePr w:type="lastRow">
      <w:rPr>
        <w:b/>
        <w:bCs/>
      </w:rPr>
      <w:tblPr/>
      <w:tcPr>
        <w:tcBorders>
          <w:top w:val="double" w:sz="4" w:space="0" w:color="66D0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08C" w:themeColor="accent5"/>
          <w:right w:val="single" w:sz="4" w:space="0" w:color="66D08C" w:themeColor="accent5"/>
        </w:tcBorders>
      </w:tcPr>
    </w:tblStylePr>
    <w:tblStylePr w:type="band1Horz">
      <w:tblPr/>
      <w:tcPr>
        <w:tcBorders>
          <w:top w:val="single" w:sz="4" w:space="0" w:color="66D08C" w:themeColor="accent5"/>
          <w:bottom w:val="single" w:sz="4" w:space="0" w:color="66D0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08C" w:themeColor="accent5"/>
          <w:left w:val="nil"/>
        </w:tcBorders>
      </w:tcPr>
    </w:tblStylePr>
    <w:tblStylePr w:type="swCell">
      <w:tblPr/>
      <w:tcPr>
        <w:tcBorders>
          <w:top w:val="double" w:sz="4" w:space="0" w:color="66D08C"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EE97C" w:themeColor="accent6"/>
        <w:left w:val="single" w:sz="4" w:space="0" w:color="FEE97C" w:themeColor="accent6"/>
        <w:bottom w:val="single" w:sz="4" w:space="0" w:color="FEE97C" w:themeColor="accent6"/>
        <w:right w:val="single" w:sz="4" w:space="0" w:color="FEE97C" w:themeColor="accent6"/>
      </w:tblBorders>
    </w:tblPr>
    <w:tblStylePr w:type="firstRow">
      <w:rPr>
        <w:b/>
        <w:bCs/>
        <w:color w:val="FFFFFF" w:themeColor="background1"/>
      </w:rPr>
      <w:tblPr/>
      <w:tcPr>
        <w:shd w:val="clear" w:color="auto" w:fill="FEE97C" w:themeFill="accent6"/>
      </w:tcPr>
    </w:tblStylePr>
    <w:tblStylePr w:type="lastRow">
      <w:rPr>
        <w:b/>
        <w:bCs/>
      </w:rPr>
      <w:tblPr/>
      <w:tcPr>
        <w:tcBorders>
          <w:top w:val="double" w:sz="4" w:space="0" w:color="FEE9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E97C" w:themeColor="accent6"/>
          <w:right w:val="single" w:sz="4" w:space="0" w:color="FEE97C" w:themeColor="accent6"/>
        </w:tcBorders>
      </w:tcPr>
    </w:tblStylePr>
    <w:tblStylePr w:type="band1Horz">
      <w:tblPr/>
      <w:tcPr>
        <w:tcBorders>
          <w:top w:val="single" w:sz="4" w:space="0" w:color="FEE97C" w:themeColor="accent6"/>
          <w:bottom w:val="single" w:sz="4" w:space="0" w:color="FEE9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E97C" w:themeColor="accent6"/>
          <w:left w:val="nil"/>
        </w:tcBorders>
      </w:tcPr>
    </w:tblStylePr>
    <w:tblStylePr w:type="swCell">
      <w:tblPr/>
      <w:tcPr>
        <w:tcBorders>
          <w:top w:val="double" w:sz="4" w:space="0" w:color="FEE97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tcBorders>
        <w:shd w:val="clear" w:color="auto" w:fill="00B140" w:themeFill="accent1"/>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tcBorders>
        <w:shd w:val="clear" w:color="auto" w:fill="FDDA24" w:themeFill="accent2"/>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tcBorders>
        <w:shd w:val="clear" w:color="auto" w:fill="66D08C" w:themeFill="accent5"/>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tcBorders>
        <w:shd w:val="clear" w:color="auto" w:fill="FEE97C" w:themeFill="accent6"/>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B140" w:themeColor="accent1"/>
        <w:left w:val="single" w:sz="24" w:space="0" w:color="00B140" w:themeColor="accent1"/>
        <w:bottom w:val="single" w:sz="24" w:space="0" w:color="00B140" w:themeColor="accent1"/>
        <w:right w:val="single" w:sz="24" w:space="0" w:color="00B140" w:themeColor="accent1"/>
      </w:tblBorders>
    </w:tblPr>
    <w:tcPr>
      <w:shd w:val="clear" w:color="auto" w:fill="00B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DDA24" w:themeColor="accent2"/>
        <w:left w:val="single" w:sz="24" w:space="0" w:color="FDDA24" w:themeColor="accent2"/>
        <w:bottom w:val="single" w:sz="24" w:space="0" w:color="FDDA24" w:themeColor="accent2"/>
        <w:right w:val="single" w:sz="24" w:space="0" w:color="FDDA24" w:themeColor="accent2"/>
      </w:tblBorders>
    </w:tblPr>
    <w:tcPr>
      <w:shd w:val="clear" w:color="auto" w:fill="FDDA2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D08C" w:themeColor="accent5"/>
        <w:left w:val="single" w:sz="24" w:space="0" w:color="66D08C" w:themeColor="accent5"/>
        <w:bottom w:val="single" w:sz="24" w:space="0" w:color="66D08C" w:themeColor="accent5"/>
        <w:right w:val="single" w:sz="24" w:space="0" w:color="66D08C" w:themeColor="accent5"/>
      </w:tblBorders>
    </w:tblPr>
    <w:tcPr>
      <w:shd w:val="clear" w:color="auto" w:fill="66D0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EE97C" w:themeColor="accent6"/>
        <w:left w:val="single" w:sz="24" w:space="0" w:color="FEE97C" w:themeColor="accent6"/>
        <w:bottom w:val="single" w:sz="24" w:space="0" w:color="FEE97C" w:themeColor="accent6"/>
        <w:right w:val="single" w:sz="24" w:space="0" w:color="FEE97C" w:themeColor="accent6"/>
      </w:tblBorders>
    </w:tblPr>
    <w:tcPr>
      <w:shd w:val="clear" w:color="auto" w:fill="FEE9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842F" w:themeColor="accent1" w:themeShade="BF"/>
    </w:rPr>
    <w:tblPr>
      <w:tblStyleRowBandSize w:val="1"/>
      <w:tblStyleColBandSize w:val="1"/>
      <w:tblBorders>
        <w:top w:val="single" w:sz="4" w:space="0" w:color="00B140" w:themeColor="accent1"/>
        <w:bottom w:val="single" w:sz="4" w:space="0" w:color="00B140" w:themeColor="accent1"/>
      </w:tblBorders>
    </w:tblPr>
    <w:tblStylePr w:type="firstRow">
      <w:rPr>
        <w:b/>
        <w:bCs/>
      </w:rPr>
      <w:tblPr/>
      <w:tcPr>
        <w:tcBorders>
          <w:bottom w:val="single" w:sz="4" w:space="0" w:color="00B140" w:themeColor="accent1"/>
        </w:tcBorders>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6Colorful-Accent2">
    <w:name w:val="List Table 6 Colorful Accent 2"/>
    <w:basedOn w:val="TableNormal"/>
    <w:uiPriority w:val="51"/>
    <w:semiHidden/>
    <w:rsid w:val="0058629F"/>
    <w:rPr>
      <w:color w:val="D6B302" w:themeColor="accent2" w:themeShade="BF"/>
    </w:rPr>
    <w:tblPr>
      <w:tblStyleRowBandSize w:val="1"/>
      <w:tblStyleColBandSize w:val="1"/>
      <w:tblBorders>
        <w:top w:val="single" w:sz="4" w:space="0" w:color="FDDA24" w:themeColor="accent2"/>
        <w:bottom w:val="single" w:sz="4" w:space="0" w:color="FDDA24" w:themeColor="accent2"/>
      </w:tblBorders>
    </w:tblPr>
    <w:tblStylePr w:type="firstRow">
      <w:rPr>
        <w:b/>
        <w:bCs/>
      </w:rPr>
      <w:tblPr/>
      <w:tcPr>
        <w:tcBorders>
          <w:bottom w:val="single" w:sz="4" w:space="0" w:color="FDDA24" w:themeColor="accent2"/>
        </w:tcBorders>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6B162" w:themeColor="accent5" w:themeShade="BF"/>
    </w:rPr>
    <w:tblPr>
      <w:tblStyleRowBandSize w:val="1"/>
      <w:tblStyleColBandSize w:val="1"/>
      <w:tblBorders>
        <w:top w:val="single" w:sz="4" w:space="0" w:color="66D08C" w:themeColor="accent5"/>
        <w:bottom w:val="single" w:sz="4" w:space="0" w:color="66D08C" w:themeColor="accent5"/>
      </w:tblBorders>
    </w:tblPr>
    <w:tblStylePr w:type="firstRow">
      <w:rPr>
        <w:b/>
        <w:bCs/>
      </w:rPr>
      <w:tblPr/>
      <w:tcPr>
        <w:tcBorders>
          <w:bottom w:val="single" w:sz="4" w:space="0" w:color="66D08C" w:themeColor="accent5"/>
        </w:tcBorders>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6Colorful-Accent6">
    <w:name w:val="List Table 6 Colorful Accent 6"/>
    <w:basedOn w:val="TableNormal"/>
    <w:uiPriority w:val="51"/>
    <w:semiHidden/>
    <w:rsid w:val="0058629F"/>
    <w:rPr>
      <w:color w:val="FDD81D" w:themeColor="accent6" w:themeShade="BF"/>
    </w:rPr>
    <w:tblPr>
      <w:tblStyleRowBandSize w:val="1"/>
      <w:tblStyleColBandSize w:val="1"/>
      <w:tblBorders>
        <w:top w:val="single" w:sz="4" w:space="0" w:color="FEE97C" w:themeColor="accent6"/>
        <w:bottom w:val="single" w:sz="4" w:space="0" w:color="FEE97C" w:themeColor="accent6"/>
      </w:tblBorders>
    </w:tblPr>
    <w:tblStylePr w:type="firstRow">
      <w:rPr>
        <w:b/>
        <w:bCs/>
      </w:rPr>
      <w:tblPr/>
      <w:tcPr>
        <w:tcBorders>
          <w:bottom w:val="single" w:sz="4" w:space="0" w:color="FEE97C" w:themeColor="accent6"/>
        </w:tcBorders>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842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1"/>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D6B30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A2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A2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A2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A24" w:themeColor="accent2"/>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6B1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0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0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0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08C" w:themeColor="accent5"/>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FDD8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E97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E97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E97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E97C" w:themeColor="accent6"/>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insideV w:val="single" w:sz="8" w:space="0" w:color="05FF5F" w:themeColor="accent1" w:themeTint="BF"/>
      </w:tblBorders>
    </w:tblPr>
    <w:tcPr>
      <w:shd w:val="clear" w:color="auto" w:fill="ACFFCA" w:themeFill="accent1" w:themeFillTint="3F"/>
    </w:tcPr>
    <w:tblStylePr w:type="firstRow">
      <w:rPr>
        <w:b/>
        <w:bCs/>
      </w:rPr>
    </w:tblStylePr>
    <w:tblStylePr w:type="lastRow">
      <w:rPr>
        <w:b/>
        <w:bCs/>
      </w:rPr>
      <w:tblPr/>
      <w:tcPr>
        <w:tcBorders>
          <w:top w:val="single" w:sz="18" w:space="0" w:color="05FF5F" w:themeColor="accent1" w:themeTint="BF"/>
        </w:tcBorders>
      </w:tcPr>
    </w:tblStylePr>
    <w:tblStylePr w:type="firstCol">
      <w:rPr>
        <w:b/>
        <w:bCs/>
      </w:rPr>
    </w:tblStylePr>
    <w:tblStylePr w:type="lastCol">
      <w:rPr>
        <w:b/>
        <w:bCs/>
      </w:r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insideV w:val="single" w:sz="8" w:space="0" w:color="FDE25A" w:themeColor="accent2" w:themeTint="BF"/>
      </w:tblBorders>
    </w:tblPr>
    <w:tcPr>
      <w:shd w:val="clear" w:color="auto" w:fill="FEF5C8" w:themeFill="accent2" w:themeFillTint="3F"/>
    </w:tcPr>
    <w:tblStylePr w:type="firstRow">
      <w:rPr>
        <w:b/>
        <w:bCs/>
      </w:rPr>
    </w:tblStylePr>
    <w:tblStylePr w:type="lastRow">
      <w:rPr>
        <w:b/>
        <w:bCs/>
      </w:rPr>
      <w:tblPr/>
      <w:tcPr>
        <w:tcBorders>
          <w:top w:val="single" w:sz="18" w:space="0" w:color="FDE25A" w:themeColor="accent2" w:themeTint="BF"/>
        </w:tcBorders>
      </w:tcPr>
    </w:tblStylePr>
    <w:tblStylePr w:type="firstCol">
      <w:rPr>
        <w:b/>
        <w:bCs/>
      </w:rPr>
    </w:tblStylePr>
    <w:tblStylePr w:type="lastCol">
      <w:rPr>
        <w:b/>
        <w:bCs/>
      </w:r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insideV w:val="single" w:sz="8" w:space="0" w:color="8CDBA8" w:themeColor="accent5" w:themeTint="BF"/>
      </w:tblBorders>
    </w:tblPr>
    <w:tcPr>
      <w:shd w:val="clear" w:color="auto" w:fill="D9F3E2" w:themeFill="accent5" w:themeFillTint="3F"/>
    </w:tcPr>
    <w:tblStylePr w:type="firstRow">
      <w:rPr>
        <w:b/>
        <w:bCs/>
      </w:rPr>
    </w:tblStylePr>
    <w:tblStylePr w:type="lastRow">
      <w:rPr>
        <w:b/>
        <w:bCs/>
      </w:rPr>
      <w:tblPr/>
      <w:tcPr>
        <w:tcBorders>
          <w:top w:val="single" w:sz="18" w:space="0" w:color="8CDBA8" w:themeColor="accent5" w:themeTint="BF"/>
        </w:tcBorders>
      </w:tcPr>
    </w:tblStylePr>
    <w:tblStylePr w:type="firstCol">
      <w:rPr>
        <w:b/>
        <w:bCs/>
      </w:rPr>
    </w:tblStylePr>
    <w:tblStylePr w:type="lastCol">
      <w:rPr>
        <w:b/>
        <w:bCs/>
      </w:r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insideV w:val="single" w:sz="8" w:space="0" w:color="FEEE9C" w:themeColor="accent6" w:themeTint="BF"/>
      </w:tblBorders>
    </w:tblPr>
    <w:tcPr>
      <w:shd w:val="clear" w:color="auto" w:fill="FEF9DE" w:themeFill="accent6" w:themeFillTint="3F"/>
    </w:tcPr>
    <w:tblStylePr w:type="firstRow">
      <w:rPr>
        <w:b/>
        <w:bCs/>
      </w:rPr>
    </w:tblStylePr>
    <w:tblStylePr w:type="lastRow">
      <w:rPr>
        <w:b/>
        <w:bCs/>
      </w:rPr>
      <w:tblPr/>
      <w:tcPr>
        <w:tcBorders>
          <w:top w:val="single" w:sz="18" w:space="0" w:color="FEEE9C" w:themeColor="accent6" w:themeTint="BF"/>
        </w:tcBorders>
      </w:tcPr>
    </w:tblStylePr>
    <w:tblStylePr w:type="firstCol">
      <w:rPr>
        <w:b/>
        <w:bCs/>
      </w:rPr>
    </w:tblStylePr>
    <w:tblStylePr w:type="lastCol">
      <w:rPr>
        <w:b/>
        <w:bCs/>
      </w:r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cPr>
      <w:shd w:val="clear" w:color="auto" w:fill="ACFFCA" w:themeFill="accent1" w:themeFillTint="3F"/>
    </w:tcPr>
    <w:tblStylePr w:type="firstRow">
      <w:rPr>
        <w:b/>
        <w:bCs/>
        <w:color w:val="232222" w:themeColor="text1"/>
      </w:rPr>
      <w:tblPr/>
      <w:tcPr>
        <w:shd w:val="clear" w:color="auto" w:fill="DEFFEA"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D4" w:themeFill="accent1" w:themeFillTint="33"/>
      </w:tcPr>
    </w:tblStylePr>
    <w:tblStylePr w:type="band1Vert">
      <w:tblPr/>
      <w:tcPr>
        <w:shd w:val="clear" w:color="auto" w:fill="59FF94" w:themeFill="accent1" w:themeFillTint="7F"/>
      </w:tcPr>
    </w:tblStylePr>
    <w:tblStylePr w:type="band1Horz">
      <w:tblPr/>
      <w:tcPr>
        <w:tcBorders>
          <w:insideH w:val="single" w:sz="6" w:space="0" w:color="00B140" w:themeColor="accent1"/>
          <w:insideV w:val="single" w:sz="6" w:space="0" w:color="00B140" w:themeColor="accent1"/>
        </w:tcBorders>
        <w:shd w:val="clear" w:color="auto" w:fill="59FF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cPr>
      <w:shd w:val="clear" w:color="auto" w:fill="FEF5C8" w:themeFill="accent2" w:themeFillTint="3F"/>
    </w:tcPr>
    <w:tblStylePr w:type="firstRow">
      <w:rPr>
        <w:b/>
        <w:bCs/>
        <w:color w:val="232222" w:themeColor="text1"/>
      </w:rPr>
      <w:tblPr/>
      <w:tcPr>
        <w:shd w:val="clear" w:color="auto" w:fill="FE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7D3" w:themeFill="accent2" w:themeFillTint="33"/>
      </w:tcPr>
    </w:tblStylePr>
    <w:tblStylePr w:type="band1Vert">
      <w:tblPr/>
      <w:tcPr>
        <w:shd w:val="clear" w:color="auto" w:fill="FEEC91" w:themeFill="accent2" w:themeFillTint="7F"/>
      </w:tcPr>
    </w:tblStylePr>
    <w:tblStylePr w:type="band1Horz">
      <w:tblPr/>
      <w:tcPr>
        <w:tcBorders>
          <w:insideH w:val="single" w:sz="6" w:space="0" w:color="FDDA24" w:themeColor="accent2"/>
          <w:insideV w:val="single" w:sz="6" w:space="0" w:color="FDDA24" w:themeColor="accent2"/>
        </w:tcBorders>
        <w:shd w:val="clear" w:color="auto" w:fill="FEE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cPr>
      <w:shd w:val="clear" w:color="auto" w:fill="D9F3E2" w:themeFill="accent5" w:themeFillTint="3F"/>
    </w:tcPr>
    <w:tblStylePr w:type="firstRow">
      <w:rPr>
        <w:b/>
        <w:bCs/>
        <w:color w:val="232222" w:themeColor="text1"/>
      </w:rPr>
      <w:tblPr/>
      <w:tcPr>
        <w:shd w:val="clear" w:color="auto" w:fill="EFFAF3"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F5E7" w:themeFill="accent5" w:themeFillTint="33"/>
      </w:tcPr>
    </w:tblStylePr>
    <w:tblStylePr w:type="band1Vert">
      <w:tblPr/>
      <w:tcPr>
        <w:shd w:val="clear" w:color="auto" w:fill="B2E7C5" w:themeFill="accent5" w:themeFillTint="7F"/>
      </w:tcPr>
    </w:tblStylePr>
    <w:tblStylePr w:type="band1Horz">
      <w:tblPr/>
      <w:tcPr>
        <w:tcBorders>
          <w:insideH w:val="single" w:sz="6" w:space="0" w:color="66D08C" w:themeColor="accent5"/>
          <w:insideV w:val="single" w:sz="6" w:space="0" w:color="66D08C" w:themeColor="accent5"/>
        </w:tcBorders>
        <w:shd w:val="clear" w:color="auto" w:fill="B2E7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cPr>
      <w:shd w:val="clear" w:color="auto" w:fill="FEF9DE" w:themeFill="accent6" w:themeFillTint="3F"/>
    </w:tcPr>
    <w:tblStylePr w:type="firstRow">
      <w:rPr>
        <w:b/>
        <w:bCs/>
        <w:color w:val="232222" w:themeColor="text1"/>
      </w:rPr>
      <w:tblPr/>
      <w:tcPr>
        <w:shd w:val="clear" w:color="auto" w:fill="FFFCF2"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AE4" w:themeFill="accent6" w:themeFillTint="33"/>
      </w:tcPr>
    </w:tblStylePr>
    <w:tblStylePr w:type="band1Vert">
      <w:tblPr/>
      <w:tcPr>
        <w:shd w:val="clear" w:color="auto" w:fill="FEF3BD" w:themeFill="accent6" w:themeFillTint="7F"/>
      </w:tcPr>
    </w:tblStylePr>
    <w:tblStylePr w:type="band1Horz">
      <w:tblPr/>
      <w:tcPr>
        <w:tcBorders>
          <w:insideH w:val="single" w:sz="6" w:space="0" w:color="FEE97C" w:themeColor="accent6"/>
          <w:insideV w:val="single" w:sz="6" w:space="0" w:color="FEE97C" w:themeColor="accent6"/>
        </w:tcBorders>
        <w:shd w:val="clear" w:color="auto" w:fill="FEF3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A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A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91"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0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0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7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7C5"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E97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E97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3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3BD"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B140" w:themeColor="accent1"/>
        <w:bottom w:val="single" w:sz="8" w:space="0" w:color="00B140" w:themeColor="accent1"/>
      </w:tblBorders>
    </w:tblPr>
    <w:tblStylePr w:type="firstRow">
      <w:rPr>
        <w:rFonts w:asciiTheme="majorHAnsi" w:eastAsiaTheme="majorEastAsia" w:hAnsiTheme="majorHAnsi" w:cstheme="majorBidi"/>
      </w:rPr>
      <w:tblPr/>
      <w:tcPr>
        <w:tcBorders>
          <w:top w:val="nil"/>
          <w:bottom w:val="single" w:sz="8" w:space="0" w:color="00B140" w:themeColor="accent1"/>
        </w:tcBorders>
      </w:tcPr>
    </w:tblStylePr>
    <w:tblStylePr w:type="lastRow">
      <w:rPr>
        <w:b/>
        <w:bCs/>
        <w:color w:val="201547" w:themeColor="text2"/>
      </w:rPr>
      <w:tblPr/>
      <w:tcPr>
        <w:tcBorders>
          <w:top w:val="single" w:sz="8" w:space="0" w:color="00B140" w:themeColor="accent1"/>
          <w:bottom w:val="single" w:sz="8" w:space="0" w:color="00B140" w:themeColor="accent1"/>
        </w:tcBorders>
      </w:tcPr>
    </w:tblStylePr>
    <w:tblStylePr w:type="firstCol">
      <w:rPr>
        <w:b/>
        <w:bCs/>
      </w:rPr>
    </w:tblStylePr>
    <w:tblStylePr w:type="lastCol">
      <w:rPr>
        <w:b/>
        <w:bCs/>
      </w:rPr>
      <w:tblPr/>
      <w:tcPr>
        <w:tcBorders>
          <w:top w:val="single" w:sz="8" w:space="0" w:color="00B140" w:themeColor="accent1"/>
          <w:bottom w:val="single" w:sz="8" w:space="0" w:color="00B140" w:themeColor="accent1"/>
        </w:tcBorders>
      </w:tcPr>
    </w:tblStylePr>
    <w:tblStylePr w:type="band1Vert">
      <w:tblPr/>
      <w:tcPr>
        <w:shd w:val="clear" w:color="auto" w:fill="ACFFCA" w:themeFill="accent1" w:themeFillTint="3F"/>
      </w:tcPr>
    </w:tblStylePr>
    <w:tblStylePr w:type="band1Horz">
      <w:tblPr/>
      <w:tcPr>
        <w:shd w:val="clear" w:color="auto" w:fill="ACFFCA"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DDA24" w:themeColor="accent2"/>
        <w:bottom w:val="single" w:sz="8" w:space="0" w:color="FDDA24" w:themeColor="accent2"/>
      </w:tblBorders>
    </w:tblPr>
    <w:tblStylePr w:type="firstRow">
      <w:rPr>
        <w:rFonts w:asciiTheme="majorHAnsi" w:eastAsiaTheme="majorEastAsia" w:hAnsiTheme="majorHAnsi" w:cstheme="majorBidi"/>
      </w:rPr>
      <w:tblPr/>
      <w:tcPr>
        <w:tcBorders>
          <w:top w:val="nil"/>
          <w:bottom w:val="single" w:sz="8" w:space="0" w:color="FDDA24" w:themeColor="accent2"/>
        </w:tcBorders>
      </w:tcPr>
    </w:tblStylePr>
    <w:tblStylePr w:type="lastRow">
      <w:rPr>
        <w:b/>
        <w:bCs/>
        <w:color w:val="201547" w:themeColor="text2"/>
      </w:rPr>
      <w:tblPr/>
      <w:tcPr>
        <w:tcBorders>
          <w:top w:val="single" w:sz="8" w:space="0" w:color="FDDA24" w:themeColor="accent2"/>
          <w:bottom w:val="single" w:sz="8" w:space="0" w:color="FDDA24" w:themeColor="accent2"/>
        </w:tcBorders>
      </w:tcPr>
    </w:tblStylePr>
    <w:tblStylePr w:type="firstCol">
      <w:rPr>
        <w:b/>
        <w:bCs/>
      </w:rPr>
    </w:tblStylePr>
    <w:tblStylePr w:type="lastCol">
      <w:rPr>
        <w:b/>
        <w:bCs/>
      </w:rPr>
      <w:tblPr/>
      <w:tcPr>
        <w:tcBorders>
          <w:top w:val="single" w:sz="8" w:space="0" w:color="FDDA24" w:themeColor="accent2"/>
          <w:bottom w:val="single" w:sz="8" w:space="0" w:color="FDDA24" w:themeColor="accent2"/>
        </w:tcBorders>
      </w:tcPr>
    </w:tblStylePr>
    <w:tblStylePr w:type="band1Vert">
      <w:tblPr/>
      <w:tcPr>
        <w:shd w:val="clear" w:color="auto" w:fill="FEF5C8" w:themeFill="accent2" w:themeFillTint="3F"/>
      </w:tcPr>
    </w:tblStylePr>
    <w:tblStylePr w:type="band1Horz">
      <w:tblPr/>
      <w:tcPr>
        <w:shd w:val="clear" w:color="auto" w:fill="FEF5C8"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D08C" w:themeColor="accent5"/>
        <w:bottom w:val="single" w:sz="8" w:space="0" w:color="66D08C" w:themeColor="accent5"/>
      </w:tblBorders>
    </w:tblPr>
    <w:tblStylePr w:type="firstRow">
      <w:rPr>
        <w:rFonts w:asciiTheme="majorHAnsi" w:eastAsiaTheme="majorEastAsia" w:hAnsiTheme="majorHAnsi" w:cstheme="majorBidi"/>
      </w:rPr>
      <w:tblPr/>
      <w:tcPr>
        <w:tcBorders>
          <w:top w:val="nil"/>
          <w:bottom w:val="single" w:sz="8" w:space="0" w:color="66D08C" w:themeColor="accent5"/>
        </w:tcBorders>
      </w:tcPr>
    </w:tblStylePr>
    <w:tblStylePr w:type="lastRow">
      <w:rPr>
        <w:b/>
        <w:bCs/>
        <w:color w:val="201547" w:themeColor="text2"/>
      </w:rPr>
      <w:tblPr/>
      <w:tcPr>
        <w:tcBorders>
          <w:top w:val="single" w:sz="8" w:space="0" w:color="66D08C" w:themeColor="accent5"/>
          <w:bottom w:val="single" w:sz="8" w:space="0" w:color="66D08C" w:themeColor="accent5"/>
        </w:tcBorders>
      </w:tcPr>
    </w:tblStylePr>
    <w:tblStylePr w:type="firstCol">
      <w:rPr>
        <w:b/>
        <w:bCs/>
      </w:rPr>
    </w:tblStylePr>
    <w:tblStylePr w:type="lastCol">
      <w:rPr>
        <w:b/>
        <w:bCs/>
      </w:rPr>
      <w:tblPr/>
      <w:tcPr>
        <w:tcBorders>
          <w:top w:val="single" w:sz="8" w:space="0" w:color="66D08C" w:themeColor="accent5"/>
          <w:bottom w:val="single" w:sz="8" w:space="0" w:color="66D08C" w:themeColor="accent5"/>
        </w:tcBorders>
      </w:tcPr>
    </w:tblStylePr>
    <w:tblStylePr w:type="band1Vert">
      <w:tblPr/>
      <w:tcPr>
        <w:shd w:val="clear" w:color="auto" w:fill="D9F3E2" w:themeFill="accent5" w:themeFillTint="3F"/>
      </w:tcPr>
    </w:tblStylePr>
    <w:tblStylePr w:type="band1Horz">
      <w:tblPr/>
      <w:tcPr>
        <w:shd w:val="clear" w:color="auto" w:fill="D9F3E2"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EE97C" w:themeColor="accent6"/>
        <w:bottom w:val="single" w:sz="8" w:space="0" w:color="FEE97C" w:themeColor="accent6"/>
      </w:tblBorders>
    </w:tblPr>
    <w:tblStylePr w:type="firstRow">
      <w:rPr>
        <w:rFonts w:asciiTheme="majorHAnsi" w:eastAsiaTheme="majorEastAsia" w:hAnsiTheme="majorHAnsi" w:cstheme="majorBidi"/>
      </w:rPr>
      <w:tblPr/>
      <w:tcPr>
        <w:tcBorders>
          <w:top w:val="nil"/>
          <w:bottom w:val="single" w:sz="8" w:space="0" w:color="FEE97C" w:themeColor="accent6"/>
        </w:tcBorders>
      </w:tcPr>
    </w:tblStylePr>
    <w:tblStylePr w:type="lastRow">
      <w:rPr>
        <w:b/>
        <w:bCs/>
        <w:color w:val="201547" w:themeColor="text2"/>
      </w:rPr>
      <w:tblPr/>
      <w:tcPr>
        <w:tcBorders>
          <w:top w:val="single" w:sz="8" w:space="0" w:color="FEE97C" w:themeColor="accent6"/>
          <w:bottom w:val="single" w:sz="8" w:space="0" w:color="FEE97C" w:themeColor="accent6"/>
        </w:tcBorders>
      </w:tcPr>
    </w:tblStylePr>
    <w:tblStylePr w:type="firstCol">
      <w:rPr>
        <w:b/>
        <w:bCs/>
      </w:rPr>
    </w:tblStylePr>
    <w:tblStylePr w:type="lastCol">
      <w:rPr>
        <w:b/>
        <w:bCs/>
      </w:rPr>
      <w:tblPr/>
      <w:tcPr>
        <w:tcBorders>
          <w:top w:val="single" w:sz="8" w:space="0" w:color="FEE97C" w:themeColor="accent6"/>
          <w:bottom w:val="single" w:sz="8" w:space="0" w:color="FEE97C" w:themeColor="accent6"/>
        </w:tcBorders>
      </w:tcPr>
    </w:tblStylePr>
    <w:tblStylePr w:type="band1Vert">
      <w:tblPr/>
      <w:tcPr>
        <w:shd w:val="clear" w:color="auto" w:fill="FEF9DE" w:themeFill="accent6" w:themeFillTint="3F"/>
      </w:tcPr>
    </w:tblStylePr>
    <w:tblStylePr w:type="band1Horz">
      <w:tblPr/>
      <w:tcPr>
        <w:shd w:val="clear" w:color="auto" w:fill="FEF9DE"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rPr>
        <w:sz w:val="24"/>
        <w:szCs w:val="24"/>
      </w:rPr>
      <w:tblPr/>
      <w:tcPr>
        <w:tcBorders>
          <w:top w:val="nil"/>
          <w:left w:val="nil"/>
          <w:bottom w:val="single" w:sz="24" w:space="0" w:color="00B140" w:themeColor="accent1"/>
          <w:right w:val="nil"/>
          <w:insideH w:val="nil"/>
          <w:insideV w:val="nil"/>
        </w:tcBorders>
        <w:shd w:val="clear" w:color="auto" w:fill="FFFFFF" w:themeFill="background1"/>
      </w:tcPr>
    </w:tblStylePr>
    <w:tblStylePr w:type="lastRow">
      <w:tblPr/>
      <w:tcPr>
        <w:tcBorders>
          <w:top w:val="single" w:sz="8" w:space="0" w:color="00B14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1"/>
          <w:insideH w:val="nil"/>
          <w:insideV w:val="nil"/>
        </w:tcBorders>
        <w:shd w:val="clear" w:color="auto" w:fill="FFFFFF" w:themeFill="background1"/>
      </w:tcPr>
    </w:tblStylePr>
    <w:tblStylePr w:type="lastCol">
      <w:tblPr/>
      <w:tcPr>
        <w:tcBorders>
          <w:top w:val="nil"/>
          <w:left w:val="single" w:sz="8" w:space="0" w:color="00B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rPr>
        <w:sz w:val="24"/>
        <w:szCs w:val="24"/>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tblPr/>
      <w:tcPr>
        <w:tcBorders>
          <w:top w:val="single" w:sz="8" w:space="0" w:color="FDDA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A24" w:themeColor="accent2"/>
          <w:insideH w:val="nil"/>
          <w:insideV w:val="nil"/>
        </w:tcBorders>
        <w:shd w:val="clear" w:color="auto" w:fill="FFFFFF" w:themeFill="background1"/>
      </w:tcPr>
    </w:tblStylePr>
    <w:tblStylePr w:type="lastCol">
      <w:tblPr/>
      <w:tcPr>
        <w:tcBorders>
          <w:top w:val="nil"/>
          <w:left w:val="single" w:sz="8" w:space="0" w:color="FDDA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top w:val="nil"/>
          <w:bottom w:val="nil"/>
          <w:insideH w:val="nil"/>
          <w:insideV w:val="nil"/>
        </w:tcBorders>
        <w:shd w:val="clear" w:color="auto" w:fill="FEF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rPr>
        <w:sz w:val="24"/>
        <w:szCs w:val="24"/>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tblPr/>
      <w:tcPr>
        <w:tcBorders>
          <w:top w:val="single" w:sz="8" w:space="0" w:color="66D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08C" w:themeColor="accent5"/>
          <w:insideH w:val="nil"/>
          <w:insideV w:val="nil"/>
        </w:tcBorders>
        <w:shd w:val="clear" w:color="auto" w:fill="FFFFFF" w:themeFill="background1"/>
      </w:tcPr>
    </w:tblStylePr>
    <w:tblStylePr w:type="lastCol">
      <w:tblPr/>
      <w:tcPr>
        <w:tcBorders>
          <w:top w:val="nil"/>
          <w:left w:val="single" w:sz="8" w:space="0" w:color="66D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top w:val="nil"/>
          <w:bottom w:val="nil"/>
          <w:insideH w:val="nil"/>
          <w:insideV w:val="nil"/>
        </w:tcBorders>
        <w:shd w:val="clear" w:color="auto" w:fill="D9F3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rPr>
        <w:sz w:val="24"/>
        <w:szCs w:val="24"/>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tblPr/>
      <w:tcPr>
        <w:tcBorders>
          <w:top w:val="single" w:sz="8" w:space="0" w:color="FEE97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E97C" w:themeColor="accent6"/>
          <w:insideH w:val="nil"/>
          <w:insideV w:val="nil"/>
        </w:tcBorders>
        <w:shd w:val="clear" w:color="auto" w:fill="FFFFFF" w:themeFill="background1"/>
      </w:tcPr>
    </w:tblStylePr>
    <w:tblStylePr w:type="lastCol">
      <w:tblPr/>
      <w:tcPr>
        <w:tcBorders>
          <w:top w:val="nil"/>
          <w:left w:val="single" w:sz="8" w:space="0" w:color="FEE97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top w:val="nil"/>
          <w:bottom w:val="nil"/>
          <w:insideH w:val="nil"/>
          <w:insideV w:val="nil"/>
        </w:tcBorders>
        <w:shd w:val="clear" w:color="auto" w:fill="FEF9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tblBorders>
    </w:tblPr>
    <w:tblStylePr w:type="firstRow">
      <w:pPr>
        <w:spacing w:before="0" w:after="0" w:line="240" w:lineRule="auto"/>
      </w:pPr>
      <w:rPr>
        <w:b/>
        <w:bCs/>
        <w:color w:val="FFFFFF" w:themeColor="background1"/>
      </w:rPr>
      <w:tblPr/>
      <w:tcPr>
        <w:tc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shd w:val="clear" w:color="auto" w:fill="00B140" w:themeFill="accent1"/>
      </w:tcPr>
    </w:tblStylePr>
    <w:tblStylePr w:type="lastRow">
      <w:pPr>
        <w:spacing w:before="0" w:after="0" w:line="240" w:lineRule="auto"/>
      </w:pPr>
      <w:rPr>
        <w:b/>
        <w:bCs/>
      </w:rPr>
      <w:tblPr/>
      <w:tcPr>
        <w:tcBorders>
          <w:top w:val="double" w:sz="6"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1" w:themeFillTint="3F"/>
      </w:tcPr>
    </w:tblStylePr>
    <w:tblStylePr w:type="band1Horz">
      <w:tblPr/>
      <w:tcPr>
        <w:tcBorders>
          <w:insideH w:val="nil"/>
          <w:insideV w:val="nil"/>
        </w:tcBorders>
        <w:shd w:val="clear" w:color="auto" w:fill="ACFF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tblBorders>
    </w:tblPr>
    <w:tblStylePr w:type="firstRow">
      <w:pPr>
        <w:spacing w:before="0" w:after="0" w:line="240" w:lineRule="auto"/>
      </w:pPr>
      <w:rPr>
        <w:b/>
        <w:bCs/>
        <w:color w:val="FFFFFF" w:themeColor="background1"/>
      </w:rPr>
      <w:tblPr/>
      <w:tcPr>
        <w:tc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shd w:val="clear" w:color="auto" w:fill="FDDA24" w:themeFill="accent2"/>
      </w:tcPr>
    </w:tblStylePr>
    <w:tblStylePr w:type="lastRow">
      <w:pPr>
        <w:spacing w:before="0" w:after="0" w:line="240" w:lineRule="auto"/>
      </w:pPr>
      <w:rPr>
        <w:b/>
        <w:bCs/>
      </w:rPr>
      <w:tblPr/>
      <w:tcPr>
        <w:tcBorders>
          <w:top w:val="double" w:sz="6"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5C8" w:themeFill="accent2" w:themeFillTint="3F"/>
      </w:tcPr>
    </w:tblStylePr>
    <w:tblStylePr w:type="band1Horz">
      <w:tblPr/>
      <w:tcPr>
        <w:tcBorders>
          <w:insideH w:val="nil"/>
          <w:insideV w:val="nil"/>
        </w:tcBorders>
        <w:shd w:val="clear" w:color="auto" w:fill="FEF5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tblBorders>
    </w:tblPr>
    <w:tblStylePr w:type="firstRow">
      <w:pPr>
        <w:spacing w:before="0" w:after="0" w:line="240" w:lineRule="auto"/>
      </w:pPr>
      <w:rPr>
        <w:b/>
        <w:bCs/>
        <w:color w:val="FFFFFF" w:themeColor="background1"/>
      </w:rPr>
      <w:tblPr/>
      <w:tcPr>
        <w:tc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shd w:val="clear" w:color="auto" w:fill="66D08C" w:themeFill="accent5"/>
      </w:tcPr>
    </w:tblStylePr>
    <w:tblStylePr w:type="lastRow">
      <w:pPr>
        <w:spacing w:before="0" w:after="0" w:line="240" w:lineRule="auto"/>
      </w:pPr>
      <w:rPr>
        <w:b/>
        <w:bCs/>
      </w:rPr>
      <w:tblPr/>
      <w:tcPr>
        <w:tcBorders>
          <w:top w:val="double" w:sz="6"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F3E2" w:themeFill="accent5" w:themeFillTint="3F"/>
      </w:tcPr>
    </w:tblStylePr>
    <w:tblStylePr w:type="band1Horz">
      <w:tblPr/>
      <w:tcPr>
        <w:tcBorders>
          <w:insideH w:val="nil"/>
          <w:insideV w:val="nil"/>
        </w:tcBorders>
        <w:shd w:val="clear" w:color="auto" w:fill="D9F3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tblBorders>
    </w:tblPr>
    <w:tblStylePr w:type="firstRow">
      <w:pPr>
        <w:spacing w:before="0" w:after="0" w:line="240" w:lineRule="auto"/>
      </w:pPr>
      <w:rPr>
        <w:b/>
        <w:bCs/>
        <w:color w:val="FFFFFF" w:themeColor="background1"/>
      </w:rPr>
      <w:tblPr/>
      <w:tcPr>
        <w:tc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shd w:val="clear" w:color="auto" w:fill="FEE97C" w:themeFill="accent6"/>
      </w:tcPr>
    </w:tblStylePr>
    <w:tblStylePr w:type="lastRow">
      <w:pPr>
        <w:spacing w:before="0" w:after="0" w:line="240" w:lineRule="auto"/>
      </w:pPr>
      <w:rPr>
        <w:b/>
        <w:bCs/>
      </w:rPr>
      <w:tblPr/>
      <w:tcPr>
        <w:tcBorders>
          <w:top w:val="double" w:sz="6"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DE" w:themeFill="accent6" w:themeFillTint="3F"/>
      </w:tcPr>
    </w:tblStylePr>
    <w:tblStylePr w:type="band1Horz">
      <w:tblPr/>
      <w:tcPr>
        <w:tcBorders>
          <w:insideH w:val="nil"/>
          <w:insideV w:val="nil"/>
        </w:tcBorders>
        <w:shd w:val="clear" w:color="auto" w:fill="FEF9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1"/>
      </w:tcPr>
    </w:tblStylePr>
    <w:tblStylePr w:type="lastCol">
      <w:rPr>
        <w:b/>
        <w:bCs/>
        <w:color w:val="FFFFFF" w:themeColor="background1"/>
      </w:rPr>
      <w:tblPr/>
      <w:tcPr>
        <w:tcBorders>
          <w:left w:val="nil"/>
          <w:right w:val="nil"/>
          <w:insideH w:val="nil"/>
          <w:insideV w:val="nil"/>
        </w:tcBorders>
        <w:shd w:val="clear" w:color="auto" w:fill="00B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A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DA24" w:themeFill="accent2"/>
      </w:tcPr>
    </w:tblStylePr>
    <w:tblStylePr w:type="lastCol">
      <w:rPr>
        <w:b/>
        <w:bCs/>
        <w:color w:val="FFFFFF" w:themeColor="background1"/>
      </w:rPr>
      <w:tblPr/>
      <w:tcPr>
        <w:tcBorders>
          <w:left w:val="nil"/>
          <w:right w:val="nil"/>
          <w:insideH w:val="nil"/>
          <w:insideV w:val="nil"/>
        </w:tcBorders>
        <w:shd w:val="clear" w:color="auto" w:fill="FDDA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0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08C" w:themeFill="accent5"/>
      </w:tcPr>
    </w:tblStylePr>
    <w:tblStylePr w:type="lastCol">
      <w:rPr>
        <w:b/>
        <w:bCs/>
        <w:color w:val="FFFFFF" w:themeColor="background1"/>
      </w:rPr>
      <w:tblPr/>
      <w:tcPr>
        <w:tcBorders>
          <w:left w:val="nil"/>
          <w:right w:val="nil"/>
          <w:insideH w:val="nil"/>
          <w:insideV w:val="nil"/>
        </w:tcBorders>
        <w:shd w:val="clear" w:color="auto" w:fill="66D0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E97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E97C" w:themeFill="accent6"/>
      </w:tcPr>
    </w:tblStylePr>
    <w:tblStylePr w:type="lastCol">
      <w:rPr>
        <w:b/>
        <w:bCs/>
        <w:color w:val="FFFFFF" w:themeColor="background1"/>
      </w:rPr>
      <w:tblPr/>
      <w:tcPr>
        <w:tcBorders>
          <w:left w:val="nil"/>
          <w:right w:val="nil"/>
          <w:insideH w:val="nil"/>
          <w:insideV w:val="nil"/>
        </w:tcBorders>
        <w:shd w:val="clear" w:color="auto" w:fill="FEE97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5C24D2"/>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33C166"/>
      </w:tcPr>
    </w:tblStylePr>
    <w:tblStylePr w:type="firstCol">
      <w:tblPr/>
      <w:tcPr>
        <w:shd w:val="clear" w:color="auto" w:fill="FFFFFF" w:themeFill="background1"/>
      </w:tcPr>
    </w:tblStylePr>
    <w:tblStylePr w:type="band1Vert">
      <w:tblPr/>
      <w:tcPr>
        <w:shd w:val="clear" w:color="auto" w:fill="CCEF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aliases w:val="Footnote Text Char Char Char Char Char,Footnote Text Char Char Char Char Char Char Char1,Footnote Text1 Char,Footnote Text Char Char Char Char Char Char1 Char,Footnote Text Char Char Char Char Char Char Char Char,fn Char,F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B140"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33C166"/>
        <w:left w:val="single" w:sz="4" w:space="12" w:color="33C166"/>
        <w:bottom w:val="single" w:sz="4" w:space="14" w:color="33C166"/>
        <w:right w:val="single" w:sz="4" w:space="12" w:color="33C166"/>
      </w:pBdr>
      <w:shd w:val="clear" w:color="auto" w:fill="33C166"/>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Boxdots">
    <w:name w:val="Box dots"/>
    <w:basedOn w:val="ListParagraph"/>
    <w:qFormat/>
    <w:rsid w:val="00D9285C"/>
    <w:pPr>
      <w:numPr>
        <w:numId w:val="16"/>
      </w:numPr>
      <w:spacing w:before="40" w:after="40" w:line="240" w:lineRule="auto"/>
      <w:contextualSpacing w:val="0"/>
    </w:pPr>
    <w:rPr>
      <w:rFonts w:eastAsiaTheme="minorEastAsia" w:cs="Cordia New (Body CS)"/>
      <w:bCs/>
      <w:iCs/>
      <w:kern w:val="2"/>
      <w:sz w:val="22"/>
      <w:szCs w:val="24"/>
      <w:lang w:eastAsia="ja-JP"/>
      <w14:ligatures w14:val="standardContextual"/>
    </w:rPr>
  </w:style>
  <w:style w:type="paragraph" w:customStyle="1" w:styleId="Boxtext">
    <w:name w:val="Box text"/>
    <w:basedOn w:val="Normal"/>
    <w:qFormat/>
    <w:rsid w:val="00D9285C"/>
    <w:pPr>
      <w:spacing w:before="40" w:after="40" w:line="240" w:lineRule="auto"/>
    </w:pPr>
    <w:rPr>
      <w:rFonts w:eastAsiaTheme="minorEastAsia" w:cs="Cordia New (Body CS)"/>
      <w:kern w:val="2"/>
      <w:sz w:val="22"/>
      <w:szCs w:val="24"/>
      <w:lang w:eastAsia="ja-JP"/>
      <w14:ligatures w14:val="standardContextual"/>
    </w:rPr>
  </w:style>
  <w:style w:type="character" w:styleId="Mention">
    <w:name w:val="Mention"/>
    <w:basedOn w:val="DefaultParagraphFont"/>
    <w:uiPriority w:val="99"/>
    <w:unhideWhenUsed/>
    <w:rsid w:val="00977EA0"/>
    <w:rPr>
      <w:color w:val="2B579A"/>
      <w:shd w:val="clear" w:color="auto" w:fill="E1DFDD"/>
    </w:rPr>
  </w:style>
  <w:style w:type="paragraph" w:customStyle="1" w:styleId="m-7433572371409599280gmail-msolistparagraph">
    <w:name w:val="m_-7433572371409599280gmail-msolistparagraph"/>
    <w:basedOn w:val="Normal"/>
    <w:rsid w:val="00A401FB"/>
    <w:pPr>
      <w:spacing w:before="100" w:beforeAutospacing="1" w:after="100" w:afterAutospacing="1" w:line="240" w:lineRule="auto"/>
    </w:pPr>
    <w:rPr>
      <w:rFonts w:ascii="Times New Roman" w:hAnsi="Times New Roman"/>
      <w:sz w:val="24"/>
      <w:szCs w:val="24"/>
    </w:rPr>
  </w:style>
  <w:style w:type="paragraph" w:styleId="IntenseQuote">
    <w:name w:val="Intense Quote"/>
    <w:basedOn w:val="Normal"/>
    <w:next w:val="Normal"/>
    <w:link w:val="IntenseQuoteChar"/>
    <w:uiPriority w:val="30"/>
    <w:qFormat/>
    <w:rsid w:val="006D6AD8"/>
    <w:pPr>
      <w:pBdr>
        <w:top w:val="single" w:sz="4" w:space="10" w:color="00842F" w:themeColor="accent1" w:themeShade="BF"/>
        <w:bottom w:val="single" w:sz="4" w:space="10" w:color="00842F" w:themeColor="accent1" w:themeShade="BF"/>
      </w:pBdr>
      <w:spacing w:before="360" w:after="360" w:line="240" w:lineRule="auto"/>
      <w:ind w:left="864" w:right="864"/>
      <w:jc w:val="center"/>
    </w:pPr>
    <w:rPr>
      <w:rFonts w:eastAsiaTheme="minorEastAsia" w:cs="Cordia New (Body CS)"/>
      <w:i/>
      <w:iCs/>
      <w:color w:val="00842F" w:themeColor="accent1" w:themeShade="BF"/>
      <w:kern w:val="2"/>
      <w:sz w:val="22"/>
      <w:szCs w:val="24"/>
      <w:lang w:eastAsia="ja-JP"/>
      <w14:ligatures w14:val="standardContextual"/>
    </w:rPr>
  </w:style>
  <w:style w:type="character" w:customStyle="1" w:styleId="IntenseQuoteChar">
    <w:name w:val="Intense Quote Char"/>
    <w:basedOn w:val="DefaultParagraphFont"/>
    <w:link w:val="IntenseQuote"/>
    <w:uiPriority w:val="30"/>
    <w:rsid w:val="006D6AD8"/>
    <w:rPr>
      <w:rFonts w:eastAsiaTheme="minorEastAsia" w:cs="Cordia New (Body CS)"/>
      <w:i/>
      <w:iCs/>
      <w:color w:val="00842F" w:themeColor="accent1" w:themeShade="BF"/>
      <w:kern w:val="2"/>
      <w:sz w:val="22"/>
      <w:szCs w:val="24"/>
      <w:lang w:eastAsia="ja-JP"/>
      <w14:ligatures w14:val="standardContextual"/>
    </w:rPr>
  </w:style>
  <w:style w:type="paragraph" w:customStyle="1" w:styleId="pf0">
    <w:name w:val="pf0"/>
    <w:basedOn w:val="Normal"/>
    <w:rsid w:val="004F7E00"/>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A7385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26019130">
      <w:bodyDiv w:val="1"/>
      <w:marLeft w:val="0"/>
      <w:marRight w:val="0"/>
      <w:marTop w:val="0"/>
      <w:marBottom w:val="0"/>
      <w:divBdr>
        <w:top w:val="none" w:sz="0" w:space="0" w:color="auto"/>
        <w:left w:val="none" w:sz="0" w:space="0" w:color="auto"/>
        <w:bottom w:val="none" w:sz="0" w:space="0" w:color="auto"/>
        <w:right w:val="none" w:sz="0" w:space="0" w:color="auto"/>
      </w:divBdr>
    </w:div>
    <w:div w:id="901983040">
      <w:bodyDiv w:val="1"/>
      <w:marLeft w:val="0"/>
      <w:marRight w:val="0"/>
      <w:marTop w:val="0"/>
      <w:marBottom w:val="0"/>
      <w:divBdr>
        <w:top w:val="none" w:sz="0" w:space="0" w:color="auto"/>
        <w:left w:val="none" w:sz="0" w:space="0" w:color="auto"/>
        <w:bottom w:val="none" w:sz="0" w:space="0" w:color="auto"/>
        <w:right w:val="none" w:sz="0" w:space="0" w:color="auto"/>
      </w:divBdr>
    </w:div>
    <w:div w:id="107593202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19763623">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png"/><Relationship Id="rId39" Type="http://schemas.openxmlformats.org/officeDocument/2006/relationships/image" Target="media/image12.png"/><Relationship Id="rId21" Type="http://schemas.openxmlformats.org/officeDocument/2006/relationships/styles" Target="styles.xml"/><Relationship Id="rId34" Type="http://schemas.openxmlformats.org/officeDocument/2006/relationships/image" Target="media/image9.png"/><Relationship Id="rId42" Type="http://schemas.openxmlformats.org/officeDocument/2006/relationships/image" Target="media/image15.svg"/><Relationship Id="rId47" Type="http://schemas.openxmlformats.org/officeDocument/2006/relationships/footer" Target="footer1.xml"/><Relationship Id="rId50" Type="http://schemas.openxmlformats.org/officeDocument/2006/relationships/image" Target="media/image20.png"/><Relationship Id="rId55" Type="http://schemas.openxmlformats.org/officeDocument/2006/relationships/hyperlink" Target="http://www.deeca.vic.gov.au" TargetMode="External"/><Relationship Id="rId63" Type="http://schemas.openxmlformats.org/officeDocument/2006/relationships/footer" Target="foot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image" Target="media/image7.png"/><Relationship Id="rId37" Type="http://schemas.openxmlformats.org/officeDocument/2006/relationships/hyperlink" Target="file:///C:\Users\fionadurante\Downloads\deeca.vic.gov.au" TargetMode="External"/><Relationship Id="rId40" Type="http://schemas.openxmlformats.org/officeDocument/2006/relationships/image" Target="media/image13.svg"/><Relationship Id="rId45" Type="http://schemas.openxmlformats.org/officeDocument/2006/relationships/image" Target="media/image18.png"/><Relationship Id="rId53" Type="http://schemas.openxmlformats.org/officeDocument/2006/relationships/hyperlink" Target="mailto:customer.service@deeca.vic.gov.au" TargetMode="External"/><Relationship Id="rId58" Type="http://schemas.openxmlformats.org/officeDocument/2006/relationships/footer" Target="footer5.xm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image" Target="media/image3.svg"/><Relationship Id="rId36" Type="http://schemas.openxmlformats.org/officeDocument/2006/relationships/image" Target="media/image11.png"/><Relationship Id="rId49" Type="http://schemas.openxmlformats.org/officeDocument/2006/relationships/footer" Target="footer3.xml"/><Relationship Id="rId57" Type="http://schemas.openxmlformats.org/officeDocument/2006/relationships/footer" Target="footer4.xml"/><Relationship Id="rId61"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6.png"/><Relationship Id="rId44" Type="http://schemas.openxmlformats.org/officeDocument/2006/relationships/image" Target="media/image17.svg"/><Relationship Id="rId52" Type="http://schemas.openxmlformats.org/officeDocument/2006/relationships/hyperlink" Target="http://creativecommons.org/licenses/by/4.0/" TargetMode="External"/><Relationship Id="rId60" Type="http://schemas.openxmlformats.org/officeDocument/2006/relationships/image" Target="media/image21.png"/><Relationship Id="rId65"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image" Target="media/image2.png"/><Relationship Id="rId30" Type="http://schemas.openxmlformats.org/officeDocument/2006/relationships/image" Target="media/image5.sv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oter" Target="footer2.xml"/><Relationship Id="rId56" Type="http://schemas.openxmlformats.org/officeDocument/2006/relationships/header" Target="header1.xml"/><Relationship Id="rId64" Type="http://schemas.openxmlformats.org/officeDocument/2006/relationships/footer" Target="footer9.xml"/><Relationship Id="rId8" Type="http://schemas.openxmlformats.org/officeDocument/2006/relationships/customXml" Target="../customXml/item8.xml"/><Relationship Id="rId51" Type="http://schemas.openxmlformats.org/officeDocument/2006/relationships/hyperlink" Target="http://creativecommons.org/licenses/by/4.0/"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image" Target="media/image8.png"/><Relationship Id="rId38" Type="http://schemas.openxmlformats.org/officeDocument/2006/relationships/hyperlink" Target="file:///C:\Users\fionadurante\Downloads\deeca.vic.gov.au" TargetMode="External"/><Relationship Id="rId46" Type="http://schemas.openxmlformats.org/officeDocument/2006/relationships/image" Target="media/image19.svg"/><Relationship Id="rId59" Type="http://schemas.openxmlformats.org/officeDocument/2006/relationships/footer" Target="footer6.xml"/><Relationship Id="rId67" Type="http://schemas.openxmlformats.org/officeDocument/2006/relationships/theme" Target="theme/theme1.xml"/><Relationship Id="rId20" Type="http://schemas.openxmlformats.org/officeDocument/2006/relationships/numbering" Target="numbering.xml"/><Relationship Id="rId41" Type="http://schemas.openxmlformats.org/officeDocument/2006/relationships/image" Target="media/image14.png"/><Relationship Id="rId54" Type="http://schemas.openxmlformats.org/officeDocument/2006/relationships/hyperlink" Target="http://www.deeca.vic.gov.au/" TargetMode="External"/><Relationship Id="rId62"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victorias-bushfire-risk-management-report-2022-2023/statewide-overview" TargetMode="External"/><Relationship Id="rId2" Type="http://schemas.openxmlformats.org/officeDocument/2006/relationships/hyperlink" Target="https://doi.org/10.1038/s41598-019-46362-x" TargetMode="External"/><Relationship Id="rId1" Type="http://schemas.openxmlformats.org/officeDocument/2006/relationships/hyperlink" Target="https://www.environment.vic.gov.au/__data/assets/pdf_file/0034/459574/Ecosystem-services-from-forests-in-Victoria-Assessment-of-Regional-Forest-Agreement-regions.pdf?_gl=1*cfl1n0*_ga*MTYyMzM4MTY0MS4xNjg2MjkzNDY5*_ga_K7QKPKD4HV*MTcyNzc1Nzk1Ny4xMzIuMS4xNzI3NzU4NDEzLjYwLjAuMA.." TargetMode="External"/><Relationship Id="rId6" Type="http://schemas.openxmlformats.org/officeDocument/2006/relationships/hyperlink" Target="https://www.dtf.vic.gov.au/sites/default/files/document/Victorian_Economic_Bulletin-April2019.pdf" TargetMode="External"/><Relationship Id="rId5" Type="http://schemas.openxmlformats.org/officeDocument/2006/relationships/hyperlink" Target="https://www.dtf.vic.gov.au/sites/default/files/document/Victorian%20Public%20Service%20Enterprise%20Agreement%202024.pdf" TargetMode="External"/><Relationship Id="rId4" Type="http://schemas.openxmlformats.org/officeDocument/2006/relationships/hyperlink" Target="https://oia.pmc.gov.au/resources/guidance-assessing-impacts/value-statistical-life"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FD9"/>
      </a:lt2>
      <a:accent1>
        <a:srgbClr val="00B140"/>
      </a:accent1>
      <a:accent2>
        <a:srgbClr val="FDDA24"/>
      </a:accent2>
      <a:accent3>
        <a:srgbClr val="00B2A9"/>
      </a:accent3>
      <a:accent4>
        <a:srgbClr val="201547"/>
      </a:accent4>
      <a:accent5>
        <a:srgbClr val="66D08C"/>
      </a:accent5>
      <a:accent6>
        <a:srgbClr val="FEE97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10.xml>
</file>

<file path=customXml/item11.xml><?xml version="1.0" encoding="utf-8"?>
<b:Sources xmlns:b="http://schemas.openxmlformats.org/officeDocument/2006/bibliography" xmlns="http://schemas.openxmlformats.org/officeDocument/2006/bibliography" SelectedStyle="\APA.XSL" StyleName="APA Fifth Edition"/>
</file>

<file path=customXml/item12.xml>
</file>

<file path=customXml/item13.xml>
</file>

<file path=customXml/item14.xml>
</file>

<file path=customXml/item15.xml>
</file>

<file path=customXml/item16.xml>
</file>

<file path=customXml/item17.xml>
</file>

<file path=customXml/item18.xml>
</file>

<file path=customXml/item19.xml>��< ? x m l   v e r s i o n = " 1 . 0 "   e n c o d i n g = " u t f - 1 6 " ? > < K a p i s h F i l e n a m e T o U r i M a p p i n g s   x m l n s : x s i = " h t t p : / / w w w . w 3 . o r g / 2 0 0 1 / X M L S c h e m a - i n s t a n c e "   x m l n s : x s d = " h t t p : / / w w w . w 3 . o r g / 2 0 0 1 / X M L S c h e m a " / > 
</file>

<file path=customXml/item2.xml>
</file>

<file path=customXml/item3.xml>
</file>

<file path=customXml/item4.xml>
</file>

<file path=customXml/item5.xml>
</file>

<file path=customXml/item6.xml>
</file>

<file path=customXml/item7.xml>
</file>

<file path=customXml/item8.xml>
</file>

<file path=customXml/item9.xm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734ADA4-27BA-4A52-BA10-A6CFD37149EB}"/>
</file>

<file path=customXml/itemProps11.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12.xml><?xml version="1.0" encoding="utf-8"?>
<ds:datastoreItem xmlns:ds="http://schemas.openxmlformats.org/officeDocument/2006/customXml" ds:itemID="{A8872E2C-4E6A-4FE6-8986-977CF65FAF4C}"/>
</file>

<file path=customXml/itemProps13.xml><?xml version="1.0" encoding="utf-8"?>
<ds:datastoreItem xmlns:ds="http://schemas.openxmlformats.org/officeDocument/2006/customXml" ds:itemID="{CCC0FEB4-83BD-4C76-8387-5C0E81F86DB9}"/>
</file>

<file path=customXml/itemProps14.xml><?xml version="1.0" encoding="utf-8"?>
<ds:datastoreItem xmlns:ds="http://schemas.openxmlformats.org/officeDocument/2006/customXml" ds:itemID="{B8C88A8B-0DD3-4755-981E-B31CA2963C1A}"/>
</file>

<file path=customXml/itemProps15.xml><?xml version="1.0" encoding="utf-8"?>
<ds:datastoreItem xmlns:ds="http://schemas.openxmlformats.org/officeDocument/2006/customXml" ds:itemID="{0287AEEC-4F90-4689-9918-7CF398AC066F}"/>
</file>

<file path=customXml/itemProps16.xml><?xml version="1.0" encoding="utf-8"?>
<ds:datastoreItem xmlns:ds="http://schemas.openxmlformats.org/officeDocument/2006/customXml" ds:itemID="{1019444C-E790-4AB3-A2AE-B0C4C598F055}"/>
</file>

<file path=customXml/itemProps17.xml><?xml version="1.0" encoding="utf-8"?>
<ds:datastoreItem xmlns:ds="http://schemas.openxmlformats.org/officeDocument/2006/customXml" ds:itemID="{E286F76C-D93E-46DF-9A77-C60A2EE35E3E}"/>
</file>

<file path=customXml/itemProps18.xml><?xml version="1.0" encoding="utf-8"?>
<ds:datastoreItem xmlns:ds="http://schemas.openxmlformats.org/officeDocument/2006/customXml" ds:itemID="{C081B789-0972-4D2E-AAD9-259539783684}"/>
</file>

<file path=customXml/itemProps19.xml><?xml version="1.0" encoding="utf-8"?>
<ds:datastoreItem xmlns:ds="http://schemas.openxmlformats.org/officeDocument/2006/customXml" ds:itemID="{9D809FDA-6391-4FDC-A5A5-C61D820DC27B}">
  <ds:schemaRefs>
    <ds:schemaRef ds:uri="http://www.w3.org/2001/XMLSchema"/>
  </ds:schemaRefs>
</ds:datastoreItem>
</file>

<file path=customXml/itemProps2.xml><?xml version="1.0" encoding="utf-8"?>
<ds:datastoreItem xmlns:ds="http://schemas.openxmlformats.org/officeDocument/2006/customXml" ds:itemID="{A8050B40-B44B-420F-AD1A-D8093812D5AF}"/>
</file>

<file path=customXml/itemProps3.xml><?xml version="1.0" encoding="utf-8"?>
<ds:datastoreItem xmlns:ds="http://schemas.openxmlformats.org/officeDocument/2006/customXml" ds:itemID="{06EF93A1-9F0F-49AA-B42D-A715A98DB5EC}"/>
</file>

<file path=customXml/itemProps4.xml><?xml version="1.0" encoding="utf-8"?>
<ds:datastoreItem xmlns:ds="http://schemas.openxmlformats.org/officeDocument/2006/customXml" ds:itemID="{A2241E85-18BE-44A8-BA8A-AAF0A68573F7}"/>
</file>

<file path=customXml/itemProps5.xml><?xml version="1.0" encoding="utf-8"?>
<ds:datastoreItem xmlns:ds="http://schemas.openxmlformats.org/officeDocument/2006/customXml" ds:itemID="{2A71B5D0-EDC7-4710-9C83-6BB68ECDB986}"/>
</file>

<file path=customXml/itemProps6.xml><?xml version="1.0" encoding="utf-8"?>
<ds:datastoreItem xmlns:ds="http://schemas.openxmlformats.org/officeDocument/2006/customXml" ds:itemID="{D2289105-B7F4-4AB4-8462-FED21EEEE7B8}"/>
</file>

<file path=customXml/itemProps7.xml><?xml version="1.0" encoding="utf-8"?>
<ds:datastoreItem xmlns:ds="http://schemas.openxmlformats.org/officeDocument/2006/customXml" ds:itemID="{FBC70CAC-E3B5-481A-A05E-F7A9C240E1C6}"/>
</file>

<file path=customXml/itemProps8.xml><?xml version="1.0" encoding="utf-8"?>
<ds:datastoreItem xmlns:ds="http://schemas.openxmlformats.org/officeDocument/2006/customXml" ds:itemID="{F886C0B1-E6D4-4288-A968-39DC8B61F7CB}"/>
</file>

<file path=customXml/itemProps9.xml><?xml version="1.0" encoding="utf-8"?>
<ds:datastoreItem xmlns:ds="http://schemas.openxmlformats.org/officeDocument/2006/customXml" ds:itemID="{F80D416C-0DC7-4B18-95C4-67EADDCFD705}"/>
</file>

<file path=docProps/app.xml><?xml version="1.0" encoding="utf-8"?>
<Properties xmlns="http://schemas.openxmlformats.org/officeDocument/2006/extended-properties" xmlns:vt="http://schemas.openxmlformats.org/officeDocument/2006/docPropsVTypes">
  <Template>Normal.dotm</Template>
  <TotalTime>1</TotalTime>
  <Pages>8</Pages>
  <Words>23588</Words>
  <Characters>134457</Characters>
  <Application>Microsoft Office Word</Application>
  <DocSecurity>4</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157730</CharactersWithSpaces>
  <SharedDoc>false</SharedDoc>
  <HLinks>
    <vt:vector size="570" baseType="variant">
      <vt:variant>
        <vt:i4>1966132</vt:i4>
      </vt:variant>
      <vt:variant>
        <vt:i4>513</vt:i4>
      </vt:variant>
      <vt:variant>
        <vt:i4>0</vt:i4>
      </vt:variant>
      <vt:variant>
        <vt:i4>5</vt:i4>
      </vt:variant>
      <vt:variant>
        <vt:lpwstr/>
      </vt:variant>
      <vt:variant>
        <vt:lpwstr>_Toc187226052</vt:lpwstr>
      </vt:variant>
      <vt:variant>
        <vt:i4>1966132</vt:i4>
      </vt:variant>
      <vt:variant>
        <vt:i4>507</vt:i4>
      </vt:variant>
      <vt:variant>
        <vt:i4>0</vt:i4>
      </vt:variant>
      <vt:variant>
        <vt:i4>5</vt:i4>
      </vt:variant>
      <vt:variant>
        <vt:lpwstr/>
      </vt:variant>
      <vt:variant>
        <vt:lpwstr>_Toc187226051</vt:lpwstr>
      </vt:variant>
      <vt:variant>
        <vt:i4>1966132</vt:i4>
      </vt:variant>
      <vt:variant>
        <vt:i4>501</vt:i4>
      </vt:variant>
      <vt:variant>
        <vt:i4>0</vt:i4>
      </vt:variant>
      <vt:variant>
        <vt:i4>5</vt:i4>
      </vt:variant>
      <vt:variant>
        <vt:lpwstr/>
      </vt:variant>
      <vt:variant>
        <vt:lpwstr>_Toc187226050</vt:lpwstr>
      </vt:variant>
      <vt:variant>
        <vt:i4>2031668</vt:i4>
      </vt:variant>
      <vt:variant>
        <vt:i4>495</vt:i4>
      </vt:variant>
      <vt:variant>
        <vt:i4>0</vt:i4>
      </vt:variant>
      <vt:variant>
        <vt:i4>5</vt:i4>
      </vt:variant>
      <vt:variant>
        <vt:lpwstr/>
      </vt:variant>
      <vt:variant>
        <vt:lpwstr>_Toc187226049</vt:lpwstr>
      </vt:variant>
      <vt:variant>
        <vt:i4>2031668</vt:i4>
      </vt:variant>
      <vt:variant>
        <vt:i4>489</vt:i4>
      </vt:variant>
      <vt:variant>
        <vt:i4>0</vt:i4>
      </vt:variant>
      <vt:variant>
        <vt:i4>5</vt:i4>
      </vt:variant>
      <vt:variant>
        <vt:lpwstr/>
      </vt:variant>
      <vt:variant>
        <vt:lpwstr>_Toc187226048</vt:lpwstr>
      </vt:variant>
      <vt:variant>
        <vt:i4>2031668</vt:i4>
      </vt:variant>
      <vt:variant>
        <vt:i4>483</vt:i4>
      </vt:variant>
      <vt:variant>
        <vt:i4>0</vt:i4>
      </vt:variant>
      <vt:variant>
        <vt:i4>5</vt:i4>
      </vt:variant>
      <vt:variant>
        <vt:lpwstr/>
      </vt:variant>
      <vt:variant>
        <vt:lpwstr>_Toc187226047</vt:lpwstr>
      </vt:variant>
      <vt:variant>
        <vt:i4>2031668</vt:i4>
      </vt:variant>
      <vt:variant>
        <vt:i4>477</vt:i4>
      </vt:variant>
      <vt:variant>
        <vt:i4>0</vt:i4>
      </vt:variant>
      <vt:variant>
        <vt:i4>5</vt:i4>
      </vt:variant>
      <vt:variant>
        <vt:lpwstr/>
      </vt:variant>
      <vt:variant>
        <vt:lpwstr>_Toc187226046</vt:lpwstr>
      </vt:variant>
      <vt:variant>
        <vt:i4>2031668</vt:i4>
      </vt:variant>
      <vt:variant>
        <vt:i4>471</vt:i4>
      </vt:variant>
      <vt:variant>
        <vt:i4>0</vt:i4>
      </vt:variant>
      <vt:variant>
        <vt:i4>5</vt:i4>
      </vt:variant>
      <vt:variant>
        <vt:lpwstr/>
      </vt:variant>
      <vt:variant>
        <vt:lpwstr>_Toc187226045</vt:lpwstr>
      </vt:variant>
      <vt:variant>
        <vt:i4>2031668</vt:i4>
      </vt:variant>
      <vt:variant>
        <vt:i4>465</vt:i4>
      </vt:variant>
      <vt:variant>
        <vt:i4>0</vt:i4>
      </vt:variant>
      <vt:variant>
        <vt:i4>5</vt:i4>
      </vt:variant>
      <vt:variant>
        <vt:lpwstr/>
      </vt:variant>
      <vt:variant>
        <vt:lpwstr>_Toc187226044</vt:lpwstr>
      </vt:variant>
      <vt:variant>
        <vt:i4>2031668</vt:i4>
      </vt:variant>
      <vt:variant>
        <vt:i4>459</vt:i4>
      </vt:variant>
      <vt:variant>
        <vt:i4>0</vt:i4>
      </vt:variant>
      <vt:variant>
        <vt:i4>5</vt:i4>
      </vt:variant>
      <vt:variant>
        <vt:lpwstr/>
      </vt:variant>
      <vt:variant>
        <vt:lpwstr>_Toc187226043</vt:lpwstr>
      </vt:variant>
      <vt:variant>
        <vt:i4>2031668</vt:i4>
      </vt:variant>
      <vt:variant>
        <vt:i4>453</vt:i4>
      </vt:variant>
      <vt:variant>
        <vt:i4>0</vt:i4>
      </vt:variant>
      <vt:variant>
        <vt:i4>5</vt:i4>
      </vt:variant>
      <vt:variant>
        <vt:lpwstr/>
      </vt:variant>
      <vt:variant>
        <vt:lpwstr>_Toc187226042</vt:lpwstr>
      </vt:variant>
      <vt:variant>
        <vt:i4>2031668</vt:i4>
      </vt:variant>
      <vt:variant>
        <vt:i4>447</vt:i4>
      </vt:variant>
      <vt:variant>
        <vt:i4>0</vt:i4>
      </vt:variant>
      <vt:variant>
        <vt:i4>5</vt:i4>
      </vt:variant>
      <vt:variant>
        <vt:lpwstr/>
      </vt:variant>
      <vt:variant>
        <vt:lpwstr>_Toc187226041</vt:lpwstr>
      </vt:variant>
      <vt:variant>
        <vt:i4>2031668</vt:i4>
      </vt:variant>
      <vt:variant>
        <vt:i4>441</vt:i4>
      </vt:variant>
      <vt:variant>
        <vt:i4>0</vt:i4>
      </vt:variant>
      <vt:variant>
        <vt:i4>5</vt:i4>
      </vt:variant>
      <vt:variant>
        <vt:lpwstr/>
      </vt:variant>
      <vt:variant>
        <vt:lpwstr>_Toc187226040</vt:lpwstr>
      </vt:variant>
      <vt:variant>
        <vt:i4>1572916</vt:i4>
      </vt:variant>
      <vt:variant>
        <vt:i4>435</vt:i4>
      </vt:variant>
      <vt:variant>
        <vt:i4>0</vt:i4>
      </vt:variant>
      <vt:variant>
        <vt:i4>5</vt:i4>
      </vt:variant>
      <vt:variant>
        <vt:lpwstr/>
      </vt:variant>
      <vt:variant>
        <vt:lpwstr>_Toc187226039</vt:lpwstr>
      </vt:variant>
      <vt:variant>
        <vt:i4>1572916</vt:i4>
      </vt:variant>
      <vt:variant>
        <vt:i4>429</vt:i4>
      </vt:variant>
      <vt:variant>
        <vt:i4>0</vt:i4>
      </vt:variant>
      <vt:variant>
        <vt:i4>5</vt:i4>
      </vt:variant>
      <vt:variant>
        <vt:lpwstr/>
      </vt:variant>
      <vt:variant>
        <vt:lpwstr>_Toc187226038</vt:lpwstr>
      </vt:variant>
      <vt:variant>
        <vt:i4>1572916</vt:i4>
      </vt:variant>
      <vt:variant>
        <vt:i4>423</vt:i4>
      </vt:variant>
      <vt:variant>
        <vt:i4>0</vt:i4>
      </vt:variant>
      <vt:variant>
        <vt:i4>5</vt:i4>
      </vt:variant>
      <vt:variant>
        <vt:lpwstr/>
      </vt:variant>
      <vt:variant>
        <vt:lpwstr>_Toc187226037</vt:lpwstr>
      </vt:variant>
      <vt:variant>
        <vt:i4>1572916</vt:i4>
      </vt:variant>
      <vt:variant>
        <vt:i4>417</vt:i4>
      </vt:variant>
      <vt:variant>
        <vt:i4>0</vt:i4>
      </vt:variant>
      <vt:variant>
        <vt:i4>5</vt:i4>
      </vt:variant>
      <vt:variant>
        <vt:lpwstr/>
      </vt:variant>
      <vt:variant>
        <vt:lpwstr>_Toc187226036</vt:lpwstr>
      </vt:variant>
      <vt:variant>
        <vt:i4>1572916</vt:i4>
      </vt:variant>
      <vt:variant>
        <vt:i4>411</vt:i4>
      </vt:variant>
      <vt:variant>
        <vt:i4>0</vt:i4>
      </vt:variant>
      <vt:variant>
        <vt:i4>5</vt:i4>
      </vt:variant>
      <vt:variant>
        <vt:lpwstr/>
      </vt:variant>
      <vt:variant>
        <vt:lpwstr>_Toc187226035</vt:lpwstr>
      </vt:variant>
      <vt:variant>
        <vt:i4>1572916</vt:i4>
      </vt:variant>
      <vt:variant>
        <vt:i4>405</vt:i4>
      </vt:variant>
      <vt:variant>
        <vt:i4>0</vt:i4>
      </vt:variant>
      <vt:variant>
        <vt:i4>5</vt:i4>
      </vt:variant>
      <vt:variant>
        <vt:lpwstr/>
      </vt:variant>
      <vt:variant>
        <vt:lpwstr>_Toc187226034</vt:lpwstr>
      </vt:variant>
      <vt:variant>
        <vt:i4>1572916</vt:i4>
      </vt:variant>
      <vt:variant>
        <vt:i4>399</vt:i4>
      </vt:variant>
      <vt:variant>
        <vt:i4>0</vt:i4>
      </vt:variant>
      <vt:variant>
        <vt:i4>5</vt:i4>
      </vt:variant>
      <vt:variant>
        <vt:lpwstr/>
      </vt:variant>
      <vt:variant>
        <vt:lpwstr>_Toc187226033</vt:lpwstr>
      </vt:variant>
      <vt:variant>
        <vt:i4>1572916</vt:i4>
      </vt:variant>
      <vt:variant>
        <vt:i4>393</vt:i4>
      </vt:variant>
      <vt:variant>
        <vt:i4>0</vt:i4>
      </vt:variant>
      <vt:variant>
        <vt:i4>5</vt:i4>
      </vt:variant>
      <vt:variant>
        <vt:lpwstr/>
      </vt:variant>
      <vt:variant>
        <vt:lpwstr>_Toc187226032</vt:lpwstr>
      </vt:variant>
      <vt:variant>
        <vt:i4>1572916</vt:i4>
      </vt:variant>
      <vt:variant>
        <vt:i4>387</vt:i4>
      </vt:variant>
      <vt:variant>
        <vt:i4>0</vt:i4>
      </vt:variant>
      <vt:variant>
        <vt:i4>5</vt:i4>
      </vt:variant>
      <vt:variant>
        <vt:lpwstr/>
      </vt:variant>
      <vt:variant>
        <vt:lpwstr>_Toc187226031</vt:lpwstr>
      </vt:variant>
      <vt:variant>
        <vt:i4>1572916</vt:i4>
      </vt:variant>
      <vt:variant>
        <vt:i4>381</vt:i4>
      </vt:variant>
      <vt:variant>
        <vt:i4>0</vt:i4>
      </vt:variant>
      <vt:variant>
        <vt:i4>5</vt:i4>
      </vt:variant>
      <vt:variant>
        <vt:lpwstr/>
      </vt:variant>
      <vt:variant>
        <vt:lpwstr>_Toc187226030</vt:lpwstr>
      </vt:variant>
      <vt:variant>
        <vt:i4>1638452</vt:i4>
      </vt:variant>
      <vt:variant>
        <vt:i4>375</vt:i4>
      </vt:variant>
      <vt:variant>
        <vt:i4>0</vt:i4>
      </vt:variant>
      <vt:variant>
        <vt:i4>5</vt:i4>
      </vt:variant>
      <vt:variant>
        <vt:lpwstr/>
      </vt:variant>
      <vt:variant>
        <vt:lpwstr>_Toc187226029</vt:lpwstr>
      </vt:variant>
      <vt:variant>
        <vt:i4>1638452</vt:i4>
      </vt:variant>
      <vt:variant>
        <vt:i4>369</vt:i4>
      </vt:variant>
      <vt:variant>
        <vt:i4>0</vt:i4>
      </vt:variant>
      <vt:variant>
        <vt:i4>5</vt:i4>
      </vt:variant>
      <vt:variant>
        <vt:lpwstr/>
      </vt:variant>
      <vt:variant>
        <vt:lpwstr>_Toc187226028</vt:lpwstr>
      </vt:variant>
      <vt:variant>
        <vt:i4>1638452</vt:i4>
      </vt:variant>
      <vt:variant>
        <vt:i4>363</vt:i4>
      </vt:variant>
      <vt:variant>
        <vt:i4>0</vt:i4>
      </vt:variant>
      <vt:variant>
        <vt:i4>5</vt:i4>
      </vt:variant>
      <vt:variant>
        <vt:lpwstr/>
      </vt:variant>
      <vt:variant>
        <vt:lpwstr>_Toc187226027</vt:lpwstr>
      </vt:variant>
      <vt:variant>
        <vt:i4>1638452</vt:i4>
      </vt:variant>
      <vt:variant>
        <vt:i4>357</vt:i4>
      </vt:variant>
      <vt:variant>
        <vt:i4>0</vt:i4>
      </vt:variant>
      <vt:variant>
        <vt:i4>5</vt:i4>
      </vt:variant>
      <vt:variant>
        <vt:lpwstr/>
      </vt:variant>
      <vt:variant>
        <vt:lpwstr>_Toc187226026</vt:lpwstr>
      </vt:variant>
      <vt:variant>
        <vt:i4>1638452</vt:i4>
      </vt:variant>
      <vt:variant>
        <vt:i4>351</vt:i4>
      </vt:variant>
      <vt:variant>
        <vt:i4>0</vt:i4>
      </vt:variant>
      <vt:variant>
        <vt:i4>5</vt:i4>
      </vt:variant>
      <vt:variant>
        <vt:lpwstr/>
      </vt:variant>
      <vt:variant>
        <vt:lpwstr>_Toc187226025</vt:lpwstr>
      </vt:variant>
      <vt:variant>
        <vt:i4>1638452</vt:i4>
      </vt:variant>
      <vt:variant>
        <vt:i4>345</vt:i4>
      </vt:variant>
      <vt:variant>
        <vt:i4>0</vt:i4>
      </vt:variant>
      <vt:variant>
        <vt:i4>5</vt:i4>
      </vt:variant>
      <vt:variant>
        <vt:lpwstr/>
      </vt:variant>
      <vt:variant>
        <vt:lpwstr>_Toc187226024</vt:lpwstr>
      </vt:variant>
      <vt:variant>
        <vt:i4>1638452</vt:i4>
      </vt:variant>
      <vt:variant>
        <vt:i4>339</vt:i4>
      </vt:variant>
      <vt:variant>
        <vt:i4>0</vt:i4>
      </vt:variant>
      <vt:variant>
        <vt:i4>5</vt:i4>
      </vt:variant>
      <vt:variant>
        <vt:lpwstr/>
      </vt:variant>
      <vt:variant>
        <vt:lpwstr>_Toc187226023</vt:lpwstr>
      </vt:variant>
      <vt:variant>
        <vt:i4>1638452</vt:i4>
      </vt:variant>
      <vt:variant>
        <vt:i4>333</vt:i4>
      </vt:variant>
      <vt:variant>
        <vt:i4>0</vt:i4>
      </vt:variant>
      <vt:variant>
        <vt:i4>5</vt:i4>
      </vt:variant>
      <vt:variant>
        <vt:lpwstr/>
      </vt:variant>
      <vt:variant>
        <vt:lpwstr>_Toc187226022</vt:lpwstr>
      </vt:variant>
      <vt:variant>
        <vt:i4>1638452</vt:i4>
      </vt:variant>
      <vt:variant>
        <vt:i4>327</vt:i4>
      </vt:variant>
      <vt:variant>
        <vt:i4>0</vt:i4>
      </vt:variant>
      <vt:variant>
        <vt:i4>5</vt:i4>
      </vt:variant>
      <vt:variant>
        <vt:lpwstr/>
      </vt:variant>
      <vt:variant>
        <vt:lpwstr>_Toc187226021</vt:lpwstr>
      </vt:variant>
      <vt:variant>
        <vt:i4>1638452</vt:i4>
      </vt:variant>
      <vt:variant>
        <vt:i4>321</vt:i4>
      </vt:variant>
      <vt:variant>
        <vt:i4>0</vt:i4>
      </vt:variant>
      <vt:variant>
        <vt:i4>5</vt:i4>
      </vt:variant>
      <vt:variant>
        <vt:lpwstr/>
      </vt:variant>
      <vt:variant>
        <vt:lpwstr>_Toc187226020</vt:lpwstr>
      </vt:variant>
      <vt:variant>
        <vt:i4>1703988</vt:i4>
      </vt:variant>
      <vt:variant>
        <vt:i4>315</vt:i4>
      </vt:variant>
      <vt:variant>
        <vt:i4>0</vt:i4>
      </vt:variant>
      <vt:variant>
        <vt:i4>5</vt:i4>
      </vt:variant>
      <vt:variant>
        <vt:lpwstr/>
      </vt:variant>
      <vt:variant>
        <vt:lpwstr>_Toc187226019</vt:lpwstr>
      </vt:variant>
      <vt:variant>
        <vt:i4>1703988</vt:i4>
      </vt:variant>
      <vt:variant>
        <vt:i4>309</vt:i4>
      </vt:variant>
      <vt:variant>
        <vt:i4>0</vt:i4>
      </vt:variant>
      <vt:variant>
        <vt:i4>5</vt:i4>
      </vt:variant>
      <vt:variant>
        <vt:lpwstr/>
      </vt:variant>
      <vt:variant>
        <vt:lpwstr>_Toc187226018</vt:lpwstr>
      </vt:variant>
      <vt:variant>
        <vt:i4>1703988</vt:i4>
      </vt:variant>
      <vt:variant>
        <vt:i4>303</vt:i4>
      </vt:variant>
      <vt:variant>
        <vt:i4>0</vt:i4>
      </vt:variant>
      <vt:variant>
        <vt:i4>5</vt:i4>
      </vt:variant>
      <vt:variant>
        <vt:lpwstr/>
      </vt:variant>
      <vt:variant>
        <vt:lpwstr>_Toc187226017</vt:lpwstr>
      </vt:variant>
      <vt:variant>
        <vt:i4>1703988</vt:i4>
      </vt:variant>
      <vt:variant>
        <vt:i4>297</vt:i4>
      </vt:variant>
      <vt:variant>
        <vt:i4>0</vt:i4>
      </vt:variant>
      <vt:variant>
        <vt:i4>5</vt:i4>
      </vt:variant>
      <vt:variant>
        <vt:lpwstr/>
      </vt:variant>
      <vt:variant>
        <vt:lpwstr>_Toc187226016</vt:lpwstr>
      </vt:variant>
      <vt:variant>
        <vt:i4>1703988</vt:i4>
      </vt:variant>
      <vt:variant>
        <vt:i4>291</vt:i4>
      </vt:variant>
      <vt:variant>
        <vt:i4>0</vt:i4>
      </vt:variant>
      <vt:variant>
        <vt:i4>5</vt:i4>
      </vt:variant>
      <vt:variant>
        <vt:lpwstr/>
      </vt:variant>
      <vt:variant>
        <vt:lpwstr>_Toc187226015</vt:lpwstr>
      </vt:variant>
      <vt:variant>
        <vt:i4>1703988</vt:i4>
      </vt:variant>
      <vt:variant>
        <vt:i4>285</vt:i4>
      </vt:variant>
      <vt:variant>
        <vt:i4>0</vt:i4>
      </vt:variant>
      <vt:variant>
        <vt:i4>5</vt:i4>
      </vt:variant>
      <vt:variant>
        <vt:lpwstr/>
      </vt:variant>
      <vt:variant>
        <vt:lpwstr>_Toc187226014</vt:lpwstr>
      </vt:variant>
      <vt:variant>
        <vt:i4>1703988</vt:i4>
      </vt:variant>
      <vt:variant>
        <vt:i4>279</vt:i4>
      </vt:variant>
      <vt:variant>
        <vt:i4>0</vt:i4>
      </vt:variant>
      <vt:variant>
        <vt:i4>5</vt:i4>
      </vt:variant>
      <vt:variant>
        <vt:lpwstr/>
      </vt:variant>
      <vt:variant>
        <vt:lpwstr>_Toc187226013</vt:lpwstr>
      </vt:variant>
      <vt:variant>
        <vt:i4>1703988</vt:i4>
      </vt:variant>
      <vt:variant>
        <vt:i4>273</vt:i4>
      </vt:variant>
      <vt:variant>
        <vt:i4>0</vt:i4>
      </vt:variant>
      <vt:variant>
        <vt:i4>5</vt:i4>
      </vt:variant>
      <vt:variant>
        <vt:lpwstr/>
      </vt:variant>
      <vt:variant>
        <vt:lpwstr>_Toc187226012</vt:lpwstr>
      </vt:variant>
      <vt:variant>
        <vt:i4>1703988</vt:i4>
      </vt:variant>
      <vt:variant>
        <vt:i4>267</vt:i4>
      </vt:variant>
      <vt:variant>
        <vt:i4>0</vt:i4>
      </vt:variant>
      <vt:variant>
        <vt:i4>5</vt:i4>
      </vt:variant>
      <vt:variant>
        <vt:lpwstr/>
      </vt:variant>
      <vt:variant>
        <vt:lpwstr>_Toc187226011</vt:lpwstr>
      </vt:variant>
      <vt:variant>
        <vt:i4>1703988</vt:i4>
      </vt:variant>
      <vt:variant>
        <vt:i4>261</vt:i4>
      </vt:variant>
      <vt:variant>
        <vt:i4>0</vt:i4>
      </vt:variant>
      <vt:variant>
        <vt:i4>5</vt:i4>
      </vt:variant>
      <vt:variant>
        <vt:lpwstr/>
      </vt:variant>
      <vt:variant>
        <vt:lpwstr>_Toc187226010</vt:lpwstr>
      </vt:variant>
      <vt:variant>
        <vt:i4>1769524</vt:i4>
      </vt:variant>
      <vt:variant>
        <vt:i4>255</vt:i4>
      </vt:variant>
      <vt:variant>
        <vt:i4>0</vt:i4>
      </vt:variant>
      <vt:variant>
        <vt:i4>5</vt:i4>
      </vt:variant>
      <vt:variant>
        <vt:lpwstr/>
      </vt:variant>
      <vt:variant>
        <vt:lpwstr>_Toc187226009</vt:lpwstr>
      </vt:variant>
      <vt:variant>
        <vt:i4>1769524</vt:i4>
      </vt:variant>
      <vt:variant>
        <vt:i4>249</vt:i4>
      </vt:variant>
      <vt:variant>
        <vt:i4>0</vt:i4>
      </vt:variant>
      <vt:variant>
        <vt:i4>5</vt:i4>
      </vt:variant>
      <vt:variant>
        <vt:lpwstr/>
      </vt:variant>
      <vt:variant>
        <vt:lpwstr>_Toc187226008</vt:lpwstr>
      </vt:variant>
      <vt:variant>
        <vt:i4>1769524</vt:i4>
      </vt:variant>
      <vt:variant>
        <vt:i4>243</vt:i4>
      </vt:variant>
      <vt:variant>
        <vt:i4>0</vt:i4>
      </vt:variant>
      <vt:variant>
        <vt:i4>5</vt:i4>
      </vt:variant>
      <vt:variant>
        <vt:lpwstr/>
      </vt:variant>
      <vt:variant>
        <vt:lpwstr>_Toc187226007</vt:lpwstr>
      </vt:variant>
      <vt:variant>
        <vt:i4>1769524</vt:i4>
      </vt:variant>
      <vt:variant>
        <vt:i4>237</vt:i4>
      </vt:variant>
      <vt:variant>
        <vt:i4>0</vt:i4>
      </vt:variant>
      <vt:variant>
        <vt:i4>5</vt:i4>
      </vt:variant>
      <vt:variant>
        <vt:lpwstr/>
      </vt:variant>
      <vt:variant>
        <vt:lpwstr>_Toc187226006</vt:lpwstr>
      </vt:variant>
      <vt:variant>
        <vt:i4>1769524</vt:i4>
      </vt:variant>
      <vt:variant>
        <vt:i4>231</vt:i4>
      </vt:variant>
      <vt:variant>
        <vt:i4>0</vt:i4>
      </vt:variant>
      <vt:variant>
        <vt:i4>5</vt:i4>
      </vt:variant>
      <vt:variant>
        <vt:lpwstr/>
      </vt:variant>
      <vt:variant>
        <vt:lpwstr>_Toc187226005</vt:lpwstr>
      </vt:variant>
      <vt:variant>
        <vt:i4>1769524</vt:i4>
      </vt:variant>
      <vt:variant>
        <vt:i4>225</vt:i4>
      </vt:variant>
      <vt:variant>
        <vt:i4>0</vt:i4>
      </vt:variant>
      <vt:variant>
        <vt:i4>5</vt:i4>
      </vt:variant>
      <vt:variant>
        <vt:lpwstr/>
      </vt:variant>
      <vt:variant>
        <vt:lpwstr>_Toc187226004</vt:lpwstr>
      </vt:variant>
      <vt:variant>
        <vt:i4>1769524</vt:i4>
      </vt:variant>
      <vt:variant>
        <vt:i4>219</vt:i4>
      </vt:variant>
      <vt:variant>
        <vt:i4>0</vt:i4>
      </vt:variant>
      <vt:variant>
        <vt:i4>5</vt:i4>
      </vt:variant>
      <vt:variant>
        <vt:lpwstr/>
      </vt:variant>
      <vt:variant>
        <vt:lpwstr>_Toc187226003</vt:lpwstr>
      </vt:variant>
      <vt:variant>
        <vt:i4>1769524</vt:i4>
      </vt:variant>
      <vt:variant>
        <vt:i4>213</vt:i4>
      </vt:variant>
      <vt:variant>
        <vt:i4>0</vt:i4>
      </vt:variant>
      <vt:variant>
        <vt:i4>5</vt:i4>
      </vt:variant>
      <vt:variant>
        <vt:lpwstr/>
      </vt:variant>
      <vt:variant>
        <vt:lpwstr>_Toc187226002</vt:lpwstr>
      </vt:variant>
      <vt:variant>
        <vt:i4>1769524</vt:i4>
      </vt:variant>
      <vt:variant>
        <vt:i4>207</vt:i4>
      </vt:variant>
      <vt:variant>
        <vt:i4>0</vt:i4>
      </vt:variant>
      <vt:variant>
        <vt:i4>5</vt:i4>
      </vt:variant>
      <vt:variant>
        <vt:lpwstr/>
      </vt:variant>
      <vt:variant>
        <vt:lpwstr>_Toc187226001</vt:lpwstr>
      </vt:variant>
      <vt:variant>
        <vt:i4>1769524</vt:i4>
      </vt:variant>
      <vt:variant>
        <vt:i4>201</vt:i4>
      </vt:variant>
      <vt:variant>
        <vt:i4>0</vt:i4>
      </vt:variant>
      <vt:variant>
        <vt:i4>5</vt:i4>
      </vt:variant>
      <vt:variant>
        <vt:lpwstr/>
      </vt:variant>
      <vt:variant>
        <vt:lpwstr>_Toc187226000</vt:lpwstr>
      </vt:variant>
      <vt:variant>
        <vt:i4>1114173</vt:i4>
      </vt:variant>
      <vt:variant>
        <vt:i4>195</vt:i4>
      </vt:variant>
      <vt:variant>
        <vt:i4>0</vt:i4>
      </vt:variant>
      <vt:variant>
        <vt:i4>5</vt:i4>
      </vt:variant>
      <vt:variant>
        <vt:lpwstr/>
      </vt:variant>
      <vt:variant>
        <vt:lpwstr>_Toc187225999</vt:lpwstr>
      </vt:variant>
      <vt:variant>
        <vt:i4>1114173</vt:i4>
      </vt:variant>
      <vt:variant>
        <vt:i4>189</vt:i4>
      </vt:variant>
      <vt:variant>
        <vt:i4>0</vt:i4>
      </vt:variant>
      <vt:variant>
        <vt:i4>5</vt:i4>
      </vt:variant>
      <vt:variant>
        <vt:lpwstr/>
      </vt:variant>
      <vt:variant>
        <vt:lpwstr>_Toc187225998</vt:lpwstr>
      </vt:variant>
      <vt:variant>
        <vt:i4>1114173</vt:i4>
      </vt:variant>
      <vt:variant>
        <vt:i4>183</vt:i4>
      </vt:variant>
      <vt:variant>
        <vt:i4>0</vt:i4>
      </vt:variant>
      <vt:variant>
        <vt:i4>5</vt:i4>
      </vt:variant>
      <vt:variant>
        <vt:lpwstr/>
      </vt:variant>
      <vt:variant>
        <vt:lpwstr>_Toc187225997</vt:lpwstr>
      </vt:variant>
      <vt:variant>
        <vt:i4>1114173</vt:i4>
      </vt:variant>
      <vt:variant>
        <vt:i4>177</vt:i4>
      </vt:variant>
      <vt:variant>
        <vt:i4>0</vt:i4>
      </vt:variant>
      <vt:variant>
        <vt:i4>5</vt:i4>
      </vt:variant>
      <vt:variant>
        <vt:lpwstr/>
      </vt:variant>
      <vt:variant>
        <vt:lpwstr>_Toc187225996</vt:lpwstr>
      </vt:variant>
      <vt:variant>
        <vt:i4>1114173</vt:i4>
      </vt:variant>
      <vt:variant>
        <vt:i4>171</vt:i4>
      </vt:variant>
      <vt:variant>
        <vt:i4>0</vt:i4>
      </vt:variant>
      <vt:variant>
        <vt:i4>5</vt:i4>
      </vt:variant>
      <vt:variant>
        <vt:lpwstr/>
      </vt:variant>
      <vt:variant>
        <vt:lpwstr>_Toc187225995</vt:lpwstr>
      </vt:variant>
      <vt:variant>
        <vt:i4>1114173</vt:i4>
      </vt:variant>
      <vt:variant>
        <vt:i4>165</vt:i4>
      </vt:variant>
      <vt:variant>
        <vt:i4>0</vt:i4>
      </vt:variant>
      <vt:variant>
        <vt:i4>5</vt:i4>
      </vt:variant>
      <vt:variant>
        <vt:lpwstr/>
      </vt:variant>
      <vt:variant>
        <vt:lpwstr>_Toc187225994</vt:lpwstr>
      </vt:variant>
      <vt:variant>
        <vt:i4>1114173</vt:i4>
      </vt:variant>
      <vt:variant>
        <vt:i4>159</vt:i4>
      </vt:variant>
      <vt:variant>
        <vt:i4>0</vt:i4>
      </vt:variant>
      <vt:variant>
        <vt:i4>5</vt:i4>
      </vt:variant>
      <vt:variant>
        <vt:lpwstr/>
      </vt:variant>
      <vt:variant>
        <vt:lpwstr>_Toc187225993</vt:lpwstr>
      </vt:variant>
      <vt:variant>
        <vt:i4>1114173</vt:i4>
      </vt:variant>
      <vt:variant>
        <vt:i4>153</vt:i4>
      </vt:variant>
      <vt:variant>
        <vt:i4>0</vt:i4>
      </vt:variant>
      <vt:variant>
        <vt:i4>5</vt:i4>
      </vt:variant>
      <vt:variant>
        <vt:lpwstr/>
      </vt:variant>
      <vt:variant>
        <vt:lpwstr>_Toc187225992</vt:lpwstr>
      </vt:variant>
      <vt:variant>
        <vt:i4>1114173</vt:i4>
      </vt:variant>
      <vt:variant>
        <vt:i4>147</vt:i4>
      </vt:variant>
      <vt:variant>
        <vt:i4>0</vt:i4>
      </vt:variant>
      <vt:variant>
        <vt:i4>5</vt:i4>
      </vt:variant>
      <vt:variant>
        <vt:lpwstr/>
      </vt:variant>
      <vt:variant>
        <vt:lpwstr>_Toc187225991</vt:lpwstr>
      </vt:variant>
      <vt:variant>
        <vt:i4>1114173</vt:i4>
      </vt:variant>
      <vt:variant>
        <vt:i4>141</vt:i4>
      </vt:variant>
      <vt:variant>
        <vt:i4>0</vt:i4>
      </vt:variant>
      <vt:variant>
        <vt:i4>5</vt:i4>
      </vt:variant>
      <vt:variant>
        <vt:lpwstr/>
      </vt:variant>
      <vt:variant>
        <vt:lpwstr>_Toc187225990</vt:lpwstr>
      </vt:variant>
      <vt:variant>
        <vt:i4>1048637</vt:i4>
      </vt:variant>
      <vt:variant>
        <vt:i4>135</vt:i4>
      </vt:variant>
      <vt:variant>
        <vt:i4>0</vt:i4>
      </vt:variant>
      <vt:variant>
        <vt:i4>5</vt:i4>
      </vt:variant>
      <vt:variant>
        <vt:lpwstr/>
      </vt:variant>
      <vt:variant>
        <vt:lpwstr>_Toc187225989</vt:lpwstr>
      </vt:variant>
      <vt:variant>
        <vt:i4>1048637</vt:i4>
      </vt:variant>
      <vt:variant>
        <vt:i4>129</vt:i4>
      </vt:variant>
      <vt:variant>
        <vt:i4>0</vt:i4>
      </vt:variant>
      <vt:variant>
        <vt:i4>5</vt:i4>
      </vt:variant>
      <vt:variant>
        <vt:lpwstr/>
      </vt:variant>
      <vt:variant>
        <vt:lpwstr>_Toc187225988</vt:lpwstr>
      </vt:variant>
      <vt:variant>
        <vt:i4>1048637</vt:i4>
      </vt:variant>
      <vt:variant>
        <vt:i4>123</vt:i4>
      </vt:variant>
      <vt:variant>
        <vt:i4>0</vt:i4>
      </vt:variant>
      <vt:variant>
        <vt:i4>5</vt:i4>
      </vt:variant>
      <vt:variant>
        <vt:lpwstr/>
      </vt:variant>
      <vt:variant>
        <vt:lpwstr>_Toc187225987</vt:lpwstr>
      </vt:variant>
      <vt:variant>
        <vt:i4>1048637</vt:i4>
      </vt:variant>
      <vt:variant>
        <vt:i4>117</vt:i4>
      </vt:variant>
      <vt:variant>
        <vt:i4>0</vt:i4>
      </vt:variant>
      <vt:variant>
        <vt:i4>5</vt:i4>
      </vt:variant>
      <vt:variant>
        <vt:lpwstr/>
      </vt:variant>
      <vt:variant>
        <vt:lpwstr>_Toc187225986</vt:lpwstr>
      </vt:variant>
      <vt:variant>
        <vt:i4>1048637</vt:i4>
      </vt:variant>
      <vt:variant>
        <vt:i4>111</vt:i4>
      </vt:variant>
      <vt:variant>
        <vt:i4>0</vt:i4>
      </vt:variant>
      <vt:variant>
        <vt:i4>5</vt:i4>
      </vt:variant>
      <vt:variant>
        <vt:lpwstr/>
      </vt:variant>
      <vt:variant>
        <vt:lpwstr>_Toc187225985</vt:lpwstr>
      </vt:variant>
      <vt:variant>
        <vt:i4>1048637</vt:i4>
      </vt:variant>
      <vt:variant>
        <vt:i4>105</vt:i4>
      </vt:variant>
      <vt:variant>
        <vt:i4>0</vt:i4>
      </vt:variant>
      <vt:variant>
        <vt:i4>5</vt:i4>
      </vt:variant>
      <vt:variant>
        <vt:lpwstr/>
      </vt:variant>
      <vt:variant>
        <vt:lpwstr>_Toc187225984</vt:lpwstr>
      </vt:variant>
      <vt:variant>
        <vt:i4>1048637</vt:i4>
      </vt:variant>
      <vt:variant>
        <vt:i4>99</vt:i4>
      </vt:variant>
      <vt:variant>
        <vt:i4>0</vt:i4>
      </vt:variant>
      <vt:variant>
        <vt:i4>5</vt:i4>
      </vt:variant>
      <vt:variant>
        <vt:lpwstr/>
      </vt:variant>
      <vt:variant>
        <vt:lpwstr>_Toc187225983</vt:lpwstr>
      </vt:variant>
      <vt:variant>
        <vt:i4>1048637</vt:i4>
      </vt:variant>
      <vt:variant>
        <vt:i4>93</vt:i4>
      </vt:variant>
      <vt:variant>
        <vt:i4>0</vt:i4>
      </vt:variant>
      <vt:variant>
        <vt:i4>5</vt:i4>
      </vt:variant>
      <vt:variant>
        <vt:lpwstr/>
      </vt:variant>
      <vt:variant>
        <vt:lpwstr>_Toc187225982</vt:lpwstr>
      </vt:variant>
      <vt:variant>
        <vt:i4>1048637</vt:i4>
      </vt:variant>
      <vt:variant>
        <vt:i4>87</vt:i4>
      </vt:variant>
      <vt:variant>
        <vt:i4>0</vt:i4>
      </vt:variant>
      <vt:variant>
        <vt:i4>5</vt:i4>
      </vt:variant>
      <vt:variant>
        <vt:lpwstr/>
      </vt:variant>
      <vt:variant>
        <vt:lpwstr>_Toc187225981</vt:lpwstr>
      </vt:variant>
      <vt:variant>
        <vt:i4>1048637</vt:i4>
      </vt:variant>
      <vt:variant>
        <vt:i4>81</vt:i4>
      </vt:variant>
      <vt:variant>
        <vt:i4>0</vt:i4>
      </vt:variant>
      <vt:variant>
        <vt:i4>5</vt:i4>
      </vt:variant>
      <vt:variant>
        <vt:lpwstr/>
      </vt:variant>
      <vt:variant>
        <vt:lpwstr>_Toc187225980</vt:lpwstr>
      </vt:variant>
      <vt:variant>
        <vt:i4>2031677</vt:i4>
      </vt:variant>
      <vt:variant>
        <vt:i4>75</vt:i4>
      </vt:variant>
      <vt:variant>
        <vt:i4>0</vt:i4>
      </vt:variant>
      <vt:variant>
        <vt:i4>5</vt:i4>
      </vt:variant>
      <vt:variant>
        <vt:lpwstr/>
      </vt:variant>
      <vt:variant>
        <vt:lpwstr>_Toc187225979</vt:lpwstr>
      </vt:variant>
      <vt:variant>
        <vt:i4>2031677</vt:i4>
      </vt:variant>
      <vt:variant>
        <vt:i4>69</vt:i4>
      </vt:variant>
      <vt:variant>
        <vt:i4>0</vt:i4>
      </vt:variant>
      <vt:variant>
        <vt:i4>5</vt:i4>
      </vt:variant>
      <vt:variant>
        <vt:lpwstr/>
      </vt:variant>
      <vt:variant>
        <vt:lpwstr>_Toc187225978</vt:lpwstr>
      </vt:variant>
      <vt:variant>
        <vt:i4>2031677</vt:i4>
      </vt:variant>
      <vt:variant>
        <vt:i4>63</vt:i4>
      </vt:variant>
      <vt:variant>
        <vt:i4>0</vt:i4>
      </vt:variant>
      <vt:variant>
        <vt:i4>5</vt:i4>
      </vt:variant>
      <vt:variant>
        <vt:lpwstr/>
      </vt:variant>
      <vt:variant>
        <vt:lpwstr>_Toc187225977</vt:lpwstr>
      </vt:variant>
      <vt:variant>
        <vt:i4>2031677</vt:i4>
      </vt:variant>
      <vt:variant>
        <vt:i4>57</vt:i4>
      </vt:variant>
      <vt:variant>
        <vt:i4>0</vt:i4>
      </vt:variant>
      <vt:variant>
        <vt:i4>5</vt:i4>
      </vt:variant>
      <vt:variant>
        <vt:lpwstr/>
      </vt:variant>
      <vt:variant>
        <vt:lpwstr>_Toc187225976</vt:lpwstr>
      </vt:variant>
      <vt:variant>
        <vt:i4>2031677</vt:i4>
      </vt:variant>
      <vt:variant>
        <vt:i4>51</vt:i4>
      </vt:variant>
      <vt:variant>
        <vt:i4>0</vt:i4>
      </vt:variant>
      <vt:variant>
        <vt:i4>5</vt:i4>
      </vt:variant>
      <vt:variant>
        <vt:lpwstr/>
      </vt:variant>
      <vt:variant>
        <vt:lpwstr>_Toc187225975</vt:lpwstr>
      </vt:variant>
      <vt:variant>
        <vt:i4>2031677</vt:i4>
      </vt:variant>
      <vt:variant>
        <vt:i4>45</vt:i4>
      </vt:variant>
      <vt:variant>
        <vt:i4>0</vt:i4>
      </vt:variant>
      <vt:variant>
        <vt:i4>5</vt:i4>
      </vt:variant>
      <vt:variant>
        <vt:lpwstr/>
      </vt:variant>
      <vt:variant>
        <vt:lpwstr>_Toc187225974</vt:lpwstr>
      </vt:variant>
      <vt:variant>
        <vt:i4>2031677</vt:i4>
      </vt:variant>
      <vt:variant>
        <vt:i4>39</vt:i4>
      </vt:variant>
      <vt:variant>
        <vt:i4>0</vt:i4>
      </vt:variant>
      <vt:variant>
        <vt:i4>5</vt:i4>
      </vt:variant>
      <vt:variant>
        <vt:lpwstr/>
      </vt:variant>
      <vt:variant>
        <vt:lpwstr>_Toc187225973</vt:lpwstr>
      </vt:variant>
      <vt:variant>
        <vt:i4>2031677</vt:i4>
      </vt:variant>
      <vt:variant>
        <vt:i4>33</vt:i4>
      </vt:variant>
      <vt:variant>
        <vt:i4>0</vt:i4>
      </vt:variant>
      <vt:variant>
        <vt:i4>5</vt:i4>
      </vt:variant>
      <vt:variant>
        <vt:lpwstr/>
      </vt:variant>
      <vt:variant>
        <vt:lpwstr>_Toc187225972</vt:lpwstr>
      </vt:variant>
      <vt:variant>
        <vt:i4>2031677</vt:i4>
      </vt:variant>
      <vt:variant>
        <vt:i4>27</vt:i4>
      </vt:variant>
      <vt:variant>
        <vt:i4>0</vt:i4>
      </vt:variant>
      <vt:variant>
        <vt:i4>5</vt:i4>
      </vt:variant>
      <vt:variant>
        <vt:lpwstr/>
      </vt:variant>
      <vt:variant>
        <vt:lpwstr>_Toc187225971</vt:lpwstr>
      </vt:variant>
      <vt:variant>
        <vt:i4>2031677</vt:i4>
      </vt:variant>
      <vt:variant>
        <vt:i4>21</vt:i4>
      </vt:variant>
      <vt:variant>
        <vt:i4>0</vt:i4>
      </vt:variant>
      <vt:variant>
        <vt:i4>5</vt:i4>
      </vt:variant>
      <vt:variant>
        <vt:lpwstr/>
      </vt:variant>
      <vt:variant>
        <vt:lpwstr>_Toc187225970</vt:lpwstr>
      </vt:variant>
      <vt:variant>
        <vt:i4>65547</vt:i4>
      </vt:variant>
      <vt:variant>
        <vt:i4>16</vt:i4>
      </vt:variant>
      <vt:variant>
        <vt:i4>0</vt:i4>
      </vt:variant>
      <vt:variant>
        <vt:i4>5</vt:i4>
      </vt:variant>
      <vt:variant>
        <vt:lpwstr>http://www.deeca.vic.gov.au/</vt:lpwstr>
      </vt:variant>
      <vt:variant>
        <vt:lpwstr/>
      </vt:variant>
      <vt:variant>
        <vt:i4>3997788</vt:i4>
      </vt:variant>
      <vt:variant>
        <vt:i4>13</vt:i4>
      </vt:variant>
      <vt:variant>
        <vt:i4>0</vt:i4>
      </vt:variant>
      <vt:variant>
        <vt:i4>5</vt:i4>
      </vt:variant>
      <vt:variant>
        <vt:lpwstr>mailto:customer.service@deeca.vic.gov.au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6881391</vt:i4>
      </vt:variant>
      <vt:variant>
        <vt:i4>15</vt:i4>
      </vt:variant>
      <vt:variant>
        <vt:i4>0</vt:i4>
      </vt:variant>
      <vt:variant>
        <vt:i4>5</vt:i4>
      </vt:variant>
      <vt:variant>
        <vt:lpwstr>https://www.dtf.vic.gov.au/sites/default/files/document/Victorian_Economic_Bulletin-April2019.pdf</vt:lpwstr>
      </vt:variant>
      <vt:variant>
        <vt:lpwstr/>
      </vt:variant>
      <vt:variant>
        <vt:i4>7077992</vt:i4>
      </vt:variant>
      <vt:variant>
        <vt:i4>12</vt:i4>
      </vt:variant>
      <vt:variant>
        <vt:i4>0</vt:i4>
      </vt:variant>
      <vt:variant>
        <vt:i4>5</vt:i4>
      </vt:variant>
      <vt:variant>
        <vt:lpwstr>https://www.dtf.vic.gov.au/sites/default/files/document/Victorian Public Service Enterprise Agreement 2024.pdf</vt:lpwstr>
      </vt:variant>
      <vt:variant>
        <vt:lpwstr/>
      </vt:variant>
      <vt:variant>
        <vt:i4>7733305</vt:i4>
      </vt:variant>
      <vt:variant>
        <vt:i4>9</vt:i4>
      </vt:variant>
      <vt:variant>
        <vt:i4>0</vt:i4>
      </vt:variant>
      <vt:variant>
        <vt:i4>5</vt:i4>
      </vt:variant>
      <vt:variant>
        <vt:lpwstr>https://oia.pmc.gov.au/resources/guidance-assessing-impacts/value-statistical-life</vt:lpwstr>
      </vt:variant>
      <vt:variant>
        <vt:lpwstr/>
      </vt:variant>
      <vt:variant>
        <vt:i4>589891</vt:i4>
      </vt:variant>
      <vt:variant>
        <vt:i4>6</vt:i4>
      </vt:variant>
      <vt:variant>
        <vt:i4>0</vt:i4>
      </vt:variant>
      <vt:variant>
        <vt:i4>5</vt:i4>
      </vt:variant>
      <vt:variant>
        <vt:lpwstr>https://www.vic.gov.au/victorias-bushfire-risk-management-report-2022-2023/statewide-overview</vt:lpwstr>
      </vt:variant>
      <vt:variant>
        <vt:lpwstr/>
      </vt:variant>
      <vt:variant>
        <vt:i4>7143477</vt:i4>
      </vt:variant>
      <vt:variant>
        <vt:i4>3</vt:i4>
      </vt:variant>
      <vt:variant>
        <vt:i4>0</vt:i4>
      </vt:variant>
      <vt:variant>
        <vt:i4>5</vt:i4>
      </vt:variant>
      <vt:variant>
        <vt:lpwstr>https://doi.org/10.1038/s41598-019-46362-x</vt:lpwstr>
      </vt:variant>
      <vt:variant>
        <vt:lpwstr/>
      </vt:variant>
      <vt:variant>
        <vt:i4>1441838</vt:i4>
      </vt:variant>
      <vt:variant>
        <vt:i4>0</vt:i4>
      </vt:variant>
      <vt:variant>
        <vt:i4>0</vt:i4>
      </vt:variant>
      <vt:variant>
        <vt:i4>5</vt:i4>
      </vt:variant>
      <vt:variant>
        <vt:lpwstr>https://www.environment.vic.gov.au/__data/assets/pdf_file/0034/459574/Ecosystem-services-from-forests-in-Victoria-Assessment-of-Regional-Forest-Agreement-regions.pdf?_gl=1*cfl1n0*_ga*MTYyMzM4MTY0MS4xNjg2MjkzNDY5*_ga_K7QKPKD4HV*MTcyNzc1Nzk1Ny4xMzIuMS4xNzI3NzU4NDEzLjYwLjAuMA..</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Hamid (DEECA)</dc:creator>
  <cp:keywords/>
  <dc:description/>
  <cp:lastModifiedBy>Richard Adams (DTF)</cp:lastModifiedBy>
  <cp:revision>2</cp:revision>
  <cp:lastPrinted>2025-02-03T04:38:00Z</cp:lastPrinted>
  <dcterms:created xsi:type="dcterms:W3CDTF">2025-03-31T23:44:00Z</dcterms:created>
  <dcterms:modified xsi:type="dcterms:W3CDTF">2025-03-31T23:44:00Z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77cee327,acef928,60ad2555,15c3d09e,326634d1,2385b491,2864804c,7961b34b,4cc83e1f</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2025-01-09T22:56:19Z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86f75aed-d134-43bf-ba75-046451897be8</vt:lpwstr>
  </property>
  <property fmtid="{D5CDD505-2E9C-101B-9397-08002B2CF9AE}" pid="11" name="MSIP_Label_4257e2ab-f512-40e2-9c9a-c64247360765_ContentBits">
    <vt:lpwstr>2</vt:lpwstr>
  </property>
</Properties>
</file>