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val="0"/>
          <w:bCs w:val="0"/>
          <w:caps w:val="0"/>
          <w:color w:val="232B39" w:themeColor="text1"/>
        </w:rPr>
        <w:id w:val="-1920389538"/>
        <w:docPartObj>
          <w:docPartGallery w:val="Cover Pages"/>
          <w:docPartUnique/>
        </w:docPartObj>
      </w:sdtPr>
      <w:sdtEndPr/>
      <w:sdtContent>
        <w:p w14:paraId="119B767B" w14:textId="1B35E0A3" w:rsidR="00953A15" w:rsidRDefault="007F0EC1" w:rsidP="00953A15">
          <w:pPr>
            <w:pStyle w:val="ReportDate"/>
          </w:pPr>
          <w:r>
            <w:t>May 2025</w:t>
          </w:r>
        </w:p>
        <w:p w14:paraId="141D052F" w14:textId="2B78F75C" w:rsidR="00953A15" w:rsidRPr="007F7A76" w:rsidRDefault="00953A15" w:rsidP="00953A15">
          <w:pPr>
            <w:pStyle w:val="CM"/>
          </w:pPr>
        </w:p>
        <w:p w14:paraId="385C8DE7" w14:textId="5DAE3CF3" w:rsidR="00953A15" w:rsidRDefault="00860BF8" w:rsidP="00860BF8">
          <w:pPr>
            <w:pStyle w:val="Title"/>
          </w:pPr>
          <w:r w:rsidRPr="00860BF8">
            <w:t>Guidance on Adopting Model Legislative Provisions</w:t>
          </w:r>
        </w:p>
        <w:p w14:paraId="5469C3A8" w14:textId="64BC356C" w:rsidR="0028300E" w:rsidRPr="0028300E" w:rsidRDefault="007201D0" w:rsidP="0028300E">
          <w:pPr>
            <w:pStyle w:val="Subtitle"/>
          </w:pPr>
          <w:r w:rsidRPr="007201D0">
            <w:t>Fit and Proper Persons Tests</w:t>
          </w:r>
        </w:p>
        <w:p w14:paraId="7BEDB705" w14:textId="77777777" w:rsidR="00953A15" w:rsidRPr="00B2671F" w:rsidRDefault="00953A15" w:rsidP="00FA1712">
          <w:pPr>
            <w:pStyle w:val="CoverSpacer"/>
          </w:pPr>
        </w:p>
        <w:p w14:paraId="3DF795A9" w14:textId="4D3E5C7D" w:rsidR="00953A15" w:rsidRDefault="00953A15" w:rsidP="5DFE3F42">
          <w:pPr>
            <w:sectPr w:rsidR="00953A15" w:rsidSect="00953A15">
              <w:headerReference w:type="default" r:id="rId13"/>
              <w:footerReference w:type="even" r:id="rId14"/>
              <w:footerReference w:type="default" r:id="rId15"/>
              <w:pgSz w:w="11906" w:h="16838" w:code="9"/>
              <w:pgMar w:top="1627" w:right="1440" w:bottom="1440" w:left="1440" w:header="706" w:footer="461" w:gutter="0"/>
              <w:pgNumType w:fmt="lowerRoman" w:start="1"/>
              <w:cols w:space="708"/>
              <w:vAlign w:val="bottom"/>
              <w:docGrid w:linePitch="360"/>
            </w:sectPr>
          </w:pPr>
        </w:p>
        <w:p w14:paraId="6D69CEF5" w14:textId="037B3FAC" w:rsidR="00953A15" w:rsidRDefault="00953A15" w:rsidP="00953A15">
          <w:pPr>
            <w:pStyle w:val="TOCHeading"/>
          </w:pPr>
          <w:r w:rsidRPr="00BA0EC0">
            <w:lastRenderedPageBreak/>
            <w:t>Contents</w:t>
          </w:r>
        </w:p>
        <w:p w14:paraId="237D2E1F" w14:textId="6D4193AE" w:rsidR="007F79DE" w:rsidRDefault="00953A15">
          <w:pPr>
            <w:pStyle w:val="TOC4"/>
            <w:rPr>
              <w:color w:val="auto"/>
              <w:kern w:val="2"/>
              <w:lang w:eastAsia="en-AU"/>
              <w14:ligatures w14:val="standardContextual"/>
            </w:rPr>
          </w:pPr>
          <w:r>
            <w:rPr>
              <w:color w:val="auto"/>
            </w:rPr>
            <w:fldChar w:fldCharType="begin"/>
          </w:r>
          <w:r>
            <w:instrText xml:space="preserve"> TOC \h \z \t "Heading 1,1,Heading 2,2,</w:instrText>
          </w:r>
          <w:r w:rsidR="009E6E9E">
            <w:instrText xml:space="preserve"> </w:instrText>
          </w:r>
          <w:r>
            <w:instrText>Heading 1 numbered,4,Heading 2 numbered,5,</w:instrText>
          </w:r>
          <w:r w:rsidR="009E6E9E">
            <w:instrText xml:space="preserve"> </w:instrText>
          </w:r>
          <w:r>
            <w:instrText xml:space="preserve">" </w:instrText>
          </w:r>
          <w:r>
            <w:rPr>
              <w:color w:val="auto"/>
            </w:rPr>
            <w:fldChar w:fldCharType="separate"/>
          </w:r>
          <w:hyperlink w:anchor="_Toc178780162" w:history="1">
            <w:r w:rsidR="007F79DE" w:rsidRPr="00665DA6">
              <w:rPr>
                <w:rStyle w:val="Hyperlink"/>
              </w:rPr>
              <w:t>1.</w:t>
            </w:r>
            <w:r w:rsidR="007F79DE">
              <w:rPr>
                <w:color w:val="auto"/>
                <w:kern w:val="2"/>
                <w:lang w:eastAsia="en-AU"/>
                <w14:ligatures w14:val="standardContextual"/>
              </w:rPr>
              <w:tab/>
            </w:r>
            <w:r w:rsidR="007F79DE" w:rsidRPr="00665DA6">
              <w:rPr>
                <w:rStyle w:val="Hyperlink"/>
              </w:rPr>
              <w:t>Background</w:t>
            </w:r>
            <w:r w:rsidR="007F79DE">
              <w:rPr>
                <w:webHidden/>
              </w:rPr>
              <w:tab/>
            </w:r>
            <w:r w:rsidR="007F79DE">
              <w:rPr>
                <w:webHidden/>
              </w:rPr>
              <w:fldChar w:fldCharType="begin"/>
            </w:r>
            <w:r w:rsidR="007F79DE">
              <w:rPr>
                <w:webHidden/>
              </w:rPr>
              <w:instrText xml:space="preserve"> PAGEREF _Toc178780162 \h </w:instrText>
            </w:r>
            <w:r w:rsidR="007F79DE">
              <w:rPr>
                <w:webHidden/>
              </w:rPr>
            </w:r>
            <w:r w:rsidR="007F79DE">
              <w:rPr>
                <w:webHidden/>
              </w:rPr>
              <w:fldChar w:fldCharType="separate"/>
            </w:r>
            <w:r w:rsidR="00B2549E">
              <w:rPr>
                <w:webHidden/>
              </w:rPr>
              <w:t>2</w:t>
            </w:r>
            <w:r w:rsidR="007F79DE">
              <w:rPr>
                <w:webHidden/>
              </w:rPr>
              <w:fldChar w:fldCharType="end"/>
            </w:r>
          </w:hyperlink>
        </w:p>
        <w:p w14:paraId="145F333B" w14:textId="63DE385E" w:rsidR="007F79DE" w:rsidRDefault="007F79DE">
          <w:pPr>
            <w:pStyle w:val="TOC5"/>
            <w:tabs>
              <w:tab w:val="left" w:pos="1080"/>
            </w:tabs>
            <w:rPr>
              <w:spacing w:val="0"/>
              <w:kern w:val="2"/>
              <w:sz w:val="24"/>
              <w:szCs w:val="24"/>
              <w:lang w:eastAsia="en-AU"/>
              <w14:ligatures w14:val="standardContextual"/>
            </w:rPr>
          </w:pPr>
          <w:hyperlink w:anchor="_Toc178780163" w:history="1">
            <w:r w:rsidRPr="00665DA6">
              <w:rPr>
                <w:rStyle w:val="Hyperlink"/>
              </w:rPr>
              <w:t>1.1</w:t>
            </w:r>
            <w:r>
              <w:rPr>
                <w:spacing w:val="0"/>
                <w:kern w:val="2"/>
                <w:sz w:val="24"/>
                <w:szCs w:val="24"/>
                <w:lang w:eastAsia="en-AU"/>
                <w14:ligatures w14:val="standardContextual"/>
              </w:rPr>
              <w:tab/>
            </w:r>
            <w:r w:rsidRPr="00665DA6">
              <w:rPr>
                <w:rStyle w:val="Hyperlink"/>
              </w:rPr>
              <w:t>What is a ‘fit and proper’ test?</w:t>
            </w:r>
            <w:r>
              <w:rPr>
                <w:webHidden/>
              </w:rPr>
              <w:tab/>
            </w:r>
            <w:r>
              <w:rPr>
                <w:webHidden/>
              </w:rPr>
              <w:fldChar w:fldCharType="begin"/>
            </w:r>
            <w:r>
              <w:rPr>
                <w:webHidden/>
              </w:rPr>
              <w:instrText xml:space="preserve"> PAGEREF _Toc178780163 \h </w:instrText>
            </w:r>
            <w:r>
              <w:rPr>
                <w:webHidden/>
              </w:rPr>
            </w:r>
            <w:r>
              <w:rPr>
                <w:webHidden/>
              </w:rPr>
              <w:fldChar w:fldCharType="separate"/>
            </w:r>
            <w:r w:rsidR="00B2549E">
              <w:rPr>
                <w:webHidden/>
              </w:rPr>
              <w:t>2</w:t>
            </w:r>
            <w:r>
              <w:rPr>
                <w:webHidden/>
              </w:rPr>
              <w:fldChar w:fldCharType="end"/>
            </w:r>
          </w:hyperlink>
        </w:p>
        <w:p w14:paraId="233D26DB" w14:textId="37A5DFC9" w:rsidR="007F79DE" w:rsidRDefault="007F79DE">
          <w:pPr>
            <w:pStyle w:val="TOC5"/>
            <w:tabs>
              <w:tab w:val="left" w:pos="1080"/>
            </w:tabs>
            <w:rPr>
              <w:spacing w:val="0"/>
              <w:kern w:val="2"/>
              <w:sz w:val="24"/>
              <w:szCs w:val="24"/>
              <w:lang w:eastAsia="en-AU"/>
              <w14:ligatures w14:val="standardContextual"/>
            </w:rPr>
          </w:pPr>
          <w:hyperlink w:anchor="_Toc178780164" w:history="1">
            <w:r w:rsidRPr="00665DA6">
              <w:rPr>
                <w:rStyle w:val="Hyperlink"/>
              </w:rPr>
              <w:t>1.2</w:t>
            </w:r>
            <w:r>
              <w:rPr>
                <w:spacing w:val="0"/>
                <w:kern w:val="2"/>
                <w:sz w:val="24"/>
                <w:szCs w:val="24"/>
                <w:lang w:eastAsia="en-AU"/>
                <w14:ligatures w14:val="standardContextual"/>
              </w:rPr>
              <w:tab/>
            </w:r>
            <w:r w:rsidRPr="00665DA6">
              <w:rPr>
                <w:rStyle w:val="Hyperlink"/>
              </w:rPr>
              <w:t>Development of Model Provisions</w:t>
            </w:r>
            <w:r>
              <w:rPr>
                <w:webHidden/>
              </w:rPr>
              <w:tab/>
            </w:r>
            <w:r>
              <w:rPr>
                <w:webHidden/>
              </w:rPr>
              <w:fldChar w:fldCharType="begin"/>
            </w:r>
            <w:r>
              <w:rPr>
                <w:webHidden/>
              </w:rPr>
              <w:instrText xml:space="preserve"> PAGEREF _Toc178780164 \h </w:instrText>
            </w:r>
            <w:r>
              <w:rPr>
                <w:webHidden/>
              </w:rPr>
            </w:r>
            <w:r>
              <w:rPr>
                <w:webHidden/>
              </w:rPr>
              <w:fldChar w:fldCharType="separate"/>
            </w:r>
            <w:r w:rsidR="00B2549E">
              <w:rPr>
                <w:webHidden/>
              </w:rPr>
              <w:t>4</w:t>
            </w:r>
            <w:r>
              <w:rPr>
                <w:webHidden/>
              </w:rPr>
              <w:fldChar w:fldCharType="end"/>
            </w:r>
          </w:hyperlink>
        </w:p>
        <w:p w14:paraId="7C08552B" w14:textId="611A485F" w:rsidR="007F79DE" w:rsidRDefault="007F79DE">
          <w:pPr>
            <w:pStyle w:val="TOC5"/>
            <w:tabs>
              <w:tab w:val="left" w:pos="1080"/>
            </w:tabs>
            <w:rPr>
              <w:spacing w:val="0"/>
              <w:kern w:val="2"/>
              <w:sz w:val="24"/>
              <w:szCs w:val="24"/>
              <w:lang w:eastAsia="en-AU"/>
              <w14:ligatures w14:val="standardContextual"/>
            </w:rPr>
          </w:pPr>
          <w:hyperlink w:anchor="_Toc178780165" w:history="1">
            <w:r w:rsidRPr="00665DA6">
              <w:rPr>
                <w:rStyle w:val="Hyperlink"/>
              </w:rPr>
              <w:t>1.3</w:t>
            </w:r>
            <w:r>
              <w:rPr>
                <w:spacing w:val="0"/>
                <w:kern w:val="2"/>
                <w:sz w:val="24"/>
                <w:szCs w:val="24"/>
                <w:lang w:eastAsia="en-AU"/>
                <w14:ligatures w14:val="standardContextual"/>
              </w:rPr>
              <w:tab/>
            </w:r>
            <w:r w:rsidRPr="00665DA6">
              <w:rPr>
                <w:rStyle w:val="Hyperlink"/>
              </w:rPr>
              <w:t>Structure of this document</w:t>
            </w:r>
            <w:r>
              <w:rPr>
                <w:webHidden/>
              </w:rPr>
              <w:tab/>
            </w:r>
            <w:r>
              <w:rPr>
                <w:webHidden/>
              </w:rPr>
              <w:fldChar w:fldCharType="begin"/>
            </w:r>
            <w:r>
              <w:rPr>
                <w:webHidden/>
              </w:rPr>
              <w:instrText xml:space="preserve"> PAGEREF _Toc178780165 \h </w:instrText>
            </w:r>
            <w:r>
              <w:rPr>
                <w:webHidden/>
              </w:rPr>
            </w:r>
            <w:r>
              <w:rPr>
                <w:webHidden/>
              </w:rPr>
              <w:fldChar w:fldCharType="separate"/>
            </w:r>
            <w:r w:rsidR="00B2549E">
              <w:rPr>
                <w:webHidden/>
              </w:rPr>
              <w:t>5</w:t>
            </w:r>
            <w:r>
              <w:rPr>
                <w:webHidden/>
              </w:rPr>
              <w:fldChar w:fldCharType="end"/>
            </w:r>
          </w:hyperlink>
        </w:p>
        <w:p w14:paraId="66B83E41" w14:textId="5689CE29" w:rsidR="007F79DE" w:rsidRDefault="007F79DE">
          <w:pPr>
            <w:pStyle w:val="TOC4"/>
            <w:rPr>
              <w:color w:val="auto"/>
              <w:kern w:val="2"/>
              <w:lang w:eastAsia="en-AU"/>
              <w14:ligatures w14:val="standardContextual"/>
            </w:rPr>
          </w:pPr>
          <w:hyperlink w:anchor="_Toc178780167" w:history="1">
            <w:r w:rsidRPr="00665DA6">
              <w:rPr>
                <w:rStyle w:val="Hyperlink"/>
              </w:rPr>
              <w:t>2.</w:t>
            </w:r>
            <w:r>
              <w:rPr>
                <w:color w:val="auto"/>
                <w:kern w:val="2"/>
                <w:lang w:eastAsia="en-AU"/>
                <w14:ligatures w14:val="standardContextual"/>
              </w:rPr>
              <w:tab/>
            </w:r>
            <w:r w:rsidRPr="00665DA6">
              <w:rPr>
                <w:rStyle w:val="Hyperlink"/>
              </w:rPr>
              <w:t>Application of Model Legislative Provisions</w:t>
            </w:r>
            <w:r>
              <w:rPr>
                <w:webHidden/>
              </w:rPr>
              <w:tab/>
            </w:r>
            <w:r>
              <w:rPr>
                <w:webHidden/>
              </w:rPr>
              <w:fldChar w:fldCharType="begin"/>
            </w:r>
            <w:r>
              <w:rPr>
                <w:webHidden/>
              </w:rPr>
              <w:instrText xml:space="preserve"> PAGEREF _Toc178780167 \h </w:instrText>
            </w:r>
            <w:r>
              <w:rPr>
                <w:webHidden/>
              </w:rPr>
            </w:r>
            <w:r>
              <w:rPr>
                <w:webHidden/>
              </w:rPr>
              <w:fldChar w:fldCharType="separate"/>
            </w:r>
            <w:r w:rsidR="00B2549E">
              <w:rPr>
                <w:webHidden/>
              </w:rPr>
              <w:t>6</w:t>
            </w:r>
            <w:r>
              <w:rPr>
                <w:webHidden/>
              </w:rPr>
              <w:fldChar w:fldCharType="end"/>
            </w:r>
          </w:hyperlink>
        </w:p>
        <w:p w14:paraId="45392DF0" w14:textId="2314CD18" w:rsidR="007F79DE" w:rsidRDefault="007F79DE">
          <w:pPr>
            <w:pStyle w:val="TOC4"/>
            <w:rPr>
              <w:color w:val="auto"/>
              <w:kern w:val="2"/>
              <w:lang w:eastAsia="en-AU"/>
              <w14:ligatures w14:val="standardContextual"/>
            </w:rPr>
          </w:pPr>
          <w:hyperlink w:anchor="_Toc178780168" w:history="1">
            <w:r w:rsidRPr="00665DA6">
              <w:rPr>
                <w:rStyle w:val="Hyperlink"/>
              </w:rPr>
              <w:t>3.</w:t>
            </w:r>
            <w:r>
              <w:rPr>
                <w:color w:val="auto"/>
                <w:kern w:val="2"/>
                <w:lang w:eastAsia="en-AU"/>
                <w14:ligatures w14:val="standardContextual"/>
              </w:rPr>
              <w:tab/>
            </w:r>
            <w:r w:rsidRPr="00665DA6">
              <w:rPr>
                <w:rStyle w:val="Hyperlink"/>
              </w:rPr>
              <w:t>Baseline elements</w:t>
            </w:r>
            <w:r>
              <w:rPr>
                <w:webHidden/>
              </w:rPr>
              <w:tab/>
            </w:r>
            <w:r>
              <w:rPr>
                <w:webHidden/>
              </w:rPr>
              <w:fldChar w:fldCharType="begin"/>
            </w:r>
            <w:r>
              <w:rPr>
                <w:webHidden/>
              </w:rPr>
              <w:instrText xml:space="preserve"> PAGEREF _Toc178780168 \h </w:instrText>
            </w:r>
            <w:r>
              <w:rPr>
                <w:webHidden/>
              </w:rPr>
            </w:r>
            <w:r>
              <w:rPr>
                <w:webHidden/>
              </w:rPr>
              <w:fldChar w:fldCharType="separate"/>
            </w:r>
            <w:r w:rsidR="00B2549E">
              <w:rPr>
                <w:webHidden/>
              </w:rPr>
              <w:t>13</w:t>
            </w:r>
            <w:r>
              <w:rPr>
                <w:webHidden/>
              </w:rPr>
              <w:fldChar w:fldCharType="end"/>
            </w:r>
          </w:hyperlink>
        </w:p>
        <w:p w14:paraId="3DA4205C" w14:textId="364351D6" w:rsidR="007F79DE" w:rsidRDefault="007F79DE">
          <w:pPr>
            <w:pStyle w:val="TOC4"/>
            <w:rPr>
              <w:color w:val="auto"/>
              <w:kern w:val="2"/>
              <w:lang w:eastAsia="en-AU"/>
              <w14:ligatures w14:val="standardContextual"/>
            </w:rPr>
          </w:pPr>
          <w:hyperlink w:anchor="_Toc178780169" w:history="1">
            <w:r w:rsidRPr="00665DA6">
              <w:rPr>
                <w:rStyle w:val="Hyperlink"/>
              </w:rPr>
              <w:t>4.</w:t>
            </w:r>
            <w:r>
              <w:rPr>
                <w:color w:val="auto"/>
                <w:kern w:val="2"/>
                <w:lang w:eastAsia="en-AU"/>
                <w14:ligatures w14:val="standardContextual"/>
              </w:rPr>
              <w:tab/>
            </w:r>
            <w:r w:rsidRPr="00665DA6">
              <w:rPr>
                <w:rStyle w:val="Hyperlink"/>
              </w:rPr>
              <w:t>Standard elements</w:t>
            </w:r>
            <w:r>
              <w:rPr>
                <w:webHidden/>
              </w:rPr>
              <w:tab/>
            </w:r>
            <w:r>
              <w:rPr>
                <w:webHidden/>
              </w:rPr>
              <w:fldChar w:fldCharType="begin"/>
            </w:r>
            <w:r>
              <w:rPr>
                <w:webHidden/>
              </w:rPr>
              <w:instrText xml:space="preserve"> PAGEREF _Toc178780169 \h </w:instrText>
            </w:r>
            <w:r>
              <w:rPr>
                <w:webHidden/>
              </w:rPr>
            </w:r>
            <w:r>
              <w:rPr>
                <w:webHidden/>
              </w:rPr>
              <w:fldChar w:fldCharType="separate"/>
            </w:r>
            <w:r w:rsidR="00B2549E">
              <w:rPr>
                <w:webHidden/>
              </w:rPr>
              <w:t>17</w:t>
            </w:r>
            <w:r>
              <w:rPr>
                <w:webHidden/>
              </w:rPr>
              <w:fldChar w:fldCharType="end"/>
            </w:r>
          </w:hyperlink>
        </w:p>
        <w:p w14:paraId="5C7A50E5" w14:textId="5F4C3CD6" w:rsidR="007F79DE" w:rsidRDefault="007F79DE">
          <w:pPr>
            <w:pStyle w:val="TOC5"/>
            <w:tabs>
              <w:tab w:val="left" w:pos="1080"/>
            </w:tabs>
            <w:rPr>
              <w:spacing w:val="0"/>
              <w:kern w:val="2"/>
              <w:sz w:val="24"/>
              <w:szCs w:val="24"/>
              <w:lang w:eastAsia="en-AU"/>
              <w14:ligatures w14:val="standardContextual"/>
            </w:rPr>
          </w:pPr>
          <w:hyperlink w:anchor="_Toc178780196" w:history="1">
            <w:r w:rsidRPr="00665DA6">
              <w:rPr>
                <w:rStyle w:val="Hyperlink"/>
              </w:rPr>
              <w:t>4.1</w:t>
            </w:r>
            <w:r>
              <w:rPr>
                <w:spacing w:val="0"/>
                <w:kern w:val="2"/>
                <w:sz w:val="24"/>
                <w:szCs w:val="24"/>
                <w:lang w:eastAsia="en-AU"/>
                <w14:ligatures w14:val="standardContextual"/>
              </w:rPr>
              <w:tab/>
            </w:r>
            <w:r w:rsidRPr="00665DA6">
              <w:rPr>
                <w:rStyle w:val="Hyperlink"/>
              </w:rPr>
              <w:t>Assessment of criminal history</w:t>
            </w:r>
            <w:r>
              <w:rPr>
                <w:webHidden/>
              </w:rPr>
              <w:tab/>
            </w:r>
            <w:r>
              <w:rPr>
                <w:webHidden/>
              </w:rPr>
              <w:fldChar w:fldCharType="begin"/>
            </w:r>
            <w:r>
              <w:rPr>
                <w:webHidden/>
              </w:rPr>
              <w:instrText xml:space="preserve"> PAGEREF _Toc178780196 \h </w:instrText>
            </w:r>
            <w:r>
              <w:rPr>
                <w:webHidden/>
              </w:rPr>
            </w:r>
            <w:r>
              <w:rPr>
                <w:webHidden/>
              </w:rPr>
              <w:fldChar w:fldCharType="separate"/>
            </w:r>
            <w:r w:rsidR="00B2549E">
              <w:rPr>
                <w:webHidden/>
              </w:rPr>
              <w:t>19</w:t>
            </w:r>
            <w:r>
              <w:rPr>
                <w:webHidden/>
              </w:rPr>
              <w:fldChar w:fldCharType="end"/>
            </w:r>
          </w:hyperlink>
        </w:p>
        <w:p w14:paraId="5B7E5B79" w14:textId="08EA2DDA" w:rsidR="007F79DE" w:rsidRDefault="007F79DE">
          <w:pPr>
            <w:pStyle w:val="TOC5"/>
            <w:tabs>
              <w:tab w:val="left" w:pos="1080"/>
            </w:tabs>
            <w:rPr>
              <w:spacing w:val="0"/>
              <w:kern w:val="2"/>
              <w:sz w:val="24"/>
              <w:szCs w:val="24"/>
              <w:lang w:eastAsia="en-AU"/>
              <w14:ligatures w14:val="standardContextual"/>
            </w:rPr>
          </w:pPr>
          <w:hyperlink w:anchor="_Toc178780197" w:history="1">
            <w:r w:rsidRPr="00665DA6">
              <w:rPr>
                <w:rStyle w:val="Hyperlink"/>
              </w:rPr>
              <w:t>4.2</w:t>
            </w:r>
            <w:r>
              <w:rPr>
                <w:spacing w:val="0"/>
                <w:kern w:val="2"/>
                <w:sz w:val="24"/>
                <w:szCs w:val="24"/>
                <w:lang w:eastAsia="en-AU"/>
                <w14:ligatures w14:val="standardContextual"/>
              </w:rPr>
              <w:tab/>
            </w:r>
            <w:r w:rsidRPr="00665DA6">
              <w:rPr>
                <w:rStyle w:val="Hyperlink"/>
              </w:rPr>
              <w:t>Assessment of past regulatory compliance</w:t>
            </w:r>
            <w:r>
              <w:rPr>
                <w:webHidden/>
              </w:rPr>
              <w:tab/>
            </w:r>
            <w:r>
              <w:rPr>
                <w:webHidden/>
              </w:rPr>
              <w:fldChar w:fldCharType="begin"/>
            </w:r>
            <w:r>
              <w:rPr>
                <w:webHidden/>
              </w:rPr>
              <w:instrText xml:space="preserve"> PAGEREF _Toc178780197 \h </w:instrText>
            </w:r>
            <w:r>
              <w:rPr>
                <w:webHidden/>
              </w:rPr>
            </w:r>
            <w:r>
              <w:rPr>
                <w:webHidden/>
              </w:rPr>
              <w:fldChar w:fldCharType="separate"/>
            </w:r>
            <w:r w:rsidR="00B2549E">
              <w:rPr>
                <w:webHidden/>
              </w:rPr>
              <w:t>22</w:t>
            </w:r>
            <w:r>
              <w:rPr>
                <w:webHidden/>
              </w:rPr>
              <w:fldChar w:fldCharType="end"/>
            </w:r>
          </w:hyperlink>
        </w:p>
        <w:p w14:paraId="19881B95" w14:textId="2ABDA967" w:rsidR="007F79DE" w:rsidRDefault="007F79DE">
          <w:pPr>
            <w:pStyle w:val="TOC5"/>
            <w:tabs>
              <w:tab w:val="left" w:pos="1080"/>
            </w:tabs>
            <w:rPr>
              <w:spacing w:val="0"/>
              <w:kern w:val="2"/>
              <w:sz w:val="24"/>
              <w:szCs w:val="24"/>
              <w:lang w:eastAsia="en-AU"/>
              <w14:ligatures w14:val="standardContextual"/>
            </w:rPr>
          </w:pPr>
          <w:hyperlink w:anchor="_Toc178780207" w:history="1">
            <w:r w:rsidRPr="00665DA6">
              <w:rPr>
                <w:rStyle w:val="Hyperlink"/>
              </w:rPr>
              <w:t>4.3</w:t>
            </w:r>
            <w:r>
              <w:rPr>
                <w:spacing w:val="0"/>
                <w:kern w:val="2"/>
                <w:sz w:val="24"/>
                <w:szCs w:val="24"/>
                <w:lang w:eastAsia="en-AU"/>
                <w14:ligatures w14:val="standardContextual"/>
              </w:rPr>
              <w:tab/>
            </w:r>
            <w:r w:rsidRPr="00665DA6">
              <w:rPr>
                <w:rStyle w:val="Hyperlink"/>
              </w:rPr>
              <w:t>Outcomes of previous permissions</w:t>
            </w:r>
            <w:r>
              <w:rPr>
                <w:webHidden/>
              </w:rPr>
              <w:tab/>
            </w:r>
            <w:r>
              <w:rPr>
                <w:webHidden/>
              </w:rPr>
              <w:fldChar w:fldCharType="begin"/>
            </w:r>
            <w:r>
              <w:rPr>
                <w:webHidden/>
              </w:rPr>
              <w:instrText xml:space="preserve"> PAGEREF _Toc178780207 \h </w:instrText>
            </w:r>
            <w:r>
              <w:rPr>
                <w:webHidden/>
              </w:rPr>
            </w:r>
            <w:r>
              <w:rPr>
                <w:webHidden/>
              </w:rPr>
              <w:fldChar w:fldCharType="separate"/>
            </w:r>
            <w:r w:rsidR="00B2549E">
              <w:rPr>
                <w:webHidden/>
              </w:rPr>
              <w:t>23</w:t>
            </w:r>
            <w:r>
              <w:rPr>
                <w:webHidden/>
              </w:rPr>
              <w:fldChar w:fldCharType="end"/>
            </w:r>
          </w:hyperlink>
        </w:p>
        <w:p w14:paraId="1596E8D1" w14:textId="4FCE4F15" w:rsidR="007F79DE" w:rsidRDefault="007F79DE">
          <w:pPr>
            <w:pStyle w:val="TOC5"/>
            <w:tabs>
              <w:tab w:val="left" w:pos="1080"/>
            </w:tabs>
            <w:rPr>
              <w:spacing w:val="0"/>
              <w:kern w:val="2"/>
              <w:sz w:val="24"/>
              <w:szCs w:val="24"/>
              <w:lang w:eastAsia="en-AU"/>
              <w14:ligatures w14:val="standardContextual"/>
            </w:rPr>
          </w:pPr>
          <w:hyperlink w:anchor="_Toc178780208" w:history="1">
            <w:r w:rsidRPr="00665DA6">
              <w:rPr>
                <w:rStyle w:val="Hyperlink"/>
              </w:rPr>
              <w:t>4.4</w:t>
            </w:r>
            <w:r>
              <w:rPr>
                <w:spacing w:val="0"/>
                <w:kern w:val="2"/>
                <w:sz w:val="24"/>
                <w:szCs w:val="24"/>
                <w:lang w:eastAsia="en-AU"/>
                <w14:ligatures w14:val="standardContextual"/>
              </w:rPr>
              <w:tab/>
            </w:r>
            <w:r w:rsidRPr="00665DA6">
              <w:rPr>
                <w:rStyle w:val="Hyperlink"/>
              </w:rPr>
              <w:t>Disqualifications, bans and prohibitions</w:t>
            </w:r>
            <w:r>
              <w:rPr>
                <w:webHidden/>
              </w:rPr>
              <w:tab/>
            </w:r>
            <w:r>
              <w:rPr>
                <w:webHidden/>
              </w:rPr>
              <w:fldChar w:fldCharType="begin"/>
            </w:r>
            <w:r>
              <w:rPr>
                <w:webHidden/>
              </w:rPr>
              <w:instrText xml:space="preserve"> PAGEREF _Toc178780208 \h </w:instrText>
            </w:r>
            <w:r>
              <w:rPr>
                <w:webHidden/>
              </w:rPr>
            </w:r>
            <w:r>
              <w:rPr>
                <w:webHidden/>
              </w:rPr>
              <w:fldChar w:fldCharType="separate"/>
            </w:r>
            <w:r w:rsidR="00B2549E">
              <w:rPr>
                <w:webHidden/>
              </w:rPr>
              <w:t>24</w:t>
            </w:r>
            <w:r>
              <w:rPr>
                <w:webHidden/>
              </w:rPr>
              <w:fldChar w:fldCharType="end"/>
            </w:r>
          </w:hyperlink>
        </w:p>
        <w:p w14:paraId="596E4A8E" w14:textId="3C845B55" w:rsidR="007F79DE" w:rsidRDefault="007F79DE">
          <w:pPr>
            <w:pStyle w:val="TOC5"/>
            <w:tabs>
              <w:tab w:val="left" w:pos="1080"/>
            </w:tabs>
            <w:rPr>
              <w:spacing w:val="0"/>
              <w:kern w:val="2"/>
              <w:sz w:val="24"/>
              <w:szCs w:val="24"/>
              <w:lang w:eastAsia="en-AU"/>
              <w14:ligatures w14:val="standardContextual"/>
            </w:rPr>
          </w:pPr>
          <w:hyperlink w:anchor="_Toc178780209" w:history="1">
            <w:r w:rsidRPr="00665DA6">
              <w:rPr>
                <w:rStyle w:val="Hyperlink"/>
              </w:rPr>
              <w:t>4.5</w:t>
            </w:r>
            <w:r>
              <w:rPr>
                <w:spacing w:val="0"/>
                <w:kern w:val="2"/>
                <w:sz w:val="24"/>
                <w:szCs w:val="24"/>
                <w:lang w:eastAsia="en-AU"/>
                <w14:ligatures w14:val="standardContextual"/>
              </w:rPr>
              <w:tab/>
            </w:r>
            <w:r w:rsidRPr="00665DA6">
              <w:rPr>
                <w:rStyle w:val="Hyperlink"/>
              </w:rPr>
              <w:t>Relevant skills and experience</w:t>
            </w:r>
            <w:r>
              <w:rPr>
                <w:webHidden/>
              </w:rPr>
              <w:tab/>
            </w:r>
            <w:r>
              <w:rPr>
                <w:webHidden/>
              </w:rPr>
              <w:fldChar w:fldCharType="begin"/>
            </w:r>
            <w:r>
              <w:rPr>
                <w:webHidden/>
              </w:rPr>
              <w:instrText xml:space="preserve"> PAGEREF _Toc178780209 \h </w:instrText>
            </w:r>
            <w:r>
              <w:rPr>
                <w:webHidden/>
              </w:rPr>
            </w:r>
            <w:r>
              <w:rPr>
                <w:webHidden/>
              </w:rPr>
              <w:fldChar w:fldCharType="separate"/>
            </w:r>
            <w:r w:rsidR="00B2549E">
              <w:rPr>
                <w:webHidden/>
              </w:rPr>
              <w:t>25</w:t>
            </w:r>
            <w:r>
              <w:rPr>
                <w:webHidden/>
              </w:rPr>
              <w:fldChar w:fldCharType="end"/>
            </w:r>
          </w:hyperlink>
        </w:p>
        <w:p w14:paraId="772EFF00" w14:textId="5E9623BD" w:rsidR="007F79DE" w:rsidRDefault="007F79DE">
          <w:pPr>
            <w:pStyle w:val="TOC5"/>
            <w:tabs>
              <w:tab w:val="left" w:pos="1080"/>
            </w:tabs>
            <w:rPr>
              <w:spacing w:val="0"/>
              <w:kern w:val="2"/>
              <w:sz w:val="24"/>
              <w:szCs w:val="24"/>
              <w:lang w:eastAsia="en-AU"/>
              <w14:ligatures w14:val="standardContextual"/>
            </w:rPr>
          </w:pPr>
          <w:hyperlink w:anchor="_Toc178780218" w:history="1">
            <w:r w:rsidRPr="00665DA6">
              <w:rPr>
                <w:rStyle w:val="Hyperlink"/>
              </w:rPr>
              <w:t>4.6</w:t>
            </w:r>
            <w:r>
              <w:rPr>
                <w:spacing w:val="0"/>
                <w:kern w:val="2"/>
                <w:sz w:val="24"/>
                <w:szCs w:val="24"/>
                <w:lang w:eastAsia="en-AU"/>
                <w14:ligatures w14:val="standardContextual"/>
              </w:rPr>
              <w:tab/>
            </w:r>
            <w:r w:rsidRPr="00665DA6">
              <w:rPr>
                <w:rStyle w:val="Hyperlink"/>
              </w:rPr>
              <w:t>Assessment of financial position</w:t>
            </w:r>
            <w:r>
              <w:rPr>
                <w:webHidden/>
              </w:rPr>
              <w:tab/>
            </w:r>
            <w:r>
              <w:rPr>
                <w:webHidden/>
              </w:rPr>
              <w:fldChar w:fldCharType="begin"/>
            </w:r>
            <w:r>
              <w:rPr>
                <w:webHidden/>
              </w:rPr>
              <w:instrText xml:space="preserve"> PAGEREF _Toc178780218 \h </w:instrText>
            </w:r>
            <w:r>
              <w:rPr>
                <w:webHidden/>
              </w:rPr>
            </w:r>
            <w:r>
              <w:rPr>
                <w:webHidden/>
              </w:rPr>
              <w:fldChar w:fldCharType="separate"/>
            </w:r>
            <w:r w:rsidR="00B2549E">
              <w:rPr>
                <w:webHidden/>
              </w:rPr>
              <w:t>27</w:t>
            </w:r>
            <w:r>
              <w:rPr>
                <w:webHidden/>
              </w:rPr>
              <w:fldChar w:fldCharType="end"/>
            </w:r>
          </w:hyperlink>
        </w:p>
        <w:p w14:paraId="60F9A5E6" w14:textId="52F5C1E4" w:rsidR="007F79DE" w:rsidRDefault="007F79DE">
          <w:pPr>
            <w:pStyle w:val="TOC5"/>
            <w:tabs>
              <w:tab w:val="left" w:pos="1080"/>
            </w:tabs>
            <w:rPr>
              <w:spacing w:val="0"/>
              <w:kern w:val="2"/>
              <w:sz w:val="24"/>
              <w:szCs w:val="24"/>
              <w:lang w:eastAsia="en-AU"/>
              <w14:ligatures w14:val="standardContextual"/>
            </w:rPr>
          </w:pPr>
          <w:hyperlink w:anchor="_Toc178780232" w:history="1">
            <w:r w:rsidRPr="00665DA6">
              <w:rPr>
                <w:rStyle w:val="Hyperlink"/>
              </w:rPr>
              <w:t>4.7</w:t>
            </w:r>
            <w:r>
              <w:rPr>
                <w:spacing w:val="0"/>
                <w:kern w:val="2"/>
                <w:sz w:val="24"/>
                <w:szCs w:val="24"/>
                <w:lang w:eastAsia="en-AU"/>
                <w14:ligatures w14:val="standardContextual"/>
              </w:rPr>
              <w:tab/>
            </w:r>
            <w:r w:rsidRPr="00665DA6">
              <w:rPr>
                <w:rStyle w:val="Hyperlink"/>
              </w:rPr>
              <w:t>Solvency</w:t>
            </w:r>
            <w:r>
              <w:rPr>
                <w:webHidden/>
              </w:rPr>
              <w:tab/>
            </w:r>
            <w:r>
              <w:rPr>
                <w:webHidden/>
              </w:rPr>
              <w:fldChar w:fldCharType="begin"/>
            </w:r>
            <w:r>
              <w:rPr>
                <w:webHidden/>
              </w:rPr>
              <w:instrText xml:space="preserve"> PAGEREF _Toc178780232 \h </w:instrText>
            </w:r>
            <w:r>
              <w:rPr>
                <w:webHidden/>
              </w:rPr>
            </w:r>
            <w:r>
              <w:rPr>
                <w:webHidden/>
              </w:rPr>
              <w:fldChar w:fldCharType="separate"/>
            </w:r>
            <w:r w:rsidR="00B2549E">
              <w:rPr>
                <w:webHidden/>
              </w:rPr>
              <w:t>28</w:t>
            </w:r>
            <w:r>
              <w:rPr>
                <w:webHidden/>
              </w:rPr>
              <w:fldChar w:fldCharType="end"/>
            </w:r>
          </w:hyperlink>
        </w:p>
        <w:p w14:paraId="645E4EFB" w14:textId="05B7C0A5" w:rsidR="007F79DE" w:rsidRDefault="007F79DE">
          <w:pPr>
            <w:pStyle w:val="TOC4"/>
            <w:rPr>
              <w:color w:val="auto"/>
              <w:kern w:val="2"/>
              <w:lang w:eastAsia="en-AU"/>
              <w14:ligatures w14:val="standardContextual"/>
            </w:rPr>
          </w:pPr>
          <w:hyperlink w:anchor="_Toc178780238" w:history="1">
            <w:r w:rsidRPr="00665DA6">
              <w:rPr>
                <w:rStyle w:val="Hyperlink"/>
              </w:rPr>
              <w:t>5.</w:t>
            </w:r>
            <w:r>
              <w:rPr>
                <w:color w:val="auto"/>
                <w:kern w:val="2"/>
                <w:lang w:eastAsia="en-AU"/>
                <w14:ligatures w14:val="standardContextual"/>
              </w:rPr>
              <w:tab/>
            </w:r>
            <w:r w:rsidRPr="00665DA6">
              <w:rPr>
                <w:rStyle w:val="Hyperlink"/>
              </w:rPr>
              <w:t>Bespoke elements</w:t>
            </w:r>
            <w:r>
              <w:rPr>
                <w:webHidden/>
              </w:rPr>
              <w:tab/>
            </w:r>
            <w:r>
              <w:rPr>
                <w:webHidden/>
              </w:rPr>
              <w:fldChar w:fldCharType="begin"/>
            </w:r>
            <w:r>
              <w:rPr>
                <w:webHidden/>
              </w:rPr>
              <w:instrText xml:space="preserve"> PAGEREF _Toc178780238 \h </w:instrText>
            </w:r>
            <w:r>
              <w:rPr>
                <w:webHidden/>
              </w:rPr>
            </w:r>
            <w:r>
              <w:rPr>
                <w:webHidden/>
              </w:rPr>
              <w:fldChar w:fldCharType="separate"/>
            </w:r>
            <w:r w:rsidR="00B2549E">
              <w:rPr>
                <w:webHidden/>
              </w:rPr>
              <w:t>29</w:t>
            </w:r>
            <w:r>
              <w:rPr>
                <w:webHidden/>
              </w:rPr>
              <w:fldChar w:fldCharType="end"/>
            </w:r>
          </w:hyperlink>
        </w:p>
        <w:p w14:paraId="1108D8A4" w14:textId="6AD53FF5" w:rsidR="007F79DE" w:rsidRDefault="007F79DE">
          <w:pPr>
            <w:pStyle w:val="TOC5"/>
            <w:tabs>
              <w:tab w:val="left" w:pos="1080"/>
            </w:tabs>
            <w:rPr>
              <w:spacing w:val="0"/>
              <w:kern w:val="2"/>
              <w:sz w:val="24"/>
              <w:szCs w:val="24"/>
              <w:lang w:eastAsia="en-AU"/>
              <w14:ligatures w14:val="standardContextual"/>
            </w:rPr>
          </w:pPr>
          <w:hyperlink w:anchor="_Toc178780239" w:history="1">
            <w:r w:rsidRPr="00665DA6">
              <w:rPr>
                <w:rStyle w:val="Hyperlink"/>
              </w:rPr>
              <w:t>5.1</w:t>
            </w:r>
            <w:r>
              <w:rPr>
                <w:spacing w:val="0"/>
                <w:kern w:val="2"/>
                <w:sz w:val="24"/>
                <w:szCs w:val="24"/>
                <w:lang w:eastAsia="en-AU"/>
                <w14:ligatures w14:val="standardContextual"/>
              </w:rPr>
              <w:tab/>
            </w:r>
            <w:r w:rsidRPr="00665DA6">
              <w:rPr>
                <w:rStyle w:val="Hyperlink"/>
              </w:rPr>
              <w:t>Associates and affiliations</w:t>
            </w:r>
            <w:r>
              <w:rPr>
                <w:webHidden/>
              </w:rPr>
              <w:tab/>
            </w:r>
            <w:r>
              <w:rPr>
                <w:webHidden/>
              </w:rPr>
              <w:fldChar w:fldCharType="begin"/>
            </w:r>
            <w:r>
              <w:rPr>
                <w:webHidden/>
              </w:rPr>
              <w:instrText xml:space="preserve"> PAGEREF _Toc178780239 \h </w:instrText>
            </w:r>
            <w:r>
              <w:rPr>
                <w:webHidden/>
              </w:rPr>
            </w:r>
            <w:r>
              <w:rPr>
                <w:webHidden/>
              </w:rPr>
              <w:fldChar w:fldCharType="separate"/>
            </w:r>
            <w:r w:rsidR="00B2549E">
              <w:rPr>
                <w:webHidden/>
              </w:rPr>
              <w:t>30</w:t>
            </w:r>
            <w:r>
              <w:rPr>
                <w:webHidden/>
              </w:rPr>
              <w:fldChar w:fldCharType="end"/>
            </w:r>
          </w:hyperlink>
        </w:p>
        <w:p w14:paraId="1B6BBCCF" w14:textId="2B40630B" w:rsidR="007F79DE" w:rsidRDefault="007F79DE">
          <w:pPr>
            <w:pStyle w:val="TOC5"/>
            <w:tabs>
              <w:tab w:val="left" w:pos="1080"/>
            </w:tabs>
            <w:rPr>
              <w:spacing w:val="0"/>
              <w:kern w:val="2"/>
              <w:sz w:val="24"/>
              <w:szCs w:val="24"/>
              <w:lang w:eastAsia="en-AU"/>
              <w14:ligatures w14:val="standardContextual"/>
            </w:rPr>
          </w:pPr>
          <w:hyperlink w:anchor="_Toc178780245" w:history="1">
            <w:r w:rsidRPr="00665DA6">
              <w:rPr>
                <w:rStyle w:val="Hyperlink"/>
              </w:rPr>
              <w:t>5.2</w:t>
            </w:r>
            <w:r>
              <w:rPr>
                <w:spacing w:val="0"/>
                <w:kern w:val="2"/>
                <w:sz w:val="24"/>
                <w:szCs w:val="24"/>
                <w:lang w:eastAsia="en-AU"/>
                <w14:ligatures w14:val="standardContextual"/>
              </w:rPr>
              <w:tab/>
            </w:r>
            <w:r w:rsidRPr="00665DA6">
              <w:rPr>
                <w:rStyle w:val="Hyperlink"/>
              </w:rPr>
              <w:t>Required resources (other than financial resources)</w:t>
            </w:r>
            <w:r>
              <w:rPr>
                <w:webHidden/>
              </w:rPr>
              <w:tab/>
            </w:r>
            <w:r>
              <w:rPr>
                <w:webHidden/>
              </w:rPr>
              <w:fldChar w:fldCharType="begin"/>
            </w:r>
            <w:r>
              <w:rPr>
                <w:webHidden/>
              </w:rPr>
              <w:instrText xml:space="preserve"> PAGEREF _Toc178780245 \h </w:instrText>
            </w:r>
            <w:r>
              <w:rPr>
                <w:webHidden/>
              </w:rPr>
            </w:r>
            <w:r>
              <w:rPr>
                <w:webHidden/>
              </w:rPr>
              <w:fldChar w:fldCharType="separate"/>
            </w:r>
            <w:r w:rsidR="00B2549E">
              <w:rPr>
                <w:webHidden/>
              </w:rPr>
              <w:t>31</w:t>
            </w:r>
            <w:r>
              <w:rPr>
                <w:webHidden/>
              </w:rPr>
              <w:fldChar w:fldCharType="end"/>
            </w:r>
          </w:hyperlink>
        </w:p>
        <w:p w14:paraId="0F3711A4" w14:textId="6E8E8857" w:rsidR="007F79DE" w:rsidRDefault="007F79DE">
          <w:pPr>
            <w:pStyle w:val="TOC5"/>
            <w:tabs>
              <w:tab w:val="left" w:pos="1080"/>
            </w:tabs>
            <w:rPr>
              <w:spacing w:val="0"/>
              <w:kern w:val="2"/>
              <w:sz w:val="24"/>
              <w:szCs w:val="24"/>
              <w:lang w:eastAsia="en-AU"/>
              <w14:ligatures w14:val="standardContextual"/>
            </w:rPr>
          </w:pPr>
          <w:hyperlink w:anchor="_Toc178780257" w:history="1">
            <w:r w:rsidRPr="00665DA6">
              <w:rPr>
                <w:rStyle w:val="Hyperlink"/>
              </w:rPr>
              <w:t>5.3</w:t>
            </w:r>
            <w:r>
              <w:rPr>
                <w:spacing w:val="0"/>
                <w:kern w:val="2"/>
                <w:sz w:val="24"/>
                <w:szCs w:val="24"/>
                <w:lang w:eastAsia="en-AU"/>
                <w14:ligatures w14:val="standardContextual"/>
              </w:rPr>
              <w:tab/>
            </w:r>
            <w:r w:rsidRPr="00665DA6">
              <w:rPr>
                <w:rStyle w:val="Hyperlink"/>
              </w:rPr>
              <w:t>Assessment of health and medical conditions</w:t>
            </w:r>
            <w:r>
              <w:rPr>
                <w:webHidden/>
              </w:rPr>
              <w:tab/>
            </w:r>
            <w:r>
              <w:rPr>
                <w:webHidden/>
              </w:rPr>
              <w:fldChar w:fldCharType="begin"/>
            </w:r>
            <w:r>
              <w:rPr>
                <w:webHidden/>
              </w:rPr>
              <w:instrText xml:space="preserve"> PAGEREF _Toc178780257 \h </w:instrText>
            </w:r>
            <w:r>
              <w:rPr>
                <w:webHidden/>
              </w:rPr>
            </w:r>
            <w:r>
              <w:rPr>
                <w:webHidden/>
              </w:rPr>
              <w:fldChar w:fldCharType="separate"/>
            </w:r>
            <w:r w:rsidR="00B2549E">
              <w:rPr>
                <w:webHidden/>
              </w:rPr>
              <w:t>32</w:t>
            </w:r>
            <w:r>
              <w:rPr>
                <w:webHidden/>
              </w:rPr>
              <w:fldChar w:fldCharType="end"/>
            </w:r>
          </w:hyperlink>
        </w:p>
        <w:p w14:paraId="4EAC7C25" w14:textId="4D6270BF" w:rsidR="007F79DE" w:rsidRDefault="007F79DE">
          <w:pPr>
            <w:pStyle w:val="TOC5"/>
            <w:tabs>
              <w:tab w:val="left" w:pos="1080"/>
            </w:tabs>
            <w:rPr>
              <w:spacing w:val="0"/>
              <w:kern w:val="2"/>
              <w:sz w:val="24"/>
              <w:szCs w:val="24"/>
              <w:lang w:eastAsia="en-AU"/>
              <w14:ligatures w14:val="standardContextual"/>
            </w:rPr>
          </w:pPr>
          <w:hyperlink w:anchor="_Toc178780258" w:history="1">
            <w:r w:rsidRPr="00665DA6">
              <w:rPr>
                <w:rStyle w:val="Hyperlink"/>
              </w:rPr>
              <w:t>5.4</w:t>
            </w:r>
            <w:r>
              <w:rPr>
                <w:spacing w:val="0"/>
                <w:kern w:val="2"/>
                <w:sz w:val="24"/>
                <w:szCs w:val="24"/>
                <w:lang w:eastAsia="en-AU"/>
                <w14:ligatures w14:val="standardContextual"/>
              </w:rPr>
              <w:tab/>
            </w:r>
            <w:r w:rsidRPr="00665DA6">
              <w:rPr>
                <w:rStyle w:val="Hyperlink"/>
              </w:rPr>
              <w:t>Public interest</w:t>
            </w:r>
            <w:r>
              <w:rPr>
                <w:webHidden/>
              </w:rPr>
              <w:tab/>
            </w:r>
            <w:r>
              <w:rPr>
                <w:webHidden/>
              </w:rPr>
              <w:fldChar w:fldCharType="begin"/>
            </w:r>
            <w:r>
              <w:rPr>
                <w:webHidden/>
              </w:rPr>
              <w:instrText xml:space="preserve"> PAGEREF _Toc178780258 \h </w:instrText>
            </w:r>
            <w:r>
              <w:rPr>
                <w:webHidden/>
              </w:rPr>
            </w:r>
            <w:r>
              <w:rPr>
                <w:webHidden/>
              </w:rPr>
              <w:fldChar w:fldCharType="separate"/>
            </w:r>
            <w:r w:rsidR="00B2549E">
              <w:rPr>
                <w:webHidden/>
              </w:rPr>
              <w:t>33</w:t>
            </w:r>
            <w:r>
              <w:rPr>
                <w:webHidden/>
              </w:rPr>
              <w:fldChar w:fldCharType="end"/>
            </w:r>
          </w:hyperlink>
        </w:p>
        <w:p w14:paraId="4A2380CA" w14:textId="219D5628" w:rsidR="007F79DE" w:rsidRDefault="007F79DE">
          <w:pPr>
            <w:pStyle w:val="TOC4"/>
            <w:rPr>
              <w:color w:val="auto"/>
              <w:kern w:val="2"/>
              <w:lang w:eastAsia="en-AU"/>
              <w14:ligatures w14:val="standardContextual"/>
            </w:rPr>
          </w:pPr>
          <w:hyperlink w:anchor="_Toc178780266" w:history="1">
            <w:r w:rsidRPr="00665DA6">
              <w:rPr>
                <w:rStyle w:val="Hyperlink"/>
              </w:rPr>
              <w:t>6.</w:t>
            </w:r>
            <w:r>
              <w:rPr>
                <w:color w:val="auto"/>
                <w:kern w:val="2"/>
                <w:lang w:eastAsia="en-AU"/>
                <w14:ligatures w14:val="standardContextual"/>
              </w:rPr>
              <w:tab/>
            </w:r>
            <w:r w:rsidRPr="00665DA6">
              <w:rPr>
                <w:rStyle w:val="Hyperlink"/>
              </w:rPr>
              <w:t>Extraordinary elements</w:t>
            </w:r>
            <w:r>
              <w:rPr>
                <w:webHidden/>
              </w:rPr>
              <w:tab/>
            </w:r>
            <w:r>
              <w:rPr>
                <w:webHidden/>
              </w:rPr>
              <w:fldChar w:fldCharType="begin"/>
            </w:r>
            <w:r>
              <w:rPr>
                <w:webHidden/>
              </w:rPr>
              <w:instrText xml:space="preserve"> PAGEREF _Toc178780266 \h </w:instrText>
            </w:r>
            <w:r>
              <w:rPr>
                <w:webHidden/>
              </w:rPr>
            </w:r>
            <w:r>
              <w:rPr>
                <w:webHidden/>
              </w:rPr>
              <w:fldChar w:fldCharType="separate"/>
            </w:r>
            <w:r w:rsidR="00B2549E">
              <w:rPr>
                <w:webHidden/>
              </w:rPr>
              <w:t>34</w:t>
            </w:r>
            <w:r>
              <w:rPr>
                <w:webHidden/>
              </w:rPr>
              <w:fldChar w:fldCharType="end"/>
            </w:r>
          </w:hyperlink>
        </w:p>
        <w:p w14:paraId="4F10AE0F" w14:textId="7077F54E" w:rsidR="007F79DE" w:rsidRDefault="007F79DE">
          <w:pPr>
            <w:pStyle w:val="TOC5"/>
            <w:tabs>
              <w:tab w:val="left" w:pos="1080"/>
            </w:tabs>
            <w:rPr>
              <w:spacing w:val="0"/>
              <w:kern w:val="2"/>
              <w:sz w:val="24"/>
              <w:szCs w:val="24"/>
              <w:lang w:eastAsia="en-AU"/>
              <w14:ligatures w14:val="standardContextual"/>
            </w:rPr>
          </w:pPr>
          <w:hyperlink w:anchor="_Toc178780267" w:history="1">
            <w:r w:rsidRPr="00665DA6">
              <w:rPr>
                <w:rStyle w:val="Hyperlink"/>
              </w:rPr>
              <w:t>6.1</w:t>
            </w:r>
            <w:r>
              <w:rPr>
                <w:spacing w:val="0"/>
                <w:kern w:val="2"/>
                <w:sz w:val="24"/>
                <w:szCs w:val="24"/>
                <w:lang w:eastAsia="en-AU"/>
                <w14:ligatures w14:val="standardContextual"/>
              </w:rPr>
              <w:tab/>
            </w:r>
            <w:r w:rsidRPr="00665DA6">
              <w:rPr>
                <w:rStyle w:val="Hyperlink"/>
              </w:rPr>
              <w:t>Assessment of good character</w:t>
            </w:r>
            <w:r>
              <w:rPr>
                <w:webHidden/>
              </w:rPr>
              <w:tab/>
            </w:r>
            <w:r>
              <w:rPr>
                <w:webHidden/>
              </w:rPr>
              <w:fldChar w:fldCharType="begin"/>
            </w:r>
            <w:r>
              <w:rPr>
                <w:webHidden/>
              </w:rPr>
              <w:instrText xml:space="preserve"> PAGEREF _Toc178780267 \h </w:instrText>
            </w:r>
            <w:r>
              <w:rPr>
                <w:webHidden/>
              </w:rPr>
            </w:r>
            <w:r>
              <w:rPr>
                <w:webHidden/>
              </w:rPr>
              <w:fldChar w:fldCharType="separate"/>
            </w:r>
            <w:r w:rsidR="00B2549E">
              <w:rPr>
                <w:webHidden/>
              </w:rPr>
              <w:t>34</w:t>
            </w:r>
            <w:r>
              <w:rPr>
                <w:webHidden/>
              </w:rPr>
              <w:fldChar w:fldCharType="end"/>
            </w:r>
          </w:hyperlink>
        </w:p>
        <w:p w14:paraId="4DF245C6" w14:textId="4724430D" w:rsidR="007F79DE" w:rsidRDefault="007F79DE">
          <w:pPr>
            <w:pStyle w:val="TOC4"/>
            <w:rPr>
              <w:color w:val="auto"/>
              <w:kern w:val="2"/>
              <w:lang w:eastAsia="en-AU"/>
              <w14:ligatures w14:val="standardContextual"/>
            </w:rPr>
          </w:pPr>
          <w:hyperlink w:anchor="_Toc178780268" w:history="1">
            <w:r w:rsidRPr="00665DA6">
              <w:rPr>
                <w:rStyle w:val="Hyperlink"/>
              </w:rPr>
              <w:t>7.</w:t>
            </w:r>
            <w:r>
              <w:rPr>
                <w:color w:val="auto"/>
                <w:kern w:val="2"/>
                <w:lang w:eastAsia="en-AU"/>
                <w14:ligatures w14:val="standardContextual"/>
              </w:rPr>
              <w:tab/>
            </w:r>
            <w:r w:rsidRPr="00665DA6">
              <w:rPr>
                <w:rStyle w:val="Hyperlink"/>
              </w:rPr>
              <w:t>Efficient administration</w:t>
            </w:r>
            <w:r>
              <w:rPr>
                <w:webHidden/>
              </w:rPr>
              <w:tab/>
            </w:r>
            <w:r>
              <w:rPr>
                <w:webHidden/>
              </w:rPr>
              <w:fldChar w:fldCharType="begin"/>
            </w:r>
            <w:r>
              <w:rPr>
                <w:webHidden/>
              </w:rPr>
              <w:instrText xml:space="preserve"> PAGEREF _Toc178780268 \h </w:instrText>
            </w:r>
            <w:r>
              <w:rPr>
                <w:webHidden/>
              </w:rPr>
            </w:r>
            <w:r>
              <w:rPr>
                <w:webHidden/>
              </w:rPr>
              <w:fldChar w:fldCharType="separate"/>
            </w:r>
            <w:r w:rsidR="00B2549E">
              <w:rPr>
                <w:webHidden/>
              </w:rPr>
              <w:t>35</w:t>
            </w:r>
            <w:r>
              <w:rPr>
                <w:webHidden/>
              </w:rPr>
              <w:fldChar w:fldCharType="end"/>
            </w:r>
          </w:hyperlink>
        </w:p>
        <w:p w14:paraId="626B8BFA" w14:textId="3FC2BC99" w:rsidR="007F79DE" w:rsidRDefault="007F79DE">
          <w:pPr>
            <w:pStyle w:val="TOC5"/>
            <w:tabs>
              <w:tab w:val="left" w:pos="1080"/>
            </w:tabs>
            <w:rPr>
              <w:spacing w:val="0"/>
              <w:kern w:val="2"/>
              <w:sz w:val="24"/>
              <w:szCs w:val="24"/>
              <w:lang w:eastAsia="en-AU"/>
              <w14:ligatures w14:val="standardContextual"/>
            </w:rPr>
          </w:pPr>
          <w:hyperlink w:anchor="_Toc178780269" w:history="1">
            <w:r w:rsidRPr="00665DA6">
              <w:rPr>
                <w:rStyle w:val="Hyperlink"/>
              </w:rPr>
              <w:t>7.1</w:t>
            </w:r>
            <w:r>
              <w:rPr>
                <w:spacing w:val="0"/>
                <w:kern w:val="2"/>
                <w:sz w:val="24"/>
                <w:szCs w:val="24"/>
                <w:lang w:eastAsia="en-AU"/>
                <w14:ligatures w14:val="standardContextual"/>
              </w:rPr>
              <w:tab/>
            </w:r>
            <w:r w:rsidRPr="00665DA6">
              <w:rPr>
                <w:rStyle w:val="Hyperlink"/>
              </w:rPr>
              <w:t>Service Victoria</w:t>
            </w:r>
            <w:r>
              <w:rPr>
                <w:webHidden/>
              </w:rPr>
              <w:tab/>
            </w:r>
            <w:r>
              <w:rPr>
                <w:webHidden/>
              </w:rPr>
              <w:fldChar w:fldCharType="begin"/>
            </w:r>
            <w:r>
              <w:rPr>
                <w:webHidden/>
              </w:rPr>
              <w:instrText xml:space="preserve"> PAGEREF _Toc178780269 \h </w:instrText>
            </w:r>
            <w:r>
              <w:rPr>
                <w:webHidden/>
              </w:rPr>
            </w:r>
            <w:r>
              <w:rPr>
                <w:webHidden/>
              </w:rPr>
              <w:fldChar w:fldCharType="separate"/>
            </w:r>
            <w:r w:rsidR="00B2549E">
              <w:rPr>
                <w:webHidden/>
              </w:rPr>
              <w:t>35</w:t>
            </w:r>
            <w:r>
              <w:rPr>
                <w:webHidden/>
              </w:rPr>
              <w:fldChar w:fldCharType="end"/>
            </w:r>
          </w:hyperlink>
        </w:p>
        <w:p w14:paraId="52E5E7DC" w14:textId="5D6C5E05" w:rsidR="007F79DE" w:rsidRDefault="007F79DE">
          <w:pPr>
            <w:pStyle w:val="TOC5"/>
            <w:tabs>
              <w:tab w:val="left" w:pos="1080"/>
            </w:tabs>
            <w:rPr>
              <w:spacing w:val="0"/>
              <w:kern w:val="2"/>
              <w:sz w:val="24"/>
              <w:szCs w:val="24"/>
              <w:lang w:eastAsia="en-AU"/>
              <w14:ligatures w14:val="standardContextual"/>
            </w:rPr>
          </w:pPr>
          <w:hyperlink w:anchor="_Toc178780278" w:history="1">
            <w:r w:rsidRPr="00665DA6">
              <w:rPr>
                <w:rStyle w:val="Hyperlink"/>
              </w:rPr>
              <w:t>7.2</w:t>
            </w:r>
            <w:r>
              <w:rPr>
                <w:spacing w:val="0"/>
                <w:kern w:val="2"/>
                <w:sz w:val="24"/>
                <w:szCs w:val="24"/>
                <w:lang w:eastAsia="en-AU"/>
                <w14:ligatures w14:val="standardContextual"/>
              </w:rPr>
              <w:tab/>
            </w:r>
            <w:r w:rsidRPr="00665DA6">
              <w:rPr>
                <w:rStyle w:val="Hyperlink"/>
              </w:rPr>
              <w:t>Alternative administration options</w:t>
            </w:r>
            <w:r>
              <w:rPr>
                <w:webHidden/>
              </w:rPr>
              <w:tab/>
            </w:r>
            <w:r>
              <w:rPr>
                <w:webHidden/>
              </w:rPr>
              <w:fldChar w:fldCharType="begin"/>
            </w:r>
            <w:r>
              <w:rPr>
                <w:webHidden/>
              </w:rPr>
              <w:instrText xml:space="preserve"> PAGEREF _Toc178780278 \h </w:instrText>
            </w:r>
            <w:r>
              <w:rPr>
                <w:webHidden/>
              </w:rPr>
            </w:r>
            <w:r>
              <w:rPr>
                <w:webHidden/>
              </w:rPr>
              <w:fldChar w:fldCharType="separate"/>
            </w:r>
            <w:r w:rsidR="00B2549E">
              <w:rPr>
                <w:webHidden/>
              </w:rPr>
              <w:t>35</w:t>
            </w:r>
            <w:r>
              <w:rPr>
                <w:webHidden/>
              </w:rPr>
              <w:fldChar w:fldCharType="end"/>
            </w:r>
          </w:hyperlink>
        </w:p>
        <w:p w14:paraId="58FCCE4B" w14:textId="73566A09" w:rsidR="007F79DE" w:rsidRDefault="007F79DE">
          <w:pPr>
            <w:pStyle w:val="TOC1"/>
            <w:rPr>
              <w:noProof/>
              <w:color w:val="auto"/>
              <w:kern w:val="2"/>
              <w14:ligatures w14:val="standardContextual"/>
            </w:rPr>
          </w:pPr>
          <w:hyperlink w:anchor="_Toc178780279" w:history="1">
            <w:r w:rsidRPr="00665DA6">
              <w:rPr>
                <w:rStyle w:val="Hyperlink"/>
                <w:noProof/>
              </w:rPr>
              <w:t>Appendix A – Consolidated OCPC provisions</w:t>
            </w:r>
            <w:r>
              <w:rPr>
                <w:noProof/>
                <w:webHidden/>
              </w:rPr>
              <w:tab/>
            </w:r>
            <w:r>
              <w:rPr>
                <w:noProof/>
                <w:webHidden/>
              </w:rPr>
              <w:fldChar w:fldCharType="begin"/>
            </w:r>
            <w:r>
              <w:rPr>
                <w:noProof/>
                <w:webHidden/>
              </w:rPr>
              <w:instrText xml:space="preserve"> PAGEREF _Toc178780279 \h </w:instrText>
            </w:r>
            <w:r>
              <w:rPr>
                <w:noProof/>
                <w:webHidden/>
              </w:rPr>
            </w:r>
            <w:r>
              <w:rPr>
                <w:noProof/>
                <w:webHidden/>
              </w:rPr>
              <w:fldChar w:fldCharType="separate"/>
            </w:r>
            <w:r w:rsidR="00B2549E">
              <w:rPr>
                <w:noProof/>
                <w:webHidden/>
              </w:rPr>
              <w:t>37</w:t>
            </w:r>
            <w:r>
              <w:rPr>
                <w:noProof/>
                <w:webHidden/>
              </w:rPr>
              <w:fldChar w:fldCharType="end"/>
            </w:r>
          </w:hyperlink>
        </w:p>
        <w:p w14:paraId="7582F83F" w14:textId="7DCC8EFC" w:rsidR="007F79DE" w:rsidRDefault="007F79DE">
          <w:pPr>
            <w:pStyle w:val="TOC1"/>
            <w:rPr>
              <w:noProof/>
              <w:color w:val="auto"/>
              <w:kern w:val="2"/>
              <w14:ligatures w14:val="standardContextual"/>
            </w:rPr>
          </w:pPr>
          <w:hyperlink w:anchor="_Toc178780280" w:history="1">
            <w:r w:rsidRPr="00665DA6">
              <w:rPr>
                <w:rStyle w:val="Hyperlink"/>
                <w:noProof/>
              </w:rPr>
              <w:t>Appendix B – Consolidated list of resources</w:t>
            </w:r>
            <w:r>
              <w:rPr>
                <w:noProof/>
                <w:webHidden/>
              </w:rPr>
              <w:tab/>
            </w:r>
            <w:r>
              <w:rPr>
                <w:noProof/>
                <w:webHidden/>
              </w:rPr>
              <w:fldChar w:fldCharType="begin"/>
            </w:r>
            <w:r>
              <w:rPr>
                <w:noProof/>
                <w:webHidden/>
              </w:rPr>
              <w:instrText xml:space="preserve"> PAGEREF _Toc178780280 \h </w:instrText>
            </w:r>
            <w:r>
              <w:rPr>
                <w:noProof/>
                <w:webHidden/>
              </w:rPr>
            </w:r>
            <w:r>
              <w:rPr>
                <w:noProof/>
                <w:webHidden/>
              </w:rPr>
              <w:fldChar w:fldCharType="separate"/>
            </w:r>
            <w:r w:rsidR="00B2549E">
              <w:rPr>
                <w:noProof/>
                <w:webHidden/>
              </w:rPr>
              <w:t>43</w:t>
            </w:r>
            <w:r>
              <w:rPr>
                <w:noProof/>
                <w:webHidden/>
              </w:rPr>
              <w:fldChar w:fldCharType="end"/>
            </w:r>
          </w:hyperlink>
        </w:p>
        <w:p w14:paraId="63053441" w14:textId="4D2114E7" w:rsidR="00953A15" w:rsidRDefault="00953A15" w:rsidP="00953A15">
          <w:r>
            <w:rPr>
              <w:noProof/>
              <w:lang w:eastAsia="en-US"/>
            </w:rPr>
            <w:fldChar w:fldCharType="end"/>
          </w:r>
        </w:p>
      </w:sdtContent>
    </w:sdt>
    <w:p w14:paraId="38F390D7" w14:textId="7D11E59E" w:rsidR="00953A15" w:rsidRDefault="00953A15" w:rsidP="00953A15">
      <w:pPr>
        <w:sectPr w:rsidR="00953A15" w:rsidSect="00272FAF">
          <w:headerReference w:type="even" r:id="rId16"/>
          <w:headerReference w:type="default" r:id="rId17"/>
          <w:footerReference w:type="even" r:id="rId18"/>
          <w:footerReference w:type="default" r:id="rId19"/>
          <w:type w:val="oddPage"/>
          <w:pgSz w:w="11906" w:h="16838" w:code="9"/>
          <w:pgMar w:top="2160" w:right="1440" w:bottom="1080" w:left="1440" w:header="706" w:footer="461" w:gutter="0"/>
          <w:pgNumType w:fmt="lowerRoman" w:start="1"/>
          <w:cols w:space="708"/>
          <w:docGrid w:linePitch="360"/>
        </w:sectPr>
      </w:pPr>
    </w:p>
    <w:p w14:paraId="43D9B65E" w14:textId="562947D0" w:rsidR="00175711" w:rsidRPr="00C00D31" w:rsidRDefault="3404815D" w:rsidP="5DFE3F42">
      <w:pPr>
        <w:pageBreakBefore/>
        <w:rPr>
          <w:rFonts w:asciiTheme="majorHAnsi" w:hAnsiTheme="majorHAnsi"/>
          <w:color w:val="3A3467" w:themeColor="text2"/>
          <w:sz w:val="32"/>
          <w:szCs w:val="32"/>
        </w:rPr>
      </w:pPr>
      <w:bookmarkStart w:id="0" w:name="_Toc164848011"/>
      <w:r w:rsidRPr="00C00D31">
        <w:rPr>
          <w:rFonts w:asciiTheme="majorHAnsi" w:hAnsiTheme="majorHAnsi"/>
          <w:color w:val="3A3467" w:themeColor="text2"/>
          <w:sz w:val="32"/>
          <w:szCs w:val="32"/>
        </w:rPr>
        <w:lastRenderedPageBreak/>
        <w:t>How this document helps you</w:t>
      </w:r>
    </w:p>
    <w:p w14:paraId="010B0FF7" w14:textId="41C8DECE" w:rsidR="00175711" w:rsidRPr="00560AC4" w:rsidRDefault="3404815D" w:rsidP="006F7CFD">
      <w:r w:rsidRPr="4228B761">
        <w:t>This document has been written for legislative and policy officers working with the Office of the Chief Parliamentary Counsel (OCPC) on new or amended legislative provisions in re</w:t>
      </w:r>
      <w:r w:rsidR="4AE0C9AA" w:rsidRPr="4228B761">
        <w:t>gulatory schemes.</w:t>
      </w:r>
    </w:p>
    <w:p w14:paraId="0B56CF95" w14:textId="0EDDAB6E" w:rsidR="00175711" w:rsidRPr="00560AC4" w:rsidRDefault="4AE0C9AA" w:rsidP="006F7CFD">
      <w:r w:rsidRPr="4228B761">
        <w:t>Th</w:t>
      </w:r>
      <w:r w:rsidR="7BEBB65F" w:rsidRPr="4228B761">
        <w:t xml:space="preserve">e Department of Treasury and Finance (DTF) has prepared this document in </w:t>
      </w:r>
      <w:r w:rsidR="45E754BD" w:rsidRPr="4228B761">
        <w:t>collaboration</w:t>
      </w:r>
      <w:r w:rsidR="7BEBB65F" w:rsidRPr="4228B761">
        <w:t xml:space="preserve"> with OCPC and in close consultation with departments and regulators. </w:t>
      </w:r>
      <w:r w:rsidR="4C8D5E18" w:rsidRPr="4228B761">
        <w:t>This document does not a</w:t>
      </w:r>
      <w:r w:rsidRPr="4228B761">
        <w:t xml:space="preserve"> provide a ‘one size fits all’ or mandated approach</w:t>
      </w:r>
      <w:r w:rsidR="00840BC6">
        <w:t>,</w:t>
      </w:r>
      <w:r w:rsidRPr="4228B761">
        <w:t xml:space="preserve"> but </w:t>
      </w:r>
      <w:r w:rsidR="7848E432" w:rsidRPr="4228B761">
        <w:t>guides policymakers through the conceptual and legislative considerations to make</w:t>
      </w:r>
      <w:r w:rsidRPr="4228B761">
        <w:t xml:space="preserve"> it easier</w:t>
      </w:r>
      <w:r w:rsidR="164929A6" w:rsidRPr="4228B761">
        <w:t xml:space="preserve"> to </w:t>
      </w:r>
      <w:r w:rsidR="6FDB9891" w:rsidRPr="4228B761">
        <w:t>develop</w:t>
      </w:r>
      <w:r w:rsidRPr="4228B761">
        <w:t xml:space="preserve"> </w:t>
      </w:r>
      <w:r w:rsidR="7A46A024" w:rsidRPr="4228B761">
        <w:t>legislative provisions suited to your needs</w:t>
      </w:r>
      <w:r w:rsidR="4D4C5E74" w:rsidRPr="4228B761">
        <w:t xml:space="preserve"> and aligned with best practice.</w:t>
      </w:r>
      <w:r w:rsidR="0455A19E" w:rsidRPr="4228B761">
        <w:t xml:space="preserve"> </w:t>
      </w:r>
    </w:p>
    <w:p w14:paraId="1E9BD4AD" w14:textId="71CCBEE2" w:rsidR="00175711" w:rsidRPr="00560AC4" w:rsidRDefault="1FB3B28B" w:rsidP="006F7CFD">
      <w:r w:rsidRPr="56192DBB">
        <w:t>DTF has consulted OCPC</w:t>
      </w:r>
      <w:r w:rsidR="7DE73554" w:rsidRPr="42A2B0EF">
        <w:t xml:space="preserve"> </w:t>
      </w:r>
      <w:r w:rsidR="3AAA3F8C" w:rsidRPr="56192DBB">
        <w:t xml:space="preserve">and OCPC </w:t>
      </w:r>
      <w:r w:rsidR="04FB4287" w:rsidRPr="42A2B0EF">
        <w:t>has drafted</w:t>
      </w:r>
      <w:r w:rsidR="0748076A" w:rsidRPr="42A2B0EF">
        <w:t xml:space="preserve"> a clause bank of Model Legislative Provisions. </w:t>
      </w:r>
      <w:r w:rsidR="00753FFA" w:rsidRPr="42A2B0EF">
        <w:t>These</w:t>
      </w:r>
      <w:r w:rsidR="0748076A" w:rsidRPr="42A2B0EF">
        <w:t xml:space="preserve"> reflect the most modern and effective version of a regulatory provision, align with best practice</w:t>
      </w:r>
      <w:r w:rsidR="00FF6FEF">
        <w:t>,</w:t>
      </w:r>
      <w:r w:rsidR="0748076A" w:rsidRPr="42A2B0EF">
        <w:t xml:space="preserve"> and promote consistency across Victoria’s regulatory environments.</w:t>
      </w:r>
    </w:p>
    <w:p w14:paraId="45C19C95" w14:textId="13C86C87" w:rsidR="00175711" w:rsidRPr="00C00D31" w:rsidRDefault="0748076A" w:rsidP="00C00D31">
      <w:pPr>
        <w:rPr>
          <w:rFonts w:asciiTheme="majorHAnsi" w:hAnsiTheme="majorHAnsi"/>
          <w:color w:val="3A3467" w:themeColor="text2"/>
          <w:sz w:val="32"/>
          <w:szCs w:val="32"/>
        </w:rPr>
      </w:pPr>
      <w:r w:rsidRPr="00C00D31">
        <w:rPr>
          <w:rFonts w:asciiTheme="majorHAnsi" w:hAnsiTheme="majorHAnsi"/>
          <w:color w:val="3A3467" w:themeColor="text2"/>
          <w:sz w:val="32"/>
          <w:szCs w:val="32"/>
        </w:rPr>
        <w:t>Context</w:t>
      </w:r>
    </w:p>
    <w:p w14:paraId="4AA3F6CB" w14:textId="3ACF8EDE" w:rsidR="00175711" w:rsidRPr="00560AC4" w:rsidRDefault="5CBD61C8" w:rsidP="006F7CFD">
      <w:r w:rsidRPr="42A2B0EF">
        <w:t>Victoria has over 70 state government regulators with responsibility for over 500 different permission</w:t>
      </w:r>
      <w:r w:rsidR="00DA2E90" w:rsidRPr="42A2B0EF">
        <w:t xml:space="preserve"> schemes</w:t>
      </w:r>
      <w:r w:rsidRPr="42A2B0EF">
        <w:t xml:space="preserve"> (licences, permits and other approvals which grant the recipient permission to conduct an activity, operation</w:t>
      </w:r>
      <w:r w:rsidR="00536130">
        <w:t>,</w:t>
      </w:r>
      <w:r w:rsidRPr="42A2B0EF">
        <w:t xml:space="preserve"> or establish a premises that would otherwise be unlawful). </w:t>
      </w:r>
    </w:p>
    <w:p w14:paraId="2F992B33" w14:textId="0580B095" w:rsidR="00175711" w:rsidRPr="00560AC4" w:rsidRDefault="5CBD61C8" w:rsidP="006F7CFD">
      <w:r w:rsidRPr="42A2B0EF">
        <w:t xml:space="preserve">Legislation </w:t>
      </w:r>
      <w:r w:rsidR="00FE48CD" w:rsidRPr="42A2B0EF">
        <w:t xml:space="preserve">governing </w:t>
      </w:r>
      <w:r w:rsidRPr="42A2B0EF">
        <w:t xml:space="preserve">Victoria’s regulators </w:t>
      </w:r>
      <w:r w:rsidR="005E5E17" w:rsidRPr="42A2B0EF">
        <w:t>var</w:t>
      </w:r>
      <w:r w:rsidR="7DF0071C" w:rsidRPr="56192DBB">
        <w:t>ies</w:t>
      </w:r>
      <w:r w:rsidR="005E5E17" w:rsidRPr="42A2B0EF">
        <w:t xml:space="preserve"> </w:t>
      </w:r>
      <w:r w:rsidRPr="42A2B0EF">
        <w:t xml:space="preserve">significantly in provisions covering the same topic. </w:t>
      </w:r>
      <w:r w:rsidR="005E5E17" w:rsidRPr="42A2B0EF">
        <w:t>Some</w:t>
      </w:r>
      <w:r w:rsidRPr="42A2B0EF">
        <w:t xml:space="preserve"> variations are justified and reflect the different needs of regulators and regulated entities, as well as the level and likelihood of harm being managed. However, </w:t>
      </w:r>
      <w:r w:rsidR="00B42E90" w:rsidRPr="42A2B0EF">
        <w:t>many of these</w:t>
      </w:r>
      <w:r w:rsidR="004E13FE" w:rsidRPr="42A2B0EF">
        <w:t xml:space="preserve"> are needless</w:t>
      </w:r>
      <w:r w:rsidR="00603734" w:rsidRPr="42A2B0EF">
        <w:t>,</w:t>
      </w:r>
      <w:r w:rsidRPr="42A2B0EF">
        <w:t xml:space="preserve"> creat</w:t>
      </w:r>
      <w:r w:rsidR="00AC3F53">
        <w:t>e</w:t>
      </w:r>
      <w:r w:rsidRPr="42A2B0EF">
        <w:t xml:space="preserve"> confusion for regulators, frustration for businesses and detract from the effectiveness and efficiency of the overall regulatory system. </w:t>
      </w:r>
    </w:p>
    <w:p w14:paraId="5F37EC8F" w14:textId="20FE1F5D" w:rsidR="00175711" w:rsidRPr="00560AC4" w:rsidRDefault="0455A19E" w:rsidP="006F7CFD">
      <w:r w:rsidRPr="4228B761">
        <w:t>The model provisions in this document reflect the most modern and effective version of a regulatory provision, align with best practice</w:t>
      </w:r>
      <w:r w:rsidR="007F373B">
        <w:t>,</w:t>
      </w:r>
      <w:r w:rsidRPr="4228B761">
        <w:t xml:space="preserve"> and promote consistency across Victoria’s regulatory environments.</w:t>
      </w:r>
    </w:p>
    <w:p w14:paraId="32E4252C" w14:textId="3502F0B6" w:rsidR="00175711" w:rsidRPr="00560AC4" w:rsidRDefault="66D83C8F" w:rsidP="006F7CFD">
      <w:r w:rsidRPr="4228B761">
        <w:t xml:space="preserve">This model provisions guidance </w:t>
      </w:r>
      <w:r w:rsidR="52B8AF49" w:rsidRPr="4228B761">
        <w:t>helps you to prepare</w:t>
      </w:r>
      <w:r w:rsidR="58F08B58" w:rsidRPr="4228B761">
        <w:t xml:space="preserve">, at the policy development stage, </w:t>
      </w:r>
      <w:r w:rsidR="52B8AF49" w:rsidRPr="4228B761">
        <w:t>for your discussions with OCPC</w:t>
      </w:r>
      <w:r w:rsidR="6FB81CD5" w:rsidRPr="4228B761">
        <w:t xml:space="preserve"> on the suitability of applicants </w:t>
      </w:r>
      <w:r w:rsidR="00462789">
        <w:t>seeking</w:t>
      </w:r>
      <w:r w:rsidR="00462789" w:rsidRPr="4228B761">
        <w:t xml:space="preserve"> </w:t>
      </w:r>
      <w:r w:rsidR="6FB81CD5" w:rsidRPr="4228B761">
        <w:t>permission to conduct a certain regulated activity</w:t>
      </w:r>
      <w:r w:rsidR="537D3E0D" w:rsidRPr="4228B761">
        <w:t xml:space="preserve">. </w:t>
      </w:r>
      <w:r w:rsidR="4C9DEEB9" w:rsidRPr="4228B761">
        <w:t>This guidance</w:t>
      </w:r>
      <w:r w:rsidR="537D3E0D" w:rsidRPr="4228B761">
        <w:t xml:space="preserve"> complements the following guide</w:t>
      </w:r>
      <w:r w:rsidR="3B98889B" w:rsidRPr="4228B761">
        <w:t>s</w:t>
      </w:r>
      <w:r w:rsidR="537D3E0D" w:rsidRPr="4228B761">
        <w:t xml:space="preserve"> that should be considered before you conduct your review of your regulatory scheme: </w:t>
      </w:r>
    </w:p>
    <w:p w14:paraId="2ABB8887" w14:textId="00726B4C" w:rsidR="00175711" w:rsidRPr="00560AC4" w:rsidRDefault="00D36941" w:rsidP="00FD2590">
      <w:pPr>
        <w:pStyle w:val="Bullet1"/>
      </w:pPr>
      <w:hyperlink r:id="rId20" w:history="1">
        <w:r w:rsidRPr="00D26716">
          <w:rPr>
            <w:rStyle w:val="Hyperlink"/>
          </w:rPr>
          <w:t>Victorian Permissions Framework</w:t>
        </w:r>
      </w:hyperlink>
      <w:r w:rsidR="00154FDA">
        <w:t>: T</w:t>
      </w:r>
      <w:r w:rsidR="5B3117EC" w:rsidRPr="00D36941">
        <w:t>his</w:t>
      </w:r>
      <w:r w:rsidR="5B3117EC" w:rsidRPr="4228B761">
        <w:t xml:space="preserve"> </w:t>
      </w:r>
      <w:r w:rsidR="00DB1B29">
        <w:t>framework helps policymakers and regulators</w:t>
      </w:r>
      <w:r w:rsidR="00A174FC">
        <w:t xml:space="preserve"> ensure permissions </w:t>
      </w:r>
      <w:r w:rsidR="00F80CDD">
        <w:t>are justified, well designed</w:t>
      </w:r>
      <w:r w:rsidR="00F26754">
        <w:t>,</w:t>
      </w:r>
      <w:r w:rsidR="00F80CDD">
        <w:t xml:space="preserve"> and applied using best practice. </w:t>
      </w:r>
      <w:r w:rsidR="0021393B">
        <w:t>It</w:t>
      </w:r>
      <w:r w:rsidR="5B3117EC" w:rsidRPr="4228B761">
        <w:t xml:space="preserve"> can be used when developing new permissions </w:t>
      </w:r>
      <w:r w:rsidR="0021393B">
        <w:t>when reforming</w:t>
      </w:r>
      <w:r w:rsidR="5B3117EC" w:rsidRPr="4228B761">
        <w:t xml:space="preserve"> existing permissions</w:t>
      </w:r>
      <w:r w:rsidR="0021393B">
        <w:t>.</w:t>
      </w:r>
    </w:p>
    <w:p w14:paraId="556D939D" w14:textId="447538A9" w:rsidR="00175711" w:rsidRDefault="00EE6151" w:rsidP="00FD2590">
      <w:pPr>
        <w:pStyle w:val="Bullet1"/>
      </w:pPr>
      <w:hyperlink r:id="rId21" w:history="1">
        <w:r w:rsidRPr="00D26716">
          <w:rPr>
            <w:rStyle w:val="Hyperlink"/>
          </w:rPr>
          <w:t>Victorian Framework for Fit and Proper Tests</w:t>
        </w:r>
      </w:hyperlink>
      <w:r w:rsidR="00154FDA">
        <w:t>: T</w:t>
      </w:r>
      <w:r w:rsidR="4AB48E0B" w:rsidRPr="4228B761">
        <w:t xml:space="preserve">his framework helps policymakers consider when screening for applicant suitability should be used, principles for best practice, and </w:t>
      </w:r>
      <w:r w:rsidR="00515791">
        <w:t xml:space="preserve">how to best </w:t>
      </w:r>
      <w:r w:rsidR="0021393B">
        <w:t xml:space="preserve">ensure </w:t>
      </w:r>
      <w:r w:rsidR="00F92215">
        <w:t xml:space="preserve">Fit and Proper Tests are well designed and </w:t>
      </w:r>
      <w:r w:rsidR="00725EDC">
        <w:t xml:space="preserve">efficiently </w:t>
      </w:r>
      <w:r w:rsidR="00F92215">
        <w:t xml:space="preserve">administered. </w:t>
      </w:r>
    </w:p>
    <w:p w14:paraId="161B1B2F" w14:textId="600B7BB7" w:rsidR="00113490" w:rsidRPr="00560AC4" w:rsidRDefault="00113490" w:rsidP="00FD2590">
      <w:pPr>
        <w:pStyle w:val="Bullet1"/>
      </w:pPr>
      <w:r w:rsidRPr="00D26716">
        <w:rPr>
          <w:rStyle w:val="Hyperlink"/>
        </w:rPr>
        <w:t>Delegations Guidance Note</w:t>
      </w:r>
      <w:r w:rsidR="00154FDA">
        <w:t>: T</w:t>
      </w:r>
      <w:r>
        <w:t xml:space="preserve">his document </w:t>
      </w:r>
      <w:r w:rsidR="00725EDC">
        <w:t xml:space="preserve">supports </w:t>
      </w:r>
      <w:r>
        <w:t xml:space="preserve">policymakers in </w:t>
      </w:r>
      <w:r w:rsidR="00590B14">
        <w:t xml:space="preserve">identifying powers which may be appropriate for delegation, as well as the scope of the delegation </w:t>
      </w:r>
      <w:r w:rsidR="00564F91">
        <w:t xml:space="preserve">(broad or narrow). </w:t>
      </w:r>
      <w:r w:rsidR="00615252">
        <w:t>Th</w:t>
      </w:r>
      <w:r w:rsidR="00771B6F">
        <w:t xml:space="preserve">e Guidance Note should be read concurrently with </w:t>
      </w:r>
      <w:r w:rsidR="009F7FF5">
        <w:t>this document</w:t>
      </w:r>
      <w:r w:rsidR="00771B6F">
        <w:t xml:space="preserve">. </w:t>
      </w:r>
    </w:p>
    <w:p w14:paraId="79188767" w14:textId="3500FCF4" w:rsidR="00175711" w:rsidRPr="00560AC4" w:rsidRDefault="66D83C8F" w:rsidP="006F7CFD">
      <w:r w:rsidRPr="4228B761">
        <w:lastRenderedPageBreak/>
        <w:t xml:space="preserve">This model provisions guidance forms part of a series of </w:t>
      </w:r>
      <w:hyperlink r:id="rId22" w:history="1">
        <w:r w:rsidRPr="0007447B">
          <w:rPr>
            <w:rStyle w:val="Hyperlink"/>
          </w:rPr>
          <w:t>model provisions guidance</w:t>
        </w:r>
      </w:hyperlink>
      <w:r w:rsidR="2E7DE274" w:rsidRPr="4228B761">
        <w:t xml:space="preserve"> covering:</w:t>
      </w:r>
    </w:p>
    <w:p w14:paraId="75846354" w14:textId="3A362C64" w:rsidR="00175711" w:rsidRPr="00560AC4" w:rsidRDefault="66D83C8F" w:rsidP="00FD2590">
      <w:pPr>
        <w:pStyle w:val="Bullet1"/>
      </w:pPr>
      <w:r w:rsidRPr="42A2B0EF">
        <w:t>confidentiality and information sharing</w:t>
      </w:r>
    </w:p>
    <w:p w14:paraId="445D856D" w14:textId="424753F2" w:rsidR="00175711" w:rsidRPr="00560AC4" w:rsidRDefault="74152DF3" w:rsidP="00FD2590">
      <w:pPr>
        <w:pStyle w:val="Bullet1"/>
      </w:pPr>
      <w:r w:rsidRPr="4228B761" w:rsidDel="00776090">
        <w:t xml:space="preserve">inspector </w:t>
      </w:r>
      <w:r w:rsidR="009E6E9E">
        <w:t xml:space="preserve">and </w:t>
      </w:r>
      <w:r w:rsidR="00776090">
        <w:t>entry powers</w:t>
      </w:r>
      <w:r w:rsidR="000D1BFE">
        <w:t xml:space="preserve"> </w:t>
      </w:r>
      <w:r w:rsidR="00776090">
        <w:t xml:space="preserve">and </w:t>
      </w:r>
      <w:r w:rsidR="000D1BFE">
        <w:t>regulator toolkits</w:t>
      </w:r>
    </w:p>
    <w:p w14:paraId="21C1EEC8" w14:textId="7A043CBC" w:rsidR="00175711" w:rsidRPr="00560AC4" w:rsidRDefault="00CE62A2" w:rsidP="00FD2590">
      <w:pPr>
        <w:pStyle w:val="Bullet1"/>
      </w:pPr>
      <w:r>
        <w:t>authorised officer appointments</w:t>
      </w:r>
      <w:r w:rsidR="5D2B6DEE" w:rsidRPr="4228B761">
        <w:t xml:space="preserve">, </w:t>
      </w:r>
      <w:r w:rsidR="00DE44DE">
        <w:t>service of documents, and commencing legal proceedings.</w:t>
      </w:r>
    </w:p>
    <w:p w14:paraId="4DDEA086" w14:textId="2B4DFA68" w:rsidR="00533907" w:rsidRPr="00533907" w:rsidRDefault="00533907" w:rsidP="006F7CFD">
      <w:r w:rsidRPr="4228B761">
        <w:t xml:space="preserve">Adoption of </w:t>
      </w:r>
      <w:r w:rsidR="00DE44DE">
        <w:t>model</w:t>
      </w:r>
      <w:r w:rsidR="00DE44DE" w:rsidRPr="4228B761">
        <w:t xml:space="preserve"> </w:t>
      </w:r>
      <w:r w:rsidRPr="4228B761">
        <w:t xml:space="preserve">provisions is not compulsory, but they are a helpful tool for legislative policy areas seeking to introduce or revise legislation. </w:t>
      </w:r>
    </w:p>
    <w:p w14:paraId="623BD25C" w14:textId="3B3539AF" w:rsidR="00533907" w:rsidRPr="00533907" w:rsidRDefault="3C4E9F13" w:rsidP="006F7CFD">
      <w:r w:rsidRPr="4228B761">
        <w:t>If you are working with</w:t>
      </w:r>
      <w:r w:rsidR="007F38F7">
        <w:t>in</w:t>
      </w:r>
      <w:r w:rsidRPr="4228B761">
        <w:t xml:space="preserve"> a </w:t>
      </w:r>
      <w:r w:rsidRPr="00FA1712">
        <w:rPr>
          <w:rFonts w:asciiTheme="majorHAnsi" w:hAnsiTheme="majorHAnsi"/>
        </w:rPr>
        <w:t>national scheme</w:t>
      </w:r>
      <w:r w:rsidRPr="4228B761">
        <w:t xml:space="preserve">, alignment with the national scheme is often a paramount consideration to maximise the benefits and </w:t>
      </w:r>
      <w:r w:rsidR="196A8EE4" w:rsidRPr="4228B761">
        <w:t>efficiencies from harmonised approaches. However</w:t>
      </w:r>
      <w:r w:rsidRPr="4228B761">
        <w:t xml:space="preserve">, where there is scope to tailor provisions or where </w:t>
      </w:r>
      <w:r w:rsidR="6C8D6E32" w:rsidRPr="4228B761">
        <w:t>your input</w:t>
      </w:r>
      <w:r w:rsidRPr="4228B761">
        <w:t xml:space="preserve"> i</w:t>
      </w:r>
      <w:r w:rsidR="2524C9D5" w:rsidRPr="4228B761">
        <w:t>s</w:t>
      </w:r>
      <w:r w:rsidRPr="4228B761">
        <w:t xml:space="preserve"> sought on new or amended </w:t>
      </w:r>
      <w:r w:rsidR="7D79082B" w:rsidRPr="4228B761">
        <w:t>provisions</w:t>
      </w:r>
      <w:r w:rsidRPr="4228B761">
        <w:t xml:space="preserve">, the considerations in this guidance </w:t>
      </w:r>
      <w:r w:rsidR="0DBA1153" w:rsidRPr="4228B761">
        <w:t>will also be useful</w:t>
      </w:r>
      <w:r w:rsidRPr="4228B761">
        <w:t xml:space="preserve"> conceptual tools.</w:t>
      </w:r>
    </w:p>
    <w:p w14:paraId="6744E4F0" w14:textId="55E16612" w:rsidR="00175711" w:rsidRPr="006F7CFD" w:rsidRDefault="00175711" w:rsidP="006F7CFD">
      <w:pPr>
        <w:rPr>
          <w:rFonts w:asciiTheme="majorHAnsi" w:hAnsiTheme="majorHAnsi"/>
        </w:rPr>
      </w:pPr>
      <w:r w:rsidRPr="006F7CFD">
        <w:rPr>
          <w:rFonts w:asciiTheme="majorHAnsi" w:hAnsiTheme="majorHAnsi"/>
        </w:rPr>
        <w:t>This document contains a selection of model provisions developed by OCPC and supporting guidance for legislative criteria commonly referred to as ‘fit and proper</w:t>
      </w:r>
      <w:r w:rsidR="009F7FF5" w:rsidRPr="006F7CFD">
        <w:rPr>
          <w:rFonts w:asciiTheme="majorHAnsi" w:hAnsiTheme="majorHAnsi"/>
        </w:rPr>
        <w:t xml:space="preserve"> (person)</w:t>
      </w:r>
      <w:r w:rsidRPr="006F7CFD">
        <w:rPr>
          <w:rFonts w:asciiTheme="majorHAnsi" w:hAnsiTheme="majorHAnsi"/>
        </w:rPr>
        <w:t xml:space="preserve"> </w:t>
      </w:r>
      <w:proofErr w:type="gramStart"/>
      <w:r w:rsidRPr="006F7CFD">
        <w:rPr>
          <w:rFonts w:asciiTheme="majorHAnsi" w:hAnsiTheme="majorHAnsi"/>
        </w:rPr>
        <w:t>tests’</w:t>
      </w:r>
      <w:proofErr w:type="gramEnd"/>
      <w:r w:rsidRPr="006F7CFD">
        <w:rPr>
          <w:rFonts w:asciiTheme="majorHAnsi" w:hAnsiTheme="majorHAnsi"/>
        </w:rPr>
        <w:t xml:space="preserve">. </w:t>
      </w:r>
      <w:r w:rsidR="00DE44DE" w:rsidRPr="006F7CFD">
        <w:rPr>
          <w:rFonts w:asciiTheme="majorHAnsi" w:hAnsiTheme="majorHAnsi"/>
        </w:rPr>
        <w:t>To align</w:t>
      </w:r>
      <w:r w:rsidR="001D6094" w:rsidRPr="006F7CFD">
        <w:rPr>
          <w:rFonts w:asciiTheme="majorHAnsi" w:hAnsiTheme="majorHAnsi"/>
        </w:rPr>
        <w:t xml:space="preserve"> with modern legislative terminology, </w:t>
      </w:r>
      <w:r w:rsidR="00FE0FF0" w:rsidRPr="006F7CFD">
        <w:rPr>
          <w:rFonts w:asciiTheme="majorHAnsi" w:hAnsiTheme="majorHAnsi"/>
        </w:rPr>
        <w:t>this document refer</w:t>
      </w:r>
      <w:r w:rsidR="45D62499" w:rsidRPr="006F7CFD">
        <w:rPr>
          <w:rFonts w:asciiTheme="majorHAnsi" w:hAnsiTheme="majorHAnsi"/>
        </w:rPr>
        <w:t>s</w:t>
      </w:r>
      <w:r w:rsidR="00FE0FF0" w:rsidRPr="006F7CFD">
        <w:rPr>
          <w:rFonts w:asciiTheme="majorHAnsi" w:hAnsiTheme="majorHAnsi"/>
        </w:rPr>
        <w:t xml:space="preserve"> to </w:t>
      </w:r>
      <w:r w:rsidR="00A16E15" w:rsidRPr="006F7CFD">
        <w:rPr>
          <w:rFonts w:asciiTheme="majorHAnsi" w:hAnsiTheme="majorHAnsi"/>
        </w:rPr>
        <w:t xml:space="preserve">all </w:t>
      </w:r>
      <w:r w:rsidR="00FE0FF0" w:rsidRPr="006F7CFD">
        <w:rPr>
          <w:rFonts w:asciiTheme="majorHAnsi" w:hAnsiTheme="majorHAnsi"/>
        </w:rPr>
        <w:t>fit and proper tests as ‘</w:t>
      </w:r>
      <w:proofErr w:type="gramStart"/>
      <w:r w:rsidR="00FE0FF0" w:rsidRPr="006F7CFD">
        <w:rPr>
          <w:rFonts w:asciiTheme="majorHAnsi" w:hAnsiTheme="majorHAnsi"/>
        </w:rPr>
        <w:t>assessments’</w:t>
      </w:r>
      <w:proofErr w:type="gramEnd"/>
      <w:r w:rsidR="00FE0FF0" w:rsidRPr="006F7CFD">
        <w:rPr>
          <w:rFonts w:asciiTheme="majorHAnsi" w:hAnsiTheme="majorHAnsi"/>
        </w:rPr>
        <w:t xml:space="preserve">. </w:t>
      </w:r>
    </w:p>
    <w:p w14:paraId="277B9838" w14:textId="4DB76A5A" w:rsidR="00DD0C8F" w:rsidRPr="00560AC4" w:rsidRDefault="00DD0C8F" w:rsidP="00FE452E">
      <w:pPr>
        <w:pStyle w:val="Heading1numbered"/>
      </w:pPr>
      <w:bookmarkStart w:id="1" w:name="_Toc174538659"/>
      <w:bookmarkStart w:id="2" w:name="_Toc178780162"/>
      <w:r w:rsidRPr="00560AC4">
        <w:t>Background</w:t>
      </w:r>
      <w:bookmarkEnd w:id="0"/>
      <w:bookmarkEnd w:id="1"/>
      <w:bookmarkEnd w:id="2"/>
    </w:p>
    <w:p w14:paraId="5BE38426" w14:textId="70C98A34" w:rsidR="006C7FF5" w:rsidRPr="006B1B11" w:rsidRDefault="00175711" w:rsidP="00D26716">
      <w:pPr>
        <w:pStyle w:val="Heading2numbered"/>
      </w:pPr>
      <w:bookmarkStart w:id="3" w:name="_Toc174538660"/>
      <w:bookmarkStart w:id="4" w:name="_Toc178780163"/>
      <w:r>
        <w:t>What is a ‘fit and proper’ test?</w:t>
      </w:r>
      <w:bookmarkEnd w:id="3"/>
      <w:bookmarkEnd w:id="4"/>
    </w:p>
    <w:p w14:paraId="6641A9C3" w14:textId="42CB1BAA" w:rsidR="00102460" w:rsidRPr="00FC16CC" w:rsidRDefault="00FD7A49" w:rsidP="006F7CFD">
      <w:r>
        <w:t xml:space="preserve">The </w:t>
      </w:r>
      <w:r w:rsidR="00102460" w:rsidRPr="00FC16CC">
        <w:t xml:space="preserve">concept of ‘fit and proper’ is </w:t>
      </w:r>
      <w:r w:rsidR="001B773C">
        <w:t>adaptable</w:t>
      </w:r>
      <w:r w:rsidR="00102460" w:rsidRPr="00FC16CC">
        <w:t xml:space="preserve"> to the circumstances in which it may be applied. For example, in </w:t>
      </w:r>
      <w:r w:rsidR="00102460" w:rsidRPr="00FC16CC">
        <w:rPr>
          <w:i/>
          <w:iCs/>
        </w:rPr>
        <w:t>Australian Broadcasting Tribunal v Bond</w:t>
      </w:r>
      <w:r w:rsidR="00102460" w:rsidRPr="00FC16CC">
        <w:t xml:space="preserve"> (1990) 170 CLR 321, the High Court noted: </w:t>
      </w:r>
    </w:p>
    <w:p w14:paraId="001A8A44" w14:textId="027942B0" w:rsidR="00102460" w:rsidRPr="00AF4ED8" w:rsidRDefault="00F6797D" w:rsidP="0099768E">
      <w:pPr>
        <w:pStyle w:val="Quote"/>
      </w:pPr>
      <w:r>
        <w:t>‘</w:t>
      </w:r>
      <w:r w:rsidR="00102460" w:rsidRPr="00AF4ED8">
        <w:t xml:space="preserve">The expression </w:t>
      </w:r>
      <w:r>
        <w:t>‘</w:t>
      </w:r>
      <w:r w:rsidR="00102460" w:rsidRPr="00AF4ED8">
        <w:t>fit and proper person</w:t>
      </w:r>
      <w:r>
        <w:t>’</w:t>
      </w:r>
      <w:r w:rsidR="00102460" w:rsidRPr="00AF4ED8">
        <w:t xml:space="preserve">, standing alone, carries no precise meaning. </w:t>
      </w:r>
      <w:r w:rsidR="00102460" w:rsidRPr="00C101EF">
        <w:rPr>
          <w:rFonts w:asciiTheme="majorHAnsi" w:hAnsiTheme="majorHAnsi"/>
        </w:rPr>
        <w:t>It takes its meaning from context, from the activities in which the person is or will be engaged and the ends to be served by those activities.</w:t>
      </w:r>
      <w:r w:rsidR="00102460" w:rsidRPr="00AF4ED8">
        <w:t xml:space="preserve"> The concept of </w:t>
      </w:r>
      <w:r w:rsidR="00453597">
        <w:t>‘</w:t>
      </w:r>
      <w:r w:rsidR="00102460" w:rsidRPr="00AF4ED8">
        <w:t>fit and proper</w:t>
      </w:r>
      <w:r w:rsidR="00453597">
        <w:t>’</w:t>
      </w:r>
      <w:r w:rsidR="00102460" w:rsidRPr="00AF4ED8">
        <w:t xml:space="preserve"> cannot be entirely divorced from the conduct of the person who is or will be engaging in those activities. However, depending on the nature of the activities, the question may be whether improper conduct has occurred, whether it is likely to occur, whether it can be assumed that it will not occur, or whether the general community will have confidence that it will not occur…</w:t>
      </w:r>
      <w:r>
        <w:t>’</w:t>
      </w:r>
      <w:r w:rsidR="00102460" w:rsidRPr="00AF4ED8">
        <w:t xml:space="preserve"> </w:t>
      </w:r>
    </w:p>
    <w:p w14:paraId="1536FFD0" w14:textId="16599C17" w:rsidR="00102460" w:rsidRPr="00FC16CC" w:rsidRDefault="00102460" w:rsidP="006F7CFD">
      <w:r w:rsidRPr="4228B761">
        <w:t xml:space="preserve">In Victoria, </w:t>
      </w:r>
      <w:r w:rsidR="00ED59D3" w:rsidRPr="4228B761">
        <w:t>these assessments</w:t>
      </w:r>
      <w:r w:rsidRPr="4228B761">
        <w:t xml:space="preserve"> are </w:t>
      </w:r>
      <w:r w:rsidR="005B3585" w:rsidRPr="4228B761">
        <w:t xml:space="preserve">typically contained in </w:t>
      </w:r>
      <w:r w:rsidR="00416182" w:rsidRPr="4228B761">
        <w:t>a</w:t>
      </w:r>
      <w:r w:rsidR="00134049">
        <w:t>n agency</w:t>
      </w:r>
      <w:r w:rsidR="00416182" w:rsidRPr="4228B761">
        <w:t xml:space="preserve">’s </w:t>
      </w:r>
      <w:r w:rsidR="00BA4E7C" w:rsidRPr="4228B761">
        <w:t>authorising legislation</w:t>
      </w:r>
      <w:r w:rsidR="00D6635D" w:rsidRPr="4228B761">
        <w:t xml:space="preserve"> and may </w:t>
      </w:r>
      <w:r w:rsidR="005B7469">
        <w:t xml:space="preserve">be used to </w:t>
      </w:r>
      <w:r w:rsidR="003240E2" w:rsidRPr="4228B761">
        <w:t xml:space="preserve">consider </w:t>
      </w:r>
      <w:r w:rsidR="00D6635D" w:rsidRPr="4228B761">
        <w:t xml:space="preserve">an individual or body corporate’s </w:t>
      </w:r>
      <w:r w:rsidR="00D7250C">
        <w:t>suitability</w:t>
      </w:r>
      <w:r w:rsidR="00D7250C" w:rsidRPr="4228B761">
        <w:t xml:space="preserve"> </w:t>
      </w:r>
      <w:r w:rsidR="00D6635D" w:rsidRPr="4228B761">
        <w:t>to undertake a</w:t>
      </w:r>
      <w:r w:rsidR="00D7250C">
        <w:t xml:space="preserve"> regulated</w:t>
      </w:r>
      <w:r w:rsidR="00D6635D" w:rsidRPr="4228B761">
        <w:t xml:space="preserve"> activity</w:t>
      </w:r>
      <w:r w:rsidR="00D7250C">
        <w:t>.</w:t>
      </w:r>
      <w:r w:rsidR="00D6635D" w:rsidRPr="4228B761">
        <w:t xml:space="preserve"> </w:t>
      </w:r>
      <w:r w:rsidR="00BA4E7C" w:rsidRPr="4228B761">
        <w:t xml:space="preserve">They can be </w:t>
      </w:r>
      <w:r w:rsidRPr="4228B761">
        <w:t xml:space="preserve">used in </w:t>
      </w:r>
      <w:r w:rsidR="00010870" w:rsidRPr="4228B761">
        <w:t>various</w:t>
      </w:r>
      <w:r w:rsidRPr="4228B761">
        <w:t xml:space="preserve"> contexts and regulatory environment</w:t>
      </w:r>
      <w:r w:rsidR="003240E2" w:rsidRPr="4228B761">
        <w:t>s</w:t>
      </w:r>
      <w:r w:rsidRPr="4228B761">
        <w:t xml:space="preserve">, including for permissions related to labour hire, education, the legal profession and for the conduct of certain business activities. </w:t>
      </w:r>
    </w:p>
    <w:p w14:paraId="67A9F858" w14:textId="7A5CCBA0" w:rsidR="721D6446" w:rsidRDefault="721D6446" w:rsidP="006F7CFD">
      <w:r w:rsidRPr="4228B761">
        <w:lastRenderedPageBreak/>
        <w:t xml:space="preserve">While this guidance does not cover broader regulated entities not subject to assessments for suitability to undertake a regulated activity, policymakers should consider whether obligations </w:t>
      </w:r>
      <w:r w:rsidR="02D7B220" w:rsidRPr="4228B761">
        <w:t>on</w:t>
      </w:r>
      <w:r w:rsidRPr="4228B761">
        <w:t xml:space="preserve"> other persons</w:t>
      </w:r>
      <w:r w:rsidR="76668BE1" w:rsidRPr="4228B761">
        <w:t xml:space="preserve"> not subject to assessments</w:t>
      </w:r>
      <w:r w:rsidR="6793A9EF" w:rsidRPr="4228B761">
        <w:t>, or standards of conduct for certain activities (regardless of who undertakes them)</w:t>
      </w:r>
      <w:r w:rsidR="5C01770C" w:rsidRPr="4228B761">
        <w:t>,</w:t>
      </w:r>
      <w:r w:rsidRPr="4228B761">
        <w:t xml:space="preserve"> may be needed</w:t>
      </w:r>
      <w:r w:rsidR="45387669" w:rsidRPr="4228B761">
        <w:t xml:space="preserve"> in </w:t>
      </w:r>
      <w:r w:rsidR="100D62E1" w:rsidRPr="4228B761">
        <w:t>a particular context t</w:t>
      </w:r>
      <w:r w:rsidR="1D27AAB7" w:rsidRPr="4228B761">
        <w:t>o ensure a regulatory scheme works effectively.</w:t>
      </w:r>
    </w:p>
    <w:p w14:paraId="5CF2B61F" w14:textId="5D9CAE4B" w:rsidR="00102460" w:rsidRPr="00BD5983" w:rsidRDefault="00EB6ACD" w:rsidP="00EB6ACD">
      <w:pPr>
        <w:pStyle w:val="Heading3"/>
      </w:pPr>
      <w:r w:rsidRPr="00BD5983">
        <w:t xml:space="preserve">Application of general legislation </w:t>
      </w:r>
    </w:p>
    <w:p w14:paraId="7CA7485D" w14:textId="5BB00B25" w:rsidR="00EB6ACD" w:rsidRDefault="00EB6ACD" w:rsidP="006F7CFD">
      <w:r w:rsidRPr="00EB6ACD">
        <w:t>The nature, extent and varying subject matters contained in</w:t>
      </w:r>
      <w:r w:rsidR="00917C27">
        <w:t xml:space="preserve"> </w:t>
      </w:r>
      <w:r w:rsidR="00BD5983">
        <w:t xml:space="preserve">legislated assessments </w:t>
      </w:r>
      <w:r w:rsidRPr="00EB6ACD">
        <w:t>means there is a suite of general legislation (beyond the specific Act administering</w:t>
      </w:r>
      <w:r w:rsidR="00D314D6">
        <w:t xml:space="preserve"> the assessment</w:t>
      </w:r>
      <w:r w:rsidRPr="00EB6ACD">
        <w:t xml:space="preserve">) which </w:t>
      </w:r>
      <w:r w:rsidR="00D314D6">
        <w:t xml:space="preserve">a </w:t>
      </w:r>
      <w:r w:rsidR="00774240">
        <w:t>policymaker</w:t>
      </w:r>
      <w:r w:rsidR="00D314D6">
        <w:t xml:space="preserve"> may </w:t>
      </w:r>
      <w:r w:rsidR="5B95F31E" w:rsidRPr="2EDF6A22">
        <w:t>need</w:t>
      </w:r>
      <w:r w:rsidR="00D314D6">
        <w:t xml:space="preserve"> to consider</w:t>
      </w:r>
      <w:r w:rsidRPr="00EB6ACD">
        <w:t xml:space="preserve">. This includes, for example, legislation related to identity verification and the making of oaths and affirmations. </w:t>
      </w:r>
      <w:r w:rsidR="00D314D6">
        <w:t xml:space="preserve">These </w:t>
      </w:r>
      <w:r w:rsidR="002A2929">
        <w:t xml:space="preserve">general legislative </w:t>
      </w:r>
      <w:r w:rsidRPr="00EB6ACD">
        <w:t xml:space="preserve">regimes </w:t>
      </w:r>
      <w:r w:rsidR="00D314D6">
        <w:t xml:space="preserve">and their potential application are outlined in the table below. </w:t>
      </w:r>
    </w:p>
    <w:tbl>
      <w:tblPr>
        <w:tblStyle w:val="DTFtexttable"/>
        <w:tblW w:w="0" w:type="auto"/>
        <w:tblLook w:val="04A0" w:firstRow="1" w:lastRow="0" w:firstColumn="1" w:lastColumn="0" w:noHBand="0" w:noVBand="1"/>
      </w:tblPr>
      <w:tblGrid>
        <w:gridCol w:w="1710"/>
        <w:gridCol w:w="3960"/>
        <w:gridCol w:w="3356"/>
      </w:tblGrid>
      <w:tr w:rsidR="001209E9" w:rsidRPr="006B1199" w14:paraId="6AA4FB2D" w14:textId="0AC578F0" w:rsidTr="00F3187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710" w:type="dxa"/>
            <w:vAlign w:val="bottom"/>
          </w:tcPr>
          <w:p w14:paraId="1FAEE4F4" w14:textId="707AAA05" w:rsidR="00D314D6" w:rsidRPr="00272FAF" w:rsidRDefault="00D314D6" w:rsidP="00D57831">
            <w:pPr>
              <w:pStyle w:val="Tableheader"/>
              <w:rPr>
                <w:rFonts w:asciiTheme="majorHAnsi" w:hAnsiTheme="majorHAnsi"/>
              </w:rPr>
            </w:pPr>
            <w:r w:rsidRPr="00272FAF">
              <w:rPr>
                <w:rFonts w:asciiTheme="majorHAnsi" w:hAnsiTheme="majorHAnsi"/>
              </w:rPr>
              <w:t>Legislation</w:t>
            </w:r>
          </w:p>
        </w:tc>
        <w:tc>
          <w:tcPr>
            <w:tcW w:w="3960" w:type="dxa"/>
            <w:vAlign w:val="bottom"/>
          </w:tcPr>
          <w:p w14:paraId="1392326B" w14:textId="07FA943A" w:rsidR="00D314D6" w:rsidRPr="00272FAF" w:rsidRDefault="00D314D6" w:rsidP="00D57831">
            <w:pPr>
              <w:pStyle w:val="Tablehead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272FAF">
              <w:rPr>
                <w:rFonts w:asciiTheme="majorHAnsi" w:hAnsiTheme="majorHAnsi"/>
              </w:rPr>
              <w:t>Summary</w:t>
            </w:r>
          </w:p>
        </w:tc>
        <w:tc>
          <w:tcPr>
            <w:tcW w:w="3356" w:type="dxa"/>
            <w:vAlign w:val="bottom"/>
          </w:tcPr>
          <w:p w14:paraId="54BD424A" w14:textId="3590C8ED" w:rsidR="00D314D6" w:rsidRPr="00272FAF" w:rsidRDefault="00D314D6" w:rsidP="00D57831">
            <w:pPr>
              <w:pStyle w:val="Tablehead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272FAF">
              <w:rPr>
                <w:rFonts w:asciiTheme="majorHAnsi" w:hAnsiTheme="majorHAnsi"/>
              </w:rPr>
              <w:t xml:space="preserve">When </w:t>
            </w:r>
            <w:r w:rsidR="00A60B10" w:rsidRPr="00272FAF">
              <w:rPr>
                <w:rFonts w:asciiTheme="majorHAnsi" w:hAnsiTheme="majorHAnsi"/>
              </w:rPr>
              <w:t>should this legislation be considered?</w:t>
            </w:r>
          </w:p>
        </w:tc>
      </w:tr>
      <w:tr w:rsidR="001209E9" w:rsidRPr="00E01D98" w14:paraId="0BEC0CF1" w14:textId="3394C7E8" w:rsidTr="00F31871">
        <w:tc>
          <w:tcPr>
            <w:cnfStyle w:val="001000000000" w:firstRow="0" w:lastRow="0" w:firstColumn="1" w:lastColumn="0" w:oddVBand="0" w:evenVBand="0" w:oddHBand="0" w:evenHBand="0" w:firstRowFirstColumn="0" w:firstRowLastColumn="0" w:lastRowFirstColumn="0" w:lastRowLastColumn="0"/>
            <w:tcW w:w="1710" w:type="dxa"/>
          </w:tcPr>
          <w:p w14:paraId="293B1B5C" w14:textId="46B20B2C" w:rsidR="0035067D" w:rsidRPr="00D57831" w:rsidRDefault="0035067D" w:rsidP="00D57831">
            <w:pPr>
              <w:pStyle w:val="Tabletext"/>
              <w:rPr>
                <w:rFonts w:asciiTheme="majorHAnsi" w:hAnsiTheme="majorHAnsi"/>
                <w:i/>
                <w:iCs/>
              </w:rPr>
            </w:pPr>
            <w:r w:rsidRPr="00D57831">
              <w:rPr>
                <w:rFonts w:asciiTheme="majorHAnsi" w:hAnsiTheme="majorHAnsi"/>
                <w:i/>
                <w:iCs/>
              </w:rPr>
              <w:t>Oath and Affirmations Act</w:t>
            </w:r>
            <w:r w:rsidR="00F6797D">
              <w:rPr>
                <w:rFonts w:ascii="Calibri" w:hAnsi="Calibri" w:cs="Calibri"/>
                <w:i/>
                <w:iCs/>
              </w:rPr>
              <w:t> </w:t>
            </w:r>
            <w:r w:rsidRPr="00D57831">
              <w:rPr>
                <w:rFonts w:asciiTheme="majorHAnsi" w:hAnsiTheme="majorHAnsi"/>
                <w:i/>
                <w:iCs/>
              </w:rPr>
              <w:t>2019</w:t>
            </w:r>
          </w:p>
        </w:tc>
        <w:tc>
          <w:tcPr>
            <w:tcW w:w="3960" w:type="dxa"/>
          </w:tcPr>
          <w:p w14:paraId="5B955BB5" w14:textId="5E68AA52" w:rsidR="0035067D" w:rsidRPr="00E01D98" w:rsidRDefault="005D0376" w:rsidP="000419A2">
            <w:pPr>
              <w:pStyle w:val="Tabletext"/>
              <w:cnfStyle w:val="000000000000" w:firstRow="0" w:lastRow="0" w:firstColumn="0" w:lastColumn="0" w:oddVBand="0" w:evenVBand="0" w:oddHBand="0" w:evenHBand="0" w:firstRowFirstColumn="0" w:firstRowLastColumn="0" w:lastRowFirstColumn="0" w:lastRowLastColumn="0"/>
            </w:pPr>
            <w:r>
              <w:t>C</w:t>
            </w:r>
            <w:r w:rsidR="00590CC7" w:rsidRPr="00590CC7">
              <w:t>onsolidates Victorian law related to oaths, affirmation, affidavits and statutory declarations (including processed related to certifying documents</w:t>
            </w:r>
            <w:r>
              <w:t>).</w:t>
            </w:r>
          </w:p>
        </w:tc>
        <w:tc>
          <w:tcPr>
            <w:tcW w:w="3356" w:type="dxa"/>
          </w:tcPr>
          <w:p w14:paraId="3CE834D0" w14:textId="19B0BA98" w:rsidR="0035067D" w:rsidRPr="00437F82" w:rsidRDefault="00A1515A" w:rsidP="000419A2">
            <w:pPr>
              <w:pStyle w:val="Tabletext"/>
              <w:cnfStyle w:val="000000000000" w:firstRow="0" w:lastRow="0" w:firstColumn="0" w:lastColumn="0" w:oddVBand="0" w:evenVBand="0" w:oddHBand="0" w:evenHBand="0" w:firstRowFirstColumn="0" w:firstRowLastColumn="0" w:lastRowFirstColumn="0" w:lastRowLastColumn="0"/>
            </w:pPr>
            <w:r w:rsidRPr="00437F82">
              <w:t xml:space="preserve">When requiring that an applicant make a statement or provide certified copies of identity </w:t>
            </w:r>
            <w:r w:rsidR="00C640FC" w:rsidRPr="00437F82">
              <w:t xml:space="preserve">documents. </w:t>
            </w:r>
          </w:p>
          <w:p w14:paraId="6DC5ECA4" w14:textId="4A3B11A6" w:rsidR="00FC6F2E" w:rsidRPr="00437F82" w:rsidRDefault="003F27DC" w:rsidP="000419A2">
            <w:pPr>
              <w:pStyle w:val="Tabletext"/>
              <w:cnfStyle w:val="000000000000" w:firstRow="0" w:lastRow="0" w:firstColumn="0" w:lastColumn="0" w:oddVBand="0" w:evenVBand="0" w:oddHBand="0" w:evenHBand="0" w:firstRowFirstColumn="0" w:firstRowLastColumn="0" w:lastRowFirstColumn="0" w:lastRowLastColumn="0"/>
            </w:pPr>
            <w:r w:rsidRPr="00437F82">
              <w:t>See</w:t>
            </w:r>
            <w:r w:rsidR="00FC6F2E" w:rsidRPr="00437F82">
              <w:t xml:space="preserve"> Baseline Elements on page </w:t>
            </w:r>
            <w:r w:rsidR="00437F82" w:rsidRPr="00437F82">
              <w:t>1</w:t>
            </w:r>
            <w:r w:rsidR="009601C8">
              <w:t>3</w:t>
            </w:r>
            <w:r w:rsidR="00FC6F2E" w:rsidRPr="00437F82">
              <w:t xml:space="preserve">. </w:t>
            </w:r>
          </w:p>
        </w:tc>
      </w:tr>
      <w:tr w:rsidR="0018609A" w:rsidRPr="00E01D98" w14:paraId="09FEFF9F" w14:textId="77777777" w:rsidTr="00F318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4E498E10" w14:textId="1E9EF879" w:rsidR="0018609A" w:rsidRPr="00D57831" w:rsidRDefault="0018609A" w:rsidP="00D57831">
            <w:pPr>
              <w:pStyle w:val="Tabletext"/>
              <w:rPr>
                <w:rFonts w:asciiTheme="majorHAnsi" w:hAnsiTheme="majorHAnsi"/>
                <w:i/>
                <w:iCs/>
              </w:rPr>
            </w:pPr>
            <w:r w:rsidRPr="00D57831">
              <w:rPr>
                <w:rFonts w:asciiTheme="majorHAnsi" w:hAnsiTheme="majorHAnsi"/>
                <w:i/>
                <w:iCs/>
              </w:rPr>
              <w:t>Service Victoria Act 2018</w:t>
            </w:r>
          </w:p>
        </w:tc>
        <w:tc>
          <w:tcPr>
            <w:tcW w:w="3960" w:type="dxa"/>
          </w:tcPr>
          <w:p w14:paraId="76DBDA12" w14:textId="6EBCEE65" w:rsidR="0018609A" w:rsidRPr="00E01D98" w:rsidRDefault="0018609A" w:rsidP="000419A2">
            <w:pPr>
              <w:pStyle w:val="Tabletext"/>
              <w:cnfStyle w:val="000000010000" w:firstRow="0" w:lastRow="0" w:firstColumn="0" w:lastColumn="0" w:oddVBand="0" w:evenVBand="0" w:oddHBand="0" w:evenHBand="1" w:firstRowFirstColumn="0" w:firstRowLastColumn="0" w:lastRowFirstColumn="0" w:lastRowLastColumn="0"/>
            </w:pPr>
            <w:r>
              <w:t>M</w:t>
            </w:r>
            <w:r w:rsidRPr="00545D35">
              <w:t>akes provision for identity verification standards, including guiding principles for their making and use (see Part 6, Division 3).</w:t>
            </w:r>
          </w:p>
        </w:tc>
        <w:tc>
          <w:tcPr>
            <w:tcW w:w="3356" w:type="dxa"/>
            <w:vMerge w:val="restart"/>
          </w:tcPr>
          <w:p w14:paraId="0B836E51" w14:textId="77777777" w:rsidR="0018609A" w:rsidRPr="00D57831" w:rsidRDefault="0018609A" w:rsidP="00D57831">
            <w:pPr>
              <w:pStyle w:val="Tabletext"/>
              <w:cnfStyle w:val="000000010000" w:firstRow="0" w:lastRow="0" w:firstColumn="0" w:lastColumn="0" w:oddVBand="0" w:evenVBand="0" w:oddHBand="0" w:evenHBand="1" w:firstRowFirstColumn="0" w:firstRowLastColumn="0" w:lastRowFirstColumn="0" w:lastRowLastColumn="0"/>
            </w:pPr>
            <w:r w:rsidRPr="00437F82">
              <w:t>W</w:t>
            </w:r>
            <w:r w:rsidRPr="00D57831">
              <w:t>hen requiring that an applicant verify their identity.</w:t>
            </w:r>
          </w:p>
          <w:p w14:paraId="6304387C" w14:textId="241F6A50" w:rsidR="0018609A" w:rsidRPr="00D57831" w:rsidRDefault="0018609A" w:rsidP="00D57831">
            <w:pPr>
              <w:pStyle w:val="Tabletext"/>
              <w:cnfStyle w:val="000000010000" w:firstRow="0" w:lastRow="0" w:firstColumn="0" w:lastColumn="0" w:oddVBand="0" w:evenVBand="0" w:oddHBand="0" w:evenHBand="1" w:firstRowFirstColumn="0" w:firstRowLastColumn="0" w:lastRowFirstColumn="0" w:lastRowLastColumn="0"/>
            </w:pPr>
            <w:r w:rsidRPr="00D57831">
              <w:t>See Baseline Elements on page</w:t>
            </w:r>
            <w:r w:rsidR="00437F82" w:rsidRPr="00D57831">
              <w:t xml:space="preserve"> 1</w:t>
            </w:r>
            <w:r w:rsidR="009601C8" w:rsidRPr="00D57831">
              <w:t>3</w:t>
            </w:r>
            <w:r w:rsidRPr="00D57831">
              <w:t>.</w:t>
            </w:r>
          </w:p>
          <w:p w14:paraId="6B49D1B5" w14:textId="38E5D972" w:rsidR="0018609A" w:rsidRPr="00437F82" w:rsidRDefault="0018609A" w:rsidP="00D57831">
            <w:pPr>
              <w:pStyle w:val="Tabletext"/>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D57831">
              <w:t xml:space="preserve">See the </w:t>
            </w:r>
            <w:hyperlink r:id="rId23" w:history="1">
              <w:r w:rsidRPr="00B90B6B">
                <w:rPr>
                  <w:rStyle w:val="Hyperlink"/>
                  <w:spacing w:val="0"/>
                </w:rPr>
                <w:t>Identity Verification Standards</w:t>
              </w:r>
            </w:hyperlink>
            <w:r w:rsidR="00B90B6B">
              <w:t>.</w:t>
            </w:r>
          </w:p>
        </w:tc>
      </w:tr>
      <w:tr w:rsidR="001B3760" w:rsidRPr="00E01D98" w14:paraId="7AD31C9D" w14:textId="77777777" w:rsidTr="00F31871">
        <w:tc>
          <w:tcPr>
            <w:cnfStyle w:val="001000000000" w:firstRow="0" w:lastRow="0" w:firstColumn="1" w:lastColumn="0" w:oddVBand="0" w:evenVBand="0" w:oddHBand="0" w:evenHBand="0" w:firstRowFirstColumn="0" w:firstRowLastColumn="0" w:lastRowFirstColumn="0" w:lastRowLastColumn="0"/>
            <w:tcW w:w="1710" w:type="dxa"/>
          </w:tcPr>
          <w:p w14:paraId="4A6FFFA0" w14:textId="63A9CFA2" w:rsidR="0018609A" w:rsidRPr="00431B35" w:rsidRDefault="0018609A" w:rsidP="00D57831">
            <w:pPr>
              <w:pStyle w:val="Tabletext"/>
              <w:rPr>
                <w:rFonts w:asciiTheme="majorHAnsi" w:hAnsiTheme="majorHAnsi"/>
              </w:rPr>
            </w:pPr>
            <w:r w:rsidRPr="00431B35">
              <w:rPr>
                <w:rFonts w:asciiTheme="majorHAnsi" w:hAnsiTheme="majorHAnsi"/>
              </w:rPr>
              <w:t>Service Victoria Identity Verification Standards</w:t>
            </w:r>
          </w:p>
        </w:tc>
        <w:tc>
          <w:tcPr>
            <w:tcW w:w="3960" w:type="dxa"/>
          </w:tcPr>
          <w:p w14:paraId="45AE73AB" w14:textId="76748057" w:rsidR="0018609A" w:rsidRPr="00E01D98" w:rsidRDefault="0018609A" w:rsidP="000419A2">
            <w:pPr>
              <w:pStyle w:val="Tabletext"/>
              <w:cnfStyle w:val="000000000000" w:firstRow="0" w:lastRow="0" w:firstColumn="0" w:lastColumn="0" w:oddVBand="0" w:evenVBand="0" w:oddHBand="0" w:evenHBand="0" w:firstRowFirstColumn="0" w:firstRowLastColumn="0" w:lastRowFirstColumn="0" w:lastRowLastColumn="0"/>
            </w:pPr>
            <w:r>
              <w:t>O</w:t>
            </w:r>
            <w:r w:rsidRPr="002F7EEB">
              <w:t>utline</w:t>
            </w:r>
            <w:r>
              <w:t>s</w:t>
            </w:r>
            <w:r w:rsidRPr="002F7EEB">
              <w:t xml:space="preserve"> requirements including related to identity documents used by Service Victoria to verify identity</w:t>
            </w:r>
          </w:p>
        </w:tc>
        <w:tc>
          <w:tcPr>
            <w:tcW w:w="3356" w:type="dxa"/>
            <w:vMerge/>
          </w:tcPr>
          <w:p w14:paraId="50983918" w14:textId="77777777" w:rsidR="0018609A" w:rsidRPr="00437F82" w:rsidRDefault="0018609A" w:rsidP="00F301C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0AD6" w:rsidRPr="00E01D98" w14:paraId="2FAB0609" w14:textId="77777777" w:rsidTr="00F318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3989D6D1" w14:textId="35591915" w:rsidR="004E0AD6" w:rsidRPr="00D57831" w:rsidRDefault="0057343D" w:rsidP="00D57831">
            <w:pPr>
              <w:pStyle w:val="Tabletext"/>
              <w:rPr>
                <w:rFonts w:asciiTheme="majorHAnsi" w:hAnsiTheme="majorHAnsi"/>
                <w:i/>
                <w:iCs/>
              </w:rPr>
            </w:pPr>
            <w:r w:rsidRPr="00D57831">
              <w:rPr>
                <w:rFonts w:asciiTheme="majorHAnsi" w:hAnsiTheme="majorHAnsi"/>
                <w:i/>
                <w:iCs/>
              </w:rPr>
              <w:t>Charter of Human Rights and Responsibilities Act 2006</w:t>
            </w:r>
          </w:p>
        </w:tc>
        <w:tc>
          <w:tcPr>
            <w:tcW w:w="3960" w:type="dxa"/>
          </w:tcPr>
          <w:p w14:paraId="7802CF89" w14:textId="4E8C3B67" w:rsidR="004E0AD6" w:rsidRDefault="0057343D" w:rsidP="000419A2">
            <w:pPr>
              <w:pStyle w:val="Tabletext"/>
              <w:cnfStyle w:val="000000010000" w:firstRow="0" w:lastRow="0" w:firstColumn="0" w:lastColumn="0" w:oddVBand="0" w:evenVBand="0" w:oddHBand="0" w:evenHBand="1" w:firstRowFirstColumn="0" w:firstRowLastColumn="0" w:lastRowFirstColumn="0" w:lastRowLastColumn="0"/>
            </w:pPr>
            <w:r>
              <w:t>Sets out the basic rights, responsibilities and freedoms of Victorians</w:t>
            </w:r>
            <w:r w:rsidR="001E224D">
              <w:t>, and</w:t>
            </w:r>
            <w:r w:rsidR="00785E76">
              <w:t xml:space="preserve"> </w:t>
            </w:r>
            <w:r w:rsidR="00C72F7E">
              <w:t xml:space="preserve">requires that all Bills proposed in </w:t>
            </w:r>
            <w:r w:rsidR="0034097C">
              <w:t xml:space="preserve">Victorian </w:t>
            </w:r>
            <w:r w:rsidR="00C72F7E">
              <w:t xml:space="preserve">Parliament be accompanied by a statement of </w:t>
            </w:r>
            <w:r w:rsidR="006A70F3">
              <w:t>compatibility</w:t>
            </w:r>
            <w:r w:rsidR="005A3758">
              <w:t xml:space="preserve"> (section 28)</w:t>
            </w:r>
            <w:r>
              <w:t xml:space="preserve">. </w:t>
            </w:r>
            <w:r w:rsidR="005A3758">
              <w:t xml:space="preserve">Relevant rights </w:t>
            </w:r>
            <w:r w:rsidR="00D21581">
              <w:t>include</w:t>
            </w:r>
            <w:r w:rsidR="00BE5F99">
              <w:t xml:space="preserve">, for example, a right to privacy </w:t>
            </w:r>
            <w:r w:rsidR="002119AB">
              <w:t>(see</w:t>
            </w:r>
            <w:r w:rsidR="009553DC">
              <w:rPr>
                <w:rFonts w:ascii="Calibri" w:hAnsi="Calibri" w:cs="Calibri"/>
              </w:rPr>
              <w:t> </w:t>
            </w:r>
            <w:r w:rsidR="002119AB">
              <w:t xml:space="preserve">section 13) </w:t>
            </w:r>
            <w:r w:rsidR="00BE5F99">
              <w:t>which may be relevant where a person’s information is collected for the purposes of undertaking an assessment</w:t>
            </w:r>
            <w:r w:rsidR="002119AB">
              <w:t>.</w:t>
            </w:r>
          </w:p>
        </w:tc>
        <w:tc>
          <w:tcPr>
            <w:tcW w:w="3356" w:type="dxa"/>
          </w:tcPr>
          <w:p w14:paraId="6C90CF82" w14:textId="77777777" w:rsidR="004E0AD6" w:rsidRPr="00437F82" w:rsidRDefault="00BE5F99" w:rsidP="000419A2">
            <w:pPr>
              <w:pStyle w:val="Tabletext"/>
              <w:cnfStyle w:val="000000010000" w:firstRow="0" w:lastRow="0" w:firstColumn="0" w:lastColumn="0" w:oddVBand="0" w:evenVBand="0" w:oddHBand="0" w:evenHBand="1" w:firstRowFirstColumn="0" w:firstRowLastColumn="0" w:lastRowFirstColumn="0" w:lastRowLastColumn="0"/>
            </w:pPr>
            <w:r w:rsidRPr="00437F82">
              <w:t xml:space="preserve">When requiring that an applicant disclose sensitive information, such as criminal history or health information. </w:t>
            </w:r>
          </w:p>
          <w:p w14:paraId="43F48E13" w14:textId="29CB4E31" w:rsidR="00BE5F99" w:rsidRPr="00437F82" w:rsidRDefault="00BE5F99" w:rsidP="000419A2">
            <w:pPr>
              <w:pStyle w:val="Tabletext"/>
              <w:cnfStyle w:val="000000010000" w:firstRow="0" w:lastRow="0" w:firstColumn="0" w:lastColumn="0" w:oddVBand="0" w:evenVBand="0" w:oddHBand="0" w:evenHBand="1" w:firstRowFirstColumn="0" w:firstRowLastColumn="0" w:lastRowFirstColumn="0" w:lastRowLastColumn="0"/>
            </w:pPr>
            <w:r w:rsidRPr="00437F82">
              <w:t>See Bespoke Elements on page</w:t>
            </w:r>
            <w:r w:rsidR="00437F82" w:rsidRPr="00437F82">
              <w:t xml:space="preserve"> 2</w:t>
            </w:r>
            <w:r w:rsidR="006A5B55">
              <w:t>9</w:t>
            </w:r>
            <w:r w:rsidRPr="00437F82">
              <w:t xml:space="preserve">. </w:t>
            </w:r>
          </w:p>
          <w:p w14:paraId="1EE0C324" w14:textId="0CDB8AAA" w:rsidR="00BE5F99" w:rsidRPr="00D57831" w:rsidRDefault="0037504A" w:rsidP="00D57831">
            <w:pPr>
              <w:pStyle w:val="Tabletext"/>
              <w:cnfStyle w:val="000000010000" w:firstRow="0" w:lastRow="0" w:firstColumn="0" w:lastColumn="0" w:oddVBand="0" w:evenVBand="0" w:oddHBand="0" w:evenHBand="1" w:firstRowFirstColumn="0" w:firstRowLastColumn="0" w:lastRowFirstColumn="0" w:lastRowLastColumn="0"/>
            </w:pPr>
            <w:r w:rsidRPr="00D57831">
              <w:t xml:space="preserve">See the Victorian Equal Opportunity and Human Rights Commission’s </w:t>
            </w:r>
            <w:hyperlink r:id="rId24" w:history="1">
              <w:r w:rsidR="009A0CAF">
                <w:rPr>
                  <w:rStyle w:val="Hyperlink"/>
                  <w:spacing w:val="0"/>
                </w:rPr>
                <w:t>Charter of Human Rights and Responsibilities guidance</w:t>
              </w:r>
            </w:hyperlink>
            <w:r w:rsidR="00972655">
              <w:t>.</w:t>
            </w:r>
          </w:p>
        </w:tc>
      </w:tr>
      <w:tr w:rsidR="001209E9" w:rsidRPr="00E01D98" w14:paraId="060303A7" w14:textId="77777777" w:rsidTr="00F31871">
        <w:tc>
          <w:tcPr>
            <w:cnfStyle w:val="001000000000" w:firstRow="0" w:lastRow="0" w:firstColumn="1" w:lastColumn="0" w:oddVBand="0" w:evenVBand="0" w:oddHBand="0" w:evenHBand="0" w:firstRowFirstColumn="0" w:firstRowLastColumn="0" w:lastRowFirstColumn="0" w:lastRowLastColumn="0"/>
            <w:tcW w:w="1710" w:type="dxa"/>
          </w:tcPr>
          <w:p w14:paraId="6AE5F1FC" w14:textId="7557450B" w:rsidR="00E05548" w:rsidRPr="00D57831" w:rsidRDefault="00401D55" w:rsidP="00D57831">
            <w:pPr>
              <w:pStyle w:val="Tabletext"/>
              <w:rPr>
                <w:rFonts w:asciiTheme="majorHAnsi" w:hAnsiTheme="majorHAnsi"/>
                <w:i/>
                <w:iCs/>
              </w:rPr>
            </w:pPr>
            <w:r w:rsidRPr="00D57831">
              <w:rPr>
                <w:rFonts w:asciiTheme="majorHAnsi" w:hAnsiTheme="majorHAnsi"/>
                <w:i/>
                <w:iCs/>
              </w:rPr>
              <w:t>Equal Opportunity Act</w:t>
            </w:r>
            <w:r w:rsidR="00FA1712">
              <w:rPr>
                <w:rFonts w:ascii="Calibri" w:hAnsi="Calibri" w:cs="Calibri"/>
                <w:i/>
                <w:iCs/>
              </w:rPr>
              <w:t> </w:t>
            </w:r>
            <w:r w:rsidRPr="00D57831">
              <w:rPr>
                <w:rFonts w:asciiTheme="majorHAnsi" w:hAnsiTheme="majorHAnsi"/>
                <w:i/>
                <w:iCs/>
              </w:rPr>
              <w:t>2010</w:t>
            </w:r>
          </w:p>
        </w:tc>
        <w:tc>
          <w:tcPr>
            <w:tcW w:w="3960" w:type="dxa"/>
          </w:tcPr>
          <w:p w14:paraId="12814F7B" w14:textId="2807C778" w:rsidR="00E05548" w:rsidRPr="00E01D98" w:rsidRDefault="005D0376" w:rsidP="000419A2">
            <w:pPr>
              <w:pStyle w:val="Tabletext"/>
              <w:cnfStyle w:val="000000000000" w:firstRow="0" w:lastRow="0" w:firstColumn="0" w:lastColumn="0" w:oddVBand="0" w:evenVBand="0" w:oddHBand="0" w:evenHBand="0" w:firstRowFirstColumn="0" w:firstRowLastColumn="0" w:lastRowFirstColumn="0" w:lastRowLastColumn="0"/>
            </w:pPr>
            <w:r>
              <w:t>P</w:t>
            </w:r>
            <w:r w:rsidRPr="005D0376">
              <w:t xml:space="preserve">laces a positive obligation on organisations to eliminate discrimination and victimisation. </w:t>
            </w:r>
            <w:r>
              <w:t>The</w:t>
            </w:r>
            <w:r w:rsidRPr="005D0376">
              <w:t xml:space="preserve"> Act makes a spent conviction an attribute based on which discrimination is prohibited, which is a relevant consideration when assessing a person’s criminal history.</w:t>
            </w:r>
          </w:p>
        </w:tc>
        <w:tc>
          <w:tcPr>
            <w:tcW w:w="3356" w:type="dxa"/>
          </w:tcPr>
          <w:p w14:paraId="2EF1793A" w14:textId="77777777" w:rsidR="00E05548" w:rsidRPr="000419A2" w:rsidRDefault="005A6216" w:rsidP="000419A2">
            <w:pPr>
              <w:pStyle w:val="Tabletext"/>
              <w:cnfStyle w:val="000000000000" w:firstRow="0" w:lastRow="0" w:firstColumn="0" w:lastColumn="0" w:oddVBand="0" w:evenVBand="0" w:oddHBand="0" w:evenHBand="0" w:firstRowFirstColumn="0" w:firstRowLastColumn="0" w:lastRowFirstColumn="0" w:lastRowLastColumn="0"/>
            </w:pPr>
            <w:r w:rsidRPr="000419A2">
              <w:t>When requiring that an applicant disclose their criminal history</w:t>
            </w:r>
            <w:r w:rsidR="005F6AEC" w:rsidRPr="000419A2">
              <w:t xml:space="preserve">. </w:t>
            </w:r>
          </w:p>
          <w:p w14:paraId="4125E839" w14:textId="13592DF3" w:rsidR="005F6AEC" w:rsidRPr="000419A2" w:rsidRDefault="005F6AEC" w:rsidP="000419A2">
            <w:pPr>
              <w:pStyle w:val="Tabletext"/>
              <w:cnfStyle w:val="000000000000" w:firstRow="0" w:lastRow="0" w:firstColumn="0" w:lastColumn="0" w:oddVBand="0" w:evenVBand="0" w:oddHBand="0" w:evenHBand="0" w:firstRowFirstColumn="0" w:firstRowLastColumn="0" w:lastRowFirstColumn="0" w:lastRowLastColumn="0"/>
            </w:pPr>
            <w:r w:rsidRPr="000419A2">
              <w:t xml:space="preserve">See Standard Elements on page </w:t>
            </w:r>
            <w:r w:rsidR="00437F82" w:rsidRPr="000419A2">
              <w:t>1</w:t>
            </w:r>
            <w:r w:rsidR="003315A7">
              <w:t>7</w:t>
            </w:r>
            <w:r w:rsidRPr="000419A2">
              <w:t xml:space="preserve">. </w:t>
            </w:r>
          </w:p>
          <w:p w14:paraId="05D2E0B4" w14:textId="5449F765" w:rsidR="005F6AEC" w:rsidRPr="000419A2" w:rsidRDefault="005F6AEC" w:rsidP="000419A2">
            <w:pPr>
              <w:pStyle w:val="Tabletext"/>
              <w:cnfStyle w:val="000000000000" w:firstRow="0" w:lastRow="0" w:firstColumn="0" w:lastColumn="0" w:oddVBand="0" w:evenVBand="0" w:oddHBand="0" w:evenHBand="0" w:firstRowFirstColumn="0" w:firstRowLastColumn="0" w:lastRowFirstColumn="0" w:lastRowLastColumn="0"/>
            </w:pPr>
            <w:r w:rsidRPr="000419A2">
              <w:t xml:space="preserve">See the Victorian </w:t>
            </w:r>
            <w:r w:rsidR="00265B38" w:rsidRPr="000419A2">
              <w:t xml:space="preserve">Equal Opportunity and Human Rights Commission’s </w:t>
            </w:r>
            <w:hyperlink r:id="rId25" w:history="1">
              <w:r w:rsidR="00EB1497">
                <w:rPr>
                  <w:rStyle w:val="Hyperlink"/>
                  <w:spacing w:val="0"/>
                </w:rPr>
                <w:t>Equal Opportunity Act guidance</w:t>
              </w:r>
            </w:hyperlink>
            <w:r w:rsidR="00CA5A34">
              <w:t>.</w:t>
            </w:r>
            <w:r w:rsidR="00265B38" w:rsidRPr="000419A2">
              <w:t xml:space="preserve"> </w:t>
            </w:r>
          </w:p>
        </w:tc>
      </w:tr>
      <w:tr w:rsidR="001209E9" w:rsidRPr="00E01D98" w14:paraId="7AAF0114" w14:textId="77777777" w:rsidTr="00F318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3DFF6DE4" w14:textId="4C252C33" w:rsidR="00401D55" w:rsidRPr="00D57831" w:rsidRDefault="00064495" w:rsidP="00D57831">
            <w:pPr>
              <w:pStyle w:val="Tabletext"/>
              <w:rPr>
                <w:rFonts w:asciiTheme="majorHAnsi" w:hAnsiTheme="majorHAnsi"/>
                <w:i/>
                <w:iCs/>
              </w:rPr>
            </w:pPr>
            <w:r w:rsidRPr="00D57831">
              <w:rPr>
                <w:rFonts w:asciiTheme="majorHAnsi" w:hAnsiTheme="majorHAnsi"/>
                <w:i/>
                <w:iCs/>
              </w:rPr>
              <w:t>Crimes Act 1958</w:t>
            </w:r>
          </w:p>
        </w:tc>
        <w:tc>
          <w:tcPr>
            <w:tcW w:w="3960" w:type="dxa"/>
          </w:tcPr>
          <w:p w14:paraId="0B278D43" w14:textId="302339A2" w:rsidR="00401D55" w:rsidRPr="00E01D98" w:rsidRDefault="00252063" w:rsidP="000419A2">
            <w:pPr>
              <w:pStyle w:val="Tabletext"/>
              <w:cnfStyle w:val="000000010000" w:firstRow="0" w:lastRow="0" w:firstColumn="0" w:lastColumn="0" w:oddVBand="0" w:evenVBand="0" w:oddHBand="0" w:evenHBand="1" w:firstRowFirstColumn="0" w:firstRowLastColumn="0" w:lastRowFirstColumn="0" w:lastRowLastColumn="0"/>
            </w:pPr>
            <w:r>
              <w:t>Laws such as the offence of perjury in s</w:t>
            </w:r>
            <w:r w:rsidR="000657C7">
              <w:t>ection</w:t>
            </w:r>
            <w:r>
              <w:t xml:space="preserve"> </w:t>
            </w:r>
            <w:r w:rsidRPr="00092B96">
              <w:t>314(1)</w:t>
            </w:r>
            <w:r>
              <w:t xml:space="preserve"> of the </w:t>
            </w:r>
            <w:r w:rsidRPr="00D13824">
              <w:rPr>
                <w:i/>
              </w:rPr>
              <w:t>Crimes Act</w:t>
            </w:r>
            <w:r w:rsidR="00092B96" w:rsidRPr="00D13824">
              <w:rPr>
                <w:i/>
              </w:rPr>
              <w:t xml:space="preserve"> </w:t>
            </w:r>
            <w:r w:rsidR="2B6920C3" w:rsidRPr="00D13824">
              <w:rPr>
                <w:i/>
                <w:iCs/>
              </w:rPr>
              <w:t>1958</w:t>
            </w:r>
            <w:r w:rsidR="2B6920C3">
              <w:t xml:space="preserve"> </w:t>
            </w:r>
            <w:r w:rsidR="00092B96" w:rsidRPr="00092B96">
              <w:t xml:space="preserve">may apply when a false or misleading statement is made in </w:t>
            </w:r>
            <w:r w:rsidR="00796D80">
              <w:t>as part of an assessment</w:t>
            </w:r>
            <w:r w:rsidR="00092B96" w:rsidRPr="00092B96">
              <w:t>.</w:t>
            </w:r>
          </w:p>
        </w:tc>
        <w:tc>
          <w:tcPr>
            <w:tcW w:w="3356" w:type="dxa"/>
          </w:tcPr>
          <w:p w14:paraId="0CCD65CF" w14:textId="77777777" w:rsidR="00401D55" w:rsidRPr="00437F82" w:rsidRDefault="001209E9" w:rsidP="000419A2">
            <w:pPr>
              <w:pStyle w:val="Tabletext"/>
              <w:cnfStyle w:val="000000010000" w:firstRow="0" w:lastRow="0" w:firstColumn="0" w:lastColumn="0" w:oddVBand="0" w:evenVBand="0" w:oddHBand="0" w:evenHBand="1" w:firstRowFirstColumn="0" w:firstRowLastColumn="0" w:lastRowFirstColumn="0" w:lastRowLastColumn="0"/>
            </w:pPr>
            <w:r w:rsidRPr="00437F82">
              <w:t xml:space="preserve">When requiring that an applicant make a statement. </w:t>
            </w:r>
          </w:p>
          <w:p w14:paraId="0762F71E" w14:textId="2A6FF29F" w:rsidR="001209E9" w:rsidRPr="00437F82" w:rsidRDefault="001209E9" w:rsidP="000419A2">
            <w:pPr>
              <w:pStyle w:val="Tabletext"/>
              <w:cnfStyle w:val="000000010000" w:firstRow="0" w:lastRow="0" w:firstColumn="0" w:lastColumn="0" w:oddVBand="0" w:evenVBand="0" w:oddHBand="0" w:evenHBand="1" w:firstRowFirstColumn="0" w:firstRowLastColumn="0" w:lastRowFirstColumn="0" w:lastRowLastColumn="0"/>
            </w:pPr>
            <w:r w:rsidRPr="00437F82">
              <w:t xml:space="preserve">See Baseline Elements on page </w:t>
            </w:r>
            <w:r w:rsidR="00437F82" w:rsidRPr="00437F82">
              <w:t>1</w:t>
            </w:r>
            <w:r w:rsidR="009601C8">
              <w:t>3</w:t>
            </w:r>
            <w:r w:rsidRPr="00437F82">
              <w:t>.</w:t>
            </w:r>
          </w:p>
        </w:tc>
      </w:tr>
      <w:tr w:rsidR="001209E9" w:rsidRPr="00E01D98" w14:paraId="2B7D4E47" w14:textId="77777777" w:rsidTr="00F31871">
        <w:tc>
          <w:tcPr>
            <w:cnfStyle w:val="001000000000" w:firstRow="0" w:lastRow="0" w:firstColumn="1" w:lastColumn="0" w:oddVBand="0" w:evenVBand="0" w:oddHBand="0" w:evenHBand="0" w:firstRowFirstColumn="0" w:firstRowLastColumn="0" w:lastRowFirstColumn="0" w:lastRowLastColumn="0"/>
            <w:tcW w:w="1710" w:type="dxa"/>
          </w:tcPr>
          <w:p w14:paraId="57036B6C" w14:textId="20466150" w:rsidR="00064495" w:rsidRPr="00D57831" w:rsidRDefault="00E810B5" w:rsidP="00D57831">
            <w:pPr>
              <w:pStyle w:val="Tabletext"/>
              <w:rPr>
                <w:rFonts w:asciiTheme="majorHAnsi" w:hAnsiTheme="majorHAnsi"/>
                <w:i/>
                <w:iCs/>
              </w:rPr>
            </w:pPr>
            <w:r w:rsidRPr="00D57831">
              <w:rPr>
                <w:rFonts w:asciiTheme="majorHAnsi" w:hAnsiTheme="majorHAnsi"/>
                <w:i/>
                <w:iCs/>
              </w:rPr>
              <w:lastRenderedPageBreak/>
              <w:t>Spent Convictions Act</w:t>
            </w:r>
            <w:r w:rsidR="00FA1712">
              <w:rPr>
                <w:rFonts w:ascii="Calibri" w:hAnsi="Calibri" w:cs="Calibri"/>
                <w:i/>
                <w:iCs/>
              </w:rPr>
              <w:t> </w:t>
            </w:r>
            <w:r w:rsidRPr="00D57831">
              <w:rPr>
                <w:rFonts w:asciiTheme="majorHAnsi" w:hAnsiTheme="majorHAnsi"/>
                <w:i/>
                <w:iCs/>
              </w:rPr>
              <w:t>2021</w:t>
            </w:r>
          </w:p>
        </w:tc>
        <w:tc>
          <w:tcPr>
            <w:tcW w:w="3960" w:type="dxa"/>
          </w:tcPr>
          <w:p w14:paraId="393CE9CC" w14:textId="2CDB60AC" w:rsidR="00064495" w:rsidRPr="00E01D98" w:rsidRDefault="005D0376" w:rsidP="000419A2">
            <w:pPr>
              <w:pStyle w:val="Tabletext"/>
              <w:cnfStyle w:val="000000000000" w:firstRow="0" w:lastRow="0" w:firstColumn="0" w:lastColumn="0" w:oddVBand="0" w:evenVBand="0" w:oddHBand="0" w:evenHBand="0" w:firstRowFirstColumn="0" w:firstRowLastColumn="0" w:lastRowFirstColumn="0" w:lastRowLastColumn="0"/>
            </w:pPr>
            <w:r>
              <w:t>P</w:t>
            </w:r>
            <w:r w:rsidR="009E2E7E" w:rsidRPr="009E2E7E">
              <w:t>rovides relevant considerations for assessing a person’s criminal history, in the context of an FPT.</w:t>
            </w:r>
            <w:r w:rsidR="00C73E3D">
              <w:t xml:space="preserve"> </w:t>
            </w:r>
          </w:p>
        </w:tc>
        <w:tc>
          <w:tcPr>
            <w:tcW w:w="3356" w:type="dxa"/>
          </w:tcPr>
          <w:p w14:paraId="290DF487" w14:textId="6B77E5DC" w:rsidR="001209E9" w:rsidRPr="00437F82" w:rsidRDefault="00C73E3D" w:rsidP="000419A2">
            <w:pPr>
              <w:pStyle w:val="Tabletext"/>
              <w:cnfStyle w:val="000000000000" w:firstRow="0" w:lastRow="0" w:firstColumn="0" w:lastColumn="0" w:oddVBand="0" w:evenVBand="0" w:oddHBand="0" w:evenHBand="0" w:firstRowFirstColumn="0" w:firstRowLastColumn="0" w:lastRowFirstColumn="0" w:lastRowLastColumn="0"/>
            </w:pPr>
            <w:r w:rsidRPr="00437F82">
              <w:t xml:space="preserve">The potential application of the Spent Convictions Act is set out in detail on page </w:t>
            </w:r>
            <w:r w:rsidR="00437F82" w:rsidRPr="00437F82">
              <w:t>1</w:t>
            </w:r>
            <w:r w:rsidR="009601C8">
              <w:t>6</w:t>
            </w:r>
            <w:r w:rsidRPr="00437F82">
              <w:t>.</w:t>
            </w:r>
          </w:p>
          <w:p w14:paraId="70E20F99" w14:textId="71722219" w:rsidR="001209E9" w:rsidRPr="00437F82" w:rsidRDefault="001209E9" w:rsidP="000419A2">
            <w:pPr>
              <w:pStyle w:val="Tabletext"/>
              <w:cnfStyle w:val="000000000000" w:firstRow="0" w:lastRow="0" w:firstColumn="0" w:lastColumn="0" w:oddVBand="0" w:evenVBand="0" w:oddHBand="0" w:evenHBand="0" w:firstRowFirstColumn="0" w:firstRowLastColumn="0" w:lastRowFirstColumn="0" w:lastRowLastColumn="0"/>
            </w:pPr>
            <w:r w:rsidRPr="00437F82">
              <w:t xml:space="preserve">See the Victorian Department of Justice and Community Safety’s </w:t>
            </w:r>
            <w:hyperlink r:id="rId26" w:history="1">
              <w:r w:rsidR="001037D0">
                <w:rPr>
                  <w:rStyle w:val="Hyperlink"/>
                  <w:spacing w:val="0"/>
                </w:rPr>
                <w:t>Spent Convictions guidance</w:t>
              </w:r>
            </w:hyperlink>
            <w:r w:rsidR="00CA5A34">
              <w:t>.</w:t>
            </w:r>
          </w:p>
        </w:tc>
      </w:tr>
    </w:tbl>
    <w:p w14:paraId="7E0875C1" w14:textId="77777777" w:rsidR="00D314D6" w:rsidRPr="00EB6ACD" w:rsidRDefault="00D314D6" w:rsidP="000419A2">
      <w:pPr>
        <w:pStyle w:val="Spacer"/>
      </w:pPr>
    </w:p>
    <w:p w14:paraId="0C3F26F0" w14:textId="7E6DFF7B" w:rsidR="00B42E98" w:rsidRDefault="00B42E98" w:rsidP="00B42E98">
      <w:r>
        <w:t>Policymaker</w:t>
      </w:r>
      <w:r w:rsidR="00590578">
        <w:t>s</w:t>
      </w:r>
      <w:r>
        <w:t xml:space="preserve"> should also have regard to </w:t>
      </w:r>
      <w:r w:rsidRPr="00A72A70">
        <w:t xml:space="preserve">OCPC’s </w:t>
      </w:r>
      <w:hyperlink r:id="rId27" w:history="1">
        <w:r w:rsidRPr="003725E5">
          <w:rPr>
            <w:rStyle w:val="Hyperlink"/>
          </w:rPr>
          <w:t>Legislative Process handbook</w:t>
        </w:r>
      </w:hyperlink>
      <w:r w:rsidR="003725E5">
        <w:t>.</w:t>
      </w:r>
    </w:p>
    <w:p w14:paraId="12A7611C" w14:textId="7DD56014" w:rsidR="00EB6ACD" w:rsidRPr="005D0376" w:rsidRDefault="005D0376" w:rsidP="00B42E98">
      <w:pPr>
        <w:pStyle w:val="Heading2numbered"/>
      </w:pPr>
      <w:bookmarkStart w:id="5" w:name="_Toc174538661"/>
      <w:bookmarkStart w:id="6" w:name="_Toc178780164"/>
      <w:r w:rsidRPr="005D0376">
        <w:t>Development of Model Provisions</w:t>
      </w:r>
      <w:bookmarkEnd w:id="5"/>
      <w:bookmarkEnd w:id="6"/>
    </w:p>
    <w:p w14:paraId="799D8EFA" w14:textId="3380EE41" w:rsidR="000F5062" w:rsidRDefault="00843A28" w:rsidP="006F7CFD">
      <w:r w:rsidRPr="00843A28">
        <w:t>There are several established best practice principles for legislative development and drafting. These principles are reflected in various Victorian Government guidance documents (including legislative drafting guides and the Victorian Government's Regulatory Reform Program objectives)</w:t>
      </w:r>
      <w:r w:rsidR="007B1956">
        <w:t>. These principles underpin</w:t>
      </w:r>
      <w:r w:rsidRPr="00843A28">
        <w:t xml:space="preserve"> </w:t>
      </w:r>
      <w:r w:rsidR="007B1956">
        <w:t>the</w:t>
      </w:r>
      <w:r>
        <w:t xml:space="preserve"> provisions and guidance in this document. </w:t>
      </w:r>
    </w:p>
    <w:p w14:paraId="02EE0F57" w14:textId="7368796F" w:rsidR="00843A28" w:rsidRPr="00560AC4" w:rsidRDefault="00843A28" w:rsidP="006F7CFD">
      <w:r>
        <w:t xml:space="preserve">These principles have been applied below in the context of fit and proper persons tests. </w:t>
      </w:r>
    </w:p>
    <w:tbl>
      <w:tblPr>
        <w:tblStyle w:val="DTFtexttable"/>
        <w:tblW w:w="9113" w:type="dxa"/>
        <w:tblLayout w:type="fixed"/>
        <w:tblLook w:val="04A0" w:firstRow="1" w:lastRow="0" w:firstColumn="1" w:lastColumn="0" w:noHBand="0" w:noVBand="1"/>
      </w:tblPr>
      <w:tblGrid>
        <w:gridCol w:w="810"/>
        <w:gridCol w:w="1890"/>
        <w:gridCol w:w="6413"/>
      </w:tblGrid>
      <w:tr w:rsidR="00A4777F" w:rsidRPr="006B1199" w14:paraId="0F5CD4F3" w14:textId="77777777" w:rsidTr="00FF083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10" w:type="dxa"/>
          </w:tcPr>
          <w:p w14:paraId="5BDDBA28" w14:textId="3D7AD794" w:rsidR="007474C5" w:rsidRPr="00A4777F" w:rsidRDefault="007474C5" w:rsidP="003F5EBB">
            <w:pPr>
              <w:pStyle w:val="Tableheader"/>
              <w:jc w:val="both"/>
              <w:rPr>
                <w:rFonts w:asciiTheme="majorHAnsi" w:hAnsiTheme="majorHAnsi" w:cs="Arial"/>
                <w:b/>
                <w:noProof/>
              </w:rPr>
            </w:pPr>
          </w:p>
        </w:tc>
        <w:tc>
          <w:tcPr>
            <w:tcW w:w="1890" w:type="dxa"/>
          </w:tcPr>
          <w:p w14:paraId="643B8831" w14:textId="2CAD2A06" w:rsidR="007474C5" w:rsidRPr="006B1199" w:rsidRDefault="00A4777F" w:rsidP="00A4777F">
            <w:pPr>
              <w:pStyle w:val="Tableheader"/>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Principle</w:t>
            </w:r>
          </w:p>
        </w:tc>
        <w:tc>
          <w:tcPr>
            <w:tcW w:w="6413" w:type="dxa"/>
          </w:tcPr>
          <w:p w14:paraId="5AE49CB6" w14:textId="2E419EB9" w:rsidR="007474C5" w:rsidRPr="00A4777F" w:rsidRDefault="007474C5" w:rsidP="007474C5">
            <w:pPr>
              <w:pStyle w:val="Tablehead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A4777F">
              <w:rPr>
                <w:rFonts w:asciiTheme="majorHAnsi" w:hAnsiTheme="majorHAnsi"/>
              </w:rPr>
              <w:t>Application</w:t>
            </w:r>
          </w:p>
        </w:tc>
      </w:tr>
      <w:tr w:rsidR="00AD7A87" w:rsidRPr="00E01D98" w14:paraId="18FEA03F" w14:textId="77777777" w:rsidTr="00FF0836">
        <w:tc>
          <w:tcPr>
            <w:cnfStyle w:val="001000000000" w:firstRow="0" w:lastRow="0" w:firstColumn="1" w:lastColumn="0" w:oddVBand="0" w:evenVBand="0" w:oddHBand="0" w:evenHBand="0" w:firstRowFirstColumn="0" w:firstRowLastColumn="0" w:lastRowFirstColumn="0" w:lastRowLastColumn="0"/>
            <w:tcW w:w="810" w:type="dxa"/>
          </w:tcPr>
          <w:p w14:paraId="227D0BA7" w14:textId="37623E74" w:rsidR="00EC77AE" w:rsidRPr="00E01D98" w:rsidRDefault="00646ED8" w:rsidP="00843A28">
            <w:pPr>
              <w:spacing w:before="240"/>
              <w:contextualSpacing/>
              <w:rPr>
                <w:rFonts w:ascii="Arial" w:hAnsi="Arial" w:cs="Arial"/>
                <w:b/>
              </w:rPr>
            </w:pPr>
            <w:r w:rsidRPr="00E01D98">
              <w:rPr>
                <w:rFonts w:ascii="Arial" w:hAnsi="Arial" w:cs="Arial"/>
                <w:b/>
                <w:noProof/>
              </w:rPr>
              <w:drawing>
                <wp:inline distT="0" distB="0" distL="0" distR="0" wp14:anchorId="392C8A77" wp14:editId="1EF83D34">
                  <wp:extent cx="365760" cy="365760"/>
                  <wp:effectExtent l="0" t="0" r="0" b="0"/>
                  <wp:docPr id="6" name="Graphic 6" descr="Badge Tick with solid fill">
                    <a:extLst xmlns:a="http://schemas.openxmlformats.org/drawingml/2006/main">
                      <a:ext uri="{FF2B5EF4-FFF2-40B4-BE49-F238E27FC236}">
                        <a16:creationId xmlns:a16="http://schemas.microsoft.com/office/drawing/2014/main" id="{068CA3EC-A86A-6C0F-A8A4-32756AEF85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42" descr="Badge Tick with solid fill">
                            <a:extLst>
                              <a:ext uri="{FF2B5EF4-FFF2-40B4-BE49-F238E27FC236}">
                                <a16:creationId xmlns:a16="http://schemas.microsoft.com/office/drawing/2014/main" id="{068CA3EC-A86A-6C0F-A8A4-32756AEF8535}"/>
                              </a:ext>
                            </a:extLst>
                          </pic:cNvPr>
                          <pic:cNvPicPr>
                            <a:picLocks noChangeAspect="1"/>
                          </pic:cNvPicPr>
                        </pic:nvPicPr>
                        <pic:blipFill>
                          <a:blip r:embed="rId28">
                            <a:extLst>
                              <a:ext uri="{96DAC541-7B7A-43D3-8B79-37D633B846F1}">
                                <asvg:svgBlip xmlns:asvg="http://schemas.microsoft.com/office/drawing/2016/SVG/main" r:embed="rId29"/>
                              </a:ext>
                            </a:extLst>
                          </a:blip>
                          <a:stretch>
                            <a:fillRect/>
                          </a:stretch>
                        </pic:blipFill>
                        <pic:spPr>
                          <a:xfrm>
                            <a:off x="0" y="0"/>
                            <a:ext cx="365760" cy="365760"/>
                          </a:xfrm>
                          <a:prstGeom prst="rect">
                            <a:avLst/>
                          </a:prstGeom>
                        </pic:spPr>
                      </pic:pic>
                    </a:graphicData>
                  </a:graphic>
                </wp:inline>
              </w:drawing>
            </w:r>
          </w:p>
        </w:tc>
        <w:tc>
          <w:tcPr>
            <w:tcW w:w="1890" w:type="dxa"/>
            <w:shd w:val="clear" w:color="auto" w:fill="F2F2F2" w:themeFill="background1" w:themeFillShade="F2"/>
          </w:tcPr>
          <w:p w14:paraId="3EACB8A7" w14:textId="00375B57" w:rsidR="00EC77AE" w:rsidRPr="007474C5" w:rsidRDefault="00EC77AE" w:rsidP="00B42E98">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7474C5">
              <w:rPr>
                <w:rFonts w:asciiTheme="majorHAnsi" w:hAnsiTheme="majorHAnsi"/>
              </w:rPr>
              <w:t>Clear purpose</w:t>
            </w:r>
          </w:p>
        </w:tc>
        <w:tc>
          <w:tcPr>
            <w:tcW w:w="6413" w:type="dxa"/>
          </w:tcPr>
          <w:p w14:paraId="07E6E831" w14:textId="659BB340" w:rsidR="005E200A" w:rsidRPr="00D5736E" w:rsidRDefault="5106D697" w:rsidP="00B42E98">
            <w:pPr>
              <w:pStyle w:val="Tabletext"/>
              <w:cnfStyle w:val="000000000000" w:firstRow="0" w:lastRow="0" w:firstColumn="0" w:lastColumn="0" w:oddVBand="0" w:evenVBand="0" w:oddHBand="0" w:evenHBand="0" w:firstRowFirstColumn="0" w:firstRowLastColumn="0" w:lastRowFirstColumn="0" w:lastRowLastColumn="0"/>
            </w:pPr>
            <w:r w:rsidRPr="00D5736E">
              <w:t>C</w:t>
            </w:r>
            <w:r w:rsidR="00EC77AE" w:rsidRPr="00D5736E">
              <w:t xml:space="preserve">onsider whether </w:t>
            </w:r>
            <w:r w:rsidR="1D4335D3" w:rsidRPr="00D5736E">
              <w:t xml:space="preserve">each </w:t>
            </w:r>
            <w:r w:rsidR="5CD1F599" w:rsidRPr="00D5736E">
              <w:t>criter</w:t>
            </w:r>
            <w:r w:rsidR="000614A1" w:rsidRPr="00D5736E">
              <w:t>i</w:t>
            </w:r>
            <w:r w:rsidR="25DD8118" w:rsidRPr="00D5736E">
              <w:t>on</w:t>
            </w:r>
            <w:r w:rsidR="00EC77AE" w:rsidRPr="00D5736E">
              <w:t xml:space="preserve"> is necessary and appropriate</w:t>
            </w:r>
            <w:r w:rsidR="000614A1" w:rsidRPr="00D5736E">
              <w:t xml:space="preserve"> </w:t>
            </w:r>
            <w:r w:rsidR="11F06221" w:rsidRPr="00D5736E">
              <w:t>and include</w:t>
            </w:r>
            <w:r w:rsidR="00F02161">
              <w:t xml:space="preserve"> it</w:t>
            </w:r>
            <w:r w:rsidR="11F06221" w:rsidRPr="00D5736E">
              <w:t xml:space="preserve"> in the</w:t>
            </w:r>
            <w:r w:rsidR="00EC77AE" w:rsidRPr="00D5736E">
              <w:t xml:space="preserve"> principal Act. </w:t>
            </w:r>
          </w:p>
          <w:p w14:paraId="4109EF6E" w14:textId="672E666A" w:rsidR="00EC77AE" w:rsidRPr="00D5736E" w:rsidRDefault="00EC77AE" w:rsidP="00B42E98">
            <w:pPr>
              <w:pStyle w:val="Tabletext"/>
              <w:cnfStyle w:val="000000000000" w:firstRow="0" w:lastRow="0" w:firstColumn="0" w:lastColumn="0" w:oddVBand="0" w:evenVBand="0" w:oddHBand="0" w:evenHBand="0" w:firstRowFirstColumn="0" w:firstRowLastColumn="0" w:lastRowFirstColumn="0" w:lastRowLastColumn="0"/>
              <w:rPr>
                <w:rFonts w:cs="Arial"/>
              </w:rPr>
            </w:pPr>
            <w:r w:rsidRPr="00D5736E">
              <w:t xml:space="preserve">This means, for example, only including such criteria where it is appropriate to be applied to all </w:t>
            </w:r>
            <w:r w:rsidR="09A9E927" w:rsidRPr="00D5736E">
              <w:t xml:space="preserve">or most </w:t>
            </w:r>
            <w:r w:rsidRPr="00D5736E">
              <w:t>potential applicants (rather than just some) to reduce regulatory burden</w:t>
            </w:r>
            <w:r w:rsidR="36B6AD50" w:rsidRPr="00D5736E">
              <w:t xml:space="preserve"> and using other means to address risks that are only applicable to a narrow class of potential applicant</w:t>
            </w:r>
            <w:r w:rsidRPr="00D5736E">
              <w:t>.</w:t>
            </w:r>
            <w:r w:rsidRPr="00D5736E">
              <w:rPr>
                <w:rFonts w:cs="Arial"/>
              </w:rPr>
              <w:t xml:space="preserve"> </w:t>
            </w:r>
          </w:p>
          <w:p w14:paraId="0334BB35" w14:textId="42731BA9" w:rsidR="00EC77AE" w:rsidRPr="00D5736E" w:rsidRDefault="2EAF7D26" w:rsidP="00B42E98">
            <w:pPr>
              <w:pStyle w:val="Tabletext"/>
              <w:cnfStyle w:val="000000000000" w:firstRow="0" w:lastRow="0" w:firstColumn="0" w:lastColumn="0" w:oddVBand="0" w:evenVBand="0" w:oddHBand="0" w:evenHBand="0" w:firstRowFirstColumn="0" w:firstRowLastColumn="0" w:lastRowFirstColumn="0" w:lastRowLastColumn="0"/>
            </w:pPr>
            <w:r w:rsidRPr="00E145F4">
              <w:t>This a</w:t>
            </w:r>
            <w:r w:rsidRPr="56192DBB">
              <w:t xml:space="preserve">lso aligns with </w:t>
            </w:r>
            <w:hyperlink r:id="rId30" w:history="1">
              <w:r w:rsidRPr="00D57831">
                <w:rPr>
                  <w:rStyle w:val="Hyperlink"/>
                </w:rPr>
                <w:t>Better Regulation Victoria’s principles for good regulatory practice</w:t>
              </w:r>
            </w:hyperlink>
            <w:r w:rsidRPr="56192DBB">
              <w:t>, which includes being clear on regulatory outcomes and the harm being minimised.</w:t>
            </w:r>
          </w:p>
        </w:tc>
      </w:tr>
      <w:tr w:rsidR="00A4777F" w:rsidRPr="00E01D98" w14:paraId="67EC007C" w14:textId="77777777" w:rsidTr="00FF0836">
        <w:trPr>
          <w:cnfStyle w:val="000000010000" w:firstRow="0" w:lastRow="0" w:firstColumn="0" w:lastColumn="0" w:oddVBand="0" w:evenVBand="0" w:oddHBand="0" w:evenHBand="1"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810" w:type="dxa"/>
          </w:tcPr>
          <w:p w14:paraId="0975770E" w14:textId="3D202C1B" w:rsidR="00EC77AE" w:rsidRPr="00E01D98" w:rsidRDefault="00646ED8" w:rsidP="00673348">
            <w:pPr>
              <w:spacing w:before="60" w:after="60"/>
              <w:rPr>
                <w:rFonts w:ascii="Arial" w:hAnsi="Arial" w:cs="Arial"/>
                <w:b/>
              </w:rPr>
            </w:pPr>
            <w:r w:rsidRPr="00E01D98">
              <w:rPr>
                <w:rFonts w:ascii="Arial" w:hAnsi="Arial" w:cs="Arial"/>
                <w:b/>
                <w:noProof/>
              </w:rPr>
              <w:drawing>
                <wp:inline distT="0" distB="0" distL="0" distR="0" wp14:anchorId="3F992ABF" wp14:editId="4E643AAD">
                  <wp:extent cx="365760" cy="365760"/>
                  <wp:effectExtent l="0" t="0" r="0" b="0"/>
                  <wp:docPr id="7" name="Graphic 7" descr="Clipboard with solid fill">
                    <a:extLst xmlns:a="http://schemas.openxmlformats.org/drawingml/2006/main">
                      <a:ext uri="{FF2B5EF4-FFF2-40B4-BE49-F238E27FC236}">
                        <a16:creationId xmlns:a16="http://schemas.microsoft.com/office/drawing/2014/main" id="{1796706C-49CE-295B-920F-5505D21AAE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34" descr="Clipboard with solid fill">
                            <a:extLst>
                              <a:ext uri="{FF2B5EF4-FFF2-40B4-BE49-F238E27FC236}">
                                <a16:creationId xmlns:a16="http://schemas.microsoft.com/office/drawing/2014/main" id="{1796706C-49CE-295B-920F-5505D21AAE11}"/>
                              </a:ext>
                            </a:extLst>
                          </pic:cNvPr>
                          <pic:cNvPicPr>
                            <a:picLocks noChangeAspect="1"/>
                          </pic:cNvPicPr>
                        </pic:nvPicPr>
                        <pic:blipFill>
                          <a:blip r:embed="rId31">
                            <a:extLst>
                              <a:ext uri="{96DAC541-7B7A-43D3-8B79-37D633B846F1}">
                                <asvg:svgBlip xmlns:asvg="http://schemas.microsoft.com/office/drawing/2016/SVG/main" r:embed="rId32"/>
                              </a:ext>
                            </a:extLst>
                          </a:blip>
                          <a:stretch>
                            <a:fillRect/>
                          </a:stretch>
                        </pic:blipFill>
                        <pic:spPr>
                          <a:xfrm>
                            <a:off x="0" y="0"/>
                            <a:ext cx="365760" cy="365760"/>
                          </a:xfrm>
                          <a:prstGeom prst="rect">
                            <a:avLst/>
                          </a:prstGeom>
                        </pic:spPr>
                      </pic:pic>
                    </a:graphicData>
                  </a:graphic>
                </wp:inline>
              </w:drawing>
            </w:r>
          </w:p>
        </w:tc>
        <w:tc>
          <w:tcPr>
            <w:tcW w:w="1890" w:type="dxa"/>
            <w:shd w:val="clear" w:color="auto" w:fill="F2F2F2" w:themeFill="background1" w:themeFillShade="F2"/>
          </w:tcPr>
          <w:p w14:paraId="7B564902" w14:textId="6B541EAE" w:rsidR="00EC77AE" w:rsidRPr="007474C5" w:rsidRDefault="00EC77AE" w:rsidP="00B42E98">
            <w:pPr>
              <w:pStyle w:val="Table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7474C5">
              <w:rPr>
                <w:rFonts w:asciiTheme="majorHAnsi" w:hAnsiTheme="majorHAnsi"/>
              </w:rPr>
              <w:t>Plain language drafting and streamlined structure</w:t>
            </w:r>
          </w:p>
        </w:tc>
        <w:tc>
          <w:tcPr>
            <w:tcW w:w="6413" w:type="dxa"/>
          </w:tcPr>
          <w:p w14:paraId="77881CC5" w14:textId="60CE3BC6" w:rsidR="005E200A" w:rsidRPr="00D5736E" w:rsidRDefault="00EC77AE" w:rsidP="00EF03AB">
            <w:pPr>
              <w:pStyle w:val="Tabletext"/>
              <w:cnfStyle w:val="000000010000" w:firstRow="0" w:lastRow="0" w:firstColumn="0" w:lastColumn="0" w:oddVBand="0" w:evenVBand="0" w:oddHBand="0" w:evenHBand="1" w:firstRowFirstColumn="0" w:firstRowLastColumn="0" w:lastRowFirstColumn="0" w:lastRowLastColumn="0"/>
            </w:pPr>
            <w:r w:rsidRPr="00D5736E">
              <w:t xml:space="preserve">Criteria should identify ‘core’ and specific elements. </w:t>
            </w:r>
            <w:r w:rsidR="32F6A432" w:rsidRPr="00D5736E">
              <w:t xml:space="preserve">Core </w:t>
            </w:r>
            <w:r w:rsidRPr="00D5736E">
              <w:t>elements should form the basis of the provision, while a selection of specific elements should be provided as options for consideration by regulators when seeking to apply the model provision, with reference to their risk environment</w:t>
            </w:r>
            <w:r w:rsidR="006C7A16" w:rsidRPr="00D5736E">
              <w:t xml:space="preserve"> and risk appetite</w:t>
            </w:r>
            <w:r w:rsidRPr="00D5736E">
              <w:t xml:space="preserve">. </w:t>
            </w:r>
          </w:p>
          <w:p w14:paraId="383BC471" w14:textId="064A9D7B" w:rsidR="00EC77AE" w:rsidRPr="00D5736E" w:rsidRDefault="00EC77AE" w:rsidP="00EF03AB">
            <w:pPr>
              <w:pStyle w:val="Tabletext"/>
              <w:cnfStyle w:val="000000010000" w:firstRow="0" w:lastRow="0" w:firstColumn="0" w:lastColumn="0" w:oddVBand="0" w:evenVBand="0" w:oddHBand="0" w:evenHBand="1" w:firstRowFirstColumn="0" w:firstRowLastColumn="0" w:lastRowFirstColumn="0" w:lastRowLastColumn="0"/>
            </w:pPr>
            <w:r w:rsidRPr="00D5736E">
              <w:t>Minimum requirements</w:t>
            </w:r>
            <w:r w:rsidR="5CD1F599" w:rsidRPr="00D5736E">
              <w:t xml:space="preserve"> </w:t>
            </w:r>
            <w:r w:rsidR="6EDB7EA6" w:rsidRPr="00D5736E">
              <w:t>for each element</w:t>
            </w:r>
            <w:r w:rsidRPr="00D5736E">
              <w:t xml:space="preserve"> should be contained in the principal Act, to allow for flexibility in application. </w:t>
            </w:r>
          </w:p>
        </w:tc>
      </w:tr>
      <w:tr w:rsidR="00AD7A87" w:rsidRPr="00E01D98" w14:paraId="799655C8" w14:textId="77777777" w:rsidTr="00FF0836">
        <w:tc>
          <w:tcPr>
            <w:cnfStyle w:val="001000000000" w:firstRow="0" w:lastRow="0" w:firstColumn="1" w:lastColumn="0" w:oddVBand="0" w:evenVBand="0" w:oddHBand="0" w:evenHBand="0" w:firstRowFirstColumn="0" w:firstRowLastColumn="0" w:lastRowFirstColumn="0" w:lastRowLastColumn="0"/>
            <w:tcW w:w="810" w:type="dxa"/>
          </w:tcPr>
          <w:p w14:paraId="5E16FC2A" w14:textId="2AC16154" w:rsidR="00EC77AE" w:rsidRPr="00E01D98" w:rsidRDefault="00646ED8" w:rsidP="00673348">
            <w:pPr>
              <w:spacing w:before="60" w:after="60"/>
              <w:rPr>
                <w:rFonts w:ascii="Arial" w:hAnsi="Arial" w:cs="Arial"/>
                <w:b/>
              </w:rPr>
            </w:pPr>
            <w:r w:rsidRPr="00E01D98">
              <w:rPr>
                <w:rFonts w:ascii="Arial" w:hAnsi="Arial" w:cs="Arial"/>
                <w:b/>
                <w:noProof/>
              </w:rPr>
              <w:lastRenderedPageBreak/>
              <w:drawing>
                <wp:inline distT="0" distB="0" distL="0" distR="0" wp14:anchorId="12438BB2" wp14:editId="4D667F43">
                  <wp:extent cx="365760" cy="365760"/>
                  <wp:effectExtent l="0" t="0" r="0" b="0"/>
                  <wp:docPr id="4" name="Graphic 4" descr="Magnifying glass with solid fill">
                    <a:extLst xmlns:a="http://schemas.openxmlformats.org/drawingml/2006/main">
                      <a:ext uri="{FF2B5EF4-FFF2-40B4-BE49-F238E27FC236}">
                        <a16:creationId xmlns:a16="http://schemas.microsoft.com/office/drawing/2014/main" id="{BE99A7E1-F806-AB04-29D2-AC7223C417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4" descr="Magnifying glass with solid fill">
                            <a:extLst>
                              <a:ext uri="{FF2B5EF4-FFF2-40B4-BE49-F238E27FC236}">
                                <a16:creationId xmlns:a16="http://schemas.microsoft.com/office/drawing/2014/main" id="{BE99A7E1-F806-AB04-29D2-AC7223C417B8}"/>
                              </a:ext>
                            </a:extLst>
                          </pic:cNvPr>
                          <pic:cNvPicPr>
                            <a:picLocks noChangeAspect="1"/>
                          </pic:cNvPicPr>
                        </pic:nvPicPr>
                        <pic:blipFill>
                          <a:blip r:embed="rId33">
                            <a:extLst>
                              <a:ext uri="{96DAC541-7B7A-43D3-8B79-37D633B846F1}">
                                <asvg:svgBlip xmlns:asvg="http://schemas.microsoft.com/office/drawing/2016/SVG/main" r:embed="rId34"/>
                              </a:ext>
                            </a:extLst>
                          </a:blip>
                          <a:stretch>
                            <a:fillRect/>
                          </a:stretch>
                        </pic:blipFill>
                        <pic:spPr>
                          <a:xfrm>
                            <a:off x="0" y="0"/>
                            <a:ext cx="365760" cy="365760"/>
                          </a:xfrm>
                          <a:prstGeom prst="rect">
                            <a:avLst/>
                          </a:prstGeom>
                        </pic:spPr>
                      </pic:pic>
                    </a:graphicData>
                  </a:graphic>
                </wp:inline>
              </w:drawing>
            </w:r>
            <w:r w:rsidR="00EC77AE" w:rsidRPr="00E01D98">
              <w:rPr>
                <w:rFonts w:ascii="Arial" w:hAnsi="Arial" w:cs="Arial"/>
                <w:b/>
              </w:rPr>
              <w:t xml:space="preserve"> </w:t>
            </w:r>
          </w:p>
        </w:tc>
        <w:tc>
          <w:tcPr>
            <w:tcW w:w="1890" w:type="dxa"/>
            <w:shd w:val="clear" w:color="auto" w:fill="F2F2F2" w:themeFill="background1" w:themeFillShade="F2"/>
          </w:tcPr>
          <w:p w14:paraId="63DB824A" w14:textId="097D7A0C" w:rsidR="00EC77AE" w:rsidRPr="007474C5" w:rsidRDefault="00EC77AE" w:rsidP="00B42E98">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7474C5">
              <w:rPr>
                <w:rFonts w:asciiTheme="majorHAnsi" w:hAnsiTheme="majorHAnsi"/>
              </w:rPr>
              <w:t>Proportionate</w:t>
            </w:r>
          </w:p>
        </w:tc>
        <w:tc>
          <w:tcPr>
            <w:tcW w:w="6413" w:type="dxa"/>
          </w:tcPr>
          <w:p w14:paraId="5F3635F0" w14:textId="77777777" w:rsidR="005E200A" w:rsidRPr="00D5736E" w:rsidRDefault="00EC77AE" w:rsidP="00B42E98">
            <w:pPr>
              <w:pStyle w:val="Tabletext"/>
              <w:cnfStyle w:val="000000000000" w:firstRow="0" w:lastRow="0" w:firstColumn="0" w:lastColumn="0" w:oddVBand="0" w:evenVBand="0" w:oddHBand="0" w:evenHBand="0" w:firstRowFirstColumn="0" w:firstRowLastColumn="0" w:lastRowFirstColumn="0" w:lastRowLastColumn="0"/>
            </w:pPr>
            <w:r w:rsidRPr="00D5736E">
              <w:t xml:space="preserve">Model provisions should reflect a graduated scale of evidence requirements. </w:t>
            </w:r>
          </w:p>
          <w:p w14:paraId="615BBEB7" w14:textId="7EAF37E7" w:rsidR="008C3D7E" w:rsidRDefault="00EC77AE" w:rsidP="00B42E98">
            <w:pPr>
              <w:pStyle w:val="Tabletext"/>
              <w:cnfStyle w:val="000000000000" w:firstRow="0" w:lastRow="0" w:firstColumn="0" w:lastColumn="0" w:oddVBand="0" w:evenVBand="0" w:oddHBand="0" w:evenHBand="0" w:firstRowFirstColumn="0" w:firstRowLastColumn="0" w:lastRowFirstColumn="0" w:lastRowLastColumn="0"/>
            </w:pPr>
            <w:r w:rsidRPr="00D5736E">
              <w:t xml:space="preserve">Principal Acts should not </w:t>
            </w:r>
            <w:r w:rsidR="4D3DBD7D" w:rsidRPr="00D5736E">
              <w:t>require</w:t>
            </w:r>
            <w:r w:rsidRPr="00D5736E">
              <w:t xml:space="preserve"> the applicant to provide significant evidence</w:t>
            </w:r>
            <w:r w:rsidR="7B4E610C" w:rsidRPr="00D5736E">
              <w:t xml:space="preserve"> – this should be a matter for operational policy to establish and provide guidance to potential applicants</w:t>
            </w:r>
            <w:r w:rsidR="5CD1F599" w:rsidRPr="00D5736E">
              <w:t>.</w:t>
            </w:r>
            <w:r w:rsidRPr="00D5736E">
              <w:t xml:space="preserve"> </w:t>
            </w:r>
          </w:p>
          <w:p w14:paraId="651BA2BB" w14:textId="7E05E381" w:rsidR="00C22003" w:rsidRDefault="00C22003" w:rsidP="00B42E98">
            <w:pPr>
              <w:pStyle w:val="Tabletext"/>
              <w:cnfStyle w:val="000000000000" w:firstRow="0" w:lastRow="0" w:firstColumn="0" w:lastColumn="0" w:oddVBand="0" w:evenVBand="0" w:oddHBand="0" w:evenHBand="0" w:firstRowFirstColumn="0" w:firstRowLastColumn="0" w:lastRowFirstColumn="0" w:lastRowLastColumn="0"/>
            </w:pPr>
            <w:r>
              <w:t xml:space="preserve">Where the risk of harm is lower, regulators should </w:t>
            </w:r>
            <w:r w:rsidR="0072678A">
              <w:t xml:space="preserve">accept a declaration from the applicant that they meet the necessary requirements. Additional information should be sought in line with operational policy. </w:t>
            </w:r>
          </w:p>
          <w:p w14:paraId="77224AA3" w14:textId="507F0086" w:rsidR="00EC77AE" w:rsidRPr="00D5736E" w:rsidRDefault="00EC77AE" w:rsidP="00B42E98">
            <w:pPr>
              <w:pStyle w:val="Tabletext"/>
              <w:cnfStyle w:val="000000000000" w:firstRow="0" w:lastRow="0" w:firstColumn="0" w:lastColumn="0" w:oddVBand="0" w:evenVBand="0" w:oddHBand="0" w:evenHBand="0" w:firstRowFirstColumn="0" w:firstRowLastColumn="0" w:lastRowFirstColumn="0" w:lastRowLastColumn="0"/>
            </w:pPr>
            <w:r w:rsidRPr="00D5736E">
              <w:t xml:space="preserve">Where the risk environment requires it, a provision may place an obligation on the applicant to provide evidence at the time of </w:t>
            </w:r>
            <w:r w:rsidR="005363E7" w:rsidRPr="00D5736E">
              <w:t>application</w:t>
            </w:r>
            <w:r w:rsidR="005363E7">
              <w:t xml:space="preserve"> or</w:t>
            </w:r>
            <w:r w:rsidR="00E84223">
              <w:t xml:space="preserve"> allow the regul</w:t>
            </w:r>
            <w:r w:rsidR="005363E7">
              <w:t xml:space="preserve">ator to source evidence independently. </w:t>
            </w:r>
          </w:p>
        </w:tc>
      </w:tr>
      <w:tr w:rsidR="00A4777F" w:rsidRPr="00E01D98" w14:paraId="35B2E1CC" w14:textId="77777777" w:rsidTr="00FF0836">
        <w:trPr>
          <w:cnfStyle w:val="000000010000" w:firstRow="0" w:lastRow="0" w:firstColumn="0" w:lastColumn="0" w:oddVBand="0" w:evenVBand="0" w:oddHBand="0" w:evenHBand="1" w:firstRowFirstColumn="0" w:firstRowLastColumn="0" w:lastRowFirstColumn="0" w:lastRowLastColumn="0"/>
          <w:trHeight w:val="1158"/>
        </w:trPr>
        <w:tc>
          <w:tcPr>
            <w:cnfStyle w:val="001000000000" w:firstRow="0" w:lastRow="0" w:firstColumn="1" w:lastColumn="0" w:oddVBand="0" w:evenVBand="0" w:oddHBand="0" w:evenHBand="0" w:firstRowFirstColumn="0" w:firstRowLastColumn="0" w:lastRowFirstColumn="0" w:lastRowLastColumn="0"/>
            <w:tcW w:w="810" w:type="dxa"/>
          </w:tcPr>
          <w:p w14:paraId="6E50FC15" w14:textId="4F02B94A" w:rsidR="00EC77AE" w:rsidRPr="00E01D98" w:rsidRDefault="00646ED8" w:rsidP="00673348">
            <w:pPr>
              <w:spacing w:before="60" w:after="60"/>
              <w:rPr>
                <w:rFonts w:ascii="Arial" w:hAnsi="Arial" w:cs="Arial"/>
                <w:b/>
              </w:rPr>
            </w:pPr>
            <w:r w:rsidRPr="00E01D98">
              <w:rPr>
                <w:rFonts w:ascii="Arial" w:hAnsi="Arial" w:cs="Arial"/>
                <w:b/>
                <w:noProof/>
              </w:rPr>
              <w:drawing>
                <wp:inline distT="0" distB="0" distL="0" distR="0" wp14:anchorId="3C6C580D" wp14:editId="5F9A2A17">
                  <wp:extent cx="365760" cy="365760"/>
                  <wp:effectExtent l="0" t="0" r="0" b="0"/>
                  <wp:docPr id="5" name="Graphic 5" descr="Eye Scan with solid fill">
                    <a:extLst xmlns:a="http://schemas.openxmlformats.org/drawingml/2006/main">
                      <a:ext uri="{FF2B5EF4-FFF2-40B4-BE49-F238E27FC236}">
                        <a16:creationId xmlns:a16="http://schemas.microsoft.com/office/drawing/2014/main" id="{3388C8CE-516B-59B2-2B24-208B36E1C2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0" descr="Eye Scan with solid fill">
                            <a:extLst>
                              <a:ext uri="{FF2B5EF4-FFF2-40B4-BE49-F238E27FC236}">
                                <a16:creationId xmlns:a16="http://schemas.microsoft.com/office/drawing/2014/main" id="{3388C8CE-516B-59B2-2B24-208B36E1C287}"/>
                              </a:ext>
                            </a:extLst>
                          </pic:cNvPr>
                          <pic:cNvPicPr>
                            <a:picLocks noChangeAspect="1"/>
                          </pic:cNvPicPr>
                        </pic:nvPicPr>
                        <pic:blipFill>
                          <a:blip r:embed="rId35">
                            <a:extLst>
                              <a:ext uri="{96DAC541-7B7A-43D3-8B79-37D633B846F1}">
                                <asvg:svgBlip xmlns:asvg="http://schemas.microsoft.com/office/drawing/2016/SVG/main" r:embed="rId36"/>
                              </a:ext>
                            </a:extLst>
                          </a:blip>
                          <a:stretch>
                            <a:fillRect/>
                          </a:stretch>
                        </pic:blipFill>
                        <pic:spPr>
                          <a:xfrm>
                            <a:off x="0" y="0"/>
                            <a:ext cx="365760" cy="365760"/>
                          </a:xfrm>
                          <a:prstGeom prst="rect">
                            <a:avLst/>
                          </a:prstGeom>
                        </pic:spPr>
                      </pic:pic>
                    </a:graphicData>
                  </a:graphic>
                </wp:inline>
              </w:drawing>
            </w:r>
          </w:p>
        </w:tc>
        <w:tc>
          <w:tcPr>
            <w:tcW w:w="1890" w:type="dxa"/>
            <w:shd w:val="clear" w:color="auto" w:fill="F2F2F2" w:themeFill="background1" w:themeFillShade="F2"/>
          </w:tcPr>
          <w:p w14:paraId="1765E28E" w14:textId="359657A1" w:rsidR="00EC77AE" w:rsidRPr="007474C5" w:rsidRDefault="00EC77AE" w:rsidP="00B42E98">
            <w:pPr>
              <w:pStyle w:val="Table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7474C5">
              <w:rPr>
                <w:rFonts w:asciiTheme="majorHAnsi" w:hAnsiTheme="majorHAnsi"/>
              </w:rPr>
              <w:t>Objective and future-proofed</w:t>
            </w:r>
          </w:p>
        </w:tc>
        <w:tc>
          <w:tcPr>
            <w:tcW w:w="6413" w:type="dxa"/>
          </w:tcPr>
          <w:p w14:paraId="3AB10FAB" w14:textId="2F11D5D9" w:rsidR="00EC77AE" w:rsidRPr="00D5736E" w:rsidRDefault="00EC77AE" w:rsidP="00B42E98">
            <w:pPr>
              <w:pStyle w:val="Tabletext"/>
              <w:cnfStyle w:val="000000010000" w:firstRow="0" w:lastRow="0" w:firstColumn="0" w:lastColumn="0" w:oddVBand="0" w:evenVBand="0" w:oddHBand="0" w:evenHBand="1" w:firstRowFirstColumn="0" w:firstRowLastColumn="0" w:lastRowFirstColumn="0" w:lastRowLastColumn="0"/>
            </w:pPr>
            <w:r w:rsidRPr="00D5736E">
              <w:t>Criteria should be</w:t>
            </w:r>
            <w:r w:rsidR="005E200A" w:rsidRPr="00D5736E">
              <w:t xml:space="preserve"> as</w:t>
            </w:r>
            <w:r w:rsidRPr="00D5736E">
              <w:t xml:space="preserve"> objective</w:t>
            </w:r>
            <w:r w:rsidR="5DB0BF0C" w:rsidRPr="00D5736E">
              <w:t xml:space="preserve"> and objectively</w:t>
            </w:r>
            <w:r w:rsidR="427B50E0" w:rsidRPr="00D5736E">
              <w:t xml:space="preserve"> </w:t>
            </w:r>
            <w:r w:rsidR="5DB0BF0C" w:rsidRPr="00D5736E">
              <w:t>applied</w:t>
            </w:r>
            <w:r w:rsidR="005E200A" w:rsidRPr="00D5736E">
              <w:t xml:space="preserve"> as possible</w:t>
            </w:r>
            <w:r w:rsidRPr="00D5736E">
              <w:t xml:space="preserve"> to </w:t>
            </w:r>
            <w:r w:rsidR="005E200A" w:rsidRPr="00D5736E">
              <w:t>ensure</w:t>
            </w:r>
            <w:r w:rsidRPr="00D5736E">
              <w:t xml:space="preserve"> a consistent and fair approach to assessments. Decision-making processes should be technology agnostic.</w:t>
            </w:r>
          </w:p>
        </w:tc>
      </w:tr>
    </w:tbl>
    <w:p w14:paraId="176018C7" w14:textId="77777777" w:rsidR="00D57831" w:rsidRDefault="00D57831" w:rsidP="00D57831">
      <w:pPr>
        <w:pStyle w:val="Spacer"/>
      </w:pPr>
    </w:p>
    <w:p w14:paraId="343BCF56" w14:textId="7D81B1BA" w:rsidR="002F0BE5" w:rsidRDefault="005E200A" w:rsidP="006F7CFD">
      <w:r>
        <w:t>Policymakers</w:t>
      </w:r>
      <w:r w:rsidR="00843A28">
        <w:t xml:space="preserve"> are</w:t>
      </w:r>
      <w:r w:rsidR="003159CD" w:rsidRPr="00560AC4">
        <w:t xml:space="preserve"> encouraged to </w:t>
      </w:r>
      <w:r w:rsidR="00843A28">
        <w:t xml:space="preserve">consider </w:t>
      </w:r>
      <w:r w:rsidR="003159CD" w:rsidRPr="00560AC4">
        <w:t xml:space="preserve">these principles </w:t>
      </w:r>
      <w:r w:rsidR="009B0F64">
        <w:t>and</w:t>
      </w:r>
      <w:r w:rsidR="008D70FA">
        <w:t xml:space="preserve"> their risk appetites </w:t>
      </w:r>
      <w:r w:rsidR="00843A28">
        <w:t>when identifying and justifying</w:t>
      </w:r>
      <w:r w:rsidR="000F5062" w:rsidRPr="00560AC4">
        <w:t xml:space="preserve"> </w:t>
      </w:r>
      <w:r w:rsidR="009B0F64">
        <w:t>the</w:t>
      </w:r>
      <w:r w:rsidR="00E909B6">
        <w:t xml:space="preserve"> </w:t>
      </w:r>
      <w:r w:rsidR="000F5062" w:rsidRPr="00560AC4">
        <w:t>most appropriate</w:t>
      </w:r>
      <w:r w:rsidR="00F7555C">
        <w:t xml:space="preserve"> clauses</w:t>
      </w:r>
      <w:r w:rsidR="000F5062" w:rsidRPr="00560AC4">
        <w:t xml:space="preserve"> for inclusion in specific legislation.</w:t>
      </w:r>
      <w:r w:rsidR="00F81683" w:rsidRPr="00560AC4">
        <w:t xml:space="preserve"> </w:t>
      </w:r>
    </w:p>
    <w:p w14:paraId="4325E5DB" w14:textId="4C8113FE" w:rsidR="003159CD" w:rsidRDefault="00F70998" w:rsidP="006F7CFD">
      <w:r>
        <w:t>Throughout this process, policymakers</w:t>
      </w:r>
      <w:r w:rsidR="00026B7D">
        <w:t xml:space="preserve"> should engage with OCPC and seek independent legal advice </w:t>
      </w:r>
      <w:r w:rsidR="00862056">
        <w:t>on the inclusion of the desire provisions, if required</w:t>
      </w:r>
      <w:r w:rsidR="00026B7D">
        <w:t>.</w:t>
      </w:r>
      <w:r w:rsidR="00F81683" w:rsidRPr="00560AC4">
        <w:t xml:space="preserve"> </w:t>
      </w:r>
    </w:p>
    <w:p w14:paraId="34F6EDA4" w14:textId="438CC0C3" w:rsidR="000E585B" w:rsidRDefault="000E585B" w:rsidP="00D26716">
      <w:pPr>
        <w:pStyle w:val="Heading2numbered"/>
      </w:pPr>
      <w:bookmarkStart w:id="7" w:name="_Toc174538662"/>
      <w:bookmarkStart w:id="8" w:name="_Toc178780165"/>
      <w:r w:rsidRPr="000E585B">
        <w:rPr>
          <w:color w:val="002060"/>
        </w:rPr>
        <w:t>Structure of this document</w:t>
      </w:r>
      <w:bookmarkEnd w:id="7"/>
      <w:bookmarkEnd w:id="8"/>
    </w:p>
    <w:p w14:paraId="6DE4F1C8" w14:textId="63A3B2BB" w:rsidR="000E585B" w:rsidRDefault="000E585B" w:rsidP="006F7CFD">
      <w:r w:rsidRPr="009401A6">
        <w:t>Th</w:t>
      </w:r>
      <w:r w:rsidR="0032697A">
        <w:t>e</w:t>
      </w:r>
      <w:r w:rsidRPr="009401A6">
        <w:t xml:space="preserve"> </w:t>
      </w:r>
      <w:r w:rsidR="009401A6" w:rsidRPr="009401A6">
        <w:t>section</w:t>
      </w:r>
      <w:r w:rsidR="003A0713">
        <w:t>s</w:t>
      </w:r>
      <w:r w:rsidR="009401A6" w:rsidRPr="009401A6">
        <w:t xml:space="preserve"> contained in this document are </w:t>
      </w:r>
      <w:r w:rsidRPr="009401A6">
        <w:t>designed to be read sequentially</w:t>
      </w:r>
      <w:r w:rsidR="009401A6">
        <w:t>, in line with the below diagram. Section 2</w:t>
      </w:r>
      <w:r w:rsidR="00BA0462">
        <w:t xml:space="preserve"> - </w:t>
      </w:r>
      <w:r w:rsidR="009401A6">
        <w:t xml:space="preserve">Structure of Model Provisions </w:t>
      </w:r>
      <w:r w:rsidR="00F433B0">
        <w:t xml:space="preserve">should be considered first, </w:t>
      </w:r>
      <w:r w:rsidR="004F58ED">
        <w:t xml:space="preserve">as it sets out the precursors policymakers should consider before introducing an assessment into legislation, </w:t>
      </w:r>
      <w:r w:rsidR="001E4C20">
        <w:t xml:space="preserve">as well as starting points for model provisions. </w:t>
      </w:r>
    </w:p>
    <w:p w14:paraId="1225D49C" w14:textId="022D7A88" w:rsidR="00210F5A" w:rsidRDefault="00764E87" w:rsidP="006F7CFD">
      <w:r w:rsidRPr="00764E87">
        <w:rPr>
          <w:noProof/>
        </w:rPr>
        <w:drawing>
          <wp:inline distT="0" distB="0" distL="0" distR="0" wp14:anchorId="25C25221" wp14:editId="3182F4AD">
            <wp:extent cx="4878163" cy="3033584"/>
            <wp:effectExtent l="0" t="0" r="0" b="0"/>
            <wp:docPr id="1958854392" name="Graphic 1" descr="Graphic outlining the structure of this document:&#10;&#10;Stage 1: Background: Identifies legislation with a general application and best practice principles underpinning development of Model Provisions. &#10;&#10; Stage 2: Application of Model Provisions: Provides foundations for creating and drafting an assessment. Should be considered prior to reviewing specific elements in Sections three to six. &#10;&#10;Stages three to six &#10;&#10;Stage 3: Baseline elements&#10;Stage 4: Standard elements&#10;Stage 5: Bespoke elements&#10;Stage 6: Extraordinary elements&#10;&#10;Stages three to six outline which elements may be considered as part of an assessment. They reflect the graduated scale of risk policy makers seek to mitigate. Review and select elements in line with foundational considerations set out in Stage 2.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854392" name="Graphic 1" descr="Graphic outlining the structure of this document:&#10;&#10;Stage 1: Background: Identifies legislation with a general application and best practice principles underpinning development of Model Provisions. &#10;&#10; Stage 2: Application of Model Provisions: Provides foundations for creating and drafting an assessment. Should be considered prior to reviewing specific elements in Sections three to six. &#10;&#10;Stages three to six &#10;&#10;Stage 3: Baseline elements&#10;Stage 4: Standard elements&#10;Stage 5: Bespoke elements&#10;Stage 6: Extraordinary elements&#10;&#10;Stages three to six outline which elements may be considered as part of an assessment. They reflect the graduated scale of risk policy makers seek to mitigate. Review and select elements in line with foundational considerations set out in Stage 2. &#10;"/>
                    <pic:cNvPicPr/>
                  </pic:nvPicPr>
                  <pic:blipFill>
                    <a:blip r:embed="rId37">
                      <a:extLst>
                        <a:ext uri="{96DAC541-7B7A-43D3-8B79-37D633B846F1}">
                          <asvg:svgBlip xmlns:asvg="http://schemas.microsoft.com/office/drawing/2016/SVG/main" r:embed="rId38"/>
                        </a:ext>
                      </a:extLst>
                    </a:blip>
                    <a:stretch>
                      <a:fillRect/>
                    </a:stretch>
                  </pic:blipFill>
                  <pic:spPr>
                    <a:xfrm>
                      <a:off x="0" y="0"/>
                      <a:ext cx="4880971" cy="3035330"/>
                    </a:xfrm>
                    <a:prstGeom prst="rect">
                      <a:avLst/>
                    </a:prstGeom>
                  </pic:spPr>
                </pic:pic>
              </a:graphicData>
            </a:graphic>
          </wp:inline>
        </w:drawing>
      </w:r>
    </w:p>
    <w:p w14:paraId="1A6A9255" w14:textId="164158FB" w:rsidR="00EB6ACD" w:rsidRPr="00EB6ACD" w:rsidRDefault="00D80B34" w:rsidP="00DB37DA">
      <w:pPr>
        <w:pStyle w:val="Heading1numbered"/>
      </w:pPr>
      <w:bookmarkStart w:id="9" w:name="_Toc178778642"/>
      <w:bookmarkStart w:id="10" w:name="_Toc178778744"/>
      <w:bookmarkStart w:id="11" w:name="_Toc178780166"/>
      <w:bookmarkStart w:id="12" w:name="_Toc174538663"/>
      <w:bookmarkStart w:id="13" w:name="_Toc178780167"/>
      <w:bookmarkEnd w:id="9"/>
      <w:bookmarkEnd w:id="10"/>
      <w:bookmarkEnd w:id="11"/>
      <w:r>
        <w:lastRenderedPageBreak/>
        <w:t>Application</w:t>
      </w:r>
      <w:r w:rsidR="00CB1106" w:rsidRPr="00EB6ACD">
        <w:t xml:space="preserve"> </w:t>
      </w:r>
      <w:r w:rsidR="00EB6ACD" w:rsidRPr="00EB6ACD">
        <w:t xml:space="preserve">of Model </w:t>
      </w:r>
      <w:r>
        <w:t xml:space="preserve">Legislative </w:t>
      </w:r>
      <w:r w:rsidR="00EB6ACD" w:rsidRPr="00EB6ACD">
        <w:t>Provisions</w:t>
      </w:r>
      <w:bookmarkEnd w:id="12"/>
      <w:bookmarkEnd w:id="13"/>
    </w:p>
    <w:p w14:paraId="7A1FF31A" w14:textId="4CBC8AE7" w:rsidR="004A15EC" w:rsidRDefault="00146192" w:rsidP="006F7CFD">
      <w:r>
        <w:t xml:space="preserve">In Victoria, assessments are used to </w:t>
      </w:r>
      <w:r w:rsidR="00ED3937">
        <w:t xml:space="preserve">prevent inappropriate applicants from being granted permission to undertake a regulated activity. </w:t>
      </w:r>
      <w:r w:rsidR="008A4D66" w:rsidRPr="00321B1A">
        <w:rPr>
          <w:b/>
          <w:bCs/>
        </w:rPr>
        <w:t>Assessments should only be used in the design of a permission or licence where the risk or potential consequence of an</w:t>
      </w:r>
      <w:r w:rsidR="008A4D66" w:rsidRPr="00321B1A">
        <w:rPr>
          <w:b/>
          <w:bCs/>
          <w:i/>
        </w:rPr>
        <w:t xml:space="preserve"> inappropriate applicant</w:t>
      </w:r>
      <w:r w:rsidR="008A4D66" w:rsidRPr="00321B1A">
        <w:rPr>
          <w:b/>
          <w:bCs/>
        </w:rPr>
        <w:t xml:space="preserve"> undertaking an activity is </w:t>
      </w:r>
      <w:r w:rsidR="005231EC" w:rsidRPr="005231EC">
        <w:rPr>
          <w:b/>
          <w:bCs/>
        </w:rPr>
        <w:t>unacceptable.</w:t>
      </w:r>
      <w:r w:rsidR="005231EC" w:rsidRPr="2EDF6A22">
        <w:t xml:space="preserve"> This</w:t>
      </w:r>
      <w:r w:rsidR="005231EC">
        <w:t xml:space="preserve"> risk</w:t>
      </w:r>
      <w:r w:rsidR="06961425" w:rsidRPr="2EDF6A22">
        <w:t xml:space="preserve"> is distinct from other risks, e.g.</w:t>
      </w:r>
      <w:r w:rsidR="00A64728">
        <w:rPr>
          <w:rFonts w:ascii="Calibri" w:hAnsi="Calibri" w:cs="Calibri"/>
        </w:rPr>
        <w:t> </w:t>
      </w:r>
      <w:r w:rsidR="06961425" w:rsidRPr="2EDF6A22">
        <w:t>the general risk of non-compliance with a prohibition or standard of behaviour.</w:t>
      </w:r>
    </w:p>
    <w:tbl>
      <w:tblPr>
        <w:tblStyle w:val="DTFtexttable"/>
        <w:tblW w:w="9031" w:type="dxa"/>
        <w:tblLayout w:type="fixed"/>
        <w:tblLook w:val="04A0" w:firstRow="1" w:lastRow="0" w:firstColumn="1" w:lastColumn="0" w:noHBand="0" w:noVBand="1"/>
      </w:tblPr>
      <w:tblGrid>
        <w:gridCol w:w="810"/>
        <w:gridCol w:w="1180"/>
        <w:gridCol w:w="7041"/>
      </w:tblGrid>
      <w:tr w:rsidR="00801FC3" w:rsidRPr="000357EF" w14:paraId="777E7890" w14:textId="77777777" w:rsidTr="00FF08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10" w:type="dxa"/>
            <w:vAlign w:val="center"/>
          </w:tcPr>
          <w:p w14:paraId="36A43556" w14:textId="77777777" w:rsidR="008A4D66" w:rsidRPr="000357EF" w:rsidRDefault="008A4D66" w:rsidP="00673348">
            <w:pPr>
              <w:keepNext w:val="0"/>
              <w:spacing w:before="60" w:after="60"/>
              <w:rPr>
                <w:rFonts w:ascii="Arial" w:hAnsi="Arial" w:cs="Arial"/>
                <w:b/>
                <w:bCs/>
                <w:sz w:val="18"/>
                <w:szCs w:val="18"/>
              </w:rPr>
            </w:pPr>
            <w:r w:rsidRPr="00646ED8">
              <w:rPr>
                <w:rFonts w:ascii="Arial" w:hAnsi="Arial" w:cs="Arial"/>
                <w:b/>
                <w:bCs/>
                <w:noProof/>
                <w:sz w:val="18"/>
                <w:szCs w:val="18"/>
              </w:rPr>
              <w:drawing>
                <wp:inline distT="0" distB="0" distL="0" distR="0" wp14:anchorId="49E434E8" wp14:editId="675ACB28">
                  <wp:extent cx="365760" cy="365760"/>
                  <wp:effectExtent l="0" t="0" r="0" b="0"/>
                  <wp:docPr id="32" name="Graphic 32" descr="Badge Tick with solid fill">
                    <a:extLst xmlns:a="http://schemas.openxmlformats.org/drawingml/2006/main">
                      <a:ext uri="{FF2B5EF4-FFF2-40B4-BE49-F238E27FC236}">
                        <a16:creationId xmlns:a16="http://schemas.microsoft.com/office/drawing/2014/main" id="{068CA3EC-A86A-6C0F-A8A4-32756AEF85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42" descr="Badge Tick with solid fill">
                            <a:extLst>
                              <a:ext uri="{FF2B5EF4-FFF2-40B4-BE49-F238E27FC236}">
                                <a16:creationId xmlns:a16="http://schemas.microsoft.com/office/drawing/2014/main" id="{068CA3EC-A86A-6C0F-A8A4-32756AEF8535}"/>
                              </a:ext>
                            </a:extLst>
                          </pic:cNvPr>
                          <pic:cNvPicPr>
                            <a:picLocks noChangeAspect="1"/>
                          </pic:cNvPicPr>
                        </pic:nvPicPr>
                        <pic:blipFill>
                          <a:blip r:embed="rId28">
                            <a:extLst>
                              <a:ext uri="{96DAC541-7B7A-43D3-8B79-37D633B846F1}">
                                <asvg:svgBlip xmlns:asvg="http://schemas.microsoft.com/office/drawing/2016/SVG/main" r:embed="rId29"/>
                              </a:ext>
                            </a:extLst>
                          </a:blip>
                          <a:stretch>
                            <a:fillRect/>
                          </a:stretch>
                        </pic:blipFill>
                        <pic:spPr>
                          <a:xfrm>
                            <a:off x="0" y="0"/>
                            <a:ext cx="365760" cy="365760"/>
                          </a:xfrm>
                          <a:prstGeom prst="rect">
                            <a:avLst/>
                          </a:prstGeom>
                        </pic:spPr>
                      </pic:pic>
                    </a:graphicData>
                  </a:graphic>
                </wp:inline>
              </w:drawing>
            </w:r>
          </w:p>
        </w:tc>
        <w:tc>
          <w:tcPr>
            <w:tcW w:w="1180" w:type="dxa"/>
            <w:vAlign w:val="center"/>
          </w:tcPr>
          <w:p w14:paraId="549F020D" w14:textId="04EC812E" w:rsidR="008A4D66" w:rsidRPr="00074962" w:rsidRDefault="008A4D66" w:rsidP="0031626F">
            <w:pPr>
              <w:pStyle w:val="Tabletext"/>
              <w:keepNext w:val="0"/>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074962">
              <w:rPr>
                <w:rFonts w:asciiTheme="majorHAnsi" w:hAnsiTheme="majorHAnsi"/>
              </w:rPr>
              <w:t>Clear purpose</w:t>
            </w:r>
            <w:r w:rsidR="00C16A67" w:rsidRPr="00074962">
              <w:rPr>
                <w:rFonts w:asciiTheme="majorHAnsi" w:hAnsiTheme="majorHAnsi"/>
              </w:rPr>
              <w:t xml:space="preserve"> in practice</w:t>
            </w:r>
          </w:p>
        </w:tc>
        <w:tc>
          <w:tcPr>
            <w:tcW w:w="7041" w:type="dxa"/>
            <w:shd w:val="clear" w:color="auto" w:fill="FFFFFF" w:themeFill="background1"/>
          </w:tcPr>
          <w:p w14:paraId="561AB4CF" w14:textId="447E1E6B" w:rsidR="00E67D59" w:rsidRPr="0031626F" w:rsidRDefault="00970D76" w:rsidP="0031626F">
            <w:pPr>
              <w:pStyle w:val="Tabletext"/>
              <w:keepNext w:val="0"/>
              <w:cnfStyle w:val="100000000000" w:firstRow="1" w:lastRow="0" w:firstColumn="0" w:lastColumn="0" w:oddVBand="0" w:evenVBand="0" w:oddHBand="0" w:evenHBand="0" w:firstRowFirstColumn="0" w:firstRowLastColumn="0" w:lastRowFirstColumn="0" w:lastRowLastColumn="0"/>
            </w:pPr>
            <w:r w:rsidRPr="0031626F">
              <w:t xml:space="preserve">Before </w:t>
            </w:r>
            <w:r w:rsidR="005704B3" w:rsidRPr="0031626F">
              <w:t xml:space="preserve">considering the model provisions in this document, policymakers should </w:t>
            </w:r>
            <w:r w:rsidR="005704B3" w:rsidRPr="0031626F">
              <w:rPr>
                <w:b/>
                <w:bCs/>
              </w:rPr>
              <w:t xml:space="preserve">ensure </w:t>
            </w:r>
            <w:r w:rsidR="00D569F7" w:rsidRPr="0031626F">
              <w:rPr>
                <w:b/>
                <w:bCs/>
              </w:rPr>
              <w:t>an assessment contained in legislation is necessary and appropriate</w:t>
            </w:r>
            <w:r w:rsidR="00995680">
              <w:rPr>
                <w:b/>
                <w:bCs/>
              </w:rPr>
              <w:t xml:space="preserve">. </w:t>
            </w:r>
            <w:r w:rsidR="00F52B27" w:rsidRPr="0031626F">
              <w:t>A</w:t>
            </w:r>
            <w:r w:rsidR="00AD5680" w:rsidRPr="0031626F">
              <w:t>ssessments should be reserved for application in high</w:t>
            </w:r>
            <w:r w:rsidR="00A53692" w:rsidRPr="0031626F">
              <w:t>-</w:t>
            </w:r>
            <w:r w:rsidR="00AD5680" w:rsidRPr="0031626F">
              <w:t>risk regulator</w:t>
            </w:r>
            <w:r w:rsidR="00BC5467" w:rsidRPr="0031626F">
              <w:t>y</w:t>
            </w:r>
            <w:r w:rsidR="00AD5680" w:rsidRPr="0031626F">
              <w:t xml:space="preserve"> environments.</w:t>
            </w:r>
            <w:r w:rsidR="0034598A" w:rsidRPr="0031626F">
              <w:t xml:space="preserve"> </w:t>
            </w:r>
          </w:p>
          <w:p w14:paraId="731E9672" w14:textId="36D84C12" w:rsidR="008A4D66" w:rsidRPr="0031626F" w:rsidRDefault="00F219BF" w:rsidP="0031626F">
            <w:pPr>
              <w:pStyle w:val="Tabletext"/>
              <w:keepNext w:val="0"/>
              <w:cnfStyle w:val="100000000000" w:firstRow="1" w:lastRow="0" w:firstColumn="0" w:lastColumn="0" w:oddVBand="0" w:evenVBand="0" w:oddHBand="0" w:evenHBand="0" w:firstRowFirstColumn="0" w:firstRowLastColumn="0" w:lastRowFirstColumn="0" w:lastRowLastColumn="0"/>
            </w:pPr>
            <w:r w:rsidRPr="0031626F">
              <w:t>Appropriate use of assessments</w:t>
            </w:r>
            <w:r w:rsidR="00D569F7" w:rsidRPr="0031626F">
              <w:t xml:space="preserve"> mitigate</w:t>
            </w:r>
            <w:r w:rsidRPr="0031626F">
              <w:t>s</w:t>
            </w:r>
            <w:r w:rsidR="00D569F7" w:rsidRPr="0031626F">
              <w:t xml:space="preserve"> unnecessary regulatory burden for </w:t>
            </w:r>
            <w:r w:rsidR="00C943E2" w:rsidRPr="0031626F">
              <w:t xml:space="preserve">businesses, regulators and the community. </w:t>
            </w:r>
          </w:p>
        </w:tc>
      </w:tr>
    </w:tbl>
    <w:p w14:paraId="5D63CAE0" w14:textId="77777777" w:rsidR="00071A79" w:rsidRDefault="00846E6A" w:rsidP="009553DC">
      <w:pPr>
        <w:keepNext/>
      </w:pPr>
      <w:r>
        <w:t>The table below outlines the circumstances where a legislated assessment may and may not be appropriate.</w:t>
      </w:r>
      <w:r w:rsidR="00AC5E47">
        <w:t xml:space="preserve"> </w:t>
      </w:r>
    </w:p>
    <w:p w14:paraId="6CB1EC38" w14:textId="3471FB47" w:rsidR="00846E6A" w:rsidRDefault="004C3C79" w:rsidP="006F7CFD">
      <w:r w:rsidRPr="004C3C79">
        <w:t>OCPC's Guidance on Legislative Drafting</w:t>
      </w:r>
      <w:r w:rsidR="00F75342">
        <w:t xml:space="preserve"> requires</w:t>
      </w:r>
      <w:r w:rsidRPr="004C3C79">
        <w:t xml:space="preserve"> prioritising the most important concepts and leaving those which are not required to be contained in a principal Act for inclusion in a subordinate instrument (such as regulations) or policy.</w:t>
      </w:r>
      <w:r w:rsidR="00F75342">
        <w:t xml:space="preserve"> </w:t>
      </w:r>
      <w:r w:rsidR="004F6F7B">
        <w:t>Here</w:t>
      </w:r>
      <w:r w:rsidR="00C65C87">
        <w:t xml:space="preserve">, this </w:t>
      </w:r>
      <w:r w:rsidR="00B04147">
        <w:t>requires th</w:t>
      </w:r>
      <w:r w:rsidR="00AC5E47">
        <w:t xml:space="preserve">at </w:t>
      </w:r>
      <w:r w:rsidR="004F6F7B">
        <w:t xml:space="preserve">an </w:t>
      </w:r>
      <w:r w:rsidR="00AC5E47">
        <w:t xml:space="preserve">assessment </w:t>
      </w:r>
      <w:r w:rsidR="00B56DE6">
        <w:t>is set out in</w:t>
      </w:r>
      <w:r w:rsidR="00AC5E47">
        <w:t xml:space="preserve"> primary legislation, with additional detail set out in regulations (if</w:t>
      </w:r>
      <w:r w:rsidR="006553FF">
        <w:rPr>
          <w:rFonts w:ascii="Calibri" w:hAnsi="Calibri" w:cs="Calibri"/>
        </w:rPr>
        <w:t> </w:t>
      </w:r>
      <w:r w:rsidR="00AC5E47">
        <w:t>required).</w:t>
      </w:r>
    </w:p>
    <w:tbl>
      <w:tblPr>
        <w:tblStyle w:val="DTFtexttable"/>
        <w:tblW w:w="0" w:type="auto"/>
        <w:tblLook w:val="0620" w:firstRow="1" w:lastRow="0" w:firstColumn="0" w:lastColumn="0" w:noHBand="1" w:noVBand="1"/>
      </w:tblPr>
      <w:tblGrid>
        <w:gridCol w:w="690"/>
        <w:gridCol w:w="3723"/>
        <w:gridCol w:w="796"/>
        <w:gridCol w:w="3817"/>
      </w:tblGrid>
      <w:tr w:rsidR="006553FF" w14:paraId="12201CDD" w14:textId="77777777" w:rsidTr="00A4777F">
        <w:trPr>
          <w:cnfStyle w:val="100000000000" w:firstRow="1" w:lastRow="0" w:firstColumn="0" w:lastColumn="0" w:oddVBand="0" w:evenVBand="0" w:oddHBand="0" w:evenHBand="0" w:firstRowFirstColumn="0" w:firstRowLastColumn="0" w:lastRowFirstColumn="0" w:lastRowLastColumn="0"/>
        </w:trPr>
        <w:tc>
          <w:tcPr>
            <w:tcW w:w="0" w:type="dxa"/>
            <w:vAlign w:val="bottom"/>
          </w:tcPr>
          <w:p w14:paraId="276526BD" w14:textId="0AA035EA" w:rsidR="006553FF" w:rsidRPr="00354EAC" w:rsidRDefault="006553FF" w:rsidP="00A44945">
            <w:pPr>
              <w:pStyle w:val="Tableheader"/>
              <w:ind w:left="754" w:hanging="754"/>
              <w:rPr>
                <w:rFonts w:asciiTheme="majorHAnsi" w:hAnsiTheme="majorHAnsi"/>
              </w:rPr>
            </w:pPr>
            <w:r w:rsidRPr="00C73934">
              <w:rPr>
                <w:noProof/>
              </w:rPr>
              <w:drawing>
                <wp:inline distT="0" distB="0" distL="0" distR="0" wp14:anchorId="7229DDD8" wp14:editId="24CE2F50">
                  <wp:extent cx="365760" cy="365760"/>
                  <wp:effectExtent l="0" t="0" r="0" b="0"/>
                  <wp:docPr id="22" name="Graphic 22">
                    <a:extLst xmlns:a="http://schemas.openxmlformats.org/drawingml/2006/main">
                      <a:ext uri="{FF2B5EF4-FFF2-40B4-BE49-F238E27FC236}">
                        <a16:creationId xmlns:a16="http://schemas.microsoft.com/office/drawing/2014/main" id="{EA187410-9BB0-2508-0537-C1487499031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a:extLst>
                              <a:ext uri="{FF2B5EF4-FFF2-40B4-BE49-F238E27FC236}">
                                <a16:creationId xmlns:a16="http://schemas.microsoft.com/office/drawing/2014/main" id="{EA187410-9BB0-2508-0537-C14874990319}"/>
                              </a:ext>
                              <a:ext uri="{C183D7F6-B498-43B3-948B-1728B52AA6E4}">
                                <adec:decorative xmlns:adec="http://schemas.microsoft.com/office/drawing/2017/decorative" val="1"/>
                              </a:ext>
                            </a:extLst>
                          </pic:cNvPr>
                          <pic:cNvPicPr>
                            <a:picLocks noChangeAspect="1"/>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365760" cy="365760"/>
                          </a:xfrm>
                          <a:prstGeom prst="rect">
                            <a:avLst/>
                          </a:prstGeom>
                        </pic:spPr>
                      </pic:pic>
                    </a:graphicData>
                  </a:graphic>
                </wp:inline>
              </w:drawing>
            </w:r>
          </w:p>
        </w:tc>
        <w:tc>
          <w:tcPr>
            <w:tcW w:w="3240" w:type="dxa"/>
            <w:vAlign w:val="bottom"/>
          </w:tcPr>
          <w:p w14:paraId="486D6C59" w14:textId="69DAAE48" w:rsidR="006553FF" w:rsidRPr="00A4777F" w:rsidRDefault="006553FF" w:rsidP="006553FF">
            <w:pPr>
              <w:pStyle w:val="Tableheader"/>
              <w:rPr>
                <w:rFonts w:asciiTheme="majorHAnsi" w:hAnsiTheme="majorHAnsi"/>
              </w:rPr>
            </w:pPr>
            <w:r w:rsidRPr="00A4777F">
              <w:rPr>
                <w:rFonts w:asciiTheme="majorHAnsi" w:hAnsiTheme="majorHAnsi"/>
              </w:rPr>
              <w:t>Legislated assessment may be appropriate when:</w:t>
            </w:r>
          </w:p>
        </w:tc>
        <w:tc>
          <w:tcPr>
            <w:tcW w:w="810" w:type="dxa"/>
            <w:vAlign w:val="bottom"/>
          </w:tcPr>
          <w:p w14:paraId="544B66C5" w14:textId="4C80E70E" w:rsidR="006553FF" w:rsidRPr="006B1199" w:rsidRDefault="006553FF" w:rsidP="00A44945">
            <w:pPr>
              <w:pStyle w:val="Tableheader"/>
              <w:rPr>
                <w:rFonts w:asciiTheme="majorHAnsi" w:hAnsiTheme="majorHAnsi"/>
              </w:rPr>
            </w:pPr>
            <w:r w:rsidRPr="00A4777F">
              <w:rPr>
                <w:rFonts w:asciiTheme="majorHAnsi" w:hAnsiTheme="majorHAnsi"/>
                <w:noProof/>
              </w:rPr>
              <w:drawing>
                <wp:inline distT="0" distB="0" distL="0" distR="0" wp14:anchorId="526F025F" wp14:editId="6C15F93F">
                  <wp:extent cx="365760" cy="365760"/>
                  <wp:effectExtent l="0" t="0" r="0" b="0"/>
                  <wp:docPr id="19" name="Graphic 19">
                    <a:extLst xmlns:a="http://schemas.openxmlformats.org/drawingml/2006/main">
                      <a:ext uri="{FF2B5EF4-FFF2-40B4-BE49-F238E27FC236}">
                        <a16:creationId xmlns:a16="http://schemas.microsoft.com/office/drawing/2014/main" id="{BCD42497-EFDB-776A-F937-A3A095242BE7}"/>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a:extLst>
                              <a:ext uri="{FF2B5EF4-FFF2-40B4-BE49-F238E27FC236}">
                                <a16:creationId xmlns:a16="http://schemas.microsoft.com/office/drawing/2014/main" id="{BCD42497-EFDB-776A-F937-A3A095242BE7}"/>
                              </a:ext>
                              <a:ext uri="{C183D7F6-B498-43B3-948B-1728B52AA6E4}">
                                <adec:decorative xmlns:adec="http://schemas.microsoft.com/office/drawing/2017/decorative" val="1"/>
                              </a:ext>
                            </a:extLst>
                          </pic:cNvPr>
                          <pic:cNvPicPr>
                            <a:picLocks noChangeAspect="1"/>
                          </pic:cNvPicPr>
                        </pic:nvPicPr>
                        <pic:blipFill>
                          <a:blip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5760" cy="365760"/>
                          </a:xfrm>
                          <a:prstGeom prst="rect">
                            <a:avLst/>
                          </a:prstGeom>
                        </pic:spPr>
                      </pic:pic>
                    </a:graphicData>
                  </a:graphic>
                </wp:inline>
              </w:drawing>
            </w:r>
            <w:r w:rsidRPr="00A4777F">
              <w:rPr>
                <w:rFonts w:asciiTheme="majorHAnsi" w:hAnsiTheme="majorHAnsi"/>
              </w:rPr>
              <w:t xml:space="preserve"> </w:t>
            </w:r>
          </w:p>
        </w:tc>
        <w:tc>
          <w:tcPr>
            <w:tcW w:w="4156" w:type="dxa"/>
            <w:vAlign w:val="bottom"/>
          </w:tcPr>
          <w:p w14:paraId="28E27145" w14:textId="055CF533" w:rsidR="006553FF" w:rsidRPr="00A4777F" w:rsidRDefault="006553FF" w:rsidP="00A44945">
            <w:pPr>
              <w:pStyle w:val="Tableheader"/>
              <w:rPr>
                <w:rFonts w:asciiTheme="majorHAnsi" w:hAnsiTheme="majorHAnsi"/>
              </w:rPr>
            </w:pPr>
            <w:r w:rsidRPr="00A4777F">
              <w:rPr>
                <w:rFonts w:asciiTheme="majorHAnsi" w:hAnsiTheme="majorHAnsi"/>
              </w:rPr>
              <w:t>Legislated assessment may not be appropriate when:</w:t>
            </w:r>
          </w:p>
        </w:tc>
      </w:tr>
      <w:tr w:rsidR="00846E6A" w14:paraId="18ED87B7" w14:textId="77777777" w:rsidTr="00A4777F">
        <w:tc>
          <w:tcPr>
            <w:tcW w:w="4050" w:type="dxa"/>
            <w:gridSpan w:val="2"/>
          </w:tcPr>
          <w:p w14:paraId="6B172D46" w14:textId="131F78BA" w:rsidR="007B1061" w:rsidRDefault="007B1061" w:rsidP="006553FF">
            <w:pPr>
              <w:pStyle w:val="Tablebullet"/>
            </w:pPr>
            <w:r>
              <w:t>The i</w:t>
            </w:r>
            <w:r w:rsidRPr="007B1061">
              <w:t>ncreased risk is clearly tied to identifiable objective characteristics</w:t>
            </w:r>
          </w:p>
          <w:p w14:paraId="61FC3839" w14:textId="0B78368F" w:rsidR="00846E6A" w:rsidRDefault="009B3BCF" w:rsidP="006553FF">
            <w:pPr>
              <w:pStyle w:val="Tablebullet"/>
            </w:pPr>
            <w:r>
              <w:t xml:space="preserve">The assessment is appropriate </w:t>
            </w:r>
            <w:r w:rsidR="00A74E05">
              <w:t>for application</w:t>
            </w:r>
            <w:r>
              <w:t xml:space="preserve"> to all </w:t>
            </w:r>
            <w:r w:rsidR="00A74E05">
              <w:t xml:space="preserve">potential </w:t>
            </w:r>
            <w:r>
              <w:t xml:space="preserve">applicants </w:t>
            </w:r>
          </w:p>
          <w:p w14:paraId="750017FC" w14:textId="21892A38" w:rsidR="00A74E05" w:rsidRPr="00354EAC" w:rsidRDefault="00A74E05" w:rsidP="006553FF">
            <w:pPr>
              <w:pStyle w:val="Tablebullet"/>
            </w:pPr>
            <w:r>
              <w:t>The regulatory and administrative burden created by the assessment is commensurate with the level of risk which the assessment seeks to mitigate</w:t>
            </w:r>
            <w:r w:rsidR="42DCA4C0" w:rsidRPr="413BE73B">
              <w:t>.</w:t>
            </w:r>
          </w:p>
        </w:tc>
        <w:tc>
          <w:tcPr>
            <w:tcW w:w="4966" w:type="dxa"/>
            <w:gridSpan w:val="2"/>
          </w:tcPr>
          <w:p w14:paraId="52C39674" w14:textId="1133201F" w:rsidR="0004648F" w:rsidRDefault="0004648F" w:rsidP="006553FF">
            <w:pPr>
              <w:pStyle w:val="Tablebullet"/>
            </w:pPr>
            <w:r>
              <w:t xml:space="preserve">Increased risk cannot be clearly tied to objective characteristics </w:t>
            </w:r>
          </w:p>
          <w:p w14:paraId="71EA2457" w14:textId="1DD1CB57" w:rsidR="00C213EB" w:rsidRDefault="00C213EB" w:rsidP="006553FF">
            <w:pPr>
              <w:pStyle w:val="Tablebullet"/>
            </w:pPr>
            <w:r>
              <w:t>The assessment is not appropriate for application to all potential applicants</w:t>
            </w:r>
          </w:p>
          <w:p w14:paraId="0464BE1E" w14:textId="7ACA7CC8" w:rsidR="00C213EB" w:rsidRDefault="00C213EB" w:rsidP="006553FF">
            <w:pPr>
              <w:pStyle w:val="Tablebullet"/>
            </w:pPr>
            <w:r>
              <w:t>The regulatory and administrative burden created by the assessment exceeds the level of risk which the assessment seeks to mitigate</w:t>
            </w:r>
          </w:p>
          <w:p w14:paraId="33D0E711" w14:textId="08A5914B" w:rsidR="00846E6A" w:rsidRPr="00E02A0F" w:rsidRDefault="009B3BCF" w:rsidP="006553FF">
            <w:pPr>
              <w:pStyle w:val="Tablebullet"/>
            </w:pPr>
            <w:r>
              <w:t>H</w:t>
            </w:r>
            <w:r w:rsidR="00846E6A" w:rsidRPr="00564811">
              <w:t>arm can be remedied in a timely, cost-effective way, including through existing regulatio</w:t>
            </w:r>
            <w:r w:rsidR="00846E6A">
              <w:t>n</w:t>
            </w:r>
          </w:p>
          <w:p w14:paraId="703D4732" w14:textId="36DB4DBE" w:rsidR="00846E6A" w:rsidRPr="008B1366" w:rsidRDefault="009B3BCF" w:rsidP="006553FF">
            <w:pPr>
              <w:pStyle w:val="Tablebullet"/>
            </w:pPr>
            <w:r>
              <w:t>T</w:t>
            </w:r>
            <w:r w:rsidR="00846E6A" w:rsidRPr="00564811">
              <w:t xml:space="preserve">he </w:t>
            </w:r>
            <w:r w:rsidR="001E5B3E">
              <w:t>assessment</w:t>
            </w:r>
            <w:r w:rsidR="00846E6A" w:rsidRPr="00564811">
              <w:t xml:space="preserve"> creates a barrier to entry to a profession or market that significantly reduces competitio</w:t>
            </w:r>
            <w:r w:rsidR="00846E6A">
              <w:t>n</w:t>
            </w:r>
          </w:p>
          <w:p w14:paraId="79E14910" w14:textId="379DDDE2" w:rsidR="00846E6A" w:rsidRPr="008B1366" w:rsidRDefault="009B3BCF" w:rsidP="006553FF">
            <w:pPr>
              <w:pStyle w:val="Tablebullet"/>
            </w:pPr>
            <w:r>
              <w:t>A</w:t>
            </w:r>
            <w:r w:rsidR="00846E6A" w:rsidRPr="00564811">
              <w:t xml:space="preserve"> product or service standard or other regulation could be used instead</w:t>
            </w:r>
            <w:r w:rsidR="00846E6A" w:rsidRPr="2EDF6A22">
              <w:t>,</w:t>
            </w:r>
            <w:r w:rsidR="00846E6A" w:rsidRPr="00564811">
              <w:t xml:space="preserve"> or</w:t>
            </w:r>
          </w:p>
          <w:p w14:paraId="1FA50640" w14:textId="2F53FFAB" w:rsidR="00846E6A" w:rsidRPr="00354EAC" w:rsidRDefault="009B3BCF" w:rsidP="006553FF">
            <w:pPr>
              <w:pStyle w:val="Tablebullet"/>
            </w:pPr>
            <w:r>
              <w:t>T</w:t>
            </w:r>
            <w:r w:rsidR="00846E6A" w:rsidRPr="00564811">
              <w:t xml:space="preserve">he need arises from a short-term issue. </w:t>
            </w:r>
          </w:p>
        </w:tc>
      </w:tr>
    </w:tbl>
    <w:p w14:paraId="759C3103" w14:textId="5A374E5D" w:rsidR="00E02A0F" w:rsidRPr="00564811" w:rsidRDefault="000F60E6" w:rsidP="00A4777F">
      <w:pPr>
        <w:keepNext/>
      </w:pPr>
      <w:r>
        <w:lastRenderedPageBreak/>
        <w:t xml:space="preserve">The </w:t>
      </w:r>
      <w:hyperlink r:id="rId43" w:history="1">
        <w:r w:rsidRPr="0029270B">
          <w:rPr>
            <w:rStyle w:val="Hyperlink"/>
          </w:rPr>
          <w:t>Victorian Framework for Fit and Proper Tests</w:t>
        </w:r>
      </w:hyperlink>
      <w:r w:rsidRPr="00536070">
        <w:rPr>
          <w:color w:val="0070C0"/>
        </w:rPr>
        <w:t xml:space="preserve"> </w:t>
      </w:r>
      <w:r w:rsidR="005C6E4D">
        <w:rPr>
          <w:lang w:val="en-US"/>
        </w:rPr>
        <w:t>provides</w:t>
      </w:r>
      <w:r w:rsidR="00FB36F3">
        <w:rPr>
          <w:lang w:val="en-US"/>
        </w:rPr>
        <w:t xml:space="preserve"> further</w:t>
      </w:r>
      <w:r w:rsidR="005C6E4D">
        <w:rPr>
          <w:lang w:val="en-US"/>
        </w:rPr>
        <w:t xml:space="preserve"> guidance for policymakers </w:t>
      </w:r>
      <w:r>
        <w:rPr>
          <w:lang w:val="en-US"/>
        </w:rPr>
        <w:t>in</w:t>
      </w:r>
      <w:r w:rsidRPr="000F60E6">
        <w:rPr>
          <w:lang w:val="en-US"/>
        </w:rPr>
        <w:t xml:space="preserve"> determin</w:t>
      </w:r>
      <w:r>
        <w:rPr>
          <w:lang w:val="en-US"/>
        </w:rPr>
        <w:t>ing</w:t>
      </w:r>
      <w:r w:rsidRPr="000F60E6">
        <w:rPr>
          <w:lang w:val="en-US"/>
        </w:rPr>
        <w:t xml:space="preserve"> the need for </w:t>
      </w:r>
      <w:r w:rsidR="005C6E4D">
        <w:rPr>
          <w:lang w:val="en-US"/>
        </w:rPr>
        <w:t>assessments, support</w:t>
      </w:r>
      <w:r w:rsidR="005F58B6">
        <w:rPr>
          <w:lang w:val="en-US"/>
        </w:rPr>
        <w:t>s</w:t>
      </w:r>
      <w:r w:rsidR="005C6E4D">
        <w:rPr>
          <w:lang w:val="en-US"/>
        </w:rPr>
        <w:t xml:space="preserve"> their </w:t>
      </w:r>
      <w:r w:rsidR="003575E3">
        <w:rPr>
          <w:lang w:val="en-US"/>
        </w:rPr>
        <w:t xml:space="preserve">effective </w:t>
      </w:r>
      <w:r w:rsidR="005C6E4D">
        <w:rPr>
          <w:lang w:val="en-US"/>
        </w:rPr>
        <w:t>design</w:t>
      </w:r>
      <w:r w:rsidR="000A3A25">
        <w:rPr>
          <w:lang w:val="en-US"/>
        </w:rPr>
        <w:t xml:space="preserve"> and</w:t>
      </w:r>
      <w:r w:rsidR="005F58B6">
        <w:rPr>
          <w:lang w:val="en-US"/>
        </w:rPr>
        <w:t xml:space="preserve"> </w:t>
      </w:r>
      <w:r w:rsidR="00A573AD">
        <w:rPr>
          <w:lang w:val="en-US"/>
        </w:rPr>
        <w:t xml:space="preserve">efficient administration. </w:t>
      </w:r>
      <w:r w:rsidR="003559E9" w:rsidRPr="00564811">
        <w:t xml:space="preserve">Where an assessment may not be appropriate, </w:t>
      </w:r>
      <w:r w:rsidR="007F10BD">
        <w:t xml:space="preserve">you should </w:t>
      </w:r>
      <w:r w:rsidR="00890617" w:rsidRPr="00564811">
        <w:t>consider other approaches outlined in th</w:t>
      </w:r>
      <w:r w:rsidR="00E93758">
        <w:t xml:space="preserve">e </w:t>
      </w:r>
      <w:hyperlink r:id="rId44" w:history="1">
        <w:r w:rsidR="00564811" w:rsidRPr="00AD7A87">
          <w:rPr>
            <w:rStyle w:val="Hyperlink"/>
          </w:rPr>
          <w:t>Victorian Permissions Framework</w:t>
        </w:r>
      </w:hyperlink>
      <w:r w:rsidR="00564811" w:rsidRPr="00564811">
        <w:t>.</w:t>
      </w:r>
      <w:r w:rsidR="00890617" w:rsidRPr="00564811">
        <w:t xml:space="preserve"> </w:t>
      </w:r>
    </w:p>
    <w:p w14:paraId="12260235" w14:textId="2DE0D66A" w:rsidR="006D19B1" w:rsidRDefault="00120686" w:rsidP="006F7CFD">
      <w:r>
        <w:t xml:space="preserve">After determining that an assessment is necessary, an applicant’s suitability should be assessed with </w:t>
      </w:r>
      <w:r w:rsidR="00AA73C9" w:rsidRPr="00560AC4">
        <w:t xml:space="preserve">reference to a selection of specified elements. The elements </w:t>
      </w:r>
      <w:r w:rsidR="006D19B1">
        <w:t>which form part of this assessment should</w:t>
      </w:r>
      <w:r w:rsidR="00175741">
        <w:t xml:space="preserve"> </w:t>
      </w:r>
      <w:r w:rsidR="000132DE">
        <w:t>be consistent</w:t>
      </w:r>
      <w:r w:rsidR="00175741">
        <w:t xml:space="preserve"> with </w:t>
      </w:r>
      <w:r w:rsidR="000132DE">
        <w:t xml:space="preserve">relevant </w:t>
      </w:r>
      <w:r w:rsidR="00175741">
        <w:t>best practice</w:t>
      </w:r>
      <w:r w:rsidR="000132DE">
        <w:t xml:space="preserve"> principles</w:t>
      </w:r>
      <w:r w:rsidR="00175741">
        <w:t xml:space="preserve">, </w:t>
      </w:r>
      <w:r w:rsidR="000132DE">
        <w:t xml:space="preserve">as outlined below. </w:t>
      </w:r>
    </w:p>
    <w:tbl>
      <w:tblPr>
        <w:tblStyle w:val="DTFtexttable"/>
        <w:tblW w:w="9026" w:type="dxa"/>
        <w:tblLayout w:type="fixed"/>
        <w:tblLook w:val="04A0" w:firstRow="1" w:lastRow="0" w:firstColumn="1" w:lastColumn="0" w:noHBand="0" w:noVBand="1"/>
      </w:tblPr>
      <w:tblGrid>
        <w:gridCol w:w="720"/>
        <w:gridCol w:w="1440"/>
        <w:gridCol w:w="6866"/>
      </w:tblGrid>
      <w:tr w:rsidR="00047775" w:rsidRPr="000357EF" w14:paraId="16166463" w14:textId="77777777" w:rsidTr="00C92181">
        <w:trPr>
          <w:cnfStyle w:val="100000000000" w:firstRow="1" w:lastRow="0" w:firstColumn="0" w:lastColumn="0" w:oddVBand="0" w:evenVBand="0" w:oddHBand="0" w:evenHBand="0" w:firstRowFirstColumn="0" w:firstRowLastColumn="0" w:lastRowFirstColumn="0" w:lastRowLastColumn="0"/>
          <w:trHeight w:val="946"/>
        </w:trPr>
        <w:tc>
          <w:tcPr>
            <w:cnfStyle w:val="001000000100" w:firstRow="0" w:lastRow="0" w:firstColumn="1" w:lastColumn="0" w:oddVBand="0" w:evenVBand="0" w:oddHBand="0" w:evenHBand="0" w:firstRowFirstColumn="1" w:firstRowLastColumn="0" w:lastRowFirstColumn="0" w:lastRowLastColumn="0"/>
            <w:tcW w:w="720" w:type="dxa"/>
            <w:vAlign w:val="center"/>
          </w:tcPr>
          <w:p w14:paraId="7D0D5B8D" w14:textId="2AFB5E86" w:rsidR="00047775" w:rsidRPr="000357EF" w:rsidRDefault="00047775" w:rsidP="00C92181">
            <w:pPr>
              <w:spacing w:before="240"/>
              <w:contextualSpacing/>
              <w:rPr>
                <w:rFonts w:ascii="Arial" w:hAnsi="Arial" w:cs="Arial"/>
                <w:b/>
                <w:bCs/>
                <w:sz w:val="18"/>
                <w:szCs w:val="18"/>
              </w:rPr>
            </w:pPr>
            <w:r w:rsidRPr="00646ED8">
              <w:rPr>
                <w:rFonts w:ascii="Arial" w:hAnsi="Arial" w:cs="Arial"/>
                <w:b/>
                <w:bCs/>
                <w:noProof/>
                <w:sz w:val="18"/>
                <w:szCs w:val="18"/>
              </w:rPr>
              <w:drawing>
                <wp:inline distT="0" distB="0" distL="0" distR="0" wp14:anchorId="37C7D02E" wp14:editId="600E6CD9">
                  <wp:extent cx="365760" cy="365760"/>
                  <wp:effectExtent l="0" t="0" r="0" b="0"/>
                  <wp:docPr id="36" name="Graphic 36" descr="Magnifying glass with solid fill">
                    <a:extLst xmlns:a="http://schemas.openxmlformats.org/drawingml/2006/main">
                      <a:ext uri="{FF2B5EF4-FFF2-40B4-BE49-F238E27FC236}">
                        <a16:creationId xmlns:a16="http://schemas.microsoft.com/office/drawing/2014/main" id="{BE99A7E1-F806-AB04-29D2-AC7223C417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4" descr="Magnifying glass with solid fill">
                            <a:extLst>
                              <a:ext uri="{FF2B5EF4-FFF2-40B4-BE49-F238E27FC236}">
                                <a16:creationId xmlns:a16="http://schemas.microsoft.com/office/drawing/2014/main" id="{BE99A7E1-F806-AB04-29D2-AC7223C417B8}"/>
                              </a:ext>
                            </a:extLst>
                          </pic:cNvPr>
                          <pic:cNvPicPr>
                            <a:picLocks noChangeAspect="1"/>
                          </pic:cNvPicPr>
                        </pic:nvPicPr>
                        <pic:blipFill>
                          <a:blip r:embed="rId33">
                            <a:extLst>
                              <a:ext uri="{96DAC541-7B7A-43D3-8B79-37D633B846F1}">
                                <asvg:svgBlip xmlns:asvg="http://schemas.microsoft.com/office/drawing/2016/SVG/main" r:embed="rId34"/>
                              </a:ext>
                            </a:extLst>
                          </a:blip>
                          <a:stretch>
                            <a:fillRect/>
                          </a:stretch>
                        </pic:blipFill>
                        <pic:spPr>
                          <a:xfrm>
                            <a:off x="0" y="0"/>
                            <a:ext cx="365760" cy="365760"/>
                          </a:xfrm>
                          <a:prstGeom prst="rect">
                            <a:avLst/>
                          </a:prstGeom>
                        </pic:spPr>
                      </pic:pic>
                    </a:graphicData>
                  </a:graphic>
                </wp:inline>
              </w:drawing>
            </w:r>
          </w:p>
        </w:tc>
        <w:tc>
          <w:tcPr>
            <w:tcW w:w="1440" w:type="dxa"/>
            <w:vAlign w:val="center"/>
          </w:tcPr>
          <w:p w14:paraId="047E24BD" w14:textId="46B868E4" w:rsidR="00047775" w:rsidRPr="00047775" w:rsidRDefault="00047775" w:rsidP="00C92181">
            <w:pPr>
              <w:pStyle w:val="Table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047775">
              <w:rPr>
                <w:rFonts w:asciiTheme="majorHAnsi" w:hAnsiTheme="majorHAnsi"/>
              </w:rPr>
              <w:t>Proportionality in practice</w:t>
            </w:r>
          </w:p>
        </w:tc>
        <w:tc>
          <w:tcPr>
            <w:tcW w:w="6866" w:type="dxa"/>
            <w:shd w:val="clear" w:color="auto" w:fill="auto"/>
          </w:tcPr>
          <w:p w14:paraId="5883BFAE" w14:textId="09DDB9A5" w:rsidR="00047775" w:rsidRPr="00047775" w:rsidRDefault="00047775" w:rsidP="006553FF">
            <w:pPr>
              <w:pStyle w:val="Tabletext"/>
              <w:cnfStyle w:val="100000000000" w:firstRow="1" w:lastRow="0" w:firstColumn="0" w:lastColumn="0" w:oddVBand="0" w:evenVBand="0" w:oddHBand="0" w:evenHBand="0" w:firstRowFirstColumn="0" w:firstRowLastColumn="0" w:lastRowFirstColumn="0" w:lastRowLastColumn="0"/>
            </w:pPr>
            <w:r w:rsidRPr="00047775">
              <w:t xml:space="preserve">The elements selected should </w:t>
            </w:r>
            <w:r w:rsidRPr="00455055">
              <w:rPr>
                <w:rFonts w:asciiTheme="majorHAnsi" w:hAnsiTheme="majorHAnsi"/>
              </w:rPr>
              <w:t>reflect the graduated scale of risk which they seek to mitigate</w:t>
            </w:r>
            <w:r w:rsidRPr="00047775">
              <w:t>.</w:t>
            </w:r>
          </w:p>
          <w:p w14:paraId="74280DC0" w14:textId="6A8E611F" w:rsidR="00047775" w:rsidRPr="00047775" w:rsidRDefault="00047775" w:rsidP="006553FF">
            <w:pPr>
              <w:pStyle w:val="Tabletext"/>
              <w:cnfStyle w:val="100000000000" w:firstRow="1" w:lastRow="0" w:firstColumn="0" w:lastColumn="0" w:oddVBand="0" w:evenVBand="0" w:oddHBand="0" w:evenHBand="0" w:firstRowFirstColumn="0" w:firstRowLastColumn="0" w:lastRowFirstColumn="0" w:lastRowLastColumn="0"/>
            </w:pPr>
            <w:r w:rsidRPr="00047775">
              <w:t xml:space="preserve">For example, lower risk general business licensing activities should be assessed with reference to baseline elements and, if necessary, a selection of relevant standard elements. </w:t>
            </w:r>
          </w:p>
          <w:p w14:paraId="76542B84" w14:textId="1A2DB14E" w:rsidR="00047775" w:rsidRPr="00047775" w:rsidRDefault="00047775" w:rsidP="006553FF">
            <w:pPr>
              <w:pStyle w:val="Tabletext"/>
              <w:cnfStyle w:val="100000000000" w:firstRow="1" w:lastRow="0" w:firstColumn="0" w:lastColumn="0" w:oddVBand="0" w:evenVBand="0" w:oddHBand="0" w:evenHBand="0" w:firstRowFirstColumn="0" w:firstRowLastColumn="0" w:lastRowFirstColumn="0" w:lastRowLastColumn="0"/>
            </w:pPr>
            <w:r w:rsidRPr="00047775">
              <w:t xml:space="preserve">In higher risk environments, such as firearms licencing or adoption of a child, bespoke and extraordinary elements may be relevant. </w:t>
            </w:r>
          </w:p>
        </w:tc>
      </w:tr>
      <w:tr w:rsidR="00FF0836" w:rsidRPr="000357EF" w14:paraId="346E52DE" w14:textId="77777777" w:rsidTr="00FF0836">
        <w:trPr>
          <w:trHeight w:val="946"/>
        </w:trPr>
        <w:tc>
          <w:tcPr>
            <w:cnfStyle w:val="001000000000" w:firstRow="0" w:lastRow="0" w:firstColumn="1" w:lastColumn="0" w:oddVBand="0" w:evenVBand="0" w:oddHBand="0" w:evenHBand="0" w:firstRowFirstColumn="0" w:firstRowLastColumn="0" w:lastRowFirstColumn="0" w:lastRowLastColumn="0"/>
            <w:tcW w:w="720" w:type="dxa"/>
            <w:shd w:val="clear" w:color="auto" w:fill="C2EBFA" w:themeFill="background2"/>
            <w:vAlign w:val="center"/>
          </w:tcPr>
          <w:p w14:paraId="4DC96AB4" w14:textId="487A1DA7" w:rsidR="00FF0836" w:rsidRPr="00646ED8" w:rsidRDefault="00FF0836" w:rsidP="00C92181">
            <w:pPr>
              <w:spacing w:before="240"/>
              <w:contextualSpacing/>
              <w:rPr>
                <w:rFonts w:ascii="Arial" w:hAnsi="Arial" w:cs="Arial"/>
                <w:b/>
                <w:bCs/>
                <w:noProof/>
                <w:sz w:val="18"/>
                <w:szCs w:val="18"/>
              </w:rPr>
            </w:pPr>
            <w:r w:rsidRPr="00646ED8">
              <w:rPr>
                <w:rFonts w:ascii="Arial" w:hAnsi="Arial" w:cs="Arial"/>
                <w:b/>
                <w:bCs/>
                <w:noProof/>
                <w:sz w:val="18"/>
                <w:szCs w:val="18"/>
              </w:rPr>
              <w:drawing>
                <wp:inline distT="0" distB="0" distL="0" distR="0" wp14:anchorId="0FD06BFC" wp14:editId="5F695179">
                  <wp:extent cx="365760" cy="365760"/>
                  <wp:effectExtent l="0" t="0" r="0" b="0"/>
                  <wp:docPr id="37" name="Graphic 37" descr="Eye Scan with solid fill">
                    <a:extLst xmlns:a="http://schemas.openxmlformats.org/drawingml/2006/main">
                      <a:ext uri="{FF2B5EF4-FFF2-40B4-BE49-F238E27FC236}">
                        <a16:creationId xmlns:a16="http://schemas.microsoft.com/office/drawing/2014/main" id="{3388C8CE-516B-59B2-2B24-208B36E1C2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0" descr="Eye Scan with solid fill">
                            <a:extLst>
                              <a:ext uri="{FF2B5EF4-FFF2-40B4-BE49-F238E27FC236}">
                                <a16:creationId xmlns:a16="http://schemas.microsoft.com/office/drawing/2014/main" id="{3388C8CE-516B-59B2-2B24-208B36E1C287}"/>
                              </a:ext>
                            </a:extLst>
                          </pic:cNvPr>
                          <pic:cNvPicPr>
                            <a:picLocks noChangeAspect="1"/>
                          </pic:cNvPicPr>
                        </pic:nvPicPr>
                        <pic:blipFill>
                          <a:blip r:embed="rId35">
                            <a:extLst>
                              <a:ext uri="{96DAC541-7B7A-43D3-8B79-37D633B846F1}">
                                <asvg:svgBlip xmlns:asvg="http://schemas.microsoft.com/office/drawing/2016/SVG/main" r:embed="rId36"/>
                              </a:ext>
                            </a:extLst>
                          </a:blip>
                          <a:stretch>
                            <a:fillRect/>
                          </a:stretch>
                        </pic:blipFill>
                        <pic:spPr>
                          <a:xfrm>
                            <a:off x="0" y="0"/>
                            <a:ext cx="365760" cy="365760"/>
                          </a:xfrm>
                          <a:prstGeom prst="rect">
                            <a:avLst/>
                          </a:prstGeom>
                        </pic:spPr>
                      </pic:pic>
                    </a:graphicData>
                  </a:graphic>
                </wp:inline>
              </w:drawing>
            </w:r>
          </w:p>
        </w:tc>
        <w:tc>
          <w:tcPr>
            <w:tcW w:w="1440" w:type="dxa"/>
            <w:shd w:val="clear" w:color="auto" w:fill="C2EBFA" w:themeFill="background2"/>
            <w:vAlign w:val="center"/>
          </w:tcPr>
          <w:p w14:paraId="430F4BDD" w14:textId="58EAB891" w:rsidR="00FF0836" w:rsidRPr="00FF0836" w:rsidRDefault="00FF0836" w:rsidP="00C92181">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FF0836">
              <w:rPr>
                <w:rFonts w:asciiTheme="majorHAnsi" w:hAnsiTheme="majorHAnsi" w:cs="Arial"/>
                <w:szCs w:val="17"/>
              </w:rPr>
              <w:t>Objectivity in practice</w:t>
            </w:r>
          </w:p>
        </w:tc>
        <w:tc>
          <w:tcPr>
            <w:tcW w:w="6866" w:type="dxa"/>
            <w:shd w:val="clear" w:color="auto" w:fill="auto"/>
          </w:tcPr>
          <w:p w14:paraId="327137BF" w14:textId="020D6EED" w:rsidR="00FF0836" w:rsidRPr="00AF66A6" w:rsidRDefault="00FF0836" w:rsidP="00FF0836">
            <w:pPr>
              <w:pStyle w:val="Tabletext"/>
              <w:cnfStyle w:val="000000000000" w:firstRow="0" w:lastRow="0" w:firstColumn="0" w:lastColumn="0" w:oddVBand="0" w:evenVBand="0" w:oddHBand="0" w:evenHBand="0" w:firstRowFirstColumn="0" w:firstRowLastColumn="0" w:lastRowFirstColumn="0" w:lastRowLastColumn="0"/>
            </w:pPr>
            <w:r w:rsidRPr="00AF66A6">
              <w:t xml:space="preserve">The nature of the elements considered in an assessment should be </w:t>
            </w:r>
            <w:r w:rsidRPr="00AF66A6">
              <w:rPr>
                <w:rFonts w:asciiTheme="majorHAnsi" w:hAnsiTheme="majorHAnsi"/>
                <w:iCs/>
              </w:rPr>
              <w:t>capable of verification through collection of facts and evidence</w:t>
            </w:r>
            <w:r w:rsidR="00995680">
              <w:t xml:space="preserve">. </w:t>
            </w:r>
          </w:p>
          <w:p w14:paraId="3C74605F" w14:textId="77777777" w:rsidR="00FF0836" w:rsidRPr="00AF66A6" w:rsidRDefault="00FF0836" w:rsidP="00FF0836">
            <w:pPr>
              <w:pStyle w:val="Tabletext"/>
              <w:cnfStyle w:val="000000000000" w:firstRow="0" w:lastRow="0" w:firstColumn="0" w:lastColumn="0" w:oddVBand="0" w:evenVBand="0" w:oddHBand="0" w:evenHBand="0" w:firstRowFirstColumn="0" w:firstRowLastColumn="0" w:lastRowFirstColumn="0" w:lastRowLastColumn="0"/>
            </w:pPr>
            <w:r w:rsidRPr="00AF66A6">
              <w:t xml:space="preserve">Subjective criteria, such as assessments of good character, integrity and honesty, should be avoided unless required in exceptional circumstances. </w:t>
            </w:r>
          </w:p>
          <w:p w14:paraId="57A1E903" w14:textId="77777777" w:rsidR="00FF0836" w:rsidRPr="00AF66A6" w:rsidRDefault="00FF0836" w:rsidP="00FF0836">
            <w:pPr>
              <w:pStyle w:val="Tabletext"/>
              <w:cnfStyle w:val="000000000000" w:firstRow="0" w:lastRow="0" w:firstColumn="0" w:lastColumn="0" w:oddVBand="0" w:evenVBand="0" w:oddHBand="0" w:evenHBand="0" w:firstRowFirstColumn="0" w:firstRowLastColumn="0" w:lastRowFirstColumn="0" w:lastRowLastColumn="0"/>
            </w:pPr>
            <w:r w:rsidRPr="00AF66A6">
              <w:t xml:space="preserve">Not only should elements be objective, but they should be objectively applied where possible (meaning regulators should not generally have discretion to choose which elements to have regard to and which to disregard, unless they are not applicable to the applicant). </w:t>
            </w:r>
          </w:p>
          <w:p w14:paraId="3CDE3A46" w14:textId="79750362" w:rsidR="00FF0836" w:rsidRPr="00047775" w:rsidRDefault="00FF0836" w:rsidP="00FF0836">
            <w:pPr>
              <w:pStyle w:val="Tabletext"/>
              <w:cnfStyle w:val="000000000000" w:firstRow="0" w:lastRow="0" w:firstColumn="0" w:lastColumn="0" w:oddVBand="0" w:evenVBand="0" w:oddHBand="0" w:evenHBand="0" w:firstRowFirstColumn="0" w:firstRowLastColumn="0" w:lastRowFirstColumn="0" w:lastRowLastColumn="0"/>
            </w:pPr>
            <w:r w:rsidRPr="00AF66A6">
              <w:t xml:space="preserve">A desire for subjectively applied elements may indicate that the scheme has not adopted the minimum number of necessary </w:t>
            </w:r>
            <w:proofErr w:type="gramStart"/>
            <w:r w:rsidRPr="00AF66A6">
              <w:t>elements, and</w:t>
            </w:r>
            <w:proofErr w:type="gramEnd"/>
            <w:r w:rsidRPr="00AF66A6">
              <w:t xml:space="preserve"> is seeking to achieve through an enlarged assessment process what should be addressed with other tools.</w:t>
            </w:r>
          </w:p>
        </w:tc>
      </w:tr>
    </w:tbl>
    <w:p w14:paraId="6AEF3B13" w14:textId="77777777" w:rsidR="00C92181" w:rsidRDefault="00C92181" w:rsidP="00467EF9">
      <w:pPr>
        <w:pStyle w:val="Spacer"/>
      </w:pPr>
    </w:p>
    <w:p w14:paraId="3263E1E4" w14:textId="5D27A2EB" w:rsidR="00F8056D" w:rsidRDefault="000947D5" w:rsidP="0075052E">
      <w:pPr>
        <w:pageBreakBefore/>
      </w:pPr>
      <w:r>
        <w:lastRenderedPageBreak/>
        <w:t>To support design of a best practice assessment,</w:t>
      </w:r>
      <w:r w:rsidR="00F42674" w:rsidRPr="00560AC4">
        <w:t xml:space="preserve"> elements </w:t>
      </w:r>
      <w:r>
        <w:t xml:space="preserve">can be categorised </w:t>
      </w:r>
      <w:r w:rsidR="00F42674" w:rsidRPr="00560AC4">
        <w:t xml:space="preserve">as baseline, standard, bespoke or extraordinary. </w:t>
      </w:r>
      <w:r w:rsidR="00847A49">
        <w:t>These categories are defined below</w:t>
      </w:r>
      <w:r w:rsidR="00F8056D">
        <w:t xml:space="preserve">. </w:t>
      </w:r>
    </w:p>
    <w:tbl>
      <w:tblPr>
        <w:tblStyle w:val="DTFtexttable"/>
        <w:tblW w:w="0" w:type="auto"/>
        <w:tblLook w:val="04A0" w:firstRow="1" w:lastRow="0" w:firstColumn="1" w:lastColumn="0" w:noHBand="0" w:noVBand="1"/>
      </w:tblPr>
      <w:tblGrid>
        <w:gridCol w:w="562"/>
        <w:gridCol w:w="1624"/>
        <w:gridCol w:w="2199"/>
        <w:gridCol w:w="2278"/>
        <w:gridCol w:w="2363"/>
      </w:tblGrid>
      <w:tr w:rsidR="001F5760" w:rsidRPr="00663466" w14:paraId="10FCEAD7" w14:textId="77777777" w:rsidTr="00FD7654">
        <w:trPr>
          <w:cnfStyle w:val="100000000000" w:firstRow="1" w:lastRow="0" w:firstColumn="0" w:lastColumn="0" w:oddVBand="0" w:evenVBand="0" w:oddHBand="0" w:evenHBand="0" w:firstRowFirstColumn="0" w:firstRowLastColumn="0" w:lastRowFirstColumn="0" w:lastRowLastColumn="0"/>
          <w:trHeight w:val="1287"/>
        </w:trPr>
        <w:tc>
          <w:tcPr>
            <w:cnfStyle w:val="001000000100" w:firstRow="0" w:lastRow="0" w:firstColumn="1" w:lastColumn="0" w:oddVBand="0" w:evenVBand="0" w:oddHBand="0" w:evenHBand="0" w:firstRowFirstColumn="1" w:firstRowLastColumn="0" w:lastRowFirstColumn="0" w:lastRowLastColumn="0"/>
            <w:tcW w:w="0" w:type="auto"/>
            <w:shd w:val="clear" w:color="auto" w:fill="0072CE" w:themeFill="accent1"/>
            <w:textDirection w:val="btLr"/>
            <w:hideMark/>
          </w:tcPr>
          <w:p w14:paraId="2E639386" w14:textId="77777777" w:rsidR="00117C8A" w:rsidRPr="00467EF9" w:rsidRDefault="00117C8A" w:rsidP="00467EF9">
            <w:pPr>
              <w:pStyle w:val="Tableheader"/>
              <w:ind w:left="144"/>
              <w:rPr>
                <w:rFonts w:asciiTheme="majorHAnsi" w:hAnsiTheme="majorHAnsi"/>
                <w:color w:val="FFFFFF" w:themeColor="background1"/>
              </w:rPr>
            </w:pPr>
            <w:r w:rsidRPr="00467EF9">
              <w:rPr>
                <w:rFonts w:asciiTheme="majorHAnsi" w:hAnsiTheme="majorHAnsi"/>
                <w:color w:val="FFFFFF" w:themeColor="background1"/>
              </w:rPr>
              <w:t>Category</w:t>
            </w:r>
          </w:p>
        </w:tc>
        <w:tc>
          <w:tcPr>
            <w:tcW w:w="0" w:type="auto"/>
            <w:shd w:val="clear" w:color="auto" w:fill="48ADFF" w:themeFill="accent1" w:themeFillTint="99"/>
            <w:vAlign w:val="bottom"/>
            <w:hideMark/>
          </w:tcPr>
          <w:p w14:paraId="3D1F372C" w14:textId="77777777" w:rsidR="00117C8A" w:rsidRPr="00467EF9" w:rsidRDefault="00117C8A" w:rsidP="00732ADF">
            <w:pPr>
              <w:pStyle w:val="Tablehead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467EF9">
              <w:rPr>
                <w:rFonts w:asciiTheme="majorHAnsi" w:hAnsiTheme="majorHAnsi"/>
              </w:rPr>
              <w:t>Level 1: Baseline elements</w:t>
            </w:r>
          </w:p>
        </w:tc>
        <w:tc>
          <w:tcPr>
            <w:tcW w:w="0" w:type="auto"/>
            <w:vAlign w:val="bottom"/>
            <w:hideMark/>
          </w:tcPr>
          <w:p w14:paraId="7194755D" w14:textId="77777777" w:rsidR="00117C8A" w:rsidRPr="00467EF9" w:rsidRDefault="00117C8A" w:rsidP="00732ADF">
            <w:pPr>
              <w:pStyle w:val="Tablehead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467EF9">
              <w:rPr>
                <w:rFonts w:asciiTheme="majorHAnsi" w:hAnsiTheme="majorHAnsi"/>
              </w:rPr>
              <w:t>Level 2: Standard elements</w:t>
            </w:r>
          </w:p>
        </w:tc>
        <w:tc>
          <w:tcPr>
            <w:tcW w:w="2278" w:type="dxa"/>
            <w:shd w:val="clear" w:color="auto" w:fill="E5ED9F" w:themeFill="accent6" w:themeFillTint="99"/>
            <w:vAlign w:val="bottom"/>
            <w:hideMark/>
          </w:tcPr>
          <w:p w14:paraId="67675D94" w14:textId="51527E42" w:rsidR="00117C8A" w:rsidRPr="00467EF9" w:rsidRDefault="001021EE" w:rsidP="00732ADF">
            <w:pPr>
              <w:pStyle w:val="Tablehead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467EF9">
              <w:rPr>
                <w:rFonts w:asciiTheme="majorHAnsi" w:hAnsiTheme="majorHAnsi"/>
              </w:rPr>
              <w:t xml:space="preserve">Level 3: Bespoke </w:t>
            </w:r>
            <w:r w:rsidR="006D1F5E">
              <w:rPr>
                <w:rFonts w:asciiTheme="majorHAnsi" w:hAnsiTheme="majorHAnsi"/>
              </w:rPr>
              <w:t>elements</w:t>
            </w:r>
          </w:p>
        </w:tc>
        <w:tc>
          <w:tcPr>
            <w:tcW w:w="2363" w:type="dxa"/>
            <w:shd w:val="clear" w:color="auto" w:fill="E7D1EB"/>
            <w:vAlign w:val="bottom"/>
            <w:hideMark/>
          </w:tcPr>
          <w:p w14:paraId="037DED15" w14:textId="77777777" w:rsidR="00117C8A" w:rsidRPr="00467EF9" w:rsidRDefault="00117C8A" w:rsidP="00732ADF">
            <w:pPr>
              <w:pStyle w:val="Tablehead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467EF9">
              <w:rPr>
                <w:rFonts w:asciiTheme="majorHAnsi" w:hAnsiTheme="majorHAnsi"/>
              </w:rPr>
              <w:t>Level 4: Extraordinary elements</w:t>
            </w:r>
          </w:p>
        </w:tc>
      </w:tr>
      <w:tr w:rsidR="00732ADF" w:rsidRPr="00663466" w14:paraId="0266CDE7" w14:textId="77777777" w:rsidTr="00FD7654">
        <w:trPr>
          <w:trHeight w:val="1302"/>
        </w:trPr>
        <w:tc>
          <w:tcPr>
            <w:cnfStyle w:val="001000000000" w:firstRow="0" w:lastRow="0" w:firstColumn="1" w:lastColumn="0" w:oddVBand="0" w:evenVBand="0" w:oddHBand="0" w:evenHBand="0" w:firstRowFirstColumn="0" w:firstRowLastColumn="0" w:lastRowFirstColumn="0" w:lastRowLastColumn="0"/>
            <w:tcW w:w="0" w:type="auto"/>
            <w:shd w:val="clear" w:color="auto" w:fill="0072CE" w:themeFill="accent1"/>
            <w:textDirection w:val="btLr"/>
            <w:hideMark/>
          </w:tcPr>
          <w:p w14:paraId="51C9F406" w14:textId="77777777" w:rsidR="00117C8A" w:rsidRPr="00F102AD" w:rsidRDefault="00117C8A" w:rsidP="0054545B">
            <w:pPr>
              <w:pStyle w:val="Tabletext"/>
              <w:jc w:val="center"/>
              <w:rPr>
                <w:rFonts w:asciiTheme="majorHAnsi" w:hAnsiTheme="majorHAnsi"/>
                <w:color w:val="FFFFFF" w:themeColor="background1"/>
                <w:sz w:val="18"/>
                <w:szCs w:val="18"/>
              </w:rPr>
            </w:pPr>
            <w:r w:rsidRPr="00F102AD">
              <w:rPr>
                <w:rFonts w:asciiTheme="majorHAnsi" w:hAnsiTheme="majorHAnsi"/>
                <w:color w:val="FFFFFF" w:themeColor="background1"/>
                <w:sz w:val="18"/>
                <w:szCs w:val="18"/>
              </w:rPr>
              <w:t>Definition</w:t>
            </w:r>
          </w:p>
        </w:tc>
        <w:tc>
          <w:tcPr>
            <w:tcW w:w="0" w:type="auto"/>
            <w:shd w:val="clear" w:color="auto" w:fill="C2E3FF" w:themeFill="accent1" w:themeFillTint="33"/>
            <w:hideMark/>
          </w:tcPr>
          <w:p w14:paraId="4BA373AE" w14:textId="77777777" w:rsidR="00117C8A" w:rsidRPr="00663466" w:rsidRDefault="00117C8A" w:rsidP="00732ADF">
            <w:pPr>
              <w:pStyle w:val="Tabletext"/>
              <w:cnfStyle w:val="000000000000" w:firstRow="0" w:lastRow="0" w:firstColumn="0" w:lastColumn="0" w:oddVBand="0" w:evenVBand="0" w:oddHBand="0" w:evenHBand="0" w:firstRowFirstColumn="0" w:firstRowLastColumn="0" w:lastRowFirstColumn="0" w:lastRowLastColumn="0"/>
            </w:pPr>
            <w:r w:rsidRPr="00663466">
              <w:t>Elements reflect the minimum information required to undertake an FPT.</w:t>
            </w:r>
          </w:p>
        </w:tc>
        <w:tc>
          <w:tcPr>
            <w:tcW w:w="0" w:type="auto"/>
            <w:shd w:val="clear" w:color="auto" w:fill="E0F5FC" w:themeFill="accent2" w:themeFillTint="33"/>
            <w:hideMark/>
          </w:tcPr>
          <w:p w14:paraId="5899AA75" w14:textId="77777777" w:rsidR="00117C8A" w:rsidRPr="00663466" w:rsidRDefault="00117C8A" w:rsidP="00732ADF">
            <w:pPr>
              <w:pStyle w:val="Tabletext"/>
              <w:cnfStyle w:val="000000000000" w:firstRow="0" w:lastRow="0" w:firstColumn="0" w:lastColumn="0" w:oddVBand="0" w:evenVBand="0" w:oddHBand="0" w:evenHBand="0" w:firstRowFirstColumn="0" w:firstRowLastColumn="0" w:lastRowFirstColumn="0" w:lastRowLastColumn="0"/>
            </w:pPr>
            <w:r w:rsidRPr="00663466">
              <w:t xml:space="preserve">Elements are a relevant and necessary consideration in a range of circumstances, where identified risks cannot be sufficiently mitigated through baseline elements. </w:t>
            </w:r>
          </w:p>
        </w:tc>
        <w:tc>
          <w:tcPr>
            <w:tcW w:w="2278" w:type="dxa"/>
            <w:shd w:val="clear" w:color="auto" w:fill="F6F9DF" w:themeFill="accent6" w:themeFillTint="33"/>
            <w:hideMark/>
          </w:tcPr>
          <w:p w14:paraId="1A2D38F3" w14:textId="77777777" w:rsidR="00117C8A" w:rsidRPr="00663466" w:rsidRDefault="00117C8A" w:rsidP="00732ADF">
            <w:pPr>
              <w:pStyle w:val="Tabletext"/>
              <w:cnfStyle w:val="000000000000" w:firstRow="0" w:lastRow="0" w:firstColumn="0" w:lastColumn="0" w:oddVBand="0" w:evenVBand="0" w:oddHBand="0" w:evenHBand="0" w:firstRowFirstColumn="0" w:firstRowLastColumn="0" w:lastRowFirstColumn="0" w:lastRowLastColumn="0"/>
            </w:pPr>
            <w:r w:rsidRPr="00663466">
              <w:t>Elements are relevant and necessary in a limited range of circumstances, where a customised FPT is required to address identified risks.</w:t>
            </w:r>
          </w:p>
        </w:tc>
        <w:tc>
          <w:tcPr>
            <w:tcW w:w="2363" w:type="dxa"/>
            <w:shd w:val="clear" w:color="auto" w:fill="F3E7F5"/>
            <w:hideMark/>
          </w:tcPr>
          <w:p w14:paraId="53EE9213" w14:textId="77777777" w:rsidR="00117C8A" w:rsidRPr="00663466" w:rsidRDefault="00117C8A" w:rsidP="00732ADF">
            <w:pPr>
              <w:pStyle w:val="Tabletext"/>
              <w:cnfStyle w:val="000000000000" w:firstRow="0" w:lastRow="0" w:firstColumn="0" w:lastColumn="0" w:oddVBand="0" w:evenVBand="0" w:oddHBand="0" w:evenHBand="0" w:firstRowFirstColumn="0" w:firstRowLastColumn="0" w:lastRowFirstColumn="0" w:lastRowLastColumn="0"/>
            </w:pPr>
            <w:r w:rsidRPr="00663466">
              <w:t>The subjective nature of the elements means inclusion in an FPT should only occur in high-risk environments, where no other elements can address the identified risks.</w:t>
            </w:r>
          </w:p>
        </w:tc>
      </w:tr>
      <w:tr w:rsidR="00F7667D" w:rsidRPr="00663466" w14:paraId="0083A5BE" w14:textId="77777777" w:rsidTr="00FD7654">
        <w:trPr>
          <w:cnfStyle w:val="000000010000" w:firstRow="0" w:lastRow="0" w:firstColumn="0" w:lastColumn="0" w:oddVBand="0" w:evenVBand="0" w:oddHBand="0" w:evenHBand="1" w:firstRowFirstColumn="0" w:firstRowLastColumn="0" w:lastRowFirstColumn="0" w:lastRowLastColumn="0"/>
          <w:trHeight w:val="2418"/>
        </w:trPr>
        <w:tc>
          <w:tcPr>
            <w:cnfStyle w:val="001000000000" w:firstRow="0" w:lastRow="0" w:firstColumn="1" w:lastColumn="0" w:oddVBand="0" w:evenVBand="0" w:oddHBand="0" w:evenHBand="0" w:firstRowFirstColumn="0" w:firstRowLastColumn="0" w:lastRowFirstColumn="0" w:lastRowLastColumn="0"/>
            <w:tcW w:w="0" w:type="auto"/>
            <w:shd w:val="clear" w:color="auto" w:fill="0072CE" w:themeFill="accent1"/>
            <w:textDirection w:val="btLr"/>
            <w:hideMark/>
          </w:tcPr>
          <w:p w14:paraId="3CF5D915" w14:textId="6C31DC2F" w:rsidR="00117C8A" w:rsidRPr="00F102AD" w:rsidRDefault="00117C8A" w:rsidP="0054545B">
            <w:pPr>
              <w:pStyle w:val="Tabletext"/>
              <w:jc w:val="center"/>
              <w:rPr>
                <w:rFonts w:asciiTheme="majorHAnsi" w:hAnsiTheme="majorHAnsi"/>
                <w:color w:val="FFFFFF" w:themeColor="background1"/>
                <w:sz w:val="18"/>
                <w:szCs w:val="18"/>
              </w:rPr>
            </w:pPr>
            <w:r w:rsidRPr="00F102AD">
              <w:rPr>
                <w:rFonts w:asciiTheme="majorHAnsi" w:hAnsiTheme="majorHAnsi"/>
                <w:color w:val="FFFFFF" w:themeColor="background1"/>
                <w:sz w:val="18"/>
                <w:szCs w:val="18"/>
              </w:rPr>
              <w:t>Example</w:t>
            </w:r>
          </w:p>
        </w:tc>
        <w:tc>
          <w:tcPr>
            <w:tcW w:w="0" w:type="auto"/>
            <w:shd w:val="clear" w:color="auto" w:fill="A3D5FF"/>
            <w:hideMark/>
          </w:tcPr>
          <w:p w14:paraId="3E95BD05" w14:textId="63004BCB" w:rsidR="00117C8A" w:rsidRPr="00732ADF" w:rsidRDefault="00117C8A" w:rsidP="00732ADF">
            <w:pPr>
              <w:pStyle w:val="Tabletext"/>
              <w:cnfStyle w:val="000000010000" w:firstRow="0" w:lastRow="0" w:firstColumn="0" w:lastColumn="0" w:oddVBand="0" w:evenVBand="0" w:oddHBand="0" w:evenHBand="1" w:firstRowFirstColumn="0" w:firstRowLastColumn="0" w:lastRowFirstColumn="0" w:lastRowLastColumn="0"/>
            </w:pPr>
            <w:r w:rsidRPr="00732ADF">
              <w:t xml:space="preserve">An identity check should form part of every FPT, as it allows regulators to validate that information provided is related to the applicant. </w:t>
            </w:r>
          </w:p>
        </w:tc>
        <w:tc>
          <w:tcPr>
            <w:tcW w:w="0" w:type="auto"/>
            <w:shd w:val="clear" w:color="auto" w:fill="C2EBF9" w:themeFill="accent2" w:themeFillTint="66"/>
            <w:hideMark/>
          </w:tcPr>
          <w:p w14:paraId="118130C0" w14:textId="77777777" w:rsidR="00117C8A" w:rsidRPr="00732ADF" w:rsidRDefault="00117C8A" w:rsidP="00732ADF">
            <w:pPr>
              <w:pStyle w:val="Tabletext"/>
              <w:cnfStyle w:val="000000010000" w:firstRow="0" w:lastRow="0" w:firstColumn="0" w:lastColumn="0" w:oddVBand="0" w:evenVBand="0" w:oddHBand="0" w:evenHBand="1" w:firstRowFirstColumn="0" w:firstRowLastColumn="0" w:lastRowFirstColumn="0" w:lastRowLastColumn="0"/>
            </w:pPr>
            <w:r w:rsidRPr="00732ADF">
              <w:t>Past regulatory compliance under the regime through which the licence or permission may be issued is relevant for consideration in a broad range of FPTs, regardless of the nature of the permission or licence.</w:t>
            </w:r>
          </w:p>
          <w:p w14:paraId="2437F79D" w14:textId="7E12FE66" w:rsidR="00117C8A" w:rsidRPr="00732ADF" w:rsidRDefault="00117C8A" w:rsidP="00732ADF">
            <w:pPr>
              <w:pStyle w:val="Tabletext"/>
              <w:cnfStyle w:val="000000010000" w:firstRow="0" w:lastRow="0" w:firstColumn="0" w:lastColumn="0" w:oddVBand="0" w:evenVBand="0" w:oddHBand="0" w:evenHBand="1" w:firstRowFirstColumn="0" w:firstRowLastColumn="0" w:lastRowFirstColumn="0" w:lastRowLastColumn="0"/>
              <w:rPr>
                <w:rFonts w:asciiTheme="majorHAnsi" w:hAnsiTheme="majorHAnsi"/>
                <w:iCs/>
              </w:rPr>
            </w:pPr>
            <w:r w:rsidRPr="00732ADF">
              <w:rPr>
                <w:rFonts w:asciiTheme="majorHAnsi" w:hAnsiTheme="majorHAnsi"/>
                <w:iCs/>
              </w:rPr>
              <w:t xml:space="preserve">E.g. a licence </w:t>
            </w:r>
            <w:r w:rsidR="0067690D" w:rsidRPr="00732ADF">
              <w:rPr>
                <w:rFonts w:asciiTheme="majorHAnsi" w:hAnsiTheme="majorHAnsi"/>
                <w:iCs/>
              </w:rPr>
              <w:t>for</w:t>
            </w:r>
            <w:r w:rsidRPr="00732ADF">
              <w:rPr>
                <w:rFonts w:asciiTheme="majorHAnsi" w:hAnsiTheme="majorHAnsi"/>
                <w:iCs/>
              </w:rPr>
              <w:t xml:space="preserve"> labour hire services.</w:t>
            </w:r>
          </w:p>
        </w:tc>
        <w:tc>
          <w:tcPr>
            <w:tcW w:w="2278" w:type="dxa"/>
            <w:shd w:val="clear" w:color="auto" w:fill="EDF3BF" w:themeFill="accent6" w:themeFillTint="66"/>
            <w:hideMark/>
          </w:tcPr>
          <w:p w14:paraId="12230EEA" w14:textId="77777777" w:rsidR="00117C8A" w:rsidRPr="00732ADF" w:rsidRDefault="00117C8A" w:rsidP="00732ADF">
            <w:pPr>
              <w:pStyle w:val="Tabletext"/>
              <w:cnfStyle w:val="000000010000" w:firstRow="0" w:lastRow="0" w:firstColumn="0" w:lastColumn="0" w:oddVBand="0" w:evenVBand="0" w:oddHBand="0" w:evenHBand="1" w:firstRowFirstColumn="0" w:firstRowLastColumn="0" w:lastRowFirstColumn="0" w:lastRowLastColumn="0"/>
            </w:pPr>
            <w:r w:rsidRPr="00732ADF">
              <w:t xml:space="preserve">Assessment of health and medical conditions will only be required where there is a physical or mental health component to the activities permitted under the relevant licence or permission. </w:t>
            </w:r>
          </w:p>
          <w:p w14:paraId="65FFE86B" w14:textId="77777777" w:rsidR="00117C8A" w:rsidRPr="00732ADF" w:rsidRDefault="00117C8A" w:rsidP="00732ADF">
            <w:pPr>
              <w:pStyle w:val="Tabletext"/>
              <w:cnfStyle w:val="000000010000" w:firstRow="0" w:lastRow="0" w:firstColumn="0" w:lastColumn="0" w:oddVBand="0" w:evenVBand="0" w:oddHBand="0" w:evenHBand="1" w:firstRowFirstColumn="0" w:firstRowLastColumn="0" w:lastRowFirstColumn="0" w:lastRowLastColumn="0"/>
              <w:rPr>
                <w:rFonts w:asciiTheme="majorHAnsi" w:hAnsiTheme="majorHAnsi"/>
                <w:iCs/>
              </w:rPr>
            </w:pPr>
            <w:r w:rsidRPr="00732ADF">
              <w:rPr>
                <w:rFonts w:asciiTheme="majorHAnsi" w:hAnsiTheme="majorHAnsi"/>
                <w:iCs/>
              </w:rPr>
              <w:t xml:space="preserve">E.g. accreditation as a driver of a commercial vessel. </w:t>
            </w:r>
          </w:p>
        </w:tc>
        <w:tc>
          <w:tcPr>
            <w:tcW w:w="2363" w:type="dxa"/>
            <w:shd w:val="clear" w:color="auto" w:fill="E7D1EB"/>
            <w:hideMark/>
          </w:tcPr>
          <w:p w14:paraId="258440AB" w14:textId="77777777" w:rsidR="00117C8A" w:rsidRPr="00732ADF" w:rsidRDefault="00117C8A" w:rsidP="00732ADF">
            <w:pPr>
              <w:pStyle w:val="Tabletext"/>
              <w:cnfStyle w:val="000000010000" w:firstRow="0" w:lastRow="0" w:firstColumn="0" w:lastColumn="0" w:oddVBand="0" w:evenVBand="0" w:oddHBand="0" w:evenHBand="1" w:firstRowFirstColumn="0" w:firstRowLastColumn="0" w:lastRowFirstColumn="0" w:lastRowLastColumn="0"/>
            </w:pPr>
            <w:r w:rsidRPr="00732ADF">
              <w:t xml:space="preserve">An assessment of good character, including with reference to honesty and integrity, will only be required where subjective details of a person’s character are required to accompany an objective assessment. </w:t>
            </w:r>
          </w:p>
          <w:p w14:paraId="5DB193E5" w14:textId="52944090" w:rsidR="00117C8A" w:rsidRPr="00732ADF" w:rsidRDefault="00117C8A" w:rsidP="00732ADF">
            <w:pPr>
              <w:pStyle w:val="Tabletext"/>
              <w:cnfStyle w:val="000000010000" w:firstRow="0" w:lastRow="0" w:firstColumn="0" w:lastColumn="0" w:oddVBand="0" w:evenVBand="0" w:oddHBand="0" w:evenHBand="1" w:firstRowFirstColumn="0" w:firstRowLastColumn="0" w:lastRowFirstColumn="0" w:lastRowLastColumn="0"/>
              <w:rPr>
                <w:rFonts w:asciiTheme="majorHAnsi" w:hAnsiTheme="majorHAnsi"/>
                <w:iCs/>
              </w:rPr>
            </w:pPr>
            <w:r w:rsidRPr="00732ADF">
              <w:rPr>
                <w:rFonts w:asciiTheme="majorHAnsi" w:hAnsiTheme="majorHAnsi"/>
                <w:iCs/>
              </w:rPr>
              <w:t xml:space="preserve">E.g. an assessment to adopt a child. </w:t>
            </w:r>
          </w:p>
        </w:tc>
      </w:tr>
    </w:tbl>
    <w:p w14:paraId="172ED338" w14:textId="49AF6F2F" w:rsidR="00942006" w:rsidRDefault="00C94871" w:rsidP="006F7CFD">
      <w:r>
        <w:t>P</w:t>
      </w:r>
      <w:r w:rsidR="00774240">
        <w:t>olicymakers</w:t>
      </w:r>
      <w:r w:rsidR="0080152D">
        <w:t xml:space="preserve"> should </w:t>
      </w:r>
      <w:r w:rsidR="00A64A2C">
        <w:t xml:space="preserve">consider these categories against the level of risk </w:t>
      </w:r>
      <w:r w:rsidR="009128D9">
        <w:t>they are seeking to mitigate</w:t>
      </w:r>
      <w:r w:rsidR="00A64A2C">
        <w:t xml:space="preserve"> </w:t>
      </w:r>
      <w:r w:rsidR="008C7F9B">
        <w:t xml:space="preserve">and </w:t>
      </w:r>
      <w:r w:rsidR="00A64A2C">
        <w:t xml:space="preserve">select the most </w:t>
      </w:r>
      <w:r w:rsidR="00F42674" w:rsidRPr="00560AC4">
        <w:t>appropriate combination of elements</w:t>
      </w:r>
      <w:r w:rsidR="00A64A2C">
        <w:t xml:space="preserve">. </w:t>
      </w:r>
      <w:r w:rsidR="004253B6">
        <w:t>The</w:t>
      </w:r>
      <w:r w:rsidR="0030764C">
        <w:t xml:space="preserve"> minimum number of </w:t>
      </w:r>
      <w:r w:rsidR="00942006">
        <w:t xml:space="preserve">mandatory </w:t>
      </w:r>
      <w:r w:rsidR="0030764C">
        <w:t xml:space="preserve">elements (and corresponding evidentiary requirements) should be included in an assessment. </w:t>
      </w:r>
      <w:r w:rsidR="00942006">
        <w:t xml:space="preserve">The model provisions in this document </w:t>
      </w:r>
      <w:proofErr w:type="gramStart"/>
      <w:r w:rsidR="00942006">
        <w:t>reflect</w:t>
      </w:r>
      <w:proofErr w:type="gramEnd"/>
      <w:r w:rsidR="00942006">
        <w:t xml:space="preserve"> this approach. </w:t>
      </w:r>
    </w:p>
    <w:p w14:paraId="383EC77D" w14:textId="1D8238E4" w:rsidR="001F2BB3" w:rsidRDefault="00586002" w:rsidP="006F7CFD">
      <w:r>
        <w:t xml:space="preserve">Identity verification should </w:t>
      </w:r>
      <w:r w:rsidR="00B431A6">
        <w:t>for</w:t>
      </w:r>
      <w:r w:rsidR="000F05B1">
        <w:t>m</w:t>
      </w:r>
      <w:r w:rsidR="00B431A6">
        <w:t xml:space="preserve"> part of every assessment. </w:t>
      </w:r>
      <w:r w:rsidR="001F2BB3" w:rsidRPr="001F2BB3">
        <w:t xml:space="preserve">Policymakers </w:t>
      </w:r>
      <w:r w:rsidR="00B431A6">
        <w:t>must consider</w:t>
      </w:r>
      <w:r w:rsidR="001F2BB3" w:rsidRPr="001F2BB3">
        <w:t xml:space="preserve"> the appropriate level of assurance</w:t>
      </w:r>
      <w:r w:rsidR="00C853C0">
        <w:t xml:space="preserve"> </w:t>
      </w:r>
      <w:r w:rsidR="004B2387">
        <w:t>(LOA) commensurate with the level of risk being mitigated. This should consider:</w:t>
      </w:r>
    </w:p>
    <w:p w14:paraId="0745B765" w14:textId="1EEAFA38" w:rsidR="00A064BE" w:rsidRDefault="433F71C0" w:rsidP="00FD2590">
      <w:pPr>
        <w:pStyle w:val="Bullet1"/>
      </w:pPr>
      <w:r w:rsidRPr="413BE73B">
        <w:t>t</w:t>
      </w:r>
      <w:r w:rsidR="00A064BE">
        <w:t xml:space="preserve">he risk of fraud which may exist in </w:t>
      </w:r>
      <w:r w:rsidR="0011099D">
        <w:t>the regulatory</w:t>
      </w:r>
      <w:r w:rsidR="00A064BE">
        <w:t xml:space="preserve"> environment</w:t>
      </w:r>
      <w:r w:rsidR="000C008B">
        <w:t xml:space="preserve"> (</w:t>
      </w:r>
      <w:r w:rsidR="00A15050">
        <w:t>e.g.</w:t>
      </w:r>
      <w:r w:rsidR="000C008B">
        <w:t xml:space="preserve"> the requirement for a </w:t>
      </w:r>
      <w:r w:rsidR="0011099D">
        <w:t xml:space="preserve">higher LOA may exist where there is evidence </w:t>
      </w:r>
      <w:r w:rsidR="007D7E87">
        <w:t xml:space="preserve">of fraudulent behaviour </w:t>
      </w:r>
      <w:r w:rsidR="0011099D">
        <w:t xml:space="preserve">in the regulatory environment) </w:t>
      </w:r>
      <w:r w:rsidR="00A064BE">
        <w:t xml:space="preserve"> </w:t>
      </w:r>
    </w:p>
    <w:p w14:paraId="5E26738A" w14:textId="5BBFDE68" w:rsidR="00A064BE" w:rsidRDefault="374006DB" w:rsidP="00FD2590">
      <w:pPr>
        <w:pStyle w:val="Bullet1"/>
      </w:pPr>
      <w:r w:rsidRPr="413BE73B">
        <w:t>t</w:t>
      </w:r>
      <w:r w:rsidR="000C008B">
        <w:t xml:space="preserve">he intention </w:t>
      </w:r>
      <w:r w:rsidR="0011099D">
        <w:t xml:space="preserve">behind the </w:t>
      </w:r>
      <w:r w:rsidR="000C008B">
        <w:t>regulatory scheme (</w:t>
      </w:r>
      <w:r w:rsidR="00FC23FB">
        <w:t>e.g.</w:t>
      </w:r>
      <w:r w:rsidR="000C008B">
        <w:t xml:space="preserve"> a scheme with a primarily educative focus may </w:t>
      </w:r>
      <w:r w:rsidR="0011099D">
        <w:t>require a lower LOA</w:t>
      </w:r>
      <w:r w:rsidR="000C008B">
        <w:t>)</w:t>
      </w:r>
      <w:r w:rsidR="0011099D">
        <w:t xml:space="preserve">, and </w:t>
      </w:r>
    </w:p>
    <w:p w14:paraId="16A52DB2" w14:textId="3F88D763" w:rsidR="0011099D" w:rsidRPr="007D7E87" w:rsidRDefault="3A476371" w:rsidP="00FD2590">
      <w:pPr>
        <w:pStyle w:val="Bullet1"/>
      </w:pPr>
      <w:r w:rsidRPr="413BE73B">
        <w:t>t</w:t>
      </w:r>
      <w:r w:rsidR="00FC3938" w:rsidRPr="007D7E87">
        <w:t xml:space="preserve">he appropriate LOA with reference to the overall regulatory context. </w:t>
      </w:r>
    </w:p>
    <w:p w14:paraId="0884E9A0" w14:textId="09560CE3" w:rsidR="00FC3938" w:rsidRPr="007D7E87" w:rsidRDefault="00FC3938" w:rsidP="006F7CFD">
      <w:r w:rsidRPr="007D7E87">
        <w:t xml:space="preserve">For additional information on </w:t>
      </w:r>
      <w:r w:rsidR="00FB3B39" w:rsidRPr="007D7E87">
        <w:t>Service Victoria’s Identity Verification Standards, review the Standards</w:t>
      </w:r>
      <w:r w:rsidR="00AB1D82">
        <w:t xml:space="preserve"> </w:t>
      </w:r>
      <w:r w:rsidR="00281BF2">
        <w:t xml:space="preserve">on the </w:t>
      </w:r>
      <w:hyperlink r:id="rId45" w:history="1">
        <w:r w:rsidR="00281BF2" w:rsidRPr="00281BF2">
          <w:rPr>
            <w:rStyle w:val="Hyperlink"/>
          </w:rPr>
          <w:t>Service Victoria</w:t>
        </w:r>
      </w:hyperlink>
      <w:r w:rsidR="00281BF2">
        <w:t xml:space="preserve"> website.</w:t>
      </w:r>
    </w:p>
    <w:p w14:paraId="6554D0C2" w14:textId="57AED07F" w:rsidR="005E2C8B" w:rsidRPr="00942006" w:rsidRDefault="00942006" w:rsidP="006A467F">
      <w:pPr>
        <w:pStyle w:val="Heading3"/>
        <w:rPr>
          <w:sz w:val="20"/>
          <w:szCs w:val="20"/>
        </w:rPr>
      </w:pPr>
      <w:r w:rsidRPr="00942006">
        <w:lastRenderedPageBreak/>
        <w:t>Applying the minimum number of mandatory elements</w:t>
      </w:r>
    </w:p>
    <w:p w14:paraId="636E1D4C" w14:textId="6AC41EC2" w:rsidR="00D66D56" w:rsidRDefault="007353A7" w:rsidP="006F7CFD">
      <w:r w:rsidRPr="00560AC4">
        <w:t>Best practice favour</w:t>
      </w:r>
      <w:r w:rsidR="001D36C9">
        <w:t>s</w:t>
      </w:r>
      <w:r w:rsidRPr="00560AC4">
        <w:t xml:space="preserve"> inclusion of the minimum level of mandatory elements for an assessment. </w:t>
      </w:r>
      <w:r w:rsidR="00EE57BC">
        <w:t>This includes that</w:t>
      </w:r>
      <w:r w:rsidR="00747797">
        <w:t>,</w:t>
      </w:r>
      <w:r w:rsidR="00EE57BC">
        <w:t xml:space="preserve"> if </w:t>
      </w:r>
      <w:r w:rsidR="00C06622" w:rsidRPr="00560AC4">
        <w:t xml:space="preserve">satisfied </w:t>
      </w:r>
      <w:r w:rsidR="00153D91">
        <w:t>with</w:t>
      </w:r>
      <w:r w:rsidR="00C06622" w:rsidRPr="00560AC4">
        <w:t xml:space="preserve"> the applicant’s suitability under legislated criteria, a regulator ‘must’ grant the relevant permission. </w:t>
      </w:r>
    </w:p>
    <w:p w14:paraId="41093537" w14:textId="502CD82D" w:rsidR="00FF33CA" w:rsidRDefault="00FF33CA" w:rsidP="006F7CFD">
      <w:r w:rsidRPr="00560AC4">
        <w:t>Similarly,</w:t>
      </w:r>
      <w:r w:rsidR="007353A7" w:rsidRPr="00560AC4">
        <w:t xml:space="preserve"> assessment</w:t>
      </w:r>
      <w:r w:rsidR="00A12934">
        <w:t>s</w:t>
      </w:r>
      <w:r w:rsidR="007353A7" w:rsidRPr="00560AC4">
        <w:t xml:space="preserve"> using mandatory elements means that an adverse finding against an identified element necessarily leads to an adverse finding </w:t>
      </w:r>
      <w:r w:rsidR="00D2147F">
        <w:t>in relation to the relevant assessment</w:t>
      </w:r>
      <w:r w:rsidR="007353A7" w:rsidRPr="00560AC4">
        <w:t xml:space="preserve">. </w:t>
      </w:r>
    </w:p>
    <w:p w14:paraId="35C70945" w14:textId="43F35457" w:rsidR="00876982" w:rsidRPr="00ED3BA8" w:rsidRDefault="00876982" w:rsidP="006F7CFD">
      <w:pPr>
        <w:rPr>
          <w:b/>
          <w:bCs/>
        </w:rPr>
      </w:pPr>
      <w:r>
        <w:t>The mod</w:t>
      </w:r>
      <w:r w:rsidR="00330B40">
        <w:t xml:space="preserve">el clause below </w:t>
      </w:r>
      <w:r w:rsidR="00776818">
        <w:t xml:space="preserve">reflects a provision where there is a presumed ‘issue’ or presumed ‘refusal’ of a permission where certain elements are or are not met. </w:t>
      </w:r>
      <w:r w:rsidR="00BA3CF9" w:rsidRPr="006A467F">
        <w:rPr>
          <w:rFonts w:asciiTheme="majorHAnsi" w:hAnsiTheme="majorHAnsi"/>
        </w:rPr>
        <w:t xml:space="preserve">This is an example of a </w:t>
      </w:r>
      <w:r w:rsidR="002576FE" w:rsidRPr="006A467F">
        <w:rPr>
          <w:rFonts w:asciiTheme="majorHAnsi" w:hAnsiTheme="majorHAnsi"/>
        </w:rPr>
        <w:t>mandatory assessment.</w:t>
      </w:r>
    </w:p>
    <w:p w14:paraId="42B79721" w14:textId="00DCF6A9" w:rsidR="00876982" w:rsidRPr="00144D5C" w:rsidRDefault="00776818" w:rsidP="00475A54">
      <w:pPr>
        <w:keepNext/>
        <w:rPr>
          <w:rFonts w:asciiTheme="majorHAnsi" w:hAnsiTheme="majorHAnsi"/>
        </w:rPr>
      </w:pPr>
      <w:r w:rsidRPr="00144D5C">
        <w:rPr>
          <w:rFonts w:asciiTheme="majorHAnsi" w:hAnsiTheme="majorHAnsi"/>
        </w:rPr>
        <w:t>[Policymakers should select the most appropriate option</w:t>
      </w:r>
      <w:r w:rsidR="006E4CE9" w:rsidRPr="006E4CE9">
        <w:rPr>
          <w:color w:val="C00000"/>
          <w:sz w:val="26"/>
          <w:szCs w:val="26"/>
        </w:rPr>
        <w:t>*</w:t>
      </w:r>
      <w:r w:rsidRPr="00144D5C">
        <w:rPr>
          <w:rFonts w:asciiTheme="majorHAnsi" w:hAnsiTheme="majorHAns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530E4" w14:paraId="4FA67FA9" w14:textId="77777777" w:rsidTr="007D7E87">
        <w:trPr>
          <w:cantSplit/>
        </w:trPr>
        <w:tc>
          <w:tcPr>
            <w:tcW w:w="9016" w:type="dxa"/>
            <w:shd w:val="clear" w:color="auto" w:fill="F2F2F2" w:themeFill="background1" w:themeFillShade="F2"/>
          </w:tcPr>
          <w:p w14:paraId="69B195A4" w14:textId="79239A3D" w:rsidR="00B530E4" w:rsidRPr="00D30735" w:rsidRDefault="00D46277" w:rsidP="00531E90">
            <w:pPr>
              <w:pStyle w:val="Heading4"/>
            </w:pPr>
            <w:bookmarkStart w:id="14" w:name="_Provision_A._Consideration"/>
            <w:bookmarkStart w:id="15" w:name="_Ref178773277"/>
            <w:bookmarkEnd w:id="14"/>
            <w:r w:rsidRPr="00D30735">
              <w:t xml:space="preserve">Provision </w:t>
            </w:r>
            <w:r w:rsidR="006223C2" w:rsidRPr="00D30735">
              <w:t xml:space="preserve">A. </w:t>
            </w:r>
            <w:r w:rsidR="00B530E4" w:rsidRPr="00D30735">
              <w:t>Consideration of application</w:t>
            </w:r>
            <w:bookmarkEnd w:id="15"/>
            <w:r w:rsidR="00B530E4" w:rsidRPr="00D30735">
              <w:t xml:space="preserve"> </w:t>
            </w:r>
          </w:p>
          <w:p w14:paraId="5CC6A831" w14:textId="77777777" w:rsidR="00B530E4" w:rsidRPr="007B2306" w:rsidRDefault="00B530E4" w:rsidP="00531E90">
            <w:pPr>
              <w:pStyle w:val="Heading5"/>
            </w:pPr>
            <w:r w:rsidRPr="007B2306">
              <w:t>[presumed issue/refusal if certain elements met/not met - elements specified or prescribed]</w:t>
            </w:r>
          </w:p>
          <w:p w14:paraId="4C2F440E" w14:textId="37EF6060" w:rsidR="00B530E4" w:rsidRPr="00BD533E" w:rsidRDefault="00B530E4" w:rsidP="00F102AD">
            <w:pPr>
              <w:pStyle w:val="Numpara"/>
              <w:spacing w:before="60" w:after="60"/>
            </w:pPr>
            <w:r w:rsidRPr="00BD533E">
              <w:t xml:space="preserve">After considering an application that complies with section 1 and any </w:t>
            </w:r>
            <w:r w:rsidRPr="00BD533E">
              <w:rPr>
                <w:spacing w:val="-3"/>
              </w:rPr>
              <w:t xml:space="preserve">further </w:t>
            </w:r>
            <w:r w:rsidRPr="00BD533E">
              <w:t>information provided under section 2, the Regulator</w:t>
            </w:r>
            <w:r w:rsidRPr="00BD533E">
              <w:rPr>
                <w:spacing w:val="-1"/>
              </w:rPr>
              <w:t xml:space="preserve"> </w:t>
            </w:r>
            <w:r w:rsidRPr="00BD533E">
              <w:t>must</w:t>
            </w:r>
            <w:r w:rsidR="00813D3F">
              <w:t>:</w:t>
            </w:r>
          </w:p>
          <w:p w14:paraId="4C52A846" w14:textId="75511871" w:rsidR="00B530E4" w:rsidRPr="00BD533E" w:rsidRDefault="00B530E4" w:rsidP="00F102AD">
            <w:pPr>
              <w:pStyle w:val="Listnumindent"/>
              <w:ind w:left="864"/>
            </w:pPr>
            <w:r w:rsidRPr="00BD533E">
              <w:t>issue/grant the [</w:t>
            </w:r>
            <w:r w:rsidRPr="006E4CE9">
              <w:rPr>
                <w:i/>
              </w:rPr>
              <w:t>licence/registration/exemption</w:t>
            </w:r>
            <w:r w:rsidRPr="00BD533E">
              <w:t xml:space="preserve">] </w:t>
            </w:r>
            <w:r w:rsidRPr="006E4CE9">
              <w:rPr>
                <w:spacing w:val="-6"/>
              </w:rPr>
              <w:t xml:space="preserve">if </w:t>
            </w:r>
            <w:r w:rsidRPr="00BD533E">
              <w:t>the applicant</w:t>
            </w:r>
            <w:r w:rsidRPr="006E4CE9">
              <w:rPr>
                <w:spacing w:val="-1"/>
              </w:rPr>
              <w:t xml:space="preserve"> </w:t>
            </w:r>
            <w:r w:rsidRPr="00BD533E">
              <w:t>meets</w:t>
            </w:r>
            <w:r w:rsidR="00167BFE">
              <w:t>:</w:t>
            </w:r>
          </w:p>
          <w:p w14:paraId="2BC1B665" w14:textId="6537901B" w:rsidR="0028048B" w:rsidRPr="0028048B" w:rsidRDefault="00B530E4" w:rsidP="00037727">
            <w:pPr>
              <w:pStyle w:val="NormalIndent"/>
              <w:numPr>
                <w:ilvl w:val="0"/>
                <w:numId w:val="47"/>
              </w:numPr>
              <w:spacing w:before="60" w:after="60"/>
              <w:ind w:left="1008" w:hanging="144"/>
              <w:contextualSpacing/>
            </w:pPr>
            <w:r w:rsidRPr="0028048B">
              <w:rPr>
                <w:rFonts w:cs="Arial"/>
              </w:rPr>
              <w:t xml:space="preserve">the prescribed </w:t>
            </w:r>
            <w:r w:rsidR="00E5322D" w:rsidRPr="0028048B">
              <w:rPr>
                <w:rFonts w:cs="Arial"/>
              </w:rPr>
              <w:t>requirements;</w:t>
            </w:r>
            <w:r w:rsidRPr="0028048B">
              <w:rPr>
                <w:rFonts w:cs="Arial"/>
              </w:rPr>
              <w:t xml:space="preserve"> or</w:t>
            </w:r>
          </w:p>
          <w:p w14:paraId="6A280B7E" w14:textId="692E5E5F" w:rsidR="0028048B" w:rsidRPr="0028048B" w:rsidRDefault="00B530E4" w:rsidP="00037727">
            <w:pPr>
              <w:pStyle w:val="NormalIndent"/>
              <w:numPr>
                <w:ilvl w:val="0"/>
                <w:numId w:val="47"/>
              </w:numPr>
              <w:spacing w:before="60" w:after="60"/>
              <w:ind w:left="1008" w:hanging="144"/>
              <w:contextualSpacing/>
            </w:pPr>
            <w:r w:rsidRPr="0028048B">
              <w:rPr>
                <w:rFonts w:cs="Arial"/>
              </w:rPr>
              <w:t>the requirements specified in subsection (</w:t>
            </w:r>
            <w:proofErr w:type="gramStart"/>
            <w:r w:rsidRPr="0028048B">
              <w:rPr>
                <w:rFonts w:cs="Arial"/>
              </w:rPr>
              <w:t>2</w:t>
            </w:r>
            <w:r w:rsidR="00E5322D" w:rsidRPr="0028048B">
              <w:rPr>
                <w:rFonts w:cs="Arial"/>
              </w:rPr>
              <w:t>);</w:t>
            </w:r>
            <w:r w:rsidRPr="0028048B" w:rsidDel="00E5322D">
              <w:rPr>
                <w:rFonts w:cs="Arial"/>
              </w:rPr>
              <w:t>)</w:t>
            </w:r>
            <w:proofErr w:type="gramEnd"/>
            <w:r w:rsidR="00D5534F" w:rsidRPr="0028048B" w:rsidDel="00E5322D">
              <w:rPr>
                <w:rFonts w:cs="Arial"/>
              </w:rPr>
              <w:t>,</w:t>
            </w:r>
            <w:r w:rsidRPr="0028048B" w:rsidDel="00E5322D">
              <w:rPr>
                <w:rFonts w:cs="Arial"/>
              </w:rPr>
              <w:t>;</w:t>
            </w:r>
            <w:r w:rsidR="00E5322D" w:rsidRPr="0028048B">
              <w:rPr>
                <w:rFonts w:cs="Arial"/>
              </w:rPr>
              <w:t>);</w:t>
            </w:r>
            <w:r w:rsidRPr="0028048B">
              <w:rPr>
                <w:rFonts w:cs="Arial"/>
              </w:rPr>
              <w:t xml:space="preserve"> or</w:t>
            </w:r>
          </w:p>
          <w:p w14:paraId="6A8BAE85" w14:textId="76BAD942" w:rsidR="00E5075E" w:rsidRPr="00BD533E" w:rsidRDefault="00B530E4" w:rsidP="00E5075E">
            <w:pPr>
              <w:pStyle w:val="Listnumindent"/>
              <w:ind w:left="864"/>
            </w:pPr>
            <w:r w:rsidRPr="00BD533E">
              <w:t>refuse to issue/grant the [</w:t>
            </w:r>
            <w:r w:rsidRPr="00BD533E">
              <w:rPr>
                <w:i/>
              </w:rPr>
              <w:t>licence/registration/exemption</w:t>
            </w:r>
            <w:r w:rsidRPr="00BD533E">
              <w:t xml:space="preserve">] </w:t>
            </w:r>
            <w:r w:rsidRPr="00BD533E">
              <w:rPr>
                <w:spacing w:val="-6"/>
              </w:rPr>
              <w:t xml:space="preserve">if </w:t>
            </w:r>
            <w:r w:rsidRPr="00BD533E">
              <w:t xml:space="preserve">the applicant does not meet one or more </w:t>
            </w:r>
            <w:proofErr w:type="gramStart"/>
            <w:r w:rsidRPr="00BD533E">
              <w:t>of</w:t>
            </w:r>
            <w:r w:rsidRPr="00BD533E">
              <w:rPr>
                <w:spacing w:val="-3"/>
              </w:rPr>
              <w:t xml:space="preserve"> </w:t>
            </w:r>
            <w:r w:rsidR="00E5322D">
              <w:t>:</w:t>
            </w:r>
            <w:proofErr w:type="gramEnd"/>
            <w:r w:rsidR="00E5322D" w:rsidRPr="00BD533E">
              <w:t xml:space="preserve"> the</w:t>
            </w:r>
            <w:r w:rsidR="00E5322D">
              <w:t>:</w:t>
            </w:r>
            <w:r w:rsidR="00E5322D" w:rsidRPr="00BD533E">
              <w:t xml:space="preserve"> ...</w:t>
            </w:r>
          </w:p>
          <w:p w14:paraId="346715D4" w14:textId="3B79F5E1" w:rsidR="00B530E4" w:rsidRPr="00037727" w:rsidRDefault="00B530E4" w:rsidP="00037727">
            <w:pPr>
              <w:pStyle w:val="NormalIndent"/>
              <w:numPr>
                <w:ilvl w:val="0"/>
                <w:numId w:val="47"/>
              </w:numPr>
              <w:spacing w:before="60" w:after="60"/>
              <w:ind w:left="1008" w:hanging="144"/>
              <w:contextualSpacing/>
              <w:rPr>
                <w:rFonts w:cs="Arial"/>
              </w:rPr>
            </w:pPr>
            <w:r w:rsidRPr="00BD533E">
              <w:t>th</w:t>
            </w:r>
            <w:r w:rsidRPr="00037727">
              <w:rPr>
                <w:rFonts w:cs="Arial"/>
              </w:rPr>
              <w:t>e prescribed requirements</w:t>
            </w:r>
          </w:p>
          <w:p w14:paraId="71BD3EBA" w14:textId="7218FECC" w:rsidR="00B530E4" w:rsidRPr="00BD533E" w:rsidRDefault="00B530E4" w:rsidP="00037727">
            <w:pPr>
              <w:pStyle w:val="NormalIndent"/>
              <w:numPr>
                <w:ilvl w:val="0"/>
                <w:numId w:val="47"/>
              </w:numPr>
              <w:spacing w:before="60" w:after="60"/>
              <w:ind w:left="1008" w:hanging="144"/>
              <w:contextualSpacing/>
            </w:pPr>
            <w:r w:rsidRPr="00037727">
              <w:rPr>
                <w:rFonts w:cs="Arial"/>
              </w:rPr>
              <w:t>require</w:t>
            </w:r>
            <w:r w:rsidRPr="00BD533E">
              <w:t>ments specified in subsection (2).</w:t>
            </w:r>
          </w:p>
          <w:p w14:paraId="041C682D" w14:textId="50DA8E9B" w:rsidR="00B530E4" w:rsidRPr="00BD533E" w:rsidRDefault="00B576CD" w:rsidP="00F102AD">
            <w:pPr>
              <w:pStyle w:val="Numpara"/>
              <w:tabs>
                <w:tab w:val="clear" w:pos="540"/>
                <w:tab w:val="left" w:pos="253"/>
              </w:tabs>
              <w:spacing w:before="60" w:after="60"/>
            </w:pPr>
            <w:r w:rsidRPr="00144D5C">
              <w:rPr>
                <w:color w:val="C00000"/>
                <w:sz w:val="28"/>
                <w:szCs w:val="28"/>
              </w:rPr>
              <w:t>*</w:t>
            </w:r>
            <w:r w:rsidR="00B530E4" w:rsidRPr="00BD533E">
              <w:t>For the purposes of subsection (1), the following are specified requirements</w:t>
            </w:r>
            <w:r w:rsidR="00D5534F">
              <w:t>:</w:t>
            </w:r>
          </w:p>
          <w:p w14:paraId="7BF81022" w14:textId="77777777" w:rsidR="00E5075E" w:rsidRPr="00BD533E" w:rsidRDefault="00B530E4" w:rsidP="00F102AD">
            <w:pPr>
              <w:pStyle w:val="Listnumindent"/>
              <w:numPr>
                <w:ilvl w:val="6"/>
                <w:numId w:val="69"/>
              </w:numPr>
              <w:ind w:left="864"/>
            </w:pPr>
            <w:r w:rsidRPr="00BD533E">
              <w:t>[</w:t>
            </w:r>
            <w:r w:rsidRPr="00D13824">
              <w:rPr>
                <w:i/>
              </w:rPr>
              <w:t>list of elements formulated as requirements</w:t>
            </w:r>
            <w:r w:rsidRPr="00BD533E">
              <w:t>].</w:t>
            </w:r>
          </w:p>
          <w:p w14:paraId="5F36AD62" w14:textId="0DFDAC40" w:rsidR="00B530E4" w:rsidRPr="003B4492" w:rsidRDefault="00B530E4" w:rsidP="009D1405">
            <w:pPr>
              <w:pStyle w:val="Heading5"/>
            </w:pPr>
            <w:r w:rsidRPr="00BD533E">
              <w:rPr>
                <w:color w:val="232B39" w:themeColor="text1"/>
              </w:rPr>
              <w:t>[</w:t>
            </w:r>
            <w:r w:rsidRPr="008B3E3A">
              <w:t>These elements could also be used to limit the class of persons who may apply for a licence/registration/an exemption.]</w:t>
            </w:r>
          </w:p>
        </w:tc>
      </w:tr>
    </w:tbl>
    <w:p w14:paraId="7C41FA77" w14:textId="77777777" w:rsidR="009D1405" w:rsidRDefault="009D1405" w:rsidP="009D1405">
      <w:pPr>
        <w:pStyle w:val="Spacer"/>
      </w:pPr>
    </w:p>
    <w:p w14:paraId="0C3CDC88" w14:textId="632ACE87" w:rsidR="0016401E" w:rsidRDefault="007353A7" w:rsidP="006F7CFD">
      <w:r w:rsidRPr="00560AC4">
        <w:t xml:space="preserve">While appropriate in some limited circumstances, </w:t>
      </w:r>
      <w:r w:rsidRPr="00F65FFB">
        <w:rPr>
          <w:b/>
          <w:bCs/>
        </w:rPr>
        <w:t>discretionary assessments</w:t>
      </w:r>
      <w:r w:rsidRPr="00560AC4">
        <w:t xml:space="preserve"> </w:t>
      </w:r>
      <w:r w:rsidR="00510E66">
        <w:t>are</w:t>
      </w:r>
      <w:r w:rsidRPr="00560AC4">
        <w:t xml:space="preserve"> discouraged.</w:t>
      </w:r>
      <w:r w:rsidR="00126A43">
        <w:t xml:space="preserve"> </w:t>
      </w:r>
      <w:r w:rsidR="0016401E" w:rsidRPr="00560AC4">
        <w:t xml:space="preserve">Best practice considers that with reference to human rights, natural justice and administrative law, inherent issues arise where an applicant fulfills all elements of </w:t>
      </w:r>
      <w:r w:rsidR="0016401E">
        <w:t xml:space="preserve">an </w:t>
      </w:r>
      <w:r w:rsidR="0016401E" w:rsidRPr="00560AC4">
        <w:t>assessment, but the relevant permission is not granted.</w:t>
      </w:r>
    </w:p>
    <w:p w14:paraId="0B09ECE0" w14:textId="06C58424" w:rsidR="00996F85" w:rsidRDefault="009F5127" w:rsidP="006F7CFD">
      <w:r>
        <w:t>Discretionary</w:t>
      </w:r>
      <w:r w:rsidR="00126A43">
        <w:t xml:space="preserve"> assessments</w:t>
      </w:r>
      <w:r w:rsidR="00E17752">
        <w:t xml:space="preserve">, if </w:t>
      </w:r>
      <w:proofErr w:type="gramStart"/>
      <w:r w:rsidR="00E17752">
        <w:t>absolutely necessary</w:t>
      </w:r>
      <w:proofErr w:type="gramEnd"/>
      <w:r w:rsidR="00E17752">
        <w:t>,</w:t>
      </w:r>
      <w:r w:rsidR="00126A43">
        <w:t xml:space="preserve"> </w:t>
      </w:r>
      <w:r w:rsidR="00E17752">
        <w:t>should</w:t>
      </w:r>
      <w:r w:rsidR="00126A43">
        <w:t xml:space="preserve"> </w:t>
      </w:r>
      <w:r w:rsidR="00510E66">
        <w:t>identify</w:t>
      </w:r>
      <w:r w:rsidR="00126A43">
        <w:t xml:space="preserve"> exhaustive</w:t>
      </w:r>
      <w:r w:rsidR="00E17752">
        <w:t xml:space="preserve"> </w:t>
      </w:r>
      <w:r w:rsidR="00126A43">
        <w:t>factors for consideration</w:t>
      </w:r>
      <w:r w:rsidR="00406F8E">
        <w:t>, as set out in 5A below</w:t>
      </w:r>
      <w:r w:rsidR="00E17752">
        <w:t xml:space="preserve">, and avoid non-exhaustive or open-ended factors such as ‘and other </w:t>
      </w:r>
      <w:r w:rsidR="00F70151">
        <w:t>relevant</w:t>
      </w:r>
      <w:r w:rsidR="00E17752">
        <w:t xml:space="preserve"> </w:t>
      </w:r>
      <w:proofErr w:type="gramStart"/>
      <w:r w:rsidR="00E17752">
        <w:t>factors’</w:t>
      </w:r>
      <w:proofErr w:type="gramEnd"/>
      <w:r w:rsidR="74B6F391" w:rsidRPr="7EF6900C">
        <w:t>. This helps</w:t>
      </w:r>
      <w:r w:rsidR="003C3926">
        <w:t xml:space="preserve"> prevent scop</w:t>
      </w:r>
      <w:r w:rsidR="005A3416">
        <w:t>e creep that may be invalid, unduly burdensome, or non-transparent</w:t>
      </w:r>
      <w:r w:rsidR="0032557F">
        <w:t xml:space="preserve"> and not </w:t>
      </w:r>
      <w:r w:rsidR="3EE8CF4A" w:rsidRPr="7EF6900C">
        <w:t xml:space="preserve">sufficiently </w:t>
      </w:r>
      <w:r w:rsidR="0032557F">
        <w:t>open to parliamentary scrutiny</w:t>
      </w:r>
      <w:r w:rsidR="00126A43">
        <w:t xml:space="preserve">. </w:t>
      </w:r>
      <w:r w:rsidR="00996F85">
        <w:t>Where a discretionary assessment is required, the number of factors for consideration should be minimised t</w:t>
      </w:r>
      <w:r w:rsidR="00A40932">
        <w:t xml:space="preserve">o limit </w:t>
      </w:r>
      <w:r w:rsidR="00996F85">
        <w:t xml:space="preserve">the potential for </w:t>
      </w:r>
      <w:r w:rsidR="00611DEF">
        <w:t>infringements on human rights, natural justice and administrative law</w:t>
      </w:r>
      <w:r w:rsidR="00996F85">
        <w:t xml:space="preserve">. </w:t>
      </w:r>
    </w:p>
    <w:p w14:paraId="76187A46" w14:textId="04660472" w:rsidR="006C4CD8" w:rsidRDefault="00996F85" w:rsidP="00F102AD">
      <w:pPr>
        <w:keepNext/>
      </w:pPr>
      <w:r>
        <w:lastRenderedPageBreak/>
        <w:t>The</w:t>
      </w:r>
      <w:r w:rsidR="00082FDA">
        <w:t xml:space="preserve"> decision-maker </w:t>
      </w:r>
      <w:r w:rsidR="00B307E3">
        <w:t xml:space="preserve">should </w:t>
      </w:r>
      <w:r>
        <w:t xml:space="preserve">also </w:t>
      </w:r>
      <w:r w:rsidR="00B307E3">
        <w:t>consider</w:t>
      </w:r>
      <w:r w:rsidR="00611DEF">
        <w:t xml:space="preserve"> the following when reaching a decision</w:t>
      </w:r>
      <w:r w:rsidR="00B307E3">
        <w:t xml:space="preserve">: </w:t>
      </w:r>
    </w:p>
    <w:p w14:paraId="18387690" w14:textId="3E251DBF" w:rsidR="00B307E3" w:rsidRDefault="006816CC" w:rsidP="00F102AD">
      <w:pPr>
        <w:pStyle w:val="Bullet1"/>
      </w:pPr>
      <w:r>
        <w:t>T</w:t>
      </w:r>
      <w:r w:rsidR="00872808">
        <w:t>he competing interest of the applicant and the overarching objectives or principles of the relevant Act</w:t>
      </w:r>
    </w:p>
    <w:p w14:paraId="25D127E4" w14:textId="43DBD083" w:rsidR="00C17725" w:rsidRDefault="006816CC" w:rsidP="00F102AD">
      <w:pPr>
        <w:pStyle w:val="Bullet1"/>
      </w:pPr>
      <w:r>
        <w:t>A</w:t>
      </w:r>
      <w:r w:rsidR="00C17725">
        <w:t xml:space="preserve">ny factors specified in legislative provisions </w:t>
      </w:r>
    </w:p>
    <w:p w14:paraId="7D35C4E1" w14:textId="62DB129F" w:rsidR="006C2175" w:rsidRDefault="006816CC" w:rsidP="00F102AD">
      <w:pPr>
        <w:pStyle w:val="Bullet1"/>
      </w:pPr>
      <w:r>
        <w:t>A</w:t>
      </w:r>
      <w:r w:rsidR="006C2175">
        <w:t xml:space="preserve">ny recent and relevant court or tribunal authorities. </w:t>
      </w:r>
    </w:p>
    <w:p w14:paraId="65BFFF36" w14:textId="0E75E3AA" w:rsidR="006C615C" w:rsidRPr="00B50B69" w:rsidRDefault="006C615C" w:rsidP="00B50B69">
      <w:pPr>
        <w:rPr>
          <w:rFonts w:asciiTheme="majorHAnsi" w:hAnsiTheme="majorHAnsi"/>
        </w:rPr>
      </w:pPr>
      <w:r w:rsidRPr="00B50B69">
        <w:rPr>
          <w:rFonts w:asciiTheme="majorHAnsi" w:hAnsiTheme="majorHAnsi"/>
        </w:rPr>
        <w:t xml:space="preserve">While the following model provisions relate to discretionary assessments, </w:t>
      </w:r>
      <w:r w:rsidR="00BF58F6" w:rsidRPr="00B50B69">
        <w:rPr>
          <w:rFonts w:asciiTheme="majorHAnsi" w:hAnsiTheme="majorHAnsi"/>
        </w:rPr>
        <w:t xml:space="preserve">these do not reflect best practice in most cases and are discouraged. </w:t>
      </w:r>
    </w:p>
    <w:tbl>
      <w:tblPr>
        <w:tblStyle w:val="TableGrid"/>
        <w:tblW w:w="9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4"/>
      </w:tblGrid>
      <w:tr w:rsidR="00A90C44" w14:paraId="3D52C5B3" w14:textId="77777777" w:rsidTr="008867A2">
        <w:trPr>
          <w:trHeight w:val="3288"/>
        </w:trPr>
        <w:tc>
          <w:tcPr>
            <w:tcW w:w="9014" w:type="dxa"/>
            <w:shd w:val="clear" w:color="auto" w:fill="F2F2F2" w:themeFill="background1" w:themeFillShade="F2"/>
          </w:tcPr>
          <w:p w14:paraId="1F9BB70F" w14:textId="7132F2EA" w:rsidR="00A90C44" w:rsidRPr="00D30735" w:rsidRDefault="00D46277" w:rsidP="00B50B69">
            <w:pPr>
              <w:pStyle w:val="Heading4"/>
            </w:pPr>
            <w:bookmarkStart w:id="16" w:name="_Provision_B._Consideration"/>
            <w:bookmarkStart w:id="17" w:name="_Ref178773310"/>
            <w:bookmarkEnd w:id="16"/>
            <w:r w:rsidRPr="00D30735">
              <w:t xml:space="preserve">Provision </w:t>
            </w:r>
            <w:r w:rsidR="006223C2" w:rsidRPr="00D30735">
              <w:t xml:space="preserve">B. </w:t>
            </w:r>
            <w:r w:rsidR="00A90C44" w:rsidRPr="00D30735">
              <w:t>Consideration of application</w:t>
            </w:r>
            <w:bookmarkEnd w:id="17"/>
            <w:r w:rsidR="00A90C44" w:rsidRPr="00D30735">
              <w:t xml:space="preserve"> </w:t>
            </w:r>
          </w:p>
          <w:p w14:paraId="33CA6E9A" w14:textId="77777777" w:rsidR="00A90C44" w:rsidRPr="00121145" w:rsidRDefault="00A90C44" w:rsidP="001A33D3">
            <w:pPr>
              <w:pStyle w:val="Heading5"/>
            </w:pPr>
            <w:r w:rsidRPr="00B17CDE">
              <w:t>[at discretion of the Regulator]</w:t>
            </w:r>
          </w:p>
          <w:p w14:paraId="7801CD9A" w14:textId="1963D187" w:rsidR="00A90C44" w:rsidRDefault="00A90C44" w:rsidP="00F102AD">
            <w:pPr>
              <w:pStyle w:val="Numpara"/>
              <w:numPr>
                <w:ilvl w:val="0"/>
                <w:numId w:val="48"/>
              </w:numPr>
              <w:spacing w:before="60" w:after="60"/>
            </w:pPr>
            <w:r w:rsidRPr="007B3491">
              <w:t>On receiving an application that complies with section 1, the Regulator</w:t>
            </w:r>
            <w:r w:rsidRPr="007B3491" w:rsidDel="003E2B56">
              <w:t>—</w:t>
            </w:r>
          </w:p>
          <w:p w14:paraId="78398DF8" w14:textId="199E385B" w:rsidR="00A90C44" w:rsidRDefault="00A90C44" w:rsidP="00AA6EA4">
            <w:pPr>
              <w:pStyle w:val="Listnumindent"/>
              <w:numPr>
                <w:ilvl w:val="6"/>
                <w:numId w:val="50"/>
              </w:numPr>
              <w:ind w:left="864"/>
            </w:pPr>
            <w:r>
              <w:t>may [</w:t>
            </w:r>
            <w:r w:rsidRPr="00A95DCE">
              <w:rPr>
                <w:i/>
                <w:iCs/>
              </w:rPr>
              <w:t>issue the licence/registration/grant the exemption</w:t>
            </w:r>
            <w:r>
              <w:t>]; or</w:t>
            </w:r>
          </w:p>
          <w:p w14:paraId="53085B34" w14:textId="77777777" w:rsidR="00A90C44" w:rsidRDefault="00A90C44" w:rsidP="00F102AD">
            <w:pPr>
              <w:pStyle w:val="Listnumindent"/>
              <w:ind w:left="864"/>
            </w:pPr>
            <w:r>
              <w:t>may refuse to [</w:t>
            </w:r>
            <w:r w:rsidRPr="00A95DCE">
              <w:rPr>
                <w:i/>
                <w:iCs/>
              </w:rPr>
              <w:t>issue the licence/registration/grant the exemption</w:t>
            </w:r>
            <w:r>
              <w:t>].</w:t>
            </w:r>
          </w:p>
          <w:p w14:paraId="44BBD33A" w14:textId="09664039" w:rsidR="00A90C44" w:rsidRPr="00F50FEB" w:rsidRDefault="00A90C44" w:rsidP="00F102AD">
            <w:pPr>
              <w:pStyle w:val="Numpara"/>
              <w:spacing w:before="60" w:after="60"/>
            </w:pPr>
            <w:r>
              <w:t>In considering the application, the Regulator</w:t>
            </w:r>
          </w:p>
          <w:p w14:paraId="74A32013" w14:textId="32BA71BF" w:rsidR="00A90C44" w:rsidRDefault="00A90C44" w:rsidP="001A33D3">
            <w:pPr>
              <w:pStyle w:val="Listnumindent"/>
              <w:numPr>
                <w:ilvl w:val="6"/>
                <w:numId w:val="51"/>
              </w:numPr>
              <w:ind w:left="864"/>
            </w:pPr>
            <w:r>
              <w:t>must consider the following</w:t>
            </w:r>
          </w:p>
          <w:p w14:paraId="31127F1A" w14:textId="77777777" w:rsidR="00A90C44" w:rsidRDefault="00A90C44" w:rsidP="00F102AD">
            <w:pPr>
              <w:pStyle w:val="Listnumindent2"/>
              <w:spacing w:before="60" w:after="60"/>
              <w:ind w:left="1368"/>
            </w:pPr>
            <w:r>
              <w:t>list of any mandatory specified elements; and</w:t>
            </w:r>
          </w:p>
          <w:p w14:paraId="2DA2C836" w14:textId="35AA7837" w:rsidR="00A90C44" w:rsidRDefault="00A90C44" w:rsidP="00F102AD">
            <w:pPr>
              <w:pStyle w:val="Listnumindent"/>
              <w:numPr>
                <w:ilvl w:val="6"/>
                <w:numId w:val="51"/>
              </w:numPr>
              <w:ind w:left="864"/>
            </w:pPr>
            <w:r>
              <w:t>may consider the following</w:t>
            </w:r>
          </w:p>
          <w:p w14:paraId="50AAA397" w14:textId="58E78932" w:rsidR="00A90C44" w:rsidRPr="005729D9" w:rsidRDefault="00A90C44" w:rsidP="00A75500">
            <w:pPr>
              <w:pStyle w:val="Heading5"/>
              <w:rPr>
                <w:b/>
                <w:bCs/>
              </w:rPr>
            </w:pPr>
            <w:r w:rsidRPr="005729D9">
              <w:t>[</w:t>
            </w:r>
            <w:r w:rsidRPr="006223C2">
              <w:t>list of any discretionary specified elements</w:t>
            </w:r>
            <w:r w:rsidRPr="005729D9">
              <w:t>].</w:t>
            </w:r>
          </w:p>
        </w:tc>
      </w:tr>
    </w:tbl>
    <w:p w14:paraId="2F83EC69" w14:textId="1E804C81" w:rsidR="006223C2" w:rsidRPr="008867A2" w:rsidRDefault="006223C2" w:rsidP="00AB7843">
      <w:pPr>
        <w:spacing w:after="0" w:line="240" w:lineRule="auto"/>
        <w:rPr>
          <w:sz w:val="10"/>
          <w:szCs w:val="10"/>
        </w:rPr>
      </w:pPr>
    </w:p>
    <w:tbl>
      <w:tblPr>
        <w:tblStyle w:val="TableGrid"/>
        <w:tblW w:w="9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DDDD"/>
        <w:tblLook w:val="04A0" w:firstRow="1" w:lastRow="0" w:firstColumn="1" w:lastColumn="0" w:noHBand="0" w:noVBand="1"/>
      </w:tblPr>
      <w:tblGrid>
        <w:gridCol w:w="9014"/>
      </w:tblGrid>
      <w:tr w:rsidR="00A90C44" w14:paraId="6CFA290A" w14:textId="77777777" w:rsidTr="00F102AD">
        <w:tc>
          <w:tcPr>
            <w:tcW w:w="9014" w:type="dxa"/>
            <w:shd w:val="clear" w:color="auto" w:fill="DDDDDD"/>
          </w:tcPr>
          <w:p w14:paraId="4B0483FA" w14:textId="069C643F" w:rsidR="00A90C44" w:rsidRPr="003868F7" w:rsidRDefault="00A90C44" w:rsidP="00F102AD">
            <w:pPr>
              <w:pStyle w:val="Heading4"/>
              <w:keepNext w:val="0"/>
            </w:pPr>
            <w:r w:rsidRPr="003868F7">
              <w:t>Example in practice (discretionary)</w:t>
            </w:r>
          </w:p>
          <w:p w14:paraId="646E0D1E" w14:textId="0747D947" w:rsidR="00A90C44" w:rsidRPr="00276BA5" w:rsidRDefault="00A90C44" w:rsidP="00531E90">
            <w:pPr>
              <w:rPr>
                <w:b/>
                <w:bCs/>
                <w:i/>
                <w:iCs/>
                <w:sz w:val="18"/>
              </w:rPr>
            </w:pPr>
            <w:r w:rsidRPr="00276BA5">
              <w:rPr>
                <w:rFonts w:asciiTheme="majorHAnsi" w:hAnsiTheme="majorHAnsi"/>
                <w:i/>
                <w:iCs/>
                <w:sz w:val="18"/>
              </w:rPr>
              <w:t>Example details</w:t>
            </w:r>
            <w:r w:rsidRPr="00276BA5">
              <w:rPr>
                <w:i/>
                <w:iCs/>
                <w:sz w:val="18"/>
              </w:rPr>
              <w:t>: Application for a licence to supply hammers. Licences issued by the Hardware Regulator. Licences to be issued at the discretion of the Hardware Regulator, who must consider the applicant's criminal and regulatory compliance history before issuing a licence.</w:t>
            </w:r>
          </w:p>
        </w:tc>
      </w:tr>
      <w:tr w:rsidR="00A90C44" w14:paraId="054EDA19" w14:textId="77777777" w:rsidTr="00F102AD">
        <w:tc>
          <w:tcPr>
            <w:tcW w:w="9014" w:type="dxa"/>
            <w:shd w:val="clear" w:color="auto" w:fill="DDDDDD"/>
          </w:tcPr>
          <w:p w14:paraId="3D11A41C" w14:textId="634DAEF6" w:rsidR="00A90C44" w:rsidRPr="003868F7" w:rsidRDefault="00A90C44" w:rsidP="00F102AD">
            <w:pPr>
              <w:pStyle w:val="Heading4"/>
              <w:keepNext w:val="0"/>
            </w:pPr>
            <w:r w:rsidRPr="003868F7">
              <w:t>Consideration of application</w:t>
            </w:r>
          </w:p>
          <w:p w14:paraId="68D19465" w14:textId="67D2A8ED" w:rsidR="00A90C44" w:rsidRPr="003868F7" w:rsidRDefault="00A90C44" w:rsidP="00F102AD">
            <w:pPr>
              <w:pStyle w:val="Numpara"/>
              <w:numPr>
                <w:ilvl w:val="0"/>
                <w:numId w:val="49"/>
              </w:numPr>
              <w:spacing w:before="60" w:after="60"/>
            </w:pPr>
            <w:r w:rsidRPr="003868F7">
              <w:t>On receiving an application that complies with section 1, the Hardware Regulator</w:t>
            </w:r>
          </w:p>
          <w:p w14:paraId="4B36D8CF" w14:textId="2B332166" w:rsidR="00A90C44" w:rsidRPr="003868F7" w:rsidRDefault="00A90C44" w:rsidP="00F102AD">
            <w:pPr>
              <w:pStyle w:val="ListParagraph"/>
              <w:numPr>
                <w:ilvl w:val="1"/>
                <w:numId w:val="11"/>
              </w:numPr>
              <w:spacing w:before="60" w:after="60" w:line="240" w:lineRule="auto"/>
              <w:ind w:left="706"/>
              <w:contextualSpacing w:val="0"/>
              <w:rPr>
                <w:rFonts w:cs="Arial"/>
              </w:rPr>
            </w:pPr>
            <w:r w:rsidRPr="003868F7">
              <w:rPr>
                <w:rFonts w:cs="Arial"/>
              </w:rPr>
              <w:t>may issue the hammer supply licence</w:t>
            </w:r>
            <w:r w:rsidRPr="003868F7" w:rsidDel="00255EAC">
              <w:rPr>
                <w:rFonts w:cs="Arial"/>
              </w:rPr>
              <w:t xml:space="preserve">; </w:t>
            </w:r>
            <w:r w:rsidRPr="003868F7">
              <w:rPr>
                <w:rFonts w:cs="Arial"/>
              </w:rPr>
              <w:t>or</w:t>
            </w:r>
          </w:p>
          <w:p w14:paraId="2E8C243B" w14:textId="2F402D7F" w:rsidR="00A90C44" w:rsidRPr="003D0DF5" w:rsidRDefault="00A90C44" w:rsidP="00F102AD">
            <w:pPr>
              <w:pStyle w:val="ListParagraph"/>
              <w:numPr>
                <w:ilvl w:val="1"/>
                <w:numId w:val="11"/>
              </w:numPr>
              <w:spacing w:before="60" w:after="60" w:line="240" w:lineRule="auto"/>
              <w:ind w:left="706"/>
              <w:contextualSpacing w:val="0"/>
              <w:rPr>
                <w:rFonts w:cs="Arial"/>
              </w:rPr>
            </w:pPr>
            <w:r w:rsidRPr="003868F7">
              <w:rPr>
                <w:rFonts w:cs="Arial"/>
              </w:rPr>
              <w:t>may refuse to issue the hammer supply licence.</w:t>
            </w:r>
          </w:p>
          <w:p w14:paraId="5156BFF4" w14:textId="17A768DD" w:rsidR="00A90C44" w:rsidRPr="003868F7" w:rsidRDefault="00A90C44" w:rsidP="00B50B69">
            <w:pPr>
              <w:pStyle w:val="Numpara"/>
            </w:pPr>
            <w:r w:rsidRPr="003868F7">
              <w:t>In considering the application for a hammer supply licence, the Hardware Regulator must consider</w:t>
            </w:r>
            <w:r w:rsidR="00255EAC">
              <w:t>:</w:t>
            </w:r>
          </w:p>
          <w:p w14:paraId="080EC94A" w14:textId="0C6E94D2" w:rsidR="00A90C44" w:rsidRPr="003868F7" w:rsidRDefault="00A90C44" w:rsidP="003209A6">
            <w:pPr>
              <w:pStyle w:val="ListParagraph"/>
              <w:numPr>
                <w:ilvl w:val="1"/>
                <w:numId w:val="54"/>
              </w:numPr>
              <w:spacing w:before="0" w:line="240" w:lineRule="auto"/>
              <w:contextualSpacing w:val="0"/>
              <w:rPr>
                <w:rFonts w:cs="Arial"/>
              </w:rPr>
            </w:pPr>
            <w:r w:rsidRPr="003868F7">
              <w:rPr>
                <w:rFonts w:cs="Arial"/>
              </w:rPr>
              <w:t>whether the applicant has at any time been found guilty of any of the following</w:t>
            </w:r>
            <w:r w:rsidR="00255EAC">
              <w:rPr>
                <w:rFonts w:cs="Arial"/>
              </w:rPr>
              <w:t>:</w:t>
            </w:r>
          </w:p>
          <w:p w14:paraId="3A4CC099" w14:textId="77777777" w:rsidR="00A90C44" w:rsidRPr="00276BA5" w:rsidRDefault="00A90C44" w:rsidP="003209A6">
            <w:pPr>
              <w:pStyle w:val="Listnumindent2"/>
              <w:ind w:left="1224"/>
            </w:pPr>
            <w:r w:rsidRPr="003868F7">
              <w:rPr>
                <w:rFonts w:cs="Arial"/>
              </w:rPr>
              <w:t>a</w:t>
            </w:r>
            <w:r w:rsidRPr="00276BA5">
              <w:t xml:space="preserve">n offence against this Act or the </w:t>
            </w:r>
            <w:proofErr w:type="gramStart"/>
            <w:r w:rsidRPr="00276BA5">
              <w:t>Regulations</w:t>
            </w:r>
            <w:r w:rsidRPr="00276BA5" w:rsidDel="00255EAC">
              <w:t>;</w:t>
            </w:r>
            <w:proofErr w:type="gramEnd"/>
          </w:p>
          <w:p w14:paraId="2D858793" w14:textId="77777777" w:rsidR="00A90C44" w:rsidRPr="00276BA5" w:rsidRDefault="00A90C44" w:rsidP="003209A6">
            <w:pPr>
              <w:pStyle w:val="Listnumindent2"/>
              <w:ind w:left="1224"/>
            </w:pPr>
            <w:r w:rsidRPr="00276BA5">
              <w:t xml:space="preserve">an offence involving fraud or dishonesty, whether committed in Victoria or another </w:t>
            </w:r>
            <w:proofErr w:type="gramStart"/>
            <w:r w:rsidRPr="00276BA5">
              <w:t>jurisdiction</w:t>
            </w:r>
            <w:r w:rsidRPr="00276BA5" w:rsidDel="00255EAC">
              <w:t>;</w:t>
            </w:r>
            <w:proofErr w:type="gramEnd"/>
          </w:p>
          <w:p w14:paraId="76AECBA5" w14:textId="76443F4A" w:rsidR="00A90C44" w:rsidRPr="003868F7" w:rsidRDefault="00A90C44" w:rsidP="003209A6">
            <w:pPr>
              <w:pStyle w:val="Listnumindent2"/>
              <w:ind w:left="1224"/>
              <w:rPr>
                <w:rFonts w:cs="Arial"/>
              </w:rPr>
            </w:pPr>
            <w:r w:rsidRPr="00276BA5">
              <w:t>an</w:t>
            </w:r>
            <w:r w:rsidRPr="003868F7">
              <w:rPr>
                <w:rFonts w:cs="Arial"/>
              </w:rPr>
              <w:t xml:space="preserve"> offence against a law of another State, a Territory or the Commonwealth [another jurisdiction] that corresponds to this Act</w:t>
            </w:r>
            <w:r w:rsidR="003E7C16">
              <w:rPr>
                <w:rFonts w:cs="Arial"/>
              </w:rPr>
              <w:t>.</w:t>
            </w:r>
          </w:p>
          <w:p w14:paraId="2AC77074" w14:textId="3B3D8E9A" w:rsidR="00A90C44" w:rsidRPr="003868F7" w:rsidRDefault="00A90C44" w:rsidP="003209A6">
            <w:pPr>
              <w:pStyle w:val="ListParagraph"/>
              <w:numPr>
                <w:ilvl w:val="1"/>
                <w:numId w:val="54"/>
              </w:numPr>
              <w:spacing w:before="0" w:line="240" w:lineRule="auto"/>
              <w:contextualSpacing w:val="0"/>
              <w:rPr>
                <w:rFonts w:cs="Arial"/>
              </w:rPr>
            </w:pPr>
            <w:r w:rsidRPr="003868F7">
              <w:rPr>
                <w:rFonts w:cs="Arial"/>
              </w:rPr>
              <w:t>whether the applicant has been charged with an offence referred to in paragraph</w:t>
            </w:r>
            <w:r w:rsidR="00531E90">
              <w:rPr>
                <w:rFonts w:ascii="Calibri" w:hAnsi="Calibri" w:cs="Calibri"/>
              </w:rPr>
              <w:t> </w:t>
            </w:r>
            <w:r w:rsidRPr="003868F7">
              <w:rPr>
                <w:rFonts w:cs="Arial"/>
              </w:rPr>
              <w:t xml:space="preserve">(a) and that charge has not been finally </w:t>
            </w:r>
            <w:proofErr w:type="gramStart"/>
            <w:r w:rsidRPr="003868F7">
              <w:rPr>
                <w:rFonts w:cs="Arial"/>
              </w:rPr>
              <w:t>determined</w:t>
            </w:r>
            <w:r w:rsidRPr="003868F7" w:rsidDel="003E7C16">
              <w:rPr>
                <w:rFonts w:cs="Arial"/>
              </w:rPr>
              <w:t>;</w:t>
            </w:r>
            <w:proofErr w:type="gramEnd"/>
          </w:p>
          <w:p w14:paraId="4031E131" w14:textId="094FE80D" w:rsidR="00A90C44" w:rsidRPr="003868F7" w:rsidRDefault="00A90C44" w:rsidP="003209A6">
            <w:pPr>
              <w:pStyle w:val="ListParagraph"/>
              <w:numPr>
                <w:ilvl w:val="1"/>
                <w:numId w:val="54"/>
              </w:numPr>
              <w:spacing w:before="0" w:line="240" w:lineRule="auto"/>
              <w:contextualSpacing w:val="0"/>
              <w:rPr>
                <w:rFonts w:cs="Arial"/>
              </w:rPr>
            </w:pPr>
            <w:r w:rsidRPr="003868F7">
              <w:rPr>
                <w:rFonts w:cs="Arial"/>
              </w:rPr>
              <w:lastRenderedPageBreak/>
              <w:t>if the applicant holds or has held a licence or permit to supply hammers (however described) issued under a law of another State, a Territory or the Commonwealth that the Hardware Regulator considers to be the equivalent of a licence to supply hammers</w:t>
            </w:r>
          </w:p>
          <w:p w14:paraId="5498E07A" w14:textId="4AB464F8" w:rsidR="00A90C44" w:rsidRPr="008C4B6B" w:rsidRDefault="00A90C44" w:rsidP="003209A6">
            <w:pPr>
              <w:pStyle w:val="Listnumindent2"/>
              <w:numPr>
                <w:ilvl w:val="7"/>
                <w:numId w:val="55"/>
              </w:numPr>
              <w:ind w:left="1224"/>
            </w:pPr>
            <w:r w:rsidRPr="003209A6">
              <w:rPr>
                <w:rFonts w:cs="Arial"/>
              </w:rPr>
              <w:t>w</w:t>
            </w:r>
            <w:r w:rsidRPr="008C4B6B">
              <w:t xml:space="preserve">hether the applicant has contravened that licence or permit at any </w:t>
            </w:r>
            <w:proofErr w:type="gramStart"/>
            <w:r w:rsidRPr="008C4B6B">
              <w:t>time</w:t>
            </w:r>
            <w:r w:rsidR="000735FD" w:rsidRPr="008C4B6B">
              <w:t>,</w:t>
            </w:r>
            <w:r w:rsidRPr="008C4B6B" w:rsidDel="000735FD">
              <w:t>;</w:t>
            </w:r>
            <w:proofErr w:type="gramEnd"/>
            <w:r w:rsidRPr="008C4B6B">
              <w:t xml:space="preserve"> or</w:t>
            </w:r>
          </w:p>
          <w:p w14:paraId="77A47ACF" w14:textId="2989F17A" w:rsidR="00F15B2C" w:rsidRPr="008C4B6B" w:rsidRDefault="00A90C44" w:rsidP="003209A6">
            <w:pPr>
              <w:pStyle w:val="Listnumindent2"/>
              <w:ind w:left="1224"/>
            </w:pPr>
            <w:r w:rsidRPr="008C4B6B">
              <w:t>whether, at any time, that licence or permit is or was suspended</w:t>
            </w:r>
            <w:r w:rsidRPr="008C4B6B" w:rsidDel="00B853AA">
              <w:t>;</w:t>
            </w:r>
            <w:r w:rsidRPr="008C4B6B">
              <w:t xml:space="preserve"> or</w:t>
            </w:r>
          </w:p>
          <w:p w14:paraId="7A395A6C" w14:textId="71557CDF" w:rsidR="00A90C44" w:rsidRPr="00F15B2C" w:rsidRDefault="00A90C44" w:rsidP="003209A6">
            <w:pPr>
              <w:pStyle w:val="Listnumindent2"/>
              <w:ind w:left="1224"/>
              <w:rPr>
                <w:rFonts w:cs="Arial"/>
              </w:rPr>
            </w:pPr>
            <w:r w:rsidRPr="008C4B6B">
              <w:t>w</w:t>
            </w:r>
            <w:r w:rsidRPr="00F15B2C">
              <w:rPr>
                <w:rFonts w:cs="Arial"/>
              </w:rPr>
              <w:t>hether, at any time, that licence or permit is or was revoked.</w:t>
            </w:r>
          </w:p>
        </w:tc>
      </w:tr>
    </w:tbl>
    <w:p w14:paraId="31214B87" w14:textId="084BFF5B" w:rsidR="00B976B7" w:rsidRPr="00854235" w:rsidRDefault="00B976B7" w:rsidP="003209A6">
      <w:r>
        <w:lastRenderedPageBreak/>
        <w:t xml:space="preserve">Where discretionary criteria are applied, </w:t>
      </w:r>
      <w:r w:rsidR="00D6037A">
        <w:t xml:space="preserve">a decision-maker’s satisfaction </w:t>
      </w:r>
      <w:r w:rsidR="003E5BF5">
        <w:t xml:space="preserve">of an applicant’s suitability is </w:t>
      </w:r>
      <w:r w:rsidR="00647C6E">
        <w:t>based on</w:t>
      </w:r>
      <w:r w:rsidR="006421A4">
        <w:t xml:space="preserve"> the facts and the relevant statute. Notably, in </w:t>
      </w:r>
      <w:r w:rsidR="00211EE9" w:rsidRPr="00854235">
        <w:rPr>
          <w:i/>
          <w:iCs/>
        </w:rPr>
        <w:t>Avon Downs Pty Ltd v Commissioner of Taxation</w:t>
      </w:r>
      <w:r w:rsidR="00211EE9" w:rsidRPr="00854235">
        <w:t xml:space="preserve"> (</w:t>
      </w:r>
      <w:proofErr w:type="spellStart"/>
      <w:r w:rsidR="00211EE9" w:rsidRPr="00854235">
        <w:t>Cth</w:t>
      </w:r>
      <w:proofErr w:type="spellEnd"/>
      <w:r w:rsidR="00211EE9" w:rsidRPr="00854235">
        <w:t xml:space="preserve">) (1949) 78 CLR 353, the High Court held at </w:t>
      </w:r>
      <w:r w:rsidR="00965364" w:rsidRPr="00854235">
        <w:t>[360]:</w:t>
      </w:r>
    </w:p>
    <w:p w14:paraId="2E19A250" w14:textId="603B6C4C" w:rsidR="00965364" w:rsidRPr="003209A6" w:rsidRDefault="00F6797D" w:rsidP="003209A6">
      <w:pPr>
        <w:pStyle w:val="Quote"/>
      </w:pPr>
      <w:r>
        <w:t>‘</w:t>
      </w:r>
      <w:r w:rsidR="006772A9" w:rsidRPr="00143487">
        <w:t xml:space="preserve">If </w:t>
      </w:r>
      <w:r w:rsidR="009A1832">
        <w:t>[</w:t>
      </w:r>
      <w:r w:rsidR="006772A9" w:rsidRPr="00143487">
        <w:t>a decision maker</w:t>
      </w:r>
      <w:r w:rsidR="0009571B">
        <w:t>]</w:t>
      </w:r>
      <w:r w:rsidR="006772A9" w:rsidRPr="00143487">
        <w:t xml:space="preserve"> does not address himself to the question which the… [Statute]… formulates, if his conclusion is affected by some mistake of law, if he takes some extraneous reason into consideration or excludes from consideration some factor which should affect his determination, </w:t>
      </w:r>
      <w:r w:rsidR="006772A9" w:rsidRPr="00143487">
        <w:rPr>
          <w:b/>
          <w:bCs/>
        </w:rPr>
        <w:t>on any of these grounds his conclusion is liable to review</w:t>
      </w:r>
      <w:r w:rsidR="006772A9" w:rsidRPr="00854235">
        <w:t>.</w:t>
      </w:r>
      <w:r>
        <w:t>’</w:t>
      </w:r>
    </w:p>
    <w:p w14:paraId="2325E8B3" w14:textId="1FD68D82" w:rsidR="00DA5B6E" w:rsidRDefault="00C531F4" w:rsidP="003209A6">
      <w:pPr>
        <w:keepNext/>
      </w:pPr>
      <w:r>
        <w:t>In some limited cases, s</w:t>
      </w:r>
      <w:r w:rsidR="00DE339A">
        <w:t xml:space="preserve">uch as the examples set out below, use of discretion may be appropriate. </w:t>
      </w:r>
    </w:p>
    <w:tbl>
      <w:tblPr>
        <w:tblStyle w:val="DTFtexttable"/>
        <w:tblW w:w="9000" w:type="dxa"/>
        <w:tblLayout w:type="fixed"/>
        <w:tblLook w:val="04A0" w:firstRow="1" w:lastRow="0" w:firstColumn="1" w:lastColumn="0" w:noHBand="0" w:noVBand="1"/>
      </w:tblPr>
      <w:tblGrid>
        <w:gridCol w:w="540"/>
        <w:gridCol w:w="8460"/>
      </w:tblGrid>
      <w:tr w:rsidR="00F3120C" w:rsidRPr="000357EF" w14:paraId="40CBD509" w14:textId="77777777" w:rsidTr="00F3120C">
        <w:trPr>
          <w:cnfStyle w:val="100000000000" w:firstRow="1" w:lastRow="0" w:firstColumn="0" w:lastColumn="0" w:oddVBand="0" w:evenVBand="0" w:oddHBand="0" w:evenHBand="0" w:firstRowFirstColumn="0" w:firstRowLastColumn="0" w:lastRowFirstColumn="0" w:lastRowLastColumn="0"/>
          <w:trHeight w:val="1134"/>
        </w:trPr>
        <w:tc>
          <w:tcPr>
            <w:cnfStyle w:val="001000000100" w:firstRow="0" w:lastRow="0" w:firstColumn="1" w:lastColumn="0" w:oddVBand="0" w:evenVBand="0" w:oddHBand="0" w:evenHBand="0" w:firstRowFirstColumn="1" w:firstRowLastColumn="0" w:lastRowFirstColumn="0" w:lastRowLastColumn="0"/>
            <w:tcW w:w="540" w:type="dxa"/>
            <w:textDirection w:val="btLr"/>
            <w:vAlign w:val="center"/>
          </w:tcPr>
          <w:p w14:paraId="4A309884" w14:textId="58037976" w:rsidR="00F3120C" w:rsidRPr="00F102AD" w:rsidRDefault="00F3120C" w:rsidP="00F3120C">
            <w:pPr>
              <w:pStyle w:val="Tabletext"/>
              <w:keepNext w:val="0"/>
              <w:ind w:left="113" w:right="113"/>
              <w:jc w:val="center"/>
              <w:rPr>
                <w:rFonts w:asciiTheme="majorHAnsi" w:hAnsiTheme="majorHAnsi"/>
                <w:b/>
                <w:bCs/>
              </w:rPr>
            </w:pPr>
            <w:r w:rsidRPr="00F102AD">
              <w:rPr>
                <w:b/>
                <w:bCs/>
              </w:rPr>
              <w:t>Example</w:t>
            </w:r>
          </w:p>
        </w:tc>
        <w:tc>
          <w:tcPr>
            <w:tcW w:w="8460" w:type="dxa"/>
            <w:shd w:val="clear" w:color="auto" w:fill="FFFFFF" w:themeFill="background1"/>
          </w:tcPr>
          <w:p w14:paraId="5428EAFD" w14:textId="0282E708" w:rsidR="00F3120C" w:rsidRPr="006B1199" w:rsidRDefault="00F3120C">
            <w:pPr>
              <w:pStyle w:val="Tabletext"/>
              <w:keepNext w:val="0"/>
              <w:cnfStyle w:val="100000000000" w:firstRow="1" w:lastRow="0" w:firstColumn="0" w:lastColumn="0" w:oddVBand="0" w:evenVBand="0" w:oddHBand="0" w:evenHBand="0" w:firstRowFirstColumn="0" w:firstRowLastColumn="0" w:lastRowFirstColumn="0" w:lastRowLastColumn="0"/>
            </w:pPr>
            <w:r w:rsidRPr="006B1199">
              <w:t>An individual applies to be a taxi driver. The applicant satisfies all mandatory criteria, including satisfactory medical and police checks. However, there is a limit on the number of taxi licences which can be in operation at any one time. This limit has been reached and therefore, the decision-making uses their discretion to deny the taxi licence on this occasion, providing clear reasoning.</w:t>
            </w:r>
          </w:p>
        </w:tc>
      </w:tr>
    </w:tbl>
    <w:p w14:paraId="600196A4" w14:textId="77777777" w:rsidR="00F3120C" w:rsidRDefault="00F3120C" w:rsidP="003209A6">
      <w:pPr>
        <w:keepNext/>
      </w:pPr>
    </w:p>
    <w:tbl>
      <w:tblPr>
        <w:tblStyle w:val="DTFtexttable"/>
        <w:tblW w:w="9000" w:type="dxa"/>
        <w:tblLayout w:type="fixed"/>
        <w:tblLook w:val="04A0" w:firstRow="1" w:lastRow="0" w:firstColumn="1" w:lastColumn="0" w:noHBand="0" w:noVBand="1"/>
      </w:tblPr>
      <w:tblGrid>
        <w:gridCol w:w="540"/>
        <w:gridCol w:w="8460"/>
      </w:tblGrid>
      <w:tr w:rsidR="00A64728" w:rsidRPr="000357EF" w14:paraId="36AD9A71" w14:textId="77777777">
        <w:trPr>
          <w:cnfStyle w:val="100000000000" w:firstRow="1" w:lastRow="0" w:firstColumn="0" w:lastColumn="0" w:oddVBand="0" w:evenVBand="0" w:oddHBand="0" w:evenHBand="0" w:firstRowFirstColumn="0" w:firstRowLastColumn="0" w:lastRowFirstColumn="0" w:lastRowLastColumn="0"/>
          <w:trHeight w:val="1134"/>
        </w:trPr>
        <w:tc>
          <w:tcPr>
            <w:cnfStyle w:val="001000000100" w:firstRow="0" w:lastRow="0" w:firstColumn="1" w:lastColumn="0" w:oddVBand="0" w:evenVBand="0" w:oddHBand="0" w:evenHBand="0" w:firstRowFirstColumn="1" w:firstRowLastColumn="0" w:lastRowFirstColumn="0" w:lastRowLastColumn="0"/>
            <w:tcW w:w="540" w:type="dxa"/>
            <w:textDirection w:val="btLr"/>
            <w:vAlign w:val="center"/>
          </w:tcPr>
          <w:p w14:paraId="2C28FCDC" w14:textId="77777777" w:rsidR="00A64728" w:rsidRPr="00F102AD" w:rsidRDefault="00A64728">
            <w:pPr>
              <w:pStyle w:val="Tabletext"/>
              <w:keepNext w:val="0"/>
              <w:ind w:left="113" w:right="113"/>
              <w:jc w:val="center"/>
              <w:rPr>
                <w:rFonts w:asciiTheme="majorHAnsi" w:hAnsiTheme="majorHAnsi"/>
                <w:b/>
                <w:bCs/>
              </w:rPr>
            </w:pPr>
            <w:r w:rsidRPr="00F102AD">
              <w:rPr>
                <w:b/>
                <w:bCs/>
              </w:rPr>
              <w:t>Example</w:t>
            </w:r>
          </w:p>
        </w:tc>
        <w:tc>
          <w:tcPr>
            <w:tcW w:w="8460" w:type="dxa"/>
            <w:shd w:val="clear" w:color="auto" w:fill="FFFFFF" w:themeFill="background1"/>
          </w:tcPr>
          <w:p w14:paraId="3B794735" w14:textId="754325D6" w:rsidR="00A64728" w:rsidRPr="00F3120C" w:rsidRDefault="00A64728">
            <w:pPr>
              <w:pStyle w:val="Tabletext"/>
              <w:keepNext w:val="0"/>
              <w:cnfStyle w:val="100000000000" w:firstRow="1" w:lastRow="0" w:firstColumn="0" w:lastColumn="0" w:oddVBand="0" w:evenVBand="0" w:oddHBand="0" w:evenHBand="0" w:firstRowFirstColumn="0" w:firstRowLastColumn="0" w:lastRowFirstColumn="0" w:lastRowLastColumn="0"/>
            </w:pPr>
            <w:r w:rsidRPr="00A64728">
              <w:t>An inspection is conducted on the premises of a registered firearms licence holder. The licence may be revoked where firearms are stored in an unsafe manner or condition which is otherwise non-compliant with relevant legislation. The inspection finds that the firearms safe has a loose bolt. The licence holder immediately remediates the bolt, the safe is otherwise compliant, and the licence holder has no history of non-compliance. The inspector exercises their discretion to allow the licence holder to retain their licence.</w:t>
            </w:r>
          </w:p>
        </w:tc>
      </w:tr>
    </w:tbl>
    <w:p w14:paraId="1131F637" w14:textId="77777777" w:rsidR="00E16738" w:rsidRDefault="00E16738" w:rsidP="00E16738"/>
    <w:p w14:paraId="3733E8C5" w14:textId="1DEFD1B3" w:rsidR="00E16738" w:rsidRPr="00E16738" w:rsidRDefault="00132C9D" w:rsidP="0095682A">
      <w:pPr>
        <w:pStyle w:val="Heading3"/>
        <w:pageBreakBefore/>
      </w:pPr>
      <w:r>
        <w:rPr>
          <w:noProof/>
        </w:rPr>
        <w:lastRenderedPageBreak/>
        <mc:AlternateContent>
          <mc:Choice Requires="wps">
            <w:drawing>
              <wp:anchor distT="0" distB="0" distL="114300" distR="114300" simplePos="0" relativeHeight="251658240" behindDoc="1" locked="1" layoutInCell="1" allowOverlap="1" wp14:anchorId="144C7FCB" wp14:editId="4D33830E">
                <wp:simplePos x="0" y="0"/>
                <wp:positionH relativeFrom="column">
                  <wp:posOffset>-155575</wp:posOffset>
                </wp:positionH>
                <wp:positionV relativeFrom="paragraph">
                  <wp:posOffset>-44450</wp:posOffset>
                </wp:positionV>
                <wp:extent cx="6098540" cy="7936865"/>
                <wp:effectExtent l="0" t="0" r="16510" b="26035"/>
                <wp:wrapNone/>
                <wp:docPr id="157486670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98540" cy="7936865"/>
                        </a:xfrm>
                        <a:prstGeom prst="rect">
                          <a:avLst/>
                        </a:prstGeom>
                        <a:solidFill>
                          <a:schemeClr val="accent2">
                            <a:lumMod val="20000"/>
                            <a:lumOff val="80000"/>
                          </a:schemeClr>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F8359" id="Rectangle 1" o:spid="_x0000_s1026" alt="&quot;&quot;" style="position:absolute;margin-left:-12.25pt;margin-top:-3.5pt;width:480.2pt;height:62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" fillcolor="#e0f5fc [661]" strokecolor="#0072ce [3204]" strokeweight="1pt">
                <w10:anchorlock/>
              </v:rect>
            </w:pict>
          </mc:Fallback>
        </mc:AlternateContent>
      </w:r>
      <w:r w:rsidR="00E16738" w:rsidRPr="00E16738">
        <w:t xml:space="preserve">Approach to evidence requirements </w:t>
      </w:r>
      <w:r w:rsidR="007247DB" w:rsidRPr="007247DB">
        <w:rPr>
          <w:noProof/>
          <w:position w:val="-20"/>
          <w:sz w:val="20"/>
          <w:szCs w:val="20"/>
        </w:rPr>
        <w:drawing>
          <wp:inline distT="0" distB="0" distL="0" distR="0" wp14:anchorId="30A5E800" wp14:editId="4BF41709">
            <wp:extent cx="347472" cy="347472"/>
            <wp:effectExtent l="0" t="0" r="0" b="0"/>
            <wp:docPr id="3" name="Graphic 3"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omment Important with solid fill"/>
                    <pic:cNvPicPr/>
                  </pic:nvPicPr>
                  <pic:blipFill>
                    <a:blip r:embed="rId46">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347472" cy="347472"/>
                    </a:xfrm>
                    <a:prstGeom prst="rect">
                      <a:avLst/>
                    </a:prstGeom>
                  </pic:spPr>
                </pic:pic>
              </a:graphicData>
            </a:graphic>
          </wp:inline>
        </w:drawing>
      </w:r>
    </w:p>
    <w:p w14:paraId="5D759067" w14:textId="77777777" w:rsidR="00E16738" w:rsidRDefault="00E16738" w:rsidP="00E16738">
      <w:r>
        <w:t xml:space="preserve">To reduce the regulatory burden on applicants, regulators and businesses, minimum acceptable levels of evidence should be required to substantiate an applicant’s assessment. </w:t>
      </w:r>
    </w:p>
    <w:p w14:paraId="02319A29" w14:textId="77777777" w:rsidR="00E16738" w:rsidRDefault="00E16738" w:rsidP="00E16738">
      <w:r>
        <w:t xml:space="preserve">Evidence required should be commensurate with the level of risk a regulator is seeking to mitigate, in line with the below. </w:t>
      </w:r>
    </w:p>
    <w:p w14:paraId="31274E31" w14:textId="43F3C919" w:rsidR="00E16738" w:rsidRDefault="00E16738" w:rsidP="00E16738">
      <w:r>
        <w:t xml:space="preserve">While legislated assessments should be reserved for application in </w:t>
      </w:r>
      <w:r w:rsidRPr="416A2B02">
        <w:t>high-risk</w:t>
      </w:r>
      <w:r>
        <w:t xml:space="preserve"> regulatory environments, the table below recognises the scale of harm that may exist within these environments.</w:t>
      </w:r>
    </w:p>
    <w:tbl>
      <w:tblPr>
        <w:tblStyle w:val="DTFtexttable"/>
        <w:tblW w:w="9090" w:type="dxa"/>
        <w:tblCellMar>
          <w:left w:w="86" w:type="dxa"/>
          <w:right w:w="86" w:type="dxa"/>
        </w:tblCellMar>
        <w:tblLook w:val="04A0" w:firstRow="1" w:lastRow="0" w:firstColumn="1" w:lastColumn="0" w:noHBand="0" w:noVBand="1"/>
      </w:tblPr>
      <w:tblGrid>
        <w:gridCol w:w="630"/>
        <w:gridCol w:w="2737"/>
        <w:gridCol w:w="2806"/>
        <w:gridCol w:w="2917"/>
      </w:tblGrid>
      <w:tr w:rsidR="00713D9F" w14:paraId="3A4A9069" w14:textId="77777777" w:rsidTr="00C23540">
        <w:trPr>
          <w:cnfStyle w:val="100000000000" w:firstRow="1" w:lastRow="0" w:firstColumn="0" w:lastColumn="0" w:oddVBand="0" w:evenVBand="0" w:oddHBand="0" w:evenHBand="0" w:firstRowFirstColumn="0" w:firstRowLastColumn="0" w:lastRowFirstColumn="0" w:lastRowLastColumn="0"/>
          <w:trHeight w:val="737"/>
        </w:trPr>
        <w:tc>
          <w:tcPr>
            <w:cnfStyle w:val="001000000100" w:firstRow="0" w:lastRow="0" w:firstColumn="1" w:lastColumn="0" w:oddVBand="0" w:evenVBand="0" w:oddHBand="0" w:evenHBand="0" w:firstRowFirstColumn="1" w:firstRowLastColumn="0" w:lastRowFirstColumn="0" w:lastRowLastColumn="0"/>
            <w:tcW w:w="630" w:type="dxa"/>
            <w:shd w:val="clear" w:color="auto" w:fill="99DDF6" w:themeFill="background2" w:themeFillShade="E6"/>
            <w:textDirection w:val="btLr"/>
          </w:tcPr>
          <w:p w14:paraId="067C97CA" w14:textId="44C77F10" w:rsidR="00840080" w:rsidRPr="00C23540" w:rsidRDefault="00840080" w:rsidP="002668CB">
            <w:pPr>
              <w:pStyle w:val="Tableheader"/>
              <w:spacing w:before="0" w:line="216" w:lineRule="auto"/>
              <w:ind w:left="115"/>
              <w:rPr>
                <w:rFonts w:asciiTheme="majorHAnsi" w:hAnsiTheme="majorHAnsi"/>
              </w:rPr>
            </w:pPr>
            <w:r w:rsidRPr="00C23540">
              <w:rPr>
                <w:rFonts w:asciiTheme="majorHAnsi" w:hAnsiTheme="majorHAnsi"/>
              </w:rPr>
              <w:t xml:space="preserve">Risk </w:t>
            </w:r>
            <w:r w:rsidR="0066774C" w:rsidRPr="00C23540">
              <w:rPr>
                <w:rFonts w:asciiTheme="majorHAnsi" w:hAnsiTheme="majorHAnsi"/>
              </w:rPr>
              <w:t>level</w:t>
            </w:r>
          </w:p>
        </w:tc>
        <w:tc>
          <w:tcPr>
            <w:tcW w:w="2737" w:type="dxa"/>
            <w:shd w:val="clear" w:color="auto" w:fill="DEF1E3" w:themeFill="accent5" w:themeFillTint="33"/>
            <w:vAlign w:val="center"/>
          </w:tcPr>
          <w:p w14:paraId="74D7C2C6" w14:textId="77777777" w:rsidR="00840080" w:rsidRPr="00C23540" w:rsidRDefault="00840080" w:rsidP="00622511">
            <w:pPr>
              <w:pStyle w:val="Tableheade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23540">
              <w:rPr>
                <w:rFonts w:asciiTheme="majorHAnsi" w:hAnsiTheme="majorHAnsi"/>
              </w:rPr>
              <w:t>Where the risk of harm is lower to medium</w:t>
            </w:r>
          </w:p>
        </w:tc>
        <w:tc>
          <w:tcPr>
            <w:tcW w:w="2806" w:type="dxa"/>
            <w:shd w:val="clear" w:color="auto" w:fill="FEEEA0"/>
            <w:vAlign w:val="center"/>
          </w:tcPr>
          <w:p w14:paraId="14580E15" w14:textId="77777777" w:rsidR="00840080" w:rsidRPr="00C23540" w:rsidRDefault="00840080" w:rsidP="00622511">
            <w:pPr>
              <w:pStyle w:val="Tableheade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23540">
              <w:rPr>
                <w:rFonts w:asciiTheme="majorHAnsi" w:hAnsiTheme="majorHAnsi"/>
              </w:rPr>
              <w:t>Where the risk of harm is medium to high</w:t>
            </w:r>
          </w:p>
        </w:tc>
        <w:tc>
          <w:tcPr>
            <w:tcW w:w="2917" w:type="dxa"/>
            <w:shd w:val="clear" w:color="auto" w:fill="F0CCCC"/>
            <w:vAlign w:val="center"/>
          </w:tcPr>
          <w:p w14:paraId="112101B1" w14:textId="77777777" w:rsidR="00840080" w:rsidRPr="00C23540" w:rsidRDefault="00840080" w:rsidP="00622511">
            <w:pPr>
              <w:pStyle w:val="Tableheade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23540">
              <w:rPr>
                <w:rFonts w:asciiTheme="majorHAnsi" w:hAnsiTheme="majorHAnsi"/>
              </w:rPr>
              <w:t>Where the risk of harm is high or very high</w:t>
            </w:r>
          </w:p>
        </w:tc>
      </w:tr>
      <w:tr w:rsidR="00866780" w14:paraId="56AFDE0F" w14:textId="77777777" w:rsidTr="002668CB">
        <w:trPr>
          <w:trHeight w:val="1134"/>
        </w:trPr>
        <w:tc>
          <w:tcPr>
            <w:cnfStyle w:val="001000000000" w:firstRow="0" w:lastRow="0" w:firstColumn="1" w:lastColumn="0" w:oddVBand="0" w:evenVBand="0" w:oddHBand="0" w:evenHBand="0" w:firstRowFirstColumn="0" w:firstRowLastColumn="0" w:lastRowFirstColumn="0" w:lastRowLastColumn="0"/>
            <w:tcW w:w="630" w:type="dxa"/>
            <w:shd w:val="clear" w:color="auto" w:fill="99DDF6" w:themeFill="background2" w:themeFillShade="E6"/>
            <w:textDirection w:val="btLr"/>
          </w:tcPr>
          <w:p w14:paraId="5992CCF5" w14:textId="77777777" w:rsidR="00840080" w:rsidRPr="00622511" w:rsidRDefault="00840080" w:rsidP="00622511">
            <w:pPr>
              <w:pStyle w:val="Tableheader"/>
              <w:jc w:val="center"/>
              <w:rPr>
                <w:rFonts w:asciiTheme="majorHAnsi" w:hAnsiTheme="majorHAnsi"/>
              </w:rPr>
            </w:pPr>
            <w:r w:rsidRPr="00622511">
              <w:rPr>
                <w:rFonts w:asciiTheme="majorHAnsi" w:hAnsiTheme="majorHAnsi"/>
              </w:rPr>
              <w:t>Evidence</w:t>
            </w:r>
          </w:p>
        </w:tc>
        <w:tc>
          <w:tcPr>
            <w:tcW w:w="2737" w:type="dxa"/>
            <w:shd w:val="clear" w:color="auto" w:fill="FFFFFF" w:themeFill="background1"/>
          </w:tcPr>
          <w:p w14:paraId="6FCDB169" w14:textId="77777777" w:rsidR="00840080" w:rsidRDefault="00840080" w:rsidP="00E717EF">
            <w:pPr>
              <w:pStyle w:val="Tabletext"/>
              <w:cnfStyle w:val="000000000000" w:firstRow="0" w:lastRow="0" w:firstColumn="0" w:lastColumn="0" w:oddVBand="0" w:evenVBand="0" w:oddHBand="0" w:evenHBand="0" w:firstRowFirstColumn="0" w:firstRowLastColumn="0" w:lastRowFirstColumn="0" w:lastRowLastColumn="0"/>
            </w:pPr>
            <w:r>
              <w:t>Applicant attests their identity and demonstrates that they satisfy the requirements of the assessment.</w:t>
            </w:r>
          </w:p>
          <w:p w14:paraId="411C0441" w14:textId="4C86456E" w:rsidR="00840080" w:rsidRDefault="00840080" w:rsidP="00E717EF">
            <w:pPr>
              <w:pStyle w:val="Tabletext"/>
              <w:cnfStyle w:val="000000000000" w:firstRow="0" w:lastRow="0" w:firstColumn="0" w:lastColumn="0" w:oddVBand="0" w:evenVBand="0" w:oddHBand="0" w:evenHBand="0" w:firstRowFirstColumn="0" w:firstRowLastColumn="0" w:lastRowFirstColumn="0" w:lastRowLastColumn="0"/>
            </w:pPr>
            <w:r w:rsidRPr="00437F82">
              <w:t>See Baseline Elements on page</w:t>
            </w:r>
            <w:r w:rsidR="00713D9F">
              <w:rPr>
                <w:rFonts w:ascii="Calibri" w:hAnsi="Calibri" w:cs="Calibri"/>
              </w:rPr>
              <w:t> </w:t>
            </w:r>
            <w:r w:rsidRPr="00437F82">
              <w:t>10.</w:t>
            </w:r>
            <w:r>
              <w:t xml:space="preserve"> </w:t>
            </w:r>
          </w:p>
        </w:tc>
        <w:tc>
          <w:tcPr>
            <w:tcW w:w="2806" w:type="dxa"/>
            <w:shd w:val="clear" w:color="auto" w:fill="FFFFFF" w:themeFill="background1"/>
          </w:tcPr>
          <w:p w14:paraId="6ADBF5DF" w14:textId="77777777" w:rsidR="00840080" w:rsidRDefault="00840080" w:rsidP="00E717EF">
            <w:pPr>
              <w:pStyle w:val="Tabletext"/>
              <w:cnfStyle w:val="000000000000" w:firstRow="0" w:lastRow="0" w:firstColumn="0" w:lastColumn="0" w:oddVBand="0" w:evenVBand="0" w:oddHBand="0" w:evenHBand="0" w:firstRowFirstColumn="0" w:firstRowLastColumn="0" w:lastRowFirstColumn="0" w:lastRowLastColumn="0"/>
            </w:pPr>
            <w:r w:rsidRPr="003A7280">
              <w:t xml:space="preserve">Applicant provides documentation to prove their identity </w:t>
            </w:r>
            <w:r w:rsidRPr="413BE73B">
              <w:t xml:space="preserve">and demonstrates </w:t>
            </w:r>
            <w:r>
              <w:t xml:space="preserve">that they satisfy the requirements of the assessment (e.g. evidence of professional qualifications or record of criminal history). </w:t>
            </w:r>
          </w:p>
        </w:tc>
        <w:tc>
          <w:tcPr>
            <w:tcW w:w="2917" w:type="dxa"/>
            <w:shd w:val="clear" w:color="auto" w:fill="FFFFFF" w:themeFill="background1"/>
          </w:tcPr>
          <w:p w14:paraId="13745810" w14:textId="77777777" w:rsidR="00840080" w:rsidRDefault="00840080" w:rsidP="00E717EF">
            <w:pPr>
              <w:pStyle w:val="Tabletext"/>
              <w:cnfStyle w:val="000000000000" w:firstRow="0" w:lastRow="0" w:firstColumn="0" w:lastColumn="0" w:oddVBand="0" w:evenVBand="0" w:oddHBand="0" w:evenHBand="0" w:firstRowFirstColumn="0" w:firstRowLastColumn="0" w:lastRowFirstColumn="0" w:lastRowLastColumn="0"/>
            </w:pPr>
            <w:r w:rsidRPr="003A7280">
              <w:t xml:space="preserve">Applicant provides documentation to prove their identity </w:t>
            </w:r>
            <w:r w:rsidRPr="413BE73B">
              <w:t xml:space="preserve">and demonstrates </w:t>
            </w:r>
            <w:r>
              <w:t>that they satisfy the requirements of the assessment (e.g. evidence of professional qualifications or record of criminal history).</w:t>
            </w:r>
          </w:p>
          <w:p w14:paraId="71630E97" w14:textId="77777777" w:rsidR="00840080" w:rsidRDefault="00840080" w:rsidP="00E717EF">
            <w:pPr>
              <w:pStyle w:val="Tabletext"/>
              <w:cnfStyle w:val="000000000000" w:firstRow="0" w:lastRow="0" w:firstColumn="0" w:lastColumn="0" w:oddVBand="0" w:evenVBand="0" w:oddHBand="0" w:evenHBand="0" w:firstRowFirstColumn="0" w:firstRowLastColumn="0" w:lastRowFirstColumn="0" w:lastRowLastColumn="0"/>
            </w:pPr>
            <w:r>
              <w:t>Regulator undertakes checks to verify the applicant’s identity and documentation. Regulatory may seek additional information from the applicant.</w:t>
            </w:r>
          </w:p>
          <w:p w14:paraId="00339A37" w14:textId="77777777" w:rsidR="00840080" w:rsidRDefault="00840080" w:rsidP="00E717EF">
            <w:pPr>
              <w:pStyle w:val="Tabletext"/>
              <w:cnfStyle w:val="000000000000" w:firstRow="0" w:lastRow="0" w:firstColumn="0" w:lastColumn="0" w:oddVBand="0" w:evenVBand="0" w:oddHBand="0" w:evenHBand="0" w:firstRowFirstColumn="0" w:firstRowLastColumn="0" w:lastRowFirstColumn="0" w:lastRowLastColumn="0"/>
            </w:pPr>
            <w:r>
              <w:t xml:space="preserve">In </w:t>
            </w:r>
            <w:r w:rsidRPr="005B0643">
              <w:rPr>
                <w:b/>
                <w:bCs/>
              </w:rPr>
              <w:t>rare circumstances</w:t>
            </w:r>
            <w:r>
              <w:t xml:space="preserve">, regulator may assess the </w:t>
            </w:r>
            <w:r w:rsidRPr="00437F82">
              <w:t>applicant’s character (see Extraordinary Elements on page 25).</w:t>
            </w:r>
            <w:r>
              <w:t xml:space="preserve"> </w:t>
            </w:r>
          </w:p>
        </w:tc>
      </w:tr>
    </w:tbl>
    <w:p w14:paraId="0FA871C5" w14:textId="77777777" w:rsidR="00840080" w:rsidRDefault="00840080" w:rsidP="007247DB">
      <w:pPr>
        <w:pStyle w:val="Spacer"/>
      </w:pPr>
    </w:p>
    <w:p w14:paraId="1D72D1E8" w14:textId="41A71DAB" w:rsidR="0023508E" w:rsidRPr="0023508E" w:rsidRDefault="006E1D53" w:rsidP="0023508E">
      <w:r w:rsidRPr="00CB7A46">
        <w:t xml:space="preserve">For more information on appropriate evidence </w:t>
      </w:r>
      <w:r w:rsidRPr="0023508E">
        <w:t xml:space="preserve">requirements, see the </w:t>
      </w:r>
      <w:hyperlink r:id="rId48" w:history="1">
        <w:r w:rsidR="0023508E" w:rsidRPr="0029270B">
          <w:rPr>
            <w:rStyle w:val="Hyperlink"/>
          </w:rPr>
          <w:t>Victorian Fit and Proper Test Framework.</w:t>
        </w:r>
      </w:hyperlink>
      <w:r w:rsidR="0023508E" w:rsidRPr="0023508E">
        <w:t xml:space="preserve"> </w:t>
      </w:r>
    </w:p>
    <w:p w14:paraId="5DD5DF56" w14:textId="58EB8101" w:rsidR="00840080" w:rsidRPr="003D639E" w:rsidRDefault="00840080" w:rsidP="00840080">
      <w:r w:rsidRPr="003D639E">
        <w:t xml:space="preserve">For lower risk environments, an attestation of the applicant’s identity </w:t>
      </w:r>
      <w:r>
        <w:t>is likely to</w:t>
      </w:r>
      <w:r w:rsidRPr="003D639E">
        <w:t xml:space="preserve"> be sufficient for assessing suitability (noting that cancellation of the relevant licence or permission may follow where such an attestation is proven to be false). </w:t>
      </w:r>
    </w:p>
    <w:p w14:paraId="70E5BDFB" w14:textId="63643525" w:rsidR="00840080" w:rsidRPr="003D639E" w:rsidRDefault="00840080" w:rsidP="00840080">
      <w:r w:rsidRPr="003D639E">
        <w:t xml:space="preserve">In most circumstances, it will be appropriate for an applicant </w:t>
      </w:r>
      <w:r w:rsidRPr="7EF6900C">
        <w:t>to</w:t>
      </w:r>
      <w:r w:rsidRPr="003D639E">
        <w:t xml:space="preserve"> verify their identity or provide evidence to support their attestation. Policymakers should select (and justify) how an applicant may complete this step as part of a level of assurance assessment.</w:t>
      </w:r>
    </w:p>
    <w:p w14:paraId="0BE53923" w14:textId="75E702E9" w:rsidR="00840080" w:rsidRDefault="00840080" w:rsidP="00840080">
      <w:pPr>
        <w:rPr>
          <w:rFonts w:ascii="Arial" w:hAnsi="Arial" w:cs="Arial"/>
        </w:rPr>
      </w:pPr>
      <w:r w:rsidRPr="003D639E">
        <w:t xml:space="preserve">Policymakers should refer to and seek alignment with the Service Victoria </w:t>
      </w:r>
      <w:hyperlink r:id="rId49" w:history="1">
        <w:r w:rsidRPr="00C80D79">
          <w:rPr>
            <w:rStyle w:val="Hyperlink"/>
          </w:rPr>
          <w:t>Identity Verification standards</w:t>
        </w:r>
      </w:hyperlink>
      <w:r w:rsidRPr="003D639E">
        <w:t>. These align with national guidelines on suitable, risk</w:t>
      </w:r>
      <w:r>
        <w:noBreakHyphen/>
      </w:r>
      <w:r w:rsidRPr="003D639E">
        <w:t xml:space="preserve">based identity verification processes. Policymakers should also refer to the National Identity Proofing Guidelines (NIPG) </w:t>
      </w:r>
      <w:r>
        <w:t xml:space="preserve">to </w:t>
      </w:r>
      <w:r w:rsidRPr="003D639E">
        <w:t>which all states and territories have agreed.</w:t>
      </w:r>
    </w:p>
    <w:p w14:paraId="139AEF75" w14:textId="4B55931E" w:rsidR="00DD0C8F" w:rsidRPr="00560AC4" w:rsidRDefault="00DD0C8F" w:rsidP="00DB37DA">
      <w:pPr>
        <w:pStyle w:val="Heading1numbered"/>
      </w:pPr>
      <w:bookmarkStart w:id="18" w:name="_Toc164848016"/>
      <w:bookmarkStart w:id="19" w:name="_Toc174538664"/>
      <w:bookmarkStart w:id="20" w:name="_Toc178780168"/>
      <w:r w:rsidRPr="00560AC4">
        <w:lastRenderedPageBreak/>
        <w:t xml:space="preserve">Baseline </w:t>
      </w:r>
      <w:r w:rsidR="00255AA6">
        <w:t>e</w:t>
      </w:r>
      <w:r w:rsidRPr="00560AC4">
        <w:t>lements</w:t>
      </w:r>
      <w:bookmarkEnd w:id="18"/>
      <w:bookmarkEnd w:id="19"/>
      <w:bookmarkEnd w:id="20"/>
    </w:p>
    <w:p w14:paraId="5D7AEE29" w14:textId="01149B18" w:rsidR="009A7207" w:rsidRDefault="002C36BC" w:rsidP="006F7CFD">
      <w:r w:rsidRPr="00560AC4">
        <w:t>Baseline elements reflect the minimum information required to assess an applicant</w:t>
      </w:r>
      <w:r w:rsidR="00FA3452">
        <w:t>’s suitability</w:t>
      </w:r>
      <w:r w:rsidR="0037198F" w:rsidRPr="00560AC4">
        <w:t>.</w:t>
      </w:r>
      <w:r w:rsidR="001A6CD0" w:rsidRPr="00560AC4">
        <w:t xml:space="preserve"> </w:t>
      </w:r>
      <w:r w:rsidR="00FA3452">
        <w:t>In low</w:t>
      </w:r>
      <w:r w:rsidR="005C5720">
        <w:t>er</w:t>
      </w:r>
      <w:r w:rsidR="00FA3452">
        <w:t xml:space="preserve"> risk environments, it is sufficient that an</w:t>
      </w:r>
      <w:r w:rsidR="009A7207" w:rsidRPr="00560AC4">
        <w:t xml:space="preserve"> application </w:t>
      </w:r>
      <w:proofErr w:type="gramStart"/>
      <w:r w:rsidR="00FA3452">
        <w:t>contain</w:t>
      </w:r>
      <w:proofErr w:type="gramEnd"/>
      <w:r w:rsidR="009A7207" w:rsidRPr="00560AC4">
        <w:t xml:space="preserve"> a statement by the applicant where</w:t>
      </w:r>
      <w:r w:rsidR="0003556B">
        <w:t xml:space="preserve"> the applicant</w:t>
      </w:r>
      <w:r w:rsidR="009A7207" w:rsidRPr="00560AC4">
        <w:t xml:space="preserve">: </w:t>
      </w:r>
    </w:p>
    <w:p w14:paraId="1027AF06" w14:textId="4F710016" w:rsidR="005B7CAA" w:rsidRPr="00036603" w:rsidRDefault="009A7207" w:rsidP="007828F5">
      <w:pPr>
        <w:pStyle w:val="Numpara2"/>
      </w:pPr>
      <w:r w:rsidRPr="005B7CAA">
        <w:t>identifies themselves as the applicant</w:t>
      </w:r>
      <w:r w:rsidR="009D0FDE">
        <w:t xml:space="preserve"> (including whether the applicant is an individual or body corporate)</w:t>
      </w:r>
      <w:r w:rsidR="00BC1E5B">
        <w:t>,</w:t>
      </w:r>
      <w:r w:rsidRPr="005B7CAA">
        <w:t xml:space="preserve"> and</w:t>
      </w:r>
    </w:p>
    <w:p w14:paraId="32ABA053" w14:textId="100D7F4F" w:rsidR="00872214" w:rsidRDefault="00472EE0" w:rsidP="007828F5">
      <w:pPr>
        <w:pStyle w:val="Numpara2"/>
      </w:pPr>
      <w:r w:rsidRPr="005B7CAA">
        <w:t>makes a</w:t>
      </w:r>
      <w:r w:rsidR="001548C8">
        <w:t xml:space="preserve">n attestation </w:t>
      </w:r>
      <w:r w:rsidRPr="005B7CAA">
        <w:t>that they are suitable to undertake an activity or hold a permission, with reference to elements set out in the applicable legislation.</w:t>
      </w:r>
    </w:p>
    <w:p w14:paraId="748CD92E" w14:textId="195DCAC0" w:rsidR="00036603" w:rsidRPr="00E16738" w:rsidRDefault="00036603" w:rsidP="00036603">
      <w:pPr>
        <w:pStyle w:val="Heading3"/>
      </w:pPr>
      <w:r>
        <w:rPr>
          <w:noProof/>
        </w:rPr>
        <mc:AlternateContent>
          <mc:Choice Requires="wps">
            <w:drawing>
              <wp:anchor distT="0" distB="0" distL="114300" distR="114300" simplePos="0" relativeHeight="251658241" behindDoc="1" locked="1" layoutInCell="1" allowOverlap="1" wp14:anchorId="5A74B950" wp14:editId="6E2D7ABC">
                <wp:simplePos x="0" y="0"/>
                <wp:positionH relativeFrom="column">
                  <wp:posOffset>-152400</wp:posOffset>
                </wp:positionH>
                <wp:positionV relativeFrom="paragraph">
                  <wp:posOffset>28575</wp:posOffset>
                </wp:positionV>
                <wp:extent cx="6098540" cy="4324350"/>
                <wp:effectExtent l="0" t="0" r="16510" b="19050"/>
                <wp:wrapNone/>
                <wp:docPr id="33139796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98540" cy="4324350"/>
                        </a:xfrm>
                        <a:prstGeom prst="rect">
                          <a:avLst/>
                        </a:prstGeom>
                        <a:solidFill>
                          <a:schemeClr val="accent2">
                            <a:lumMod val="20000"/>
                            <a:lumOff val="80000"/>
                          </a:schemeClr>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6AF96" id="Rectangle 1" o:spid="_x0000_s1026" alt="&quot;&quot;" style="position:absolute;margin-left:-12pt;margin-top:2.25pt;width:480.2pt;height:34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" fillcolor="#e0f5fc [661]" strokecolor="#0072ce [3204]" strokeweight="1pt">
                <w10:anchorlock/>
              </v:rect>
            </w:pict>
          </mc:Fallback>
        </mc:AlternateContent>
      </w:r>
      <w:r w:rsidRPr="00036603">
        <w:t xml:space="preserve">Identifying an applicant </w:t>
      </w:r>
      <w:r w:rsidRPr="007247DB">
        <w:rPr>
          <w:noProof/>
          <w:position w:val="-20"/>
          <w:sz w:val="20"/>
          <w:szCs w:val="20"/>
        </w:rPr>
        <w:drawing>
          <wp:inline distT="0" distB="0" distL="0" distR="0" wp14:anchorId="5E21D858" wp14:editId="0A0BF0BD">
            <wp:extent cx="347472" cy="347472"/>
            <wp:effectExtent l="0" t="0" r="0" b="0"/>
            <wp:docPr id="1536305821" name="Graphic 1536305821"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omment Important with solid fill"/>
                    <pic:cNvPicPr/>
                  </pic:nvPicPr>
                  <pic:blipFill>
                    <a:blip r:embed="rId46">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347472" cy="347472"/>
                    </a:xfrm>
                    <a:prstGeom prst="rect">
                      <a:avLst/>
                    </a:prstGeom>
                  </pic:spPr>
                </pic:pic>
              </a:graphicData>
            </a:graphic>
          </wp:inline>
        </w:drawing>
      </w:r>
    </w:p>
    <w:p w14:paraId="07AE37E5" w14:textId="0760C5DB" w:rsidR="00036603" w:rsidRDefault="00036603" w:rsidP="006F7CFD">
      <w:r>
        <w:t xml:space="preserve">For lower risk environments, an attestation of the applicant’s identity </w:t>
      </w:r>
      <w:r w:rsidR="007817ED">
        <w:t xml:space="preserve">may </w:t>
      </w:r>
      <w:r>
        <w:t xml:space="preserve">be sufficient for assessing suitability (noting that cancellation of the relevant licence or permission may </w:t>
      </w:r>
      <w:r w:rsidRPr="2EDF6A22">
        <w:t xml:space="preserve">follow </w:t>
      </w:r>
      <w:r>
        <w:t xml:space="preserve">where such an attestation is proven to be false). </w:t>
      </w:r>
    </w:p>
    <w:p w14:paraId="41A30104" w14:textId="422F044E" w:rsidR="00036603" w:rsidRPr="00DF7CEF" w:rsidRDefault="00036603" w:rsidP="006F7CFD">
      <w:r>
        <w:t>Where the risk is higher,</w:t>
      </w:r>
      <w:r w:rsidRPr="00DF7CEF">
        <w:t xml:space="preserve"> an applicant </w:t>
      </w:r>
      <w:r w:rsidR="00581ED1">
        <w:t xml:space="preserve">would need to </w:t>
      </w:r>
      <w:r w:rsidRPr="00DF7CEF">
        <w:t>verify their identity or provide evidence to support their attestation. Policymakers should select (and justify) the means through which an applicant may complete this step</w:t>
      </w:r>
      <w:r w:rsidR="00C1764B">
        <w:t xml:space="preserve"> based on consideration of the applicant cohort risk environment</w:t>
      </w:r>
      <w:r w:rsidR="00A417D9">
        <w:t>:</w:t>
      </w:r>
    </w:p>
    <w:p w14:paraId="256AD278" w14:textId="5E843A0A" w:rsidR="00036603" w:rsidRDefault="00013ADF" w:rsidP="00036603">
      <w:pPr>
        <w:pStyle w:val="Bullet1"/>
        <w:rPr>
          <w:rFonts w:cs="Arial"/>
        </w:rPr>
      </w:pPr>
      <w:r>
        <w:rPr>
          <w:rFonts w:cs="Arial"/>
        </w:rPr>
        <w:t>using</w:t>
      </w:r>
      <w:r w:rsidR="00036603">
        <w:rPr>
          <w:rFonts w:cs="Arial"/>
        </w:rPr>
        <w:t xml:space="preserve"> Service Victoria’s </w:t>
      </w:r>
      <w:hyperlink r:id="rId50" w:history="1">
        <w:r w:rsidR="00036603">
          <w:rPr>
            <w:rStyle w:val="Hyperlink"/>
            <w:rFonts w:cs="Arial"/>
          </w:rPr>
          <w:t>Identity Verification Service</w:t>
        </w:r>
      </w:hyperlink>
      <w:r w:rsidR="001D41CE">
        <w:rPr>
          <w:rStyle w:val="Hyperlink"/>
          <w:rFonts w:cs="Arial"/>
        </w:rPr>
        <w:t xml:space="preserve">, </w:t>
      </w:r>
      <w:r w:rsidR="001D41CE" w:rsidRPr="30CA0E94">
        <w:rPr>
          <w:rFonts w:cs="Arial"/>
        </w:rPr>
        <w:t>which supports multiple levels of assurance</w:t>
      </w:r>
      <w:r w:rsidR="001D41CE" w:rsidRPr="2FC4A499">
        <w:rPr>
          <w:rFonts w:cs="Arial"/>
        </w:rPr>
        <w:t xml:space="preserve"> including a higher standard of proofing for higher-risk environments.</w:t>
      </w:r>
      <w:r w:rsidR="001D41CE" w:rsidRPr="30CA0E94">
        <w:rPr>
          <w:rFonts w:cs="Arial"/>
        </w:rPr>
        <w:t xml:space="preserve"> A level of assurance assessment can be completed </w:t>
      </w:r>
      <w:r w:rsidR="001D41CE" w:rsidRPr="2FC4A499">
        <w:rPr>
          <w:rFonts w:cs="Arial"/>
        </w:rPr>
        <w:t xml:space="preserve">with Service Victoria </w:t>
      </w:r>
      <w:r w:rsidR="001D41CE" w:rsidRPr="30CA0E94">
        <w:rPr>
          <w:rFonts w:cs="Arial"/>
        </w:rPr>
        <w:t>to determine an appropriate level of assurance.</w:t>
      </w:r>
    </w:p>
    <w:p w14:paraId="0E18FB2C" w14:textId="16F7EAA6" w:rsidR="00036603" w:rsidRDefault="00036603" w:rsidP="00036603">
      <w:pPr>
        <w:pStyle w:val="Bullet1"/>
      </w:pPr>
      <w:r>
        <w:t xml:space="preserve">requiring that an applicant provide certified copies of identity documents (in line with requirements contained in the </w:t>
      </w:r>
      <w:r w:rsidRPr="00321B1A">
        <w:rPr>
          <w:i/>
          <w:iCs/>
        </w:rPr>
        <w:t>Oaths and Affirmations Act 2018</w:t>
      </w:r>
      <w:r>
        <w:rPr>
          <w:i/>
          <w:iCs/>
        </w:rPr>
        <w:t xml:space="preserve"> </w:t>
      </w:r>
      <w:r w:rsidRPr="00E41232">
        <w:t>(Vic)</w:t>
      </w:r>
      <w:r w:rsidR="00932F18">
        <w:t xml:space="preserve"> using non-digital channels</w:t>
      </w:r>
      <w:r>
        <w:t xml:space="preserve">. This will be most appropriate for applications from vulnerable cohorts. The Victorian Department of Justice and Community Safety provides </w:t>
      </w:r>
      <w:hyperlink r:id="rId51" w:history="1">
        <w:r w:rsidRPr="00174B5E">
          <w:rPr>
            <w:rStyle w:val="Hyperlink"/>
          </w:rPr>
          <w:t>additional guidance on certification</w:t>
        </w:r>
      </w:hyperlink>
      <w:r w:rsidR="00FF6046">
        <w:t>,</w:t>
      </w:r>
      <w:r>
        <w:t xml:space="preserve"> or</w:t>
      </w:r>
    </w:p>
    <w:p w14:paraId="6F687596" w14:textId="77777777" w:rsidR="00036603" w:rsidRPr="004C5529" w:rsidRDefault="00036603" w:rsidP="00036603">
      <w:pPr>
        <w:pStyle w:val="Bullet1"/>
      </w:pPr>
      <w:r>
        <w:t xml:space="preserve">using a points-based system of evidence. However, it should be noted that points-based approaches are considered outdated, with digitised approaches to identity an applicant being the favoured alternative due to improved accuracy and efficiency. </w:t>
      </w:r>
    </w:p>
    <w:p w14:paraId="54F08BAC" w14:textId="77777777" w:rsidR="001D41CE" w:rsidRDefault="001D41CE" w:rsidP="003A4FE8"/>
    <w:p w14:paraId="1573FAF3" w14:textId="66EE0988" w:rsidR="00036603" w:rsidRPr="00E145F4" w:rsidRDefault="00036603" w:rsidP="003A4FE8">
      <w:r>
        <w:t>The</w:t>
      </w:r>
      <w:r w:rsidRPr="00B0085B">
        <w:t xml:space="preserve"> Department of Justice and Community Safety (</w:t>
      </w:r>
      <w:r w:rsidRPr="003A4FE8">
        <w:rPr>
          <w:rStyle w:val="Hyperlink"/>
        </w:rPr>
        <w:t>CCLConsultation@justice.vic.gov.au</w:t>
      </w:r>
      <w:r w:rsidRPr="003A4FE8">
        <w:t>) should be consulted on any appropriate offence provision or other penalties for providing false or misleading information.</w:t>
      </w:r>
    </w:p>
    <w:p w14:paraId="09F36B89" w14:textId="5C0651AC" w:rsidR="00C05C95" w:rsidRDefault="00C05C95" w:rsidP="008406D9"/>
    <w:tbl>
      <w:tblPr>
        <w:tblStyle w:val="DTFtexttable"/>
        <w:tblW w:w="9000" w:type="dxa"/>
        <w:tblLayout w:type="fixed"/>
        <w:tblLook w:val="04A0" w:firstRow="1" w:lastRow="0" w:firstColumn="1" w:lastColumn="0" w:noHBand="0" w:noVBand="1"/>
      </w:tblPr>
      <w:tblGrid>
        <w:gridCol w:w="540"/>
        <w:gridCol w:w="8460"/>
      </w:tblGrid>
      <w:tr w:rsidR="00D94050" w:rsidRPr="000357EF" w14:paraId="43F11B1D" w14:textId="77777777">
        <w:trPr>
          <w:cnfStyle w:val="100000000000" w:firstRow="1" w:lastRow="0" w:firstColumn="0" w:lastColumn="0" w:oddVBand="0" w:evenVBand="0" w:oddHBand="0" w:evenHBand="0" w:firstRowFirstColumn="0" w:firstRowLastColumn="0" w:lastRowFirstColumn="0" w:lastRowLastColumn="0"/>
          <w:trHeight w:val="1134"/>
        </w:trPr>
        <w:tc>
          <w:tcPr>
            <w:cnfStyle w:val="001000000100" w:firstRow="0" w:lastRow="0" w:firstColumn="1" w:lastColumn="0" w:oddVBand="0" w:evenVBand="0" w:oddHBand="0" w:evenHBand="0" w:firstRowFirstColumn="1" w:firstRowLastColumn="0" w:lastRowFirstColumn="0" w:lastRowLastColumn="0"/>
            <w:tcW w:w="540" w:type="dxa"/>
            <w:textDirection w:val="btLr"/>
            <w:vAlign w:val="center"/>
          </w:tcPr>
          <w:p w14:paraId="3DA61C86" w14:textId="77777777" w:rsidR="00D94050" w:rsidRPr="00F102AD" w:rsidRDefault="00D94050">
            <w:pPr>
              <w:pStyle w:val="Tabletext"/>
              <w:keepNext w:val="0"/>
              <w:ind w:left="113" w:right="113"/>
              <w:jc w:val="center"/>
              <w:rPr>
                <w:rFonts w:asciiTheme="majorHAnsi" w:hAnsiTheme="majorHAnsi"/>
                <w:b/>
                <w:bCs/>
              </w:rPr>
            </w:pPr>
            <w:r w:rsidRPr="00F102AD">
              <w:rPr>
                <w:b/>
                <w:bCs/>
              </w:rPr>
              <w:lastRenderedPageBreak/>
              <w:t>Example</w:t>
            </w:r>
          </w:p>
        </w:tc>
        <w:tc>
          <w:tcPr>
            <w:tcW w:w="8460" w:type="dxa"/>
            <w:shd w:val="clear" w:color="auto" w:fill="FFFFFF" w:themeFill="background1"/>
          </w:tcPr>
          <w:p w14:paraId="75B00C38" w14:textId="77777777" w:rsidR="00D94050" w:rsidRPr="006B1199" w:rsidRDefault="00D94050" w:rsidP="00F102AD">
            <w:pPr>
              <w:pStyle w:val="Tabletext"/>
              <w:cnfStyle w:val="100000000000" w:firstRow="1" w:lastRow="0" w:firstColumn="0" w:lastColumn="0" w:oddVBand="0" w:evenVBand="0" w:oddHBand="0" w:evenHBand="0" w:firstRowFirstColumn="0" w:firstRowLastColumn="0" w:lastRowFirstColumn="0" w:lastRowLastColumn="0"/>
              <w:rPr>
                <w:bCs/>
              </w:rPr>
            </w:pPr>
            <w:r w:rsidRPr="006B1199">
              <w:rPr>
                <w:bCs/>
              </w:rPr>
              <w:t xml:space="preserve">An individual is applying for a 28-day recreational fishing permit. Section 49(5) of the </w:t>
            </w:r>
            <w:r w:rsidRPr="006B1199">
              <w:rPr>
                <w:bCs/>
                <w:i/>
                <w:iCs/>
              </w:rPr>
              <w:t>Fisheries Act 1995</w:t>
            </w:r>
            <w:r w:rsidRPr="006B1199">
              <w:rPr>
                <w:bCs/>
              </w:rPr>
              <w:t xml:space="preserve"> (Vic) provides that a permit may not be issued unless the decision-maker is satisfied the applicant is fit and proper to hold such a licence. </w:t>
            </w:r>
          </w:p>
          <w:p w14:paraId="28A102B1" w14:textId="7DD1AF4F" w:rsidR="00D94050" w:rsidRPr="00D94050" w:rsidRDefault="00D94050" w:rsidP="00D94050">
            <w:pPr>
              <w:pStyle w:val="Tabletext"/>
              <w:keepNext w:val="0"/>
              <w:cnfStyle w:val="100000000000" w:firstRow="1" w:lastRow="0" w:firstColumn="0" w:lastColumn="0" w:oddVBand="0" w:evenVBand="0" w:oddHBand="0" w:evenHBand="0" w:firstRowFirstColumn="0" w:firstRowLastColumn="0" w:lastRowFirstColumn="0" w:lastRowLastColumn="0"/>
            </w:pPr>
            <w:r w:rsidRPr="006B1199">
              <w:rPr>
                <w:bCs/>
              </w:rPr>
              <w:t>In these circumstances, identification of the applicant, completion of an online form (requiring a date of birth and contact information), a declaration that the individual is not exempt from holding a licence and is aware that making a false or misleading statement is an offence will be sufficient for issuing the permit.</w:t>
            </w:r>
          </w:p>
        </w:tc>
      </w:tr>
    </w:tbl>
    <w:p w14:paraId="36F5D7B6" w14:textId="77777777" w:rsidR="008406D9" w:rsidRDefault="008406D9" w:rsidP="008406D9"/>
    <w:tbl>
      <w:tblPr>
        <w:tblStyle w:val="DTFtexttable"/>
        <w:tblW w:w="9000" w:type="dxa"/>
        <w:tblLayout w:type="fixed"/>
        <w:tblLook w:val="04A0" w:firstRow="1" w:lastRow="0" w:firstColumn="1" w:lastColumn="0" w:noHBand="0" w:noVBand="1"/>
      </w:tblPr>
      <w:tblGrid>
        <w:gridCol w:w="540"/>
        <w:gridCol w:w="8460"/>
      </w:tblGrid>
      <w:tr w:rsidR="00531E90" w:rsidRPr="000357EF" w14:paraId="7B6ADE62" w14:textId="77777777">
        <w:trPr>
          <w:cnfStyle w:val="100000000000" w:firstRow="1" w:lastRow="0" w:firstColumn="0" w:lastColumn="0" w:oddVBand="0" w:evenVBand="0" w:oddHBand="0" w:evenHBand="0" w:firstRowFirstColumn="0" w:firstRowLastColumn="0" w:lastRowFirstColumn="0" w:lastRowLastColumn="0"/>
          <w:trHeight w:val="1134"/>
        </w:trPr>
        <w:tc>
          <w:tcPr>
            <w:cnfStyle w:val="001000000100" w:firstRow="0" w:lastRow="0" w:firstColumn="1" w:lastColumn="0" w:oddVBand="0" w:evenVBand="0" w:oddHBand="0" w:evenHBand="0" w:firstRowFirstColumn="1" w:firstRowLastColumn="0" w:lastRowFirstColumn="0" w:lastRowLastColumn="0"/>
            <w:tcW w:w="540" w:type="dxa"/>
            <w:textDirection w:val="btLr"/>
            <w:vAlign w:val="center"/>
          </w:tcPr>
          <w:p w14:paraId="45CCD1D6" w14:textId="77777777" w:rsidR="00531E90" w:rsidRPr="00EC4E52" w:rsidRDefault="00531E90">
            <w:pPr>
              <w:pStyle w:val="Tabletext"/>
              <w:keepNext w:val="0"/>
              <w:ind w:left="113" w:right="113"/>
              <w:jc w:val="center"/>
              <w:rPr>
                <w:rFonts w:asciiTheme="majorHAnsi" w:hAnsiTheme="majorHAnsi"/>
                <w:b/>
                <w:bCs/>
              </w:rPr>
            </w:pPr>
            <w:r w:rsidRPr="00EC4E52">
              <w:rPr>
                <w:b/>
                <w:bCs/>
              </w:rPr>
              <w:t>Example</w:t>
            </w:r>
          </w:p>
        </w:tc>
        <w:tc>
          <w:tcPr>
            <w:tcW w:w="8460" w:type="dxa"/>
            <w:shd w:val="clear" w:color="auto" w:fill="FFFFFF" w:themeFill="background1"/>
          </w:tcPr>
          <w:p w14:paraId="490C1A8A" w14:textId="77777777" w:rsidR="00531E90" w:rsidRPr="004C168A" w:rsidRDefault="00531E90" w:rsidP="00EC4E52">
            <w:pPr>
              <w:pStyle w:val="Tabletext"/>
              <w:cnfStyle w:val="100000000000" w:firstRow="1" w:lastRow="0" w:firstColumn="0" w:lastColumn="0" w:oddVBand="0" w:evenVBand="0" w:oddHBand="0" w:evenHBand="0" w:firstRowFirstColumn="0" w:firstRowLastColumn="0" w:lastRowFirstColumn="0" w:lastRowLastColumn="0"/>
            </w:pPr>
            <w:r w:rsidRPr="004C168A">
              <w:t xml:space="preserve">A company is seeking to register as a Booking Service Provider. This will enable that company to receive requests for commercial passenger vehicle (CPV) trips and arrange for CPV drivers to provide services. </w:t>
            </w:r>
          </w:p>
          <w:p w14:paraId="16DB702B" w14:textId="7062E92F" w:rsidR="00531E90" w:rsidRPr="00531E90" w:rsidRDefault="00531E90" w:rsidP="00531E90">
            <w:pPr>
              <w:pStyle w:val="Tabletext"/>
              <w:keepNext w:val="0"/>
              <w:cnfStyle w:val="100000000000" w:firstRow="1" w:lastRow="0" w:firstColumn="0" w:lastColumn="0" w:oddVBand="0" w:evenVBand="0" w:oddHBand="0" w:evenHBand="0" w:firstRowFirstColumn="0" w:firstRowLastColumn="0" w:lastRowFirstColumn="0" w:lastRowLastColumn="0"/>
            </w:pPr>
            <w:r w:rsidRPr="004C168A">
              <w:t xml:space="preserve">Section 58 of the </w:t>
            </w:r>
            <w:r w:rsidRPr="004C168A">
              <w:rPr>
                <w:i/>
                <w:iCs/>
              </w:rPr>
              <w:t>Commercial Passenger Vehicle Industry Act 2017</w:t>
            </w:r>
            <w:r w:rsidRPr="004C168A">
              <w:t xml:space="preserve"> does not specify the requirements for a fit and proper assessment. Here, it will be sufficient for the company to register with Safe Transport Victoria by providing an attestation of their identity and fit and proper status.</w:t>
            </w:r>
          </w:p>
        </w:tc>
      </w:tr>
    </w:tbl>
    <w:p w14:paraId="486A8A35" w14:textId="77777777" w:rsidR="00531E90" w:rsidRDefault="00531E90" w:rsidP="008406D9"/>
    <w:p w14:paraId="2E882998" w14:textId="77777777" w:rsidR="00531E90" w:rsidRPr="00144D5C" w:rsidRDefault="00531E90" w:rsidP="00531E90">
      <w:pPr>
        <w:keepNext/>
        <w:rPr>
          <w:rFonts w:asciiTheme="majorHAnsi" w:hAnsiTheme="majorHAnsi"/>
        </w:rPr>
      </w:pPr>
      <w:r w:rsidRPr="00144D5C">
        <w:rPr>
          <w:rFonts w:asciiTheme="majorHAnsi" w:hAnsiTheme="majorHAnsi"/>
        </w:rPr>
        <w:t>[Policymakers should select the most appropriate option</w:t>
      </w:r>
      <w:r w:rsidRPr="006E4CE9">
        <w:rPr>
          <w:color w:val="C00000"/>
          <w:sz w:val="26"/>
          <w:szCs w:val="26"/>
        </w:rPr>
        <w:t>*</w:t>
      </w:r>
      <w:r w:rsidRPr="00144D5C">
        <w:rPr>
          <w:rFonts w:asciiTheme="majorHAnsi" w:hAnsiTheme="majorHAns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6"/>
      </w:tblGrid>
      <w:tr w:rsidR="001C5522" w:rsidRPr="00425931" w14:paraId="555E7173" w14:textId="77777777" w:rsidTr="00425931">
        <w:tc>
          <w:tcPr>
            <w:tcW w:w="9016" w:type="dxa"/>
            <w:shd w:val="clear" w:color="auto" w:fill="F2F2F2" w:themeFill="background1" w:themeFillShade="F2"/>
          </w:tcPr>
          <w:p w14:paraId="33287110" w14:textId="77777777" w:rsidR="001C5522" w:rsidRPr="00425931" w:rsidRDefault="001C5522" w:rsidP="00EC4E52">
            <w:pPr>
              <w:pStyle w:val="Heading4"/>
            </w:pPr>
            <w:r w:rsidRPr="00425931">
              <w:t>Model provisions setting out baseline elements</w:t>
            </w:r>
          </w:p>
          <w:p w14:paraId="31863580" w14:textId="77777777" w:rsidR="00EC6B7B" w:rsidRPr="00425931" w:rsidRDefault="00EC6B7B" w:rsidP="00EC4E52">
            <w:pPr>
              <w:pStyle w:val="Heading5"/>
            </w:pPr>
            <w:r w:rsidRPr="00425931">
              <w:t>[</w:t>
            </w:r>
            <w:r w:rsidRPr="00C86D1E">
              <w:t>define licence/registration/exemption in meaningful way</w:t>
            </w:r>
            <w:r w:rsidRPr="00425931">
              <w:t>]</w:t>
            </w:r>
          </w:p>
          <w:p w14:paraId="04BF3C4E" w14:textId="77777777" w:rsidR="00EC6B7B" w:rsidRPr="00EC4E52" w:rsidRDefault="00EC6B7B" w:rsidP="00040E02">
            <w:pPr>
              <w:rPr>
                <w:rFonts w:asciiTheme="majorHAnsi" w:hAnsiTheme="majorHAnsi"/>
              </w:rPr>
            </w:pPr>
            <w:r w:rsidRPr="00EC4E52">
              <w:rPr>
                <w:rFonts w:asciiTheme="majorHAnsi" w:hAnsiTheme="majorHAnsi"/>
              </w:rPr>
              <w:t>1 Application for [</w:t>
            </w:r>
            <w:r w:rsidRPr="00EC4E52">
              <w:rPr>
                <w:rFonts w:asciiTheme="majorHAnsi" w:hAnsiTheme="majorHAnsi"/>
                <w:i/>
                <w:iCs/>
              </w:rPr>
              <w:t>licence/registration/exemption</w:t>
            </w:r>
            <w:r w:rsidRPr="00EC4E52">
              <w:rPr>
                <w:rFonts w:asciiTheme="majorHAnsi" w:hAnsiTheme="majorHAnsi"/>
              </w:rPr>
              <w:t>]</w:t>
            </w:r>
          </w:p>
          <w:p w14:paraId="58FDDF31" w14:textId="3670E0A2" w:rsidR="00040E02" w:rsidRPr="00BD533E" w:rsidRDefault="00EC6B7B" w:rsidP="00EC4E52">
            <w:pPr>
              <w:pStyle w:val="Numpara"/>
              <w:numPr>
                <w:ilvl w:val="0"/>
                <w:numId w:val="57"/>
              </w:numPr>
              <w:spacing w:before="60" w:after="60"/>
            </w:pPr>
            <w:r w:rsidRPr="00040E02">
              <w:rPr>
                <w:rFonts w:cs="Arial"/>
              </w:rPr>
              <w:t>A person may apply for</w:t>
            </w:r>
            <w:r w:rsidR="00591F9D" w:rsidRPr="005B72A4">
              <w:rPr>
                <w:rFonts w:cs="Arial"/>
              </w:rPr>
              <w:t>…</w:t>
            </w:r>
          </w:p>
          <w:p w14:paraId="40376435" w14:textId="5EE64911" w:rsidR="00EC6B7B" w:rsidRPr="00040E02" w:rsidRDefault="00EC6B7B" w:rsidP="00EC4E52">
            <w:pPr>
              <w:pStyle w:val="NormalIndent"/>
              <w:numPr>
                <w:ilvl w:val="0"/>
                <w:numId w:val="47"/>
              </w:numPr>
              <w:spacing w:before="60" w:after="60"/>
              <w:ind w:left="518" w:hanging="144"/>
              <w:contextualSpacing/>
              <w:rPr>
                <w:rFonts w:cs="Arial"/>
              </w:rPr>
            </w:pPr>
            <w:r w:rsidRPr="00040E02">
              <w:rPr>
                <w:rFonts w:cs="Arial"/>
              </w:rPr>
              <w:t>a licence to [engage in a regulated activity]</w:t>
            </w:r>
            <w:r w:rsidRPr="00040E02" w:rsidDel="00CA1A94">
              <w:rPr>
                <w:rFonts w:cs="Arial"/>
              </w:rPr>
              <w:t>.</w:t>
            </w:r>
          </w:p>
          <w:p w14:paraId="280C1F05" w14:textId="6CA2E3FF" w:rsidR="00EC6B7B" w:rsidRPr="00425931" w:rsidRDefault="00EC6B7B" w:rsidP="00EC4E52">
            <w:pPr>
              <w:pStyle w:val="NormalIndent"/>
              <w:numPr>
                <w:ilvl w:val="0"/>
                <w:numId w:val="47"/>
              </w:numPr>
              <w:spacing w:before="60" w:after="60"/>
              <w:ind w:left="518" w:hanging="144"/>
              <w:contextualSpacing/>
              <w:rPr>
                <w:rFonts w:cs="Arial"/>
              </w:rPr>
            </w:pPr>
            <w:r w:rsidRPr="00425931">
              <w:rPr>
                <w:rFonts w:cs="Arial"/>
              </w:rPr>
              <w:t>registration to [provide a regulated service]</w:t>
            </w:r>
            <w:r w:rsidRPr="00425931" w:rsidDel="00CA1A94">
              <w:rPr>
                <w:rFonts w:cs="Arial"/>
              </w:rPr>
              <w:t>.</w:t>
            </w:r>
          </w:p>
          <w:p w14:paraId="740ECD84" w14:textId="38D288C4" w:rsidR="00EC6B7B" w:rsidRPr="00425931" w:rsidRDefault="00EC6B7B" w:rsidP="00EC4E52">
            <w:pPr>
              <w:pStyle w:val="NormalIndent"/>
              <w:numPr>
                <w:ilvl w:val="0"/>
                <w:numId w:val="47"/>
              </w:numPr>
              <w:spacing w:before="60" w:after="60"/>
              <w:ind w:left="518" w:hanging="144"/>
              <w:contextualSpacing/>
              <w:rPr>
                <w:rFonts w:cs="Arial"/>
              </w:rPr>
            </w:pPr>
            <w:r w:rsidRPr="00425931">
              <w:rPr>
                <w:rFonts w:cs="Arial"/>
              </w:rPr>
              <w:t>an exemption from [</w:t>
            </w:r>
            <w:r w:rsidRPr="00425931">
              <w:rPr>
                <w:rFonts w:cs="Arial"/>
                <w:i/>
                <w:iCs/>
              </w:rPr>
              <w:t xml:space="preserve">section </w:t>
            </w:r>
            <w:proofErr w:type="spellStart"/>
            <w:r w:rsidRPr="00425931">
              <w:rPr>
                <w:rFonts w:cs="Arial"/>
                <w:i/>
                <w:iCs/>
              </w:rPr>
              <w:t>xxxx</w:t>
            </w:r>
            <w:proofErr w:type="spellEnd"/>
            <w:r w:rsidRPr="00425931">
              <w:rPr>
                <w:rFonts w:cs="Arial"/>
                <w:i/>
                <w:iCs/>
              </w:rPr>
              <w:t xml:space="preserve">/any or </w:t>
            </w:r>
            <w:proofErr w:type="gramStart"/>
            <w:r w:rsidRPr="00425931">
              <w:rPr>
                <w:rFonts w:cs="Arial"/>
                <w:i/>
                <w:iCs/>
              </w:rPr>
              <w:t>all of</w:t>
            </w:r>
            <w:proofErr w:type="gramEnd"/>
            <w:r w:rsidRPr="00425931">
              <w:rPr>
                <w:rFonts w:cs="Arial"/>
                <w:i/>
                <w:iCs/>
              </w:rPr>
              <w:t xml:space="preserve"> the requirements under section </w:t>
            </w:r>
            <w:proofErr w:type="spellStart"/>
            <w:r w:rsidRPr="00425931">
              <w:rPr>
                <w:rFonts w:cs="Arial"/>
                <w:i/>
                <w:iCs/>
              </w:rPr>
              <w:t>xxxx</w:t>
            </w:r>
            <w:proofErr w:type="spellEnd"/>
            <w:r w:rsidRPr="00425931">
              <w:rPr>
                <w:rFonts w:cs="Arial"/>
              </w:rPr>
              <w:t>].</w:t>
            </w:r>
          </w:p>
          <w:p w14:paraId="19987E84" w14:textId="2DEC2E66" w:rsidR="00CC10A6" w:rsidRPr="00BD533E" w:rsidRDefault="00EC6B7B" w:rsidP="003B3F3B">
            <w:pPr>
              <w:pStyle w:val="Numpara"/>
              <w:numPr>
                <w:ilvl w:val="0"/>
                <w:numId w:val="57"/>
              </w:numPr>
              <w:spacing w:before="60" w:after="60"/>
            </w:pPr>
            <w:r w:rsidRPr="00425931">
              <w:rPr>
                <w:rFonts w:cs="Arial"/>
              </w:rPr>
              <w:t>An application must</w:t>
            </w:r>
            <w:r w:rsidR="000055AE" w:rsidRPr="00425931">
              <w:rPr>
                <w:rFonts w:cs="Arial"/>
              </w:rPr>
              <w:t>—</w:t>
            </w:r>
          </w:p>
          <w:p w14:paraId="09497349" w14:textId="50CEF743" w:rsidR="00CC10A6" w:rsidRPr="00BD533E" w:rsidRDefault="00EC6B7B" w:rsidP="00EC4E52">
            <w:pPr>
              <w:pStyle w:val="Listnumindent"/>
              <w:tabs>
                <w:tab w:val="clear" w:pos="1296"/>
              </w:tabs>
              <w:ind w:left="878"/>
            </w:pPr>
            <w:r w:rsidRPr="00CC10A6">
              <w:rPr>
                <w:rFonts w:cs="Arial"/>
              </w:rPr>
              <w:t>be in</w:t>
            </w:r>
            <w:r w:rsidR="007D71FE">
              <w:rPr>
                <w:rFonts w:cs="Arial"/>
              </w:rPr>
              <w:t>…</w:t>
            </w:r>
          </w:p>
          <w:p w14:paraId="2AE8C8A7" w14:textId="00A0FADE" w:rsidR="00CC10A6" w:rsidRPr="00CC10A6" w:rsidRDefault="00EC6B7B" w:rsidP="00EC4E52">
            <w:pPr>
              <w:pStyle w:val="ListParagraph"/>
              <w:numPr>
                <w:ilvl w:val="0"/>
                <w:numId w:val="47"/>
              </w:numPr>
              <w:spacing w:before="60" w:after="60" w:line="240" w:lineRule="auto"/>
              <w:ind w:left="1051" w:hanging="144"/>
              <w:rPr>
                <w:rFonts w:cs="Arial"/>
              </w:rPr>
            </w:pPr>
            <w:r w:rsidRPr="00CC10A6">
              <w:rPr>
                <w:rFonts w:cs="Arial"/>
              </w:rPr>
              <w:t xml:space="preserve">the prescribed </w:t>
            </w:r>
            <w:proofErr w:type="gramStart"/>
            <w:r w:rsidRPr="00CC10A6">
              <w:rPr>
                <w:rFonts w:cs="Arial"/>
              </w:rPr>
              <w:t>form;</w:t>
            </w:r>
            <w:proofErr w:type="gramEnd"/>
          </w:p>
          <w:p w14:paraId="38BC6038" w14:textId="7E908894" w:rsidR="00CC10A6" w:rsidRPr="00425931" w:rsidRDefault="00EC6B7B" w:rsidP="00EC4E52">
            <w:pPr>
              <w:pStyle w:val="NormalIndent"/>
              <w:numPr>
                <w:ilvl w:val="0"/>
                <w:numId w:val="47"/>
              </w:numPr>
              <w:spacing w:before="60" w:after="60"/>
              <w:ind w:left="1051" w:hanging="144"/>
              <w:contextualSpacing/>
              <w:rPr>
                <w:rFonts w:cs="Arial"/>
              </w:rPr>
            </w:pPr>
            <w:r w:rsidRPr="00425931">
              <w:rPr>
                <w:rFonts w:cs="Arial"/>
              </w:rPr>
              <w:t xml:space="preserve">the form approved by the </w:t>
            </w:r>
            <w:proofErr w:type="gramStart"/>
            <w:r w:rsidRPr="00425931">
              <w:rPr>
                <w:rFonts w:cs="Arial"/>
              </w:rPr>
              <w:t>Regulator;</w:t>
            </w:r>
            <w:proofErr w:type="gramEnd"/>
          </w:p>
          <w:p w14:paraId="7CC3C5A7" w14:textId="77777777" w:rsidR="00EC6B7B" w:rsidRPr="00EC4E52" w:rsidRDefault="00EC6B7B" w:rsidP="00EC4E52">
            <w:pPr>
              <w:pStyle w:val="NormalIndent"/>
              <w:ind w:left="360"/>
              <w:rPr>
                <w:rFonts w:asciiTheme="majorHAnsi" w:hAnsiTheme="majorHAnsi"/>
              </w:rPr>
            </w:pPr>
            <w:r w:rsidRPr="00EC4E52">
              <w:rPr>
                <w:rFonts w:asciiTheme="majorHAnsi" w:hAnsiTheme="majorHAnsi"/>
              </w:rPr>
              <w:t>[Alternatives for para (a) relate to the application form. If the application form is prescribed, desired elements can be included in the application form by prescription.]</w:t>
            </w:r>
          </w:p>
          <w:p w14:paraId="7718CE20" w14:textId="438DF488" w:rsidR="003B3F3B" w:rsidRPr="00BD533E" w:rsidRDefault="00EC6B7B" w:rsidP="00EC4E52">
            <w:pPr>
              <w:pStyle w:val="Listnumindent"/>
              <w:ind w:left="878"/>
            </w:pPr>
            <w:r w:rsidRPr="00425931">
              <w:rPr>
                <w:rFonts w:cs="Arial"/>
              </w:rPr>
              <w:t>include</w:t>
            </w:r>
            <w:r w:rsidRPr="00425931" w:rsidDel="00A80EBA">
              <w:rPr>
                <w:rFonts w:cs="Arial"/>
              </w:rPr>
              <w:t>—</w:t>
            </w:r>
          </w:p>
          <w:p w14:paraId="6D282FD2" w14:textId="470BB7B4" w:rsidR="003B3F3B" w:rsidRPr="001F4044" w:rsidRDefault="00EC6B7B" w:rsidP="00EC4E52">
            <w:pPr>
              <w:pStyle w:val="Star2"/>
            </w:pPr>
            <w:r w:rsidRPr="00425931">
              <w:t>a s</w:t>
            </w:r>
            <w:r w:rsidRPr="001F4044">
              <w:t>tatement of the qualifications or experience that make the person suitable to [</w:t>
            </w:r>
            <w:r w:rsidRPr="001F4044">
              <w:rPr>
                <w:i/>
                <w:iCs/>
              </w:rPr>
              <w:t>hold the licence/engage in the regulated activity/be issued an exemption</w:t>
            </w:r>
            <w:proofErr w:type="gramStart"/>
            <w:r w:rsidRPr="001F4044">
              <w:t>];</w:t>
            </w:r>
            <w:proofErr w:type="gramEnd"/>
          </w:p>
          <w:p w14:paraId="5FE5A6BA" w14:textId="0B9D7511" w:rsidR="003B3F3B" w:rsidRPr="001F4044" w:rsidRDefault="00EC6B7B" w:rsidP="00EC4E52">
            <w:pPr>
              <w:pStyle w:val="Star2"/>
            </w:pPr>
            <w:r w:rsidRPr="001F4044">
              <w:t xml:space="preserve">any prescribed </w:t>
            </w:r>
            <w:proofErr w:type="gramStart"/>
            <w:r w:rsidRPr="001F4044">
              <w:t>information;</w:t>
            </w:r>
            <w:proofErr w:type="gramEnd"/>
          </w:p>
          <w:p w14:paraId="234479B6" w14:textId="522B0B92" w:rsidR="003B3F3B" w:rsidRPr="00CC10A6" w:rsidRDefault="00EC6B7B" w:rsidP="00EC4E52">
            <w:pPr>
              <w:pStyle w:val="Star2"/>
            </w:pPr>
            <w:r w:rsidRPr="001F4044">
              <w:t>ev</w:t>
            </w:r>
            <w:r w:rsidRPr="00425931">
              <w:t>idence of specified elements; [see criminal history and regulatory compliance elements]</w:t>
            </w:r>
          </w:p>
          <w:p w14:paraId="0F8DFE38" w14:textId="1221A570" w:rsidR="00EC6B7B" w:rsidRPr="00425931" w:rsidRDefault="00EC6B7B" w:rsidP="00EB70ED">
            <w:pPr>
              <w:rPr>
                <w:b/>
                <w:bCs/>
                <w:color w:val="002060"/>
              </w:rPr>
            </w:pPr>
            <w:r w:rsidRPr="00425931">
              <w:t>[</w:t>
            </w:r>
            <w:r w:rsidRPr="00EC4E52">
              <w:rPr>
                <w:i/>
                <w:iCs/>
              </w:rPr>
              <w:t>other application requirements</w:t>
            </w:r>
            <w:r w:rsidRPr="00425931">
              <w:t>].</w:t>
            </w:r>
          </w:p>
        </w:tc>
      </w:tr>
    </w:tbl>
    <w:p w14:paraId="0B27E265" w14:textId="2815F5E2" w:rsidR="00425931" w:rsidRDefault="00425931" w:rsidP="00EC4E52">
      <w:pPr>
        <w:pStyle w:val="Spac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6B7B" w:rsidRPr="00425931" w14:paraId="13199B70" w14:textId="77777777" w:rsidTr="00A65601">
        <w:trPr>
          <w:cantSplit/>
        </w:trPr>
        <w:tc>
          <w:tcPr>
            <w:tcW w:w="9016" w:type="dxa"/>
            <w:shd w:val="clear" w:color="auto" w:fill="F2F2F2" w:themeFill="background1" w:themeFillShade="F2"/>
          </w:tcPr>
          <w:p w14:paraId="5EFFB8BB" w14:textId="1367AB6B" w:rsidR="00EC6B7B" w:rsidRPr="00A65601" w:rsidRDefault="00EC6B7B" w:rsidP="00EC2558">
            <w:pPr>
              <w:rPr>
                <w:rFonts w:asciiTheme="majorHAnsi" w:hAnsiTheme="majorHAnsi"/>
              </w:rPr>
            </w:pPr>
            <w:r w:rsidRPr="00A65601">
              <w:rPr>
                <w:rFonts w:asciiTheme="majorHAnsi" w:hAnsiTheme="majorHAnsi"/>
              </w:rPr>
              <w:lastRenderedPageBreak/>
              <w:t>2 Regulator may request further information</w:t>
            </w:r>
          </w:p>
          <w:p w14:paraId="4B4AFFB7" w14:textId="77777777" w:rsidR="00CC10A6" w:rsidRPr="00BD533E" w:rsidRDefault="00EC6B7B" w:rsidP="00A65601">
            <w:pPr>
              <w:pStyle w:val="Numpara"/>
              <w:numPr>
                <w:ilvl w:val="0"/>
                <w:numId w:val="58"/>
              </w:numPr>
              <w:spacing w:before="60" w:after="60"/>
            </w:pPr>
            <w:r w:rsidRPr="00EC2558">
              <w:rPr>
                <w:rFonts w:cs="Arial"/>
              </w:rPr>
              <w:t>For the purposes of determining an application for [</w:t>
            </w:r>
            <w:r w:rsidRPr="00EC2558">
              <w:rPr>
                <w:rFonts w:cs="Arial"/>
                <w:i/>
              </w:rPr>
              <w:t>licence/registration/exemption</w:t>
            </w:r>
            <w:r w:rsidRPr="00EC2558">
              <w:rPr>
                <w:rFonts w:cs="Arial"/>
              </w:rPr>
              <w:t xml:space="preserve">], the Regulator may request the applicant </w:t>
            </w:r>
            <w:r w:rsidRPr="00EC2558">
              <w:rPr>
                <w:rFonts w:cs="Arial"/>
                <w:spacing w:val="-6"/>
              </w:rPr>
              <w:t xml:space="preserve">to </w:t>
            </w:r>
            <w:r w:rsidRPr="00EC2558">
              <w:rPr>
                <w:rFonts w:cs="Arial"/>
              </w:rPr>
              <w:t>provide information relating to the following—</w:t>
            </w:r>
          </w:p>
          <w:p w14:paraId="33585D21" w14:textId="77777777" w:rsidR="00EC6B7B" w:rsidRPr="000005C4" w:rsidRDefault="00EC6B7B" w:rsidP="00A65601">
            <w:r w:rsidRPr="000005C4">
              <w:t>[</w:t>
            </w:r>
            <w:r w:rsidRPr="00A65601">
              <w:rPr>
                <w:i/>
                <w:iCs/>
              </w:rPr>
              <w:t>list of information relating to relevant elements</w:t>
            </w:r>
            <w:proofErr w:type="gramStart"/>
            <w:r w:rsidRPr="000005C4">
              <w:t>];</w:t>
            </w:r>
            <w:proofErr w:type="gramEnd"/>
          </w:p>
          <w:p w14:paraId="7C5FCC65" w14:textId="617A8B5B" w:rsidR="00CC10A6" w:rsidRPr="00BD533E" w:rsidRDefault="00EC6B7B" w:rsidP="00CC10A6">
            <w:pPr>
              <w:pStyle w:val="Numpara"/>
              <w:numPr>
                <w:ilvl w:val="0"/>
                <w:numId w:val="57"/>
              </w:numPr>
              <w:spacing w:before="60" w:after="60"/>
            </w:pPr>
            <w:r w:rsidRPr="000005C4">
              <w:rPr>
                <w:rFonts w:cs="Arial"/>
              </w:rPr>
              <w:t>The request</w:t>
            </w:r>
            <w:r w:rsidRPr="000005C4">
              <w:rPr>
                <w:rFonts w:cs="Arial"/>
                <w:spacing w:val="-2"/>
              </w:rPr>
              <w:t xml:space="preserve"> </w:t>
            </w:r>
            <w:r w:rsidRPr="000005C4">
              <w:rPr>
                <w:rFonts w:cs="Arial"/>
              </w:rPr>
              <w:t>must</w:t>
            </w:r>
            <w:r w:rsidR="00765AF0" w:rsidRPr="000005C4">
              <w:t>—</w:t>
            </w:r>
          </w:p>
          <w:p w14:paraId="3402675B" w14:textId="12B9F004" w:rsidR="00291569" w:rsidRPr="002B1140" w:rsidRDefault="00EC6B7B" w:rsidP="00363FE9">
            <w:pPr>
              <w:pStyle w:val="Listnumindent"/>
              <w:numPr>
                <w:ilvl w:val="6"/>
                <w:numId w:val="59"/>
              </w:numPr>
              <w:tabs>
                <w:tab w:val="clear" w:pos="1296"/>
              </w:tabs>
              <w:ind w:left="878"/>
            </w:pPr>
            <w:r w:rsidRPr="00291569">
              <w:rPr>
                <w:rFonts w:cs="Arial"/>
              </w:rPr>
              <w:t xml:space="preserve">be in </w:t>
            </w:r>
            <w:proofErr w:type="gramStart"/>
            <w:r w:rsidRPr="00291569">
              <w:rPr>
                <w:rFonts w:cs="Arial"/>
              </w:rPr>
              <w:t>writing</w:t>
            </w:r>
            <w:r w:rsidRPr="00291569" w:rsidDel="007B7EEA">
              <w:rPr>
                <w:rFonts w:cs="Arial"/>
              </w:rPr>
              <w:t>;</w:t>
            </w:r>
            <w:proofErr w:type="gramEnd"/>
            <w:r w:rsidRPr="00291569">
              <w:rPr>
                <w:rFonts w:cs="Arial"/>
                <w:spacing w:val="-2"/>
              </w:rPr>
              <w:t xml:space="preserve"> </w:t>
            </w:r>
          </w:p>
          <w:p w14:paraId="789229FB" w14:textId="787E69AD" w:rsidR="00291569" w:rsidRPr="00BD533E" w:rsidRDefault="00EC6B7B" w:rsidP="002B1140">
            <w:pPr>
              <w:pStyle w:val="Listnumindent"/>
              <w:ind w:left="878"/>
            </w:pPr>
            <w:r w:rsidRPr="00291569">
              <w:rPr>
                <w:rFonts w:cs="Arial"/>
              </w:rPr>
              <w:t xml:space="preserve">specify the period within which </w:t>
            </w:r>
            <w:r w:rsidRPr="00291569">
              <w:rPr>
                <w:rFonts w:cs="Arial"/>
                <w:spacing w:val="-6"/>
              </w:rPr>
              <w:t xml:space="preserve">the </w:t>
            </w:r>
            <w:r w:rsidRPr="00291569">
              <w:rPr>
                <w:rFonts w:cs="Arial"/>
              </w:rPr>
              <w:t>applicant must provide the information;</w:t>
            </w:r>
            <w:r w:rsidRPr="00291569">
              <w:rPr>
                <w:rFonts w:cs="Arial"/>
                <w:spacing w:val="-1"/>
              </w:rPr>
              <w:t xml:space="preserve"> </w:t>
            </w:r>
            <w:r w:rsidRPr="00291569">
              <w:rPr>
                <w:rFonts w:cs="Arial"/>
              </w:rPr>
              <w:t>and</w:t>
            </w:r>
          </w:p>
          <w:p w14:paraId="1189CC3E" w14:textId="77777777" w:rsidR="00291569" w:rsidRPr="00BD533E" w:rsidRDefault="00EC6B7B" w:rsidP="004C4A3D">
            <w:pPr>
              <w:pStyle w:val="Listnumindent"/>
              <w:tabs>
                <w:tab w:val="clear" w:pos="1296"/>
              </w:tabs>
              <w:ind w:left="878"/>
            </w:pPr>
            <w:r w:rsidRPr="000005C4">
              <w:rPr>
                <w:rFonts w:cs="Arial"/>
              </w:rPr>
              <w:t>[</w:t>
            </w:r>
            <w:r w:rsidRPr="000005C4">
              <w:rPr>
                <w:rFonts w:cs="Arial"/>
                <w:i/>
              </w:rPr>
              <w:t>other requirements</w:t>
            </w:r>
            <w:r w:rsidRPr="000005C4">
              <w:rPr>
                <w:rFonts w:cs="Arial"/>
              </w:rPr>
              <w:t>].</w:t>
            </w:r>
          </w:p>
          <w:p w14:paraId="619E1953" w14:textId="77777777" w:rsidR="00EC6B7B" w:rsidRPr="000005C4" w:rsidRDefault="00EC6B7B" w:rsidP="00291569">
            <w:r w:rsidRPr="000005C4">
              <w:t>The Regulator may refuse to consider the application if the applicant does not provide the information in accordance with the request.</w:t>
            </w:r>
          </w:p>
          <w:p w14:paraId="093E62E4" w14:textId="77777777" w:rsidR="00EC6B7B" w:rsidRPr="004C4A3D" w:rsidRDefault="00EC6B7B" w:rsidP="00291569">
            <w:pPr>
              <w:rPr>
                <w:rFonts w:asciiTheme="majorHAnsi" w:hAnsiTheme="majorHAnsi"/>
              </w:rPr>
            </w:pPr>
            <w:r w:rsidRPr="004C4A3D">
              <w:rPr>
                <w:rFonts w:asciiTheme="majorHAnsi" w:hAnsiTheme="majorHAnsi"/>
              </w:rPr>
              <w:t>3 Applicant must provide information</w:t>
            </w:r>
          </w:p>
          <w:p w14:paraId="39648139" w14:textId="47DAE8A6" w:rsidR="00EC6B7B" w:rsidRPr="000005C4" w:rsidRDefault="00EC6B7B" w:rsidP="00291569">
            <w:r w:rsidRPr="000005C4">
              <w:t>On receiving a request for further information [under section 2], the applicant must provide the information to the Regulator</w:t>
            </w:r>
            <w:r w:rsidRPr="000005C4" w:rsidDel="007A1A5D">
              <w:t>—</w:t>
            </w:r>
          </w:p>
          <w:p w14:paraId="29F781C0" w14:textId="77777777" w:rsidR="00850821" w:rsidRPr="00BD533E" w:rsidRDefault="00EC6B7B" w:rsidP="004C4A3D">
            <w:pPr>
              <w:pStyle w:val="Listnumindent"/>
              <w:numPr>
                <w:ilvl w:val="6"/>
                <w:numId w:val="60"/>
              </w:numPr>
              <w:ind w:left="878"/>
            </w:pPr>
            <w:r w:rsidRPr="00850821">
              <w:rPr>
                <w:rFonts w:cs="Arial"/>
              </w:rPr>
              <w:t>in writing</w:t>
            </w:r>
            <w:r w:rsidRPr="00850821" w:rsidDel="007A1A5D">
              <w:rPr>
                <w:rFonts w:cs="Arial"/>
              </w:rPr>
              <w:t>; and</w:t>
            </w:r>
          </w:p>
          <w:p w14:paraId="34E5D8BB" w14:textId="77777777" w:rsidR="00850821" w:rsidRPr="00BD533E" w:rsidRDefault="00EC6B7B" w:rsidP="00850821">
            <w:pPr>
              <w:pStyle w:val="Listnumindent"/>
              <w:numPr>
                <w:ilvl w:val="6"/>
                <w:numId w:val="59"/>
              </w:numPr>
              <w:tabs>
                <w:tab w:val="clear" w:pos="1296"/>
              </w:tabs>
              <w:ind w:left="878"/>
            </w:pPr>
            <w:r w:rsidRPr="000005C4">
              <w:rPr>
                <w:rFonts w:cs="Arial"/>
              </w:rPr>
              <w:t>within the period specified in the request.</w:t>
            </w:r>
          </w:p>
          <w:p w14:paraId="5B248D54" w14:textId="77777777" w:rsidR="00EC6B7B" w:rsidRPr="000005C4" w:rsidRDefault="00EC6B7B" w:rsidP="00850821">
            <w:r w:rsidRPr="000005C4">
              <w:t>[</w:t>
            </w:r>
            <w:r w:rsidRPr="00B90A15">
              <w:rPr>
                <w:i/>
                <w:iCs/>
              </w:rPr>
              <w:t>Provisions should also set out the consequences of an applicant's failure to provide this information</w:t>
            </w:r>
            <w:r w:rsidRPr="000005C4">
              <w:t>.]</w:t>
            </w:r>
          </w:p>
          <w:p w14:paraId="244EC1A2" w14:textId="77777777" w:rsidR="00425931" w:rsidRPr="00B90A15" w:rsidRDefault="00425931" w:rsidP="00CF29D8">
            <w:pPr>
              <w:rPr>
                <w:rFonts w:asciiTheme="majorHAnsi" w:hAnsiTheme="majorHAnsi"/>
              </w:rPr>
            </w:pPr>
            <w:r w:rsidRPr="00B90A15">
              <w:rPr>
                <w:rFonts w:asciiTheme="majorHAnsi" w:hAnsiTheme="majorHAnsi"/>
              </w:rPr>
              <w:t>4 False or misleading information</w:t>
            </w:r>
          </w:p>
          <w:p w14:paraId="7C672FD3" w14:textId="77777777" w:rsidR="00425931" w:rsidRPr="000005C4" w:rsidRDefault="00425931" w:rsidP="00CF29D8">
            <w:r w:rsidRPr="000005C4">
              <w:t>An applicant must not knowingly provide information to the Regulator that is false or misleading [in a material particular] in relation to an application under section 1.</w:t>
            </w:r>
          </w:p>
          <w:p w14:paraId="3ACE3024" w14:textId="77777777" w:rsidR="00425931" w:rsidRPr="00425931" w:rsidRDefault="00425931" w:rsidP="00CF29D8">
            <w:pPr>
              <w:rPr>
                <w:b/>
                <w:bCs/>
              </w:rPr>
            </w:pPr>
            <w:r w:rsidRPr="000005C4">
              <w:t>Penalty: [</w:t>
            </w:r>
            <w:r w:rsidRPr="006676F4">
              <w:rPr>
                <w:i/>
                <w:iCs/>
              </w:rPr>
              <w:t>penalty units</w:t>
            </w:r>
            <w:r w:rsidRPr="000005C4">
              <w:t>].</w:t>
            </w:r>
          </w:p>
        </w:tc>
      </w:tr>
    </w:tbl>
    <w:p w14:paraId="5CF67EB0" w14:textId="77777777" w:rsidR="00347518" w:rsidRDefault="00347518" w:rsidP="006676F4">
      <w:pPr>
        <w:pStyle w:val="Spacer"/>
      </w:pPr>
    </w:p>
    <w:tbl>
      <w:tblPr>
        <w:tblStyle w:val="DTFtexttable"/>
        <w:tblpPr w:leftFromText="180" w:rightFromText="180" w:vertAnchor="page" w:horzAnchor="margin" w:tblpY="1809"/>
        <w:tblW w:w="9015" w:type="dxa"/>
        <w:shd w:val="clear" w:color="auto" w:fill="E0F5FC" w:themeFill="accent2" w:themeFillTint="33"/>
        <w:tblLook w:val="04A0" w:firstRow="1" w:lastRow="0" w:firstColumn="1" w:lastColumn="0" w:noHBand="0" w:noVBand="1"/>
      </w:tblPr>
      <w:tblGrid>
        <w:gridCol w:w="9015"/>
      </w:tblGrid>
      <w:tr w:rsidR="007F2E3C" w:rsidRPr="00425931" w14:paraId="78C8AF5E" w14:textId="77777777" w:rsidTr="007F2E3C">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9015" w:type="dxa"/>
            <w:shd w:val="clear" w:color="auto" w:fill="E0F5FC" w:themeFill="accent2" w:themeFillTint="33"/>
          </w:tcPr>
          <w:p w14:paraId="45B49658" w14:textId="78C8AB6B" w:rsidR="009323FC" w:rsidRPr="00425931" w:rsidRDefault="009323FC" w:rsidP="00D13824">
            <w:pPr>
              <w:pStyle w:val="Heading4"/>
              <w:keepNext w:val="0"/>
              <w:spacing w:before="120"/>
            </w:pPr>
            <w:r w:rsidRPr="00425931">
              <w:lastRenderedPageBreak/>
              <w:t>Example in practice</w:t>
            </w:r>
          </w:p>
          <w:p w14:paraId="0E3DBF34" w14:textId="346A15D7" w:rsidR="00425931" w:rsidRPr="001A6652" w:rsidRDefault="00425931" w:rsidP="007F2E3C">
            <w:pPr>
              <w:rPr>
                <w:i/>
                <w:iCs/>
              </w:rPr>
            </w:pPr>
            <w:r w:rsidRPr="00684263">
              <w:rPr>
                <w:rFonts w:asciiTheme="majorHAnsi" w:hAnsiTheme="majorHAnsi"/>
                <w:i/>
                <w:iCs/>
              </w:rPr>
              <w:t>Example details</w:t>
            </w:r>
            <w:r w:rsidRPr="001A6652">
              <w:rPr>
                <w:i/>
                <w:iCs/>
              </w:rPr>
              <w:t>: Application for a licence to supply hammers. Licences issued by the Hardware Regulator. Licences to be issued at the discretion of the Hardware Regulator, who must consider the applicant's criminal and regulatory compliance history before issuing a licence.</w:t>
            </w:r>
          </w:p>
          <w:p w14:paraId="71DCD3A7" w14:textId="38023B35" w:rsidR="00425931" w:rsidRPr="001A6652" w:rsidRDefault="00425931" w:rsidP="007F2E3C">
            <w:pPr>
              <w:rPr>
                <w:rFonts w:asciiTheme="majorHAnsi" w:hAnsiTheme="majorHAnsi"/>
              </w:rPr>
            </w:pPr>
            <w:r w:rsidRPr="001A6652">
              <w:rPr>
                <w:rFonts w:asciiTheme="majorHAnsi" w:hAnsiTheme="majorHAnsi"/>
              </w:rPr>
              <w:t>Hammer supply licence means a licence issued under section [5</w:t>
            </w:r>
            <w:proofErr w:type="gramStart"/>
            <w:r w:rsidRPr="001A6652">
              <w:rPr>
                <w:rFonts w:asciiTheme="majorHAnsi" w:hAnsiTheme="majorHAnsi"/>
              </w:rPr>
              <w:t>];</w:t>
            </w:r>
            <w:proofErr w:type="gramEnd"/>
          </w:p>
          <w:p w14:paraId="3FB09C7D" w14:textId="77777777" w:rsidR="00425931" w:rsidRPr="001A6652" w:rsidRDefault="00425931" w:rsidP="007F2E3C">
            <w:pPr>
              <w:rPr>
                <w:rFonts w:asciiTheme="majorHAnsi" w:hAnsiTheme="majorHAnsi"/>
              </w:rPr>
            </w:pPr>
            <w:r w:rsidRPr="001A6652">
              <w:rPr>
                <w:rFonts w:asciiTheme="majorHAnsi" w:hAnsiTheme="majorHAnsi"/>
              </w:rPr>
              <w:t>1 Application for hammer supply licence</w:t>
            </w:r>
          </w:p>
          <w:p w14:paraId="726C5067" w14:textId="46F8F991" w:rsidR="00CC10A6" w:rsidRPr="00C2248A" w:rsidRDefault="00425931" w:rsidP="001A6652">
            <w:pPr>
              <w:pStyle w:val="Numpara"/>
              <w:numPr>
                <w:ilvl w:val="0"/>
                <w:numId w:val="61"/>
              </w:numPr>
            </w:pPr>
            <w:r w:rsidRPr="00C2248A">
              <w:t>A person may apply to the Hardware Regulator for a hammer supply licence</w:t>
            </w:r>
          </w:p>
          <w:p w14:paraId="2F1D84D8" w14:textId="2F4554BF" w:rsidR="00CC10A6" w:rsidRPr="00BD533E" w:rsidRDefault="00425931" w:rsidP="001A6652">
            <w:pPr>
              <w:pStyle w:val="Numpara"/>
            </w:pPr>
            <w:r w:rsidRPr="00425931">
              <w:t>The application must</w:t>
            </w:r>
            <w:r w:rsidRPr="00F77E0B" w:rsidDel="00E74EA1">
              <w:rPr>
                <w:rFonts w:ascii="Arial" w:hAnsi="Arial" w:cs="Arial"/>
              </w:rPr>
              <w:t>—</w:t>
            </w:r>
          </w:p>
          <w:p w14:paraId="4A75DD2B" w14:textId="4E4FFE79" w:rsidR="00425931" w:rsidRPr="00425931" w:rsidRDefault="00425931" w:rsidP="001A6652">
            <w:pPr>
              <w:pStyle w:val="Listnumindent"/>
              <w:numPr>
                <w:ilvl w:val="6"/>
                <w:numId w:val="62"/>
              </w:numPr>
              <w:ind w:left="864"/>
            </w:pPr>
            <w:r w:rsidRPr="00425931">
              <w:t>be in the form approved by the Hardware Regulator</w:t>
            </w:r>
            <w:r w:rsidRPr="00425931" w:rsidDel="00E74EA1">
              <w:t>; and</w:t>
            </w:r>
          </w:p>
          <w:p w14:paraId="26B2992F" w14:textId="7E6EB407" w:rsidR="00425931" w:rsidRPr="00425931" w:rsidRDefault="00425931" w:rsidP="001A6652">
            <w:pPr>
              <w:pStyle w:val="Listnumindent"/>
              <w:ind w:left="864"/>
            </w:pPr>
            <w:r w:rsidRPr="00425931">
              <w:t>include any prescribed information</w:t>
            </w:r>
            <w:r w:rsidRPr="00425931" w:rsidDel="00E74EA1">
              <w:t>; and</w:t>
            </w:r>
          </w:p>
          <w:p w14:paraId="1CF3744C" w14:textId="2E406B43" w:rsidR="00AA6EA4" w:rsidRDefault="00425931" w:rsidP="001A6652">
            <w:pPr>
              <w:pStyle w:val="Listnumindent"/>
              <w:ind w:left="864"/>
            </w:pPr>
            <w:r w:rsidRPr="00425931">
              <w:t>be accompanied by any prescribed document</w:t>
            </w:r>
            <w:r w:rsidRPr="00425931" w:rsidDel="00E74EA1">
              <w:t>; and</w:t>
            </w:r>
          </w:p>
          <w:p w14:paraId="45044AA2" w14:textId="764680BA" w:rsidR="00425931" w:rsidRPr="00AA6EA4" w:rsidRDefault="00425931" w:rsidP="001A6652">
            <w:pPr>
              <w:pStyle w:val="Listnumindent"/>
              <w:ind w:left="864"/>
            </w:pPr>
            <w:r w:rsidRPr="00AA6EA4">
              <w:t>be accompanied by the prescribed fee.</w:t>
            </w:r>
          </w:p>
          <w:p w14:paraId="50B00EAE" w14:textId="77777777" w:rsidR="00425931" w:rsidRPr="008608BD" w:rsidRDefault="00425931" w:rsidP="007F2E3C">
            <w:pPr>
              <w:rPr>
                <w:rFonts w:asciiTheme="majorHAnsi" w:hAnsiTheme="majorHAnsi"/>
              </w:rPr>
            </w:pPr>
            <w:r w:rsidRPr="008608BD">
              <w:rPr>
                <w:rFonts w:asciiTheme="majorHAnsi" w:hAnsiTheme="majorHAnsi"/>
              </w:rPr>
              <w:t>2 Regulator may request further information</w:t>
            </w:r>
          </w:p>
          <w:p w14:paraId="427D6B07" w14:textId="4D05CC84" w:rsidR="00CC10A6" w:rsidRPr="00BD533E" w:rsidRDefault="00425931" w:rsidP="008608BD">
            <w:pPr>
              <w:pStyle w:val="Numpara"/>
              <w:numPr>
                <w:ilvl w:val="0"/>
                <w:numId w:val="63"/>
              </w:numPr>
            </w:pPr>
            <w:r w:rsidRPr="00AA6EA4">
              <w:t>For the purposes of determining an application for a hammer supply licence, the Hardware Regulator may request the applicant to provide information relating to the following</w:t>
            </w:r>
            <w:r w:rsidR="00170551" w:rsidRPr="00F77E0B">
              <w:rPr>
                <w:rFonts w:ascii="Arial" w:hAnsi="Arial" w:cs="Arial"/>
              </w:rPr>
              <w:t>—</w:t>
            </w:r>
          </w:p>
          <w:p w14:paraId="0514855B" w14:textId="35FDEF0E" w:rsidR="00425931" w:rsidRPr="00425931" w:rsidRDefault="00425931" w:rsidP="008608BD">
            <w:pPr>
              <w:pStyle w:val="Listnumindent"/>
              <w:numPr>
                <w:ilvl w:val="6"/>
                <w:numId w:val="64"/>
              </w:numPr>
              <w:ind w:left="864"/>
            </w:pPr>
            <w:r w:rsidRPr="00425931">
              <w:t xml:space="preserve">the applicant’s criminal </w:t>
            </w:r>
            <w:proofErr w:type="gramStart"/>
            <w:r w:rsidRPr="00425931">
              <w:t>history</w:t>
            </w:r>
            <w:r w:rsidRPr="00425931" w:rsidDel="008D2F05">
              <w:t>;</w:t>
            </w:r>
            <w:proofErr w:type="gramEnd"/>
          </w:p>
          <w:p w14:paraId="7F4CB17F" w14:textId="08568E0F" w:rsidR="00425931" w:rsidRPr="00425931" w:rsidRDefault="00425931" w:rsidP="008608BD">
            <w:pPr>
              <w:pStyle w:val="Listnumindent"/>
              <w:ind w:left="864"/>
            </w:pPr>
            <w:r w:rsidRPr="00425931">
              <w:t xml:space="preserve">any previous history of non-compliance by the applicant with this </w:t>
            </w:r>
            <w:proofErr w:type="gramStart"/>
            <w:r w:rsidRPr="00425931">
              <w:t>Act</w:t>
            </w:r>
            <w:r w:rsidRPr="00425931" w:rsidDel="008D2F05">
              <w:t>;</w:t>
            </w:r>
            <w:proofErr w:type="gramEnd"/>
          </w:p>
          <w:p w14:paraId="57803FF9" w14:textId="0903CD20" w:rsidR="00425931" w:rsidRPr="00F77E0B" w:rsidRDefault="00425931" w:rsidP="008608BD">
            <w:pPr>
              <w:pStyle w:val="Listnumindent"/>
              <w:ind w:left="864"/>
            </w:pPr>
            <w:r w:rsidRPr="00425931">
              <w:t>any prescribed matter.</w:t>
            </w:r>
          </w:p>
          <w:p w14:paraId="4330CC6A" w14:textId="67F5357E" w:rsidR="00CC10A6" w:rsidRPr="00BD533E" w:rsidRDefault="00425931" w:rsidP="008608BD">
            <w:pPr>
              <w:pStyle w:val="Numpara"/>
              <w:numPr>
                <w:ilvl w:val="0"/>
                <w:numId w:val="57"/>
              </w:numPr>
            </w:pPr>
            <w:r w:rsidRPr="00AA6EA4">
              <w:t>The request must</w:t>
            </w:r>
            <w:r w:rsidR="00170551" w:rsidRPr="00F77E0B">
              <w:rPr>
                <w:rFonts w:ascii="Arial" w:hAnsi="Arial" w:cs="Arial"/>
              </w:rPr>
              <w:t>—</w:t>
            </w:r>
          </w:p>
          <w:p w14:paraId="52C78283" w14:textId="0E588607" w:rsidR="00425931" w:rsidRPr="00F77E0B" w:rsidRDefault="00425931" w:rsidP="008608BD">
            <w:pPr>
              <w:pStyle w:val="Listnumindent"/>
              <w:numPr>
                <w:ilvl w:val="6"/>
                <w:numId w:val="65"/>
              </w:numPr>
              <w:ind w:left="864"/>
            </w:pPr>
            <w:r w:rsidRPr="00F77E0B">
              <w:t>be in writing</w:t>
            </w:r>
            <w:r w:rsidRPr="00F77E0B" w:rsidDel="008D2F05">
              <w:t>; and</w:t>
            </w:r>
          </w:p>
          <w:p w14:paraId="11074069" w14:textId="6A35DCE8" w:rsidR="00425931" w:rsidRPr="00F77E0B" w:rsidRDefault="00425931" w:rsidP="008608BD">
            <w:pPr>
              <w:pStyle w:val="Listnumindent"/>
              <w:ind w:left="864"/>
            </w:pPr>
            <w:r w:rsidRPr="00F77E0B">
              <w:t>specify the period within which the applicant must provide the information.</w:t>
            </w:r>
          </w:p>
          <w:p w14:paraId="74EE7285" w14:textId="128EAD69" w:rsidR="00CC10A6" w:rsidRPr="00BD533E" w:rsidRDefault="00425931" w:rsidP="008608BD">
            <w:pPr>
              <w:pStyle w:val="Numpara"/>
              <w:numPr>
                <w:ilvl w:val="0"/>
                <w:numId w:val="57"/>
              </w:numPr>
            </w:pPr>
            <w:r w:rsidRPr="00AA6EA4">
              <w:t>The Hardware Regulator may refuse to consider the application if the applicant does not provide the information in accordance with the request.</w:t>
            </w:r>
          </w:p>
          <w:p w14:paraId="26E12D0E" w14:textId="77777777" w:rsidR="00425931" w:rsidRPr="008608BD" w:rsidRDefault="00425931" w:rsidP="007F2E3C">
            <w:pPr>
              <w:rPr>
                <w:rFonts w:asciiTheme="majorHAnsi" w:hAnsiTheme="majorHAnsi"/>
              </w:rPr>
            </w:pPr>
            <w:r w:rsidRPr="008608BD">
              <w:rPr>
                <w:rFonts w:asciiTheme="majorHAnsi" w:hAnsiTheme="majorHAnsi"/>
              </w:rPr>
              <w:t>3 Applicant must provide information</w:t>
            </w:r>
          </w:p>
          <w:p w14:paraId="278A3A18" w14:textId="60918491" w:rsidR="00425931" w:rsidRPr="00F77E0B" w:rsidRDefault="00425931" w:rsidP="007F2E3C">
            <w:r w:rsidRPr="00F77E0B">
              <w:t>On receiving a request for further information [under section 2], the applicant must provide the information to the Hardware Regulator</w:t>
            </w:r>
          </w:p>
          <w:p w14:paraId="091B46F4" w14:textId="48FFDD20" w:rsidR="00363FE9" w:rsidRPr="008354CE" w:rsidRDefault="00425931" w:rsidP="008608BD">
            <w:pPr>
              <w:pStyle w:val="Listnumindent"/>
              <w:numPr>
                <w:ilvl w:val="6"/>
                <w:numId w:val="68"/>
              </w:numPr>
              <w:ind w:left="864"/>
            </w:pPr>
            <w:r w:rsidRPr="008608BD">
              <w:t>in writing</w:t>
            </w:r>
            <w:r w:rsidR="00A52C22">
              <w:t>; and</w:t>
            </w:r>
          </w:p>
          <w:p w14:paraId="3CD4B0FB" w14:textId="7F4AB374" w:rsidR="00425931" w:rsidRPr="008608BD" w:rsidRDefault="00425931" w:rsidP="008608BD">
            <w:pPr>
              <w:pStyle w:val="Listnumindent"/>
              <w:numPr>
                <w:ilvl w:val="6"/>
                <w:numId w:val="64"/>
              </w:numPr>
              <w:ind w:left="864"/>
              <w:rPr>
                <w:rFonts w:cs="Arial"/>
              </w:rPr>
            </w:pPr>
            <w:r w:rsidRPr="008608BD">
              <w:t xml:space="preserve">within </w:t>
            </w:r>
            <w:r w:rsidRPr="008608BD">
              <w:rPr>
                <w:rFonts w:cs="Arial"/>
              </w:rPr>
              <w:t>the period specified in the request.</w:t>
            </w:r>
          </w:p>
          <w:p w14:paraId="46964F0C" w14:textId="77777777" w:rsidR="00425931" w:rsidRPr="008608BD" w:rsidRDefault="00425931" w:rsidP="007F2E3C">
            <w:pPr>
              <w:rPr>
                <w:rFonts w:asciiTheme="majorHAnsi" w:hAnsiTheme="majorHAnsi"/>
              </w:rPr>
            </w:pPr>
            <w:r w:rsidRPr="008608BD">
              <w:rPr>
                <w:rFonts w:asciiTheme="majorHAnsi" w:hAnsiTheme="majorHAnsi"/>
              </w:rPr>
              <w:t>4 False or misleading information</w:t>
            </w:r>
          </w:p>
          <w:p w14:paraId="0F634C3D" w14:textId="77777777" w:rsidR="00425931" w:rsidRPr="00F77E0B" w:rsidRDefault="00425931" w:rsidP="007F2E3C">
            <w:r w:rsidRPr="00F77E0B">
              <w:t>An applicant must not knowingly provide information to the Hardware Regulator that is false or misleading [</w:t>
            </w:r>
            <w:r w:rsidRPr="008608BD">
              <w:rPr>
                <w:i/>
                <w:iCs/>
              </w:rPr>
              <w:t>in a material particular</w:t>
            </w:r>
            <w:r w:rsidRPr="00F77E0B">
              <w:t>] in relation to an application under section 1.</w:t>
            </w:r>
          </w:p>
          <w:p w14:paraId="5C1DA826" w14:textId="6F708192" w:rsidR="00425931" w:rsidRPr="00425931" w:rsidRDefault="00425931" w:rsidP="007F2E3C">
            <w:pPr>
              <w:rPr>
                <w:b/>
                <w:bCs/>
              </w:rPr>
            </w:pPr>
            <w:r w:rsidRPr="00F77E0B">
              <w:t>Penalty: [</w:t>
            </w:r>
            <w:r w:rsidRPr="008608BD">
              <w:rPr>
                <w:i/>
                <w:iCs/>
              </w:rPr>
              <w:t>penalty units</w:t>
            </w:r>
            <w:r w:rsidRPr="00F77E0B">
              <w:t>].</w:t>
            </w:r>
          </w:p>
        </w:tc>
      </w:tr>
    </w:tbl>
    <w:p w14:paraId="45245902" w14:textId="77777777" w:rsidR="00C05C95" w:rsidRDefault="00C05C95" w:rsidP="00A72A70">
      <w:bookmarkStart w:id="21" w:name="_Toc164848017"/>
    </w:p>
    <w:p w14:paraId="27BD4A31" w14:textId="11B1AADF" w:rsidR="00DD0C8F" w:rsidRPr="00560AC4" w:rsidRDefault="00DD0C8F" w:rsidP="008010F1">
      <w:pPr>
        <w:pStyle w:val="Heading1numbered"/>
      </w:pPr>
      <w:bookmarkStart w:id="22" w:name="_Toc174538665"/>
      <w:bookmarkStart w:id="23" w:name="_Toc178780169"/>
      <w:r w:rsidRPr="00560AC4">
        <w:lastRenderedPageBreak/>
        <w:t xml:space="preserve">Standard </w:t>
      </w:r>
      <w:r w:rsidR="00E64DC6">
        <w:t>e</w:t>
      </w:r>
      <w:r w:rsidRPr="00560AC4">
        <w:t>lements</w:t>
      </w:r>
      <w:bookmarkEnd w:id="21"/>
      <w:bookmarkEnd w:id="22"/>
      <w:bookmarkEnd w:id="23"/>
    </w:p>
    <w:p w14:paraId="53F95F43" w14:textId="3AF9FEC0" w:rsidR="0066182B" w:rsidRPr="00560AC4" w:rsidRDefault="0066182B" w:rsidP="006F7CFD">
      <w:r w:rsidRPr="00560AC4">
        <w:t xml:space="preserve">Standard elements are relevant and necessary for consideration in a range of circumstances, where identified risks cannot be sufficiently mitigated through baseline elements. Standard elements include: </w:t>
      </w:r>
    </w:p>
    <w:p w14:paraId="20964077" w14:textId="68B411E0" w:rsidR="0066182B" w:rsidRPr="00E85063" w:rsidRDefault="00A478E2" w:rsidP="008608BD">
      <w:pPr>
        <w:pStyle w:val="Bullet1"/>
      </w:pPr>
      <w:r>
        <w:t>a</w:t>
      </w:r>
      <w:r w:rsidR="0066182B" w:rsidRPr="00E85063">
        <w:t>ssessment of criminal history</w:t>
      </w:r>
    </w:p>
    <w:p w14:paraId="478FBB62" w14:textId="5F1EADF1" w:rsidR="0066182B" w:rsidRPr="00E85063" w:rsidRDefault="00A478E2" w:rsidP="008608BD">
      <w:pPr>
        <w:pStyle w:val="Bullet1"/>
      </w:pPr>
      <w:r>
        <w:t>a</w:t>
      </w:r>
      <w:r w:rsidR="0066182B" w:rsidRPr="00E85063">
        <w:t xml:space="preserve">ssessment of past regulatory compliance </w:t>
      </w:r>
    </w:p>
    <w:p w14:paraId="1CBDCD9D" w14:textId="3703E226" w:rsidR="0066182B" w:rsidRPr="00E85063" w:rsidRDefault="00A478E2" w:rsidP="008608BD">
      <w:pPr>
        <w:pStyle w:val="Bullet1"/>
      </w:pPr>
      <w:r>
        <w:t>o</w:t>
      </w:r>
      <w:r w:rsidR="0066182B" w:rsidRPr="00E85063">
        <w:t xml:space="preserve">utcomes of previous permissions </w:t>
      </w:r>
    </w:p>
    <w:p w14:paraId="779F06EF" w14:textId="2B079F5A" w:rsidR="0066182B" w:rsidRPr="00E85063" w:rsidRDefault="00A478E2" w:rsidP="008608BD">
      <w:pPr>
        <w:pStyle w:val="Bullet1"/>
      </w:pPr>
      <w:r>
        <w:t>d</w:t>
      </w:r>
      <w:r w:rsidR="0066182B" w:rsidRPr="00E85063">
        <w:t>isqualifications, bans and prohibitions</w:t>
      </w:r>
    </w:p>
    <w:p w14:paraId="7AB0ED12" w14:textId="5E79077A" w:rsidR="0066182B" w:rsidRPr="00E85063" w:rsidRDefault="00A478E2" w:rsidP="008608BD">
      <w:pPr>
        <w:pStyle w:val="Bullet1"/>
      </w:pPr>
      <w:r>
        <w:t>p</w:t>
      </w:r>
      <w:r w:rsidR="0066182B" w:rsidRPr="00E85063">
        <w:t>rofessional standards</w:t>
      </w:r>
    </w:p>
    <w:p w14:paraId="13BC28F2" w14:textId="6420AD9B" w:rsidR="0066182B" w:rsidRPr="00354EAC" w:rsidRDefault="00A478E2" w:rsidP="008608BD">
      <w:pPr>
        <w:pStyle w:val="Bullet1"/>
      </w:pPr>
      <w:r>
        <w:t>r</w:t>
      </w:r>
      <w:r w:rsidR="0066182B" w:rsidRPr="00E85063">
        <w:t>elevant skills and experience</w:t>
      </w:r>
    </w:p>
    <w:p w14:paraId="7FED1583" w14:textId="54B10ECA" w:rsidR="00BF14F3" w:rsidRPr="00E85063" w:rsidRDefault="00A478E2" w:rsidP="008608BD">
      <w:pPr>
        <w:pStyle w:val="Bullet1"/>
      </w:pPr>
      <w:r>
        <w:t>a</w:t>
      </w:r>
      <w:r w:rsidR="00BF14F3">
        <w:t>ssessment of financial position</w:t>
      </w:r>
      <w:r>
        <w:t>, and</w:t>
      </w:r>
    </w:p>
    <w:p w14:paraId="1A645745" w14:textId="27914269" w:rsidR="00912F3F" w:rsidRDefault="00A478E2" w:rsidP="00347518">
      <w:pPr>
        <w:pStyle w:val="Bullet1"/>
      </w:pPr>
      <w:r>
        <w:t>s</w:t>
      </w:r>
      <w:r w:rsidR="0066182B" w:rsidRPr="00E85063">
        <w:t>olvency</w:t>
      </w:r>
    </w:p>
    <w:p w14:paraId="00B0EFC7" w14:textId="24DC778A" w:rsidR="00106FC0" w:rsidRPr="00E85063" w:rsidRDefault="00273973" w:rsidP="008608BD">
      <w:pPr>
        <w:ind w:left="-270"/>
      </w:pPr>
      <w:r>
        <w:rPr>
          <w:noProof/>
        </w:rPr>
        <mc:AlternateContent>
          <mc:Choice Requires="wps">
            <w:drawing>
              <wp:inline distT="0" distB="0" distL="0" distR="0" wp14:anchorId="08BBC03D" wp14:editId="7458DF0C">
                <wp:extent cx="5731510" cy="4968815"/>
                <wp:effectExtent l="0" t="0" r="21590" b="22860"/>
                <wp:docPr id="1135629114" name="Text Box 2"/>
                <wp:cNvGraphicFramePr/>
                <a:graphic xmlns:a="http://schemas.openxmlformats.org/drawingml/2006/main">
                  <a:graphicData uri="http://schemas.microsoft.com/office/word/2010/wordprocessingShape">
                    <wps:wsp>
                      <wps:cNvSpPr txBox="1"/>
                      <wps:spPr>
                        <a:xfrm>
                          <a:off x="0" y="0"/>
                          <a:ext cx="5731510" cy="4968815"/>
                        </a:xfrm>
                        <a:prstGeom prst="rect">
                          <a:avLst/>
                        </a:prstGeom>
                        <a:solidFill>
                          <a:schemeClr val="accent2">
                            <a:lumMod val="20000"/>
                            <a:lumOff val="80000"/>
                          </a:schemeClr>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id="1">
                        <w:txbxContent>
                          <w:p w14:paraId="41C72045" w14:textId="77777777" w:rsidR="00273973" w:rsidRDefault="00273973" w:rsidP="008608BD">
                            <w:pPr>
                              <w:pStyle w:val="Heading3"/>
                              <w:spacing w:before="120"/>
                            </w:pPr>
                            <w:r w:rsidRPr="002701B7">
                              <w:t xml:space="preserve">Application of the Spent Convictions Act 2021 </w:t>
                            </w:r>
                            <w:r w:rsidRPr="007247DB">
                              <w:rPr>
                                <w:noProof/>
                                <w:position w:val="-20"/>
                                <w:sz w:val="20"/>
                                <w:szCs w:val="20"/>
                              </w:rPr>
                              <w:drawing>
                                <wp:inline distT="0" distB="0" distL="0" distR="0" wp14:anchorId="45125D59" wp14:editId="1A4A25A9">
                                  <wp:extent cx="365760" cy="365760"/>
                                  <wp:effectExtent l="0" t="0" r="0" b="0"/>
                                  <wp:docPr id="640452391" name="Graphic 640452391"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omment Important with solid fill"/>
                                          <pic:cNvPicPr/>
                                        </pic:nvPicPr>
                                        <pic:blipFill>
                                          <a:blip r:embed="rId46">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365760" cy="365760"/>
                                          </a:xfrm>
                                          <a:prstGeom prst="rect">
                                            <a:avLst/>
                                          </a:prstGeom>
                                        </pic:spPr>
                                      </pic:pic>
                                    </a:graphicData>
                                  </a:graphic>
                                </wp:inline>
                              </w:drawing>
                            </w:r>
                          </w:p>
                          <w:p w14:paraId="0F2DDBA0" w14:textId="77777777" w:rsidR="00273973" w:rsidRDefault="00273973" w:rsidP="00273973">
                            <w:r>
                              <w:t xml:space="preserve">Elements in this section reference the need to consider applicants’ criminal history, past regulatory compliance, bans, disqualifications, prohibitions or the existence of relevant court orders. </w:t>
                            </w:r>
                          </w:p>
                          <w:p w14:paraId="6D4F3375" w14:textId="77777777" w:rsidR="00273973" w:rsidRPr="006B17C9" w:rsidRDefault="00273973" w:rsidP="00273973">
                            <w:r w:rsidRPr="00560AC4">
                              <w:t xml:space="preserve">The </w:t>
                            </w:r>
                            <w:r w:rsidRPr="0073031F">
                              <w:rPr>
                                <w:i/>
                                <w:iCs/>
                              </w:rPr>
                              <w:t>Spent Convictions Act 2021</w:t>
                            </w:r>
                            <w:r>
                              <w:t xml:space="preserve"> (SCA) will be a relevant consideration when adopting and applying these elements. Disclosures of criminal history must align with the purpose and policy intent of the SCA, which </w:t>
                            </w:r>
                            <w:r w:rsidRPr="00560AC4">
                              <w:t>governs the release and disclosure of criminal history information in Victoria</w:t>
                            </w:r>
                            <w:r>
                              <w:t xml:space="preserve"> and aims to reduce the barriers which past </w:t>
                            </w:r>
                            <w:r w:rsidRPr="006B17C9">
                              <w:t>convictions may pose the rehabilitation.</w:t>
                            </w:r>
                          </w:p>
                          <w:p w14:paraId="12760166" w14:textId="77777777" w:rsidR="00273973" w:rsidRDefault="00273973" w:rsidP="00273973">
                            <w:r w:rsidRPr="006B17C9">
                              <w:t xml:space="preserve">Generally, convictions will become spent in line </w:t>
                            </w:r>
                            <w:r>
                              <w:t>as follows:</w:t>
                            </w:r>
                            <w:r w:rsidRPr="006B17C9">
                              <w:t xml:space="preserve"> </w:t>
                            </w:r>
                          </w:p>
                          <w:p w14:paraId="54205D20" w14:textId="77777777" w:rsidR="00273973" w:rsidRPr="00F37B19" w:rsidRDefault="00273973" w:rsidP="00273973">
                            <w:pPr>
                              <w:pStyle w:val="Bullet1"/>
                            </w:pPr>
                            <w:r>
                              <w:t>If</w:t>
                            </w:r>
                            <w:r w:rsidRPr="00F37B19">
                              <w:t xml:space="preserve"> a conviction is not a 'serious conviction' or is not eligible to be spent immediately, the conviction will become spent once the relevant conviction period has passed without any further offending (except for some minor offences). </w:t>
                            </w:r>
                          </w:p>
                          <w:p w14:paraId="78A181DE" w14:textId="77777777" w:rsidR="00273973" w:rsidRPr="00F37B19" w:rsidRDefault="00273973" w:rsidP="00273973">
                            <w:pPr>
                              <w:pStyle w:val="Bullet1"/>
                            </w:pPr>
                            <w:r w:rsidRPr="00F37B19">
                              <w:t xml:space="preserve">If the person was aged 15-20 when they were sentenced, the conviction period is five years. </w:t>
                            </w:r>
                          </w:p>
                          <w:p w14:paraId="67001B68" w14:textId="77777777" w:rsidR="00273973" w:rsidRPr="00F37B19" w:rsidRDefault="00273973" w:rsidP="00273973">
                            <w:pPr>
                              <w:pStyle w:val="Bullet1"/>
                            </w:pPr>
                            <w:r w:rsidRPr="00F37B19">
                              <w:t>If the person was 21 years or older when they were sentenced, the conviction period is 10</w:t>
                            </w:r>
                            <w:r w:rsidRPr="00F37B19">
                              <w:rPr>
                                <w:rFonts w:ascii="Calibri" w:hAnsi="Calibri"/>
                              </w:rPr>
                              <w:t> </w:t>
                            </w:r>
                            <w:r w:rsidRPr="00F37B19">
                              <w:t xml:space="preserve">years. </w:t>
                            </w:r>
                          </w:p>
                          <w:p w14:paraId="0A284511" w14:textId="77777777" w:rsidR="00273973" w:rsidRDefault="00273973" w:rsidP="00273973">
                            <w:pPr>
                              <w:pStyle w:val="Bullet1"/>
                            </w:pPr>
                            <w:r w:rsidRPr="00F37B19">
                              <w:t>If th</w:t>
                            </w:r>
                            <w:r>
                              <w:t>e person reoffends during these periods (apart from some minor offences), the conviction period restarts.</w:t>
                            </w:r>
                          </w:p>
                          <w:p w14:paraId="3498D80F" w14:textId="0A46BAB4" w:rsidR="00605A65" w:rsidRDefault="00C82E00" w:rsidP="00605A65">
                            <w:r>
                              <w:t>More</w:t>
                            </w:r>
                            <w:r w:rsidRPr="00354EAC">
                              <w:t xml:space="preserve"> information on when a conviction may become spent can be found on the </w:t>
                            </w:r>
                            <w:hyperlink r:id="rId52" w:history="1">
                              <w:r w:rsidRPr="00B07526">
                                <w:rPr>
                                  <w:rStyle w:val="Hyperlink"/>
                                </w:rPr>
                                <w:t>Department of Justice and Community Safety website</w:t>
                              </w:r>
                            </w:hyperlink>
                            <w:r w:rsidR="00B07526">
                              <w:t>.</w:t>
                            </w:r>
                            <w:r w:rsidRPr="00354EAC">
                              <w:t xml:space="preserve"> </w:t>
                            </w:r>
                          </w:p>
                          <w:p w14:paraId="42917EE1" w14:textId="77777777" w:rsidR="00605A65" w:rsidRPr="002D6780" w:rsidRDefault="00605A65" w:rsidP="00605A65">
                            <w:r w:rsidRPr="006B17C9">
                              <w:t>In some circumstances, some government agencies, the police, and courts have exemptions to collect, use and disclose information about a person’s</w:t>
                            </w:r>
                            <w:r w:rsidRPr="002D6780">
                              <w:t xml:space="preserve"> spent convictions for a particular purpose, including</w:t>
                            </w:r>
                            <w:r>
                              <w:t>, but not limited to</w:t>
                            </w:r>
                            <w:r w:rsidRPr="002D6780">
                              <w:t>:</w:t>
                            </w:r>
                          </w:p>
                          <w:p w14:paraId="62BD65E3" w14:textId="77777777" w:rsidR="00605A65" w:rsidRDefault="00605A65" w:rsidP="00605A65">
                            <w:pPr>
                              <w:pStyle w:val="Bullet1"/>
                            </w:pPr>
                            <w:r>
                              <w:t>Working with Children Check</w:t>
                            </w:r>
                          </w:p>
                          <w:p w14:paraId="16FAA1BD" w14:textId="77777777" w:rsidR="00605A65" w:rsidRDefault="00605A65" w:rsidP="00605A65">
                            <w:pPr>
                              <w:pStyle w:val="Bullet1"/>
                            </w:pPr>
                            <w:r>
                              <w:t>NDIS worker screening</w:t>
                            </w:r>
                          </w:p>
                          <w:p w14:paraId="281B9532" w14:textId="77777777" w:rsidR="00605A65" w:rsidRDefault="00605A65" w:rsidP="00605A65">
                            <w:pPr>
                              <w:pStyle w:val="Bullet1"/>
                            </w:pPr>
                            <w:r>
                              <w:t>some occupational accreditations, such as health professionals, teachers and lawyers</w:t>
                            </w:r>
                          </w:p>
                          <w:p w14:paraId="45376838" w14:textId="77777777" w:rsidR="00605A65" w:rsidRDefault="00605A65" w:rsidP="00605A65">
                            <w:pPr>
                              <w:pStyle w:val="Bullet1"/>
                            </w:pPr>
                            <w:r>
                              <w:t>courts and tribunals</w:t>
                            </w:r>
                          </w:p>
                          <w:p w14:paraId="79A60A00" w14:textId="77777777" w:rsidR="00605A65" w:rsidRDefault="00605A65" w:rsidP="00605A65">
                            <w:pPr>
                              <w:pStyle w:val="Bullet1"/>
                            </w:pPr>
                            <w:r>
                              <w:t xml:space="preserve">family violence information, and </w:t>
                            </w:r>
                          </w:p>
                          <w:p w14:paraId="71DAA426" w14:textId="77777777" w:rsidR="00605A65" w:rsidRPr="0094319C" w:rsidRDefault="00605A65" w:rsidP="00605A65">
                            <w:pPr>
                              <w:pStyle w:val="Bullet1"/>
                            </w:pPr>
                            <w:r>
                              <w:t>immigration decision making.</w:t>
                            </w:r>
                          </w:p>
                          <w:p w14:paraId="6BD83346" w14:textId="77777777" w:rsidR="00605A65" w:rsidRPr="00083CA8" w:rsidRDefault="00605A65" w:rsidP="00605A65">
                            <w:pPr>
                              <w:rPr>
                                <w:rFonts w:eastAsia="Times New Roman"/>
                              </w:rPr>
                            </w:pPr>
                            <w:r>
                              <w:t>Importantly, t</w:t>
                            </w:r>
                            <w:r w:rsidRPr="00083CA8">
                              <w:t xml:space="preserve">he SCA does not include a broad exemption for the use and disclosure of spent conviction information for the purpose of all assessments. Consideration may be given to seeking an exemption to the SCA for </w:t>
                            </w:r>
                            <w:r>
                              <w:t>an assessment</w:t>
                            </w:r>
                            <w:r w:rsidRPr="00083CA8">
                              <w:t>, but this should be limited to situations where this is required for public safety.</w:t>
                            </w:r>
                            <w:r>
                              <w:rPr>
                                <w:rFonts w:eastAsia="Times New Roman"/>
                              </w:rPr>
                              <w:t xml:space="preserve"> </w:t>
                            </w:r>
                          </w:p>
                          <w:p w14:paraId="6033ECCE" w14:textId="77777777" w:rsidR="00605A65" w:rsidRDefault="00605A65" w:rsidP="00605A65">
                            <w:r w:rsidRPr="0094319C">
                              <w:t xml:space="preserve">The </w:t>
                            </w:r>
                            <w:r>
                              <w:t xml:space="preserve">SCA </w:t>
                            </w:r>
                            <w:r w:rsidRPr="0094319C">
                              <w:t xml:space="preserve">establishes exemptions for particular agencies, including registration, accreditation and licensing agencies to use spent conviction information. </w:t>
                            </w:r>
                          </w:p>
                          <w:p w14:paraId="431075B9" w14:textId="77777777" w:rsidR="00605A65" w:rsidRDefault="00605A65" w:rsidP="00605A65">
                            <w:r w:rsidRPr="3FC26C05">
                              <w:t xml:space="preserve">However, the SCA does not specify which spent conviction information is relevant to a regulator when determining whether to approve a registration or license, nor does the Act limit which spent convictions can be considered by each regulator as convictions relevant to their regulatory function. </w:t>
                            </w:r>
                          </w:p>
                          <w:p w14:paraId="698120B5" w14:textId="77777777" w:rsidR="00605A65" w:rsidRDefault="00605A65" w:rsidP="00605A65">
                            <w:r w:rsidRPr="0094319C">
                              <w:t>It is vital that these limitations are instead detailed in the relevant legislation establishing each regulatory scheme.</w:t>
                            </w:r>
                          </w:p>
                          <w:p w14:paraId="19D0AC2E" w14:textId="77777777" w:rsidR="00605A65" w:rsidRDefault="00605A65" w:rsidP="00605A65">
                            <w:pPr>
                              <w:pStyle w:val="Heading4"/>
                            </w:pPr>
                            <w:r w:rsidRPr="00724555">
                              <w:t>Statutory review of the SCA</w:t>
                            </w:r>
                          </w:p>
                          <w:p w14:paraId="756A0DD1" w14:textId="6A004534" w:rsidR="00605A65" w:rsidRPr="0094319C" w:rsidRDefault="00605A65" w:rsidP="00605A65">
                            <w:r w:rsidRPr="3FC26C05">
                              <w:t>A statutory review of the SCA (</w:t>
                            </w:r>
                            <w:hyperlink r:id="rId53" w:history="1">
                              <w:r w:rsidR="00132152">
                                <w:rPr>
                                  <w:rStyle w:val="Hyperlink"/>
                                </w:rPr>
                                <w:t>Review of the Spent Convictions Act 2021</w:t>
                              </w:r>
                            </w:hyperlink>
                            <w:r w:rsidRPr="3FC26C05">
                              <w:t xml:space="preserve">) found that spent conviction information should only be permitted for use in a ‘fit and proper person assessment’ if the purpose falls under a specific exemption included in the SCA or </w:t>
                            </w:r>
                            <w:r w:rsidRPr="3FC26C05">
                              <w:rPr>
                                <w:i/>
                                <w:iCs/>
                              </w:rPr>
                              <w:t>Spent Convictions Regulations 2021</w:t>
                            </w:r>
                            <w:r w:rsidRPr="3FC26C05">
                              <w:t>. Where this exemption is not in place, the disclosure may be unlawful under section 23 of the SCA.</w:t>
                            </w:r>
                          </w:p>
                          <w:p w14:paraId="00A0F21B" w14:textId="77777777" w:rsidR="00605A65" w:rsidRPr="0094319C" w:rsidRDefault="00605A65" w:rsidP="00605A65">
                            <w:r w:rsidRPr="3FC26C05">
                              <w:t>The review recommended that, where an exemption exists, the permitted use of spent conviction information should be limited to the performance of exempt functions. It is important that the relevant legislation which establishes assessments also limits the permitted use of spent conviction information to what is relevant or required for the particular assessment being conducted.</w:t>
                            </w:r>
                          </w:p>
                          <w:p w14:paraId="1E47D711" w14:textId="17DE7CCE" w:rsidR="00273973" w:rsidRDefault="00605A65" w:rsidP="00605A65">
                            <w:r>
                              <w:t xml:space="preserve">For more information on the SCA, including obligations and restrictions on collecting and sharing information about spent convictions, see the </w:t>
                            </w:r>
                            <w:hyperlink r:id="rId54" w:history="1">
                              <w:r w:rsidRPr="002B30AD">
                                <w:rPr>
                                  <w:rStyle w:val="Hyperlink"/>
                                </w:rPr>
                                <w:t>Department of Justice and Community Safety website</w:t>
                              </w:r>
                            </w:hyperlink>
                            <w:r w:rsidRPr="006F0C6C">
                              <w:t>.</w:t>
                            </w:r>
                          </w:p>
                        </w:txbxContent>
                      </wps:txbx>
                      <wps:bodyPr rot="0" spcFirstLastPara="0" vertOverflow="overflow" horzOverflow="overflow" vert="horz" wrap="square" lIns="137160" tIns="91440" rIns="137160" bIns="91440" numCol="1" spcCol="0" rtlCol="0" fromWordArt="0" anchor="t" anchorCtr="0" forceAA="0" compatLnSpc="1">
                        <a:prstTxWarp prst="textNoShape">
                          <a:avLst/>
                        </a:prstTxWarp>
                        <a:noAutofit/>
                      </wps:bodyPr>
                    </wps:wsp>
                  </a:graphicData>
                </a:graphic>
              </wp:inline>
            </w:drawing>
          </mc:Choice>
          <mc:Fallback>
            <w:pict>
              <v:shapetype w14:anchorId="08BBC03D" id="_x0000_t202" coordsize="21600,21600" o:spt="202" path="m,l,21600r21600,l21600,xe">
                <v:stroke joinstyle="miter"/>
                <v:path gradientshapeok="t" o:connecttype="rect"/>
              </v:shapetype>
              <v:shape id="Text Box 2" o:spid="_x0000_s1026" type="#_x0000_t202" style="width:451.3pt;height:39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" fillcolor="#e0f5fc [661]" strokecolor="#0072ce [3204]" strokeweight="1pt">
                <v:textbox style="mso-next-textbox:#Text Box 3" inset="10.8pt,7.2pt,10.8pt,7.2pt">
                  <w:txbxContent>
                    <w:p w14:paraId="41C72045" w14:textId="77777777" w:rsidR="00273973" w:rsidRDefault="00273973" w:rsidP="008608BD">
                      <w:pPr>
                        <w:pStyle w:val="Heading3"/>
                        <w:spacing w:before="120"/>
                      </w:pPr>
                      <w:r w:rsidRPr="002701B7">
                        <w:t xml:space="preserve">Application of the Spent Convictions Act 2021 </w:t>
                      </w:r>
                      <w:r w:rsidRPr="007247DB">
                        <w:rPr>
                          <w:noProof/>
                          <w:position w:val="-20"/>
                          <w:sz w:val="20"/>
                          <w:szCs w:val="20"/>
                        </w:rPr>
                        <w:drawing>
                          <wp:inline distT="0" distB="0" distL="0" distR="0" wp14:anchorId="45125D59" wp14:editId="1A4A25A9">
                            <wp:extent cx="365760" cy="365760"/>
                            <wp:effectExtent l="0" t="0" r="0" b="0"/>
                            <wp:docPr id="640452391" name="Graphic 640452391"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omment Important with solid fill"/>
                                    <pic:cNvPicPr/>
                                  </pic:nvPicPr>
                                  <pic:blipFill>
                                    <a:blip r:embed="rId46">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365760" cy="365760"/>
                                    </a:xfrm>
                                    <a:prstGeom prst="rect">
                                      <a:avLst/>
                                    </a:prstGeom>
                                  </pic:spPr>
                                </pic:pic>
                              </a:graphicData>
                            </a:graphic>
                          </wp:inline>
                        </w:drawing>
                      </w:r>
                    </w:p>
                    <w:p w14:paraId="0F2DDBA0" w14:textId="77777777" w:rsidR="00273973" w:rsidRDefault="00273973" w:rsidP="00273973">
                      <w:r>
                        <w:t xml:space="preserve">Elements in this section reference the need to consider applicants’ criminal history, past regulatory compliance, bans, disqualifications, prohibitions or the existence of relevant court orders. </w:t>
                      </w:r>
                    </w:p>
                    <w:p w14:paraId="6D4F3375" w14:textId="77777777" w:rsidR="00273973" w:rsidRPr="006B17C9" w:rsidRDefault="00273973" w:rsidP="00273973">
                      <w:r w:rsidRPr="00560AC4">
                        <w:t xml:space="preserve">The </w:t>
                      </w:r>
                      <w:r w:rsidRPr="0073031F">
                        <w:rPr>
                          <w:i/>
                          <w:iCs/>
                        </w:rPr>
                        <w:t>Spent Convictions Act 2021</w:t>
                      </w:r>
                      <w:r>
                        <w:t xml:space="preserve"> (SCA) will be a relevant consideration when adopting and applying these elements. Disclosures of criminal history must align with the purpose and policy intent of the SCA, which </w:t>
                      </w:r>
                      <w:r w:rsidRPr="00560AC4">
                        <w:t>governs the release and disclosure of criminal history information in Victoria</w:t>
                      </w:r>
                      <w:r>
                        <w:t xml:space="preserve"> and aims to reduce the barriers which past </w:t>
                      </w:r>
                      <w:r w:rsidRPr="006B17C9">
                        <w:t>convictions may pose the rehabilitation.</w:t>
                      </w:r>
                    </w:p>
                    <w:p w14:paraId="12760166" w14:textId="77777777" w:rsidR="00273973" w:rsidRDefault="00273973" w:rsidP="00273973">
                      <w:r w:rsidRPr="006B17C9">
                        <w:t xml:space="preserve">Generally, convictions will become spent in line </w:t>
                      </w:r>
                      <w:r>
                        <w:t>as follows:</w:t>
                      </w:r>
                      <w:r w:rsidRPr="006B17C9">
                        <w:t xml:space="preserve"> </w:t>
                      </w:r>
                    </w:p>
                    <w:p w14:paraId="54205D20" w14:textId="77777777" w:rsidR="00273973" w:rsidRPr="00F37B19" w:rsidRDefault="00273973" w:rsidP="00273973">
                      <w:pPr>
                        <w:pStyle w:val="Bullet1"/>
                      </w:pPr>
                      <w:r>
                        <w:t>If</w:t>
                      </w:r>
                      <w:r w:rsidRPr="00F37B19">
                        <w:t xml:space="preserve"> a conviction is not a 'serious conviction' or is not eligible to be spent immediately, the conviction will become spent once the relevant conviction period has passed without any further offending (except for some minor offences). </w:t>
                      </w:r>
                    </w:p>
                    <w:p w14:paraId="78A181DE" w14:textId="77777777" w:rsidR="00273973" w:rsidRPr="00F37B19" w:rsidRDefault="00273973" w:rsidP="00273973">
                      <w:pPr>
                        <w:pStyle w:val="Bullet1"/>
                      </w:pPr>
                      <w:r w:rsidRPr="00F37B19">
                        <w:t xml:space="preserve">If the person was aged 15-20 when they were sentenced, the conviction period is five years. </w:t>
                      </w:r>
                    </w:p>
                    <w:p w14:paraId="67001B68" w14:textId="77777777" w:rsidR="00273973" w:rsidRPr="00F37B19" w:rsidRDefault="00273973" w:rsidP="00273973">
                      <w:pPr>
                        <w:pStyle w:val="Bullet1"/>
                      </w:pPr>
                      <w:r w:rsidRPr="00F37B19">
                        <w:t>If the person was 21 years or older when they were sentenced, the conviction period is 10</w:t>
                      </w:r>
                      <w:r w:rsidRPr="00F37B19">
                        <w:rPr>
                          <w:rFonts w:ascii="Calibri" w:hAnsi="Calibri"/>
                        </w:rPr>
                        <w:t> </w:t>
                      </w:r>
                      <w:r w:rsidRPr="00F37B19">
                        <w:t xml:space="preserve">years. </w:t>
                      </w:r>
                    </w:p>
                    <w:p w14:paraId="0A284511" w14:textId="77777777" w:rsidR="00273973" w:rsidRDefault="00273973" w:rsidP="00273973">
                      <w:pPr>
                        <w:pStyle w:val="Bullet1"/>
                      </w:pPr>
                      <w:r w:rsidRPr="00F37B19">
                        <w:t>If th</w:t>
                      </w:r>
                      <w:r>
                        <w:t>e person reoffends during these periods (apart from some minor offences), the conviction period restarts.</w:t>
                      </w:r>
                    </w:p>
                    <w:p w14:paraId="3498D80F" w14:textId="0A46BAB4" w:rsidR="00605A65" w:rsidRDefault="00C82E00" w:rsidP="00605A65">
                      <w:r>
                        <w:t>More</w:t>
                      </w:r>
                      <w:r w:rsidRPr="00354EAC">
                        <w:t xml:space="preserve"> information on when a conviction may become spent can be found on the </w:t>
                      </w:r>
                      <w:hyperlink r:id="rId55" w:history="1">
                        <w:r w:rsidRPr="00B07526">
                          <w:rPr>
                            <w:rStyle w:val="Hyperlink"/>
                          </w:rPr>
                          <w:t>Department of Justice and Community Safety website</w:t>
                        </w:r>
                      </w:hyperlink>
                      <w:r w:rsidR="00B07526">
                        <w:t>.</w:t>
                      </w:r>
                      <w:r w:rsidRPr="00354EAC">
                        <w:t xml:space="preserve"> </w:t>
                      </w:r>
                    </w:p>
                    <w:p w14:paraId="42917EE1" w14:textId="77777777" w:rsidR="00605A65" w:rsidRPr="002D6780" w:rsidRDefault="00605A65" w:rsidP="00605A65">
                      <w:r w:rsidRPr="006B17C9">
                        <w:t>In some circumstances, some government agencies, the police, and courts have exemptions to collect, use and disclose information about a person’s</w:t>
                      </w:r>
                      <w:r w:rsidRPr="002D6780">
                        <w:t xml:space="preserve"> spent convictions for a particular purpose, including</w:t>
                      </w:r>
                      <w:r>
                        <w:t>, but not limited to</w:t>
                      </w:r>
                      <w:r w:rsidRPr="002D6780">
                        <w:t>:</w:t>
                      </w:r>
                    </w:p>
                    <w:p w14:paraId="62BD65E3" w14:textId="77777777" w:rsidR="00605A65" w:rsidRDefault="00605A65" w:rsidP="00605A65">
                      <w:pPr>
                        <w:pStyle w:val="Bullet1"/>
                      </w:pPr>
                      <w:r>
                        <w:t>Working with Children Check</w:t>
                      </w:r>
                    </w:p>
                    <w:p w14:paraId="16FAA1BD" w14:textId="77777777" w:rsidR="00605A65" w:rsidRDefault="00605A65" w:rsidP="00605A65">
                      <w:pPr>
                        <w:pStyle w:val="Bullet1"/>
                      </w:pPr>
                      <w:r>
                        <w:t>NDIS worker screening</w:t>
                      </w:r>
                    </w:p>
                    <w:p w14:paraId="281B9532" w14:textId="77777777" w:rsidR="00605A65" w:rsidRDefault="00605A65" w:rsidP="00605A65">
                      <w:pPr>
                        <w:pStyle w:val="Bullet1"/>
                      </w:pPr>
                      <w:r>
                        <w:t>some occupational accreditations, such as health professionals, teachers and lawyers</w:t>
                      </w:r>
                    </w:p>
                    <w:p w14:paraId="45376838" w14:textId="77777777" w:rsidR="00605A65" w:rsidRDefault="00605A65" w:rsidP="00605A65">
                      <w:pPr>
                        <w:pStyle w:val="Bullet1"/>
                      </w:pPr>
                      <w:r>
                        <w:t>courts and tribunals</w:t>
                      </w:r>
                    </w:p>
                    <w:p w14:paraId="79A60A00" w14:textId="77777777" w:rsidR="00605A65" w:rsidRDefault="00605A65" w:rsidP="00605A65">
                      <w:pPr>
                        <w:pStyle w:val="Bullet1"/>
                      </w:pPr>
                      <w:r>
                        <w:t xml:space="preserve">family violence information, and </w:t>
                      </w:r>
                    </w:p>
                    <w:p w14:paraId="71DAA426" w14:textId="77777777" w:rsidR="00605A65" w:rsidRPr="0094319C" w:rsidRDefault="00605A65" w:rsidP="00605A65">
                      <w:pPr>
                        <w:pStyle w:val="Bullet1"/>
                      </w:pPr>
                      <w:r>
                        <w:t>immigration decision making.</w:t>
                      </w:r>
                    </w:p>
                    <w:p w14:paraId="6BD83346" w14:textId="77777777" w:rsidR="00605A65" w:rsidRPr="00083CA8" w:rsidRDefault="00605A65" w:rsidP="00605A65">
                      <w:pPr>
                        <w:rPr>
                          <w:rFonts w:eastAsia="Times New Roman"/>
                        </w:rPr>
                      </w:pPr>
                      <w:r>
                        <w:t>Importantly, t</w:t>
                      </w:r>
                      <w:r w:rsidRPr="00083CA8">
                        <w:t xml:space="preserve">he SCA does not include a broad exemption for the use and disclosure of spent conviction information for the purpose of all assessments. Consideration may be given to seeking an exemption to the SCA for </w:t>
                      </w:r>
                      <w:r>
                        <w:t>an assessment</w:t>
                      </w:r>
                      <w:r w:rsidRPr="00083CA8">
                        <w:t>, but this should be limited to situations where this is required for public safety.</w:t>
                      </w:r>
                      <w:r>
                        <w:rPr>
                          <w:rFonts w:eastAsia="Times New Roman"/>
                        </w:rPr>
                        <w:t xml:space="preserve"> </w:t>
                      </w:r>
                    </w:p>
                    <w:p w14:paraId="6033ECCE" w14:textId="77777777" w:rsidR="00605A65" w:rsidRDefault="00605A65" w:rsidP="00605A65">
                      <w:r w:rsidRPr="0094319C">
                        <w:t xml:space="preserve">The </w:t>
                      </w:r>
                      <w:r>
                        <w:t xml:space="preserve">SCA </w:t>
                      </w:r>
                      <w:r w:rsidRPr="0094319C">
                        <w:t xml:space="preserve">establishes exemptions for particular agencies, including registration, accreditation and licensing agencies to use spent conviction information. </w:t>
                      </w:r>
                    </w:p>
                    <w:p w14:paraId="431075B9" w14:textId="77777777" w:rsidR="00605A65" w:rsidRDefault="00605A65" w:rsidP="00605A65">
                      <w:r w:rsidRPr="3FC26C05">
                        <w:t xml:space="preserve">However, the SCA does not specify which spent conviction information is relevant to a regulator when determining whether to approve a registration or license, nor does the Act limit which spent convictions can be considered by each regulator as convictions relevant to their regulatory function. </w:t>
                      </w:r>
                    </w:p>
                    <w:p w14:paraId="698120B5" w14:textId="77777777" w:rsidR="00605A65" w:rsidRDefault="00605A65" w:rsidP="00605A65">
                      <w:r w:rsidRPr="0094319C">
                        <w:t>It is vital that these limitations are instead detailed in the relevant legislation establishing each regulatory scheme.</w:t>
                      </w:r>
                    </w:p>
                    <w:p w14:paraId="19D0AC2E" w14:textId="77777777" w:rsidR="00605A65" w:rsidRDefault="00605A65" w:rsidP="00605A65">
                      <w:pPr>
                        <w:pStyle w:val="Heading4"/>
                      </w:pPr>
                      <w:r w:rsidRPr="00724555">
                        <w:t>Statutory review of the SCA</w:t>
                      </w:r>
                    </w:p>
                    <w:p w14:paraId="756A0DD1" w14:textId="6A004534" w:rsidR="00605A65" w:rsidRPr="0094319C" w:rsidRDefault="00605A65" w:rsidP="00605A65">
                      <w:r w:rsidRPr="3FC26C05">
                        <w:t>A statutory review of the SCA (</w:t>
                      </w:r>
                      <w:hyperlink r:id="rId56" w:history="1">
                        <w:r w:rsidR="00132152">
                          <w:rPr>
                            <w:rStyle w:val="Hyperlink"/>
                          </w:rPr>
                          <w:t>Review of the Spent Convictions Act 2021</w:t>
                        </w:r>
                      </w:hyperlink>
                      <w:r w:rsidRPr="3FC26C05">
                        <w:t xml:space="preserve">) found that spent conviction information should only be permitted for use in a ‘fit and proper person assessment’ if the purpose falls under a specific exemption included in the SCA or </w:t>
                      </w:r>
                      <w:r w:rsidRPr="3FC26C05">
                        <w:rPr>
                          <w:i/>
                          <w:iCs/>
                        </w:rPr>
                        <w:t>Spent Convictions Regulations 2021</w:t>
                      </w:r>
                      <w:r w:rsidRPr="3FC26C05">
                        <w:t>. Where this exemption is not in place, the disclosure may be unlawful under section 23 of the SCA.</w:t>
                      </w:r>
                    </w:p>
                    <w:p w14:paraId="00A0F21B" w14:textId="77777777" w:rsidR="00605A65" w:rsidRPr="0094319C" w:rsidRDefault="00605A65" w:rsidP="00605A65">
                      <w:r w:rsidRPr="3FC26C05">
                        <w:t>The review recommended that, where an exemption exists, the permitted use of spent conviction information should be limited to the performance of exempt functions. It is important that the relevant legislation which establishes assessments also limits the permitted use of spent conviction information to what is relevant or required for the particular assessment being conducted.</w:t>
                      </w:r>
                    </w:p>
                    <w:p w14:paraId="1E47D711" w14:textId="17DE7CCE" w:rsidR="00273973" w:rsidRDefault="00605A65" w:rsidP="00605A65">
                      <w:r>
                        <w:t xml:space="preserve">For more information on the SCA, including obligations and restrictions on collecting and sharing information about spent convictions, see the </w:t>
                      </w:r>
                      <w:hyperlink r:id="rId57" w:history="1">
                        <w:r w:rsidRPr="002B30AD">
                          <w:rPr>
                            <w:rStyle w:val="Hyperlink"/>
                          </w:rPr>
                          <w:t>Department of Justice and Community Safety website</w:t>
                        </w:r>
                      </w:hyperlink>
                      <w:r w:rsidRPr="006F0C6C">
                        <w:t>.</w:t>
                      </w:r>
                    </w:p>
                  </w:txbxContent>
                </v:textbox>
                <w10:anchorlock/>
              </v:shape>
            </w:pict>
          </mc:Fallback>
        </mc:AlternateContent>
      </w:r>
    </w:p>
    <w:p w14:paraId="66D56ADB" w14:textId="3D06455F" w:rsidR="00E64506" w:rsidRDefault="00E64506" w:rsidP="008608BD">
      <w:pPr>
        <w:pStyle w:val="Spacer"/>
      </w:pPr>
    </w:p>
    <w:p w14:paraId="6CA6DCD7" w14:textId="34A01AFD" w:rsidR="00C82E00" w:rsidRDefault="00605A65" w:rsidP="00F37B19">
      <w:pPr>
        <w:ind w:left="-270"/>
      </w:pPr>
      <w:r>
        <w:rPr>
          <w:noProof/>
        </w:rPr>
        <w:lastRenderedPageBreak/>
        <mc:AlternateContent>
          <mc:Choice Requires="wps">
            <w:drawing>
              <wp:inline distT="0" distB="0" distL="0" distR="0" wp14:anchorId="019CDE07" wp14:editId="038336F5">
                <wp:extent cx="5733288" cy="7625751"/>
                <wp:effectExtent l="0" t="0" r="20320" b="13335"/>
                <wp:docPr id="831169163" name="Text Box 3"/>
                <wp:cNvGraphicFramePr/>
                <a:graphic xmlns:a="http://schemas.openxmlformats.org/drawingml/2006/main">
                  <a:graphicData uri="http://schemas.microsoft.com/office/word/2010/wordprocessingShape">
                    <wps:wsp>
                      <wps:cNvSpPr txBox="1"/>
                      <wps:spPr>
                        <a:xfrm>
                          <a:off x="0" y="0"/>
                          <a:ext cx="5733288" cy="7625751"/>
                        </a:xfrm>
                        <a:prstGeom prst="rect">
                          <a:avLst/>
                        </a:prstGeom>
                        <a:solidFill>
                          <a:schemeClr val="accent2">
                            <a:lumMod val="20000"/>
                            <a:lumOff val="80000"/>
                          </a:schemeClr>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linkedTxbx id="1" seq="1"/>
                      <wps:bodyPr rot="0" spcFirstLastPara="0" vertOverflow="overflow" horzOverflow="overflow" vert="horz" wrap="square" lIns="137160" tIns="91440" rIns="137160" bIns="91440" numCol="1" spcCol="0" rtlCol="0" fromWordArt="0" anchor="t" anchorCtr="0" forceAA="0" compatLnSpc="1">
                        <a:prstTxWarp prst="textNoShape">
                          <a:avLst/>
                        </a:prstTxWarp>
                        <a:noAutofit/>
                      </wps:bodyPr>
                    </wps:wsp>
                  </a:graphicData>
                </a:graphic>
              </wp:inline>
            </w:drawing>
          </mc:Choice>
          <mc:Fallback>
            <w:pict>
              <v:shape w14:anchorId="019CDE07" id="Text Box 3" o:spid="_x0000_s1027" type="#_x0000_t202" style="width:451.45pt;height:60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" fillcolor="#e0f5fc [661]" strokecolor="#0072ce [3204]" strokeweight="1pt">
                <v:textbox inset="10.8pt,7.2pt,10.8pt,7.2pt">
                  <w:txbxContent/>
                </v:textbox>
                <w10:anchorlock/>
              </v:shape>
            </w:pict>
          </mc:Fallback>
        </mc:AlternateContent>
      </w:r>
    </w:p>
    <w:p w14:paraId="15661C12" w14:textId="77777777" w:rsidR="00C82E00" w:rsidRPr="0073031F" w:rsidRDefault="00C82E00" w:rsidP="008608BD">
      <w:pPr>
        <w:pStyle w:val="Spacer"/>
      </w:pPr>
    </w:p>
    <w:p w14:paraId="26D25CF1" w14:textId="4DAE73B9" w:rsidR="00912F3F" w:rsidRPr="006138FF" w:rsidRDefault="00912F3F" w:rsidP="00D26716">
      <w:pPr>
        <w:pStyle w:val="Heading2numbered"/>
      </w:pPr>
      <w:bookmarkStart w:id="24" w:name="_Toc178778671"/>
      <w:bookmarkStart w:id="25" w:name="_Toc178778773"/>
      <w:bookmarkStart w:id="26" w:name="_Toc178780195"/>
      <w:bookmarkStart w:id="27" w:name="_Toc164848018"/>
      <w:bookmarkStart w:id="28" w:name="_Toc174538666"/>
      <w:bookmarkStart w:id="29" w:name="_Toc178780196"/>
      <w:bookmarkEnd w:id="24"/>
      <w:bookmarkEnd w:id="25"/>
      <w:bookmarkEnd w:id="26"/>
      <w:r w:rsidRPr="006138FF">
        <w:rPr>
          <w:color w:val="002060"/>
        </w:rPr>
        <w:lastRenderedPageBreak/>
        <w:t>Assessment of criminal history</w:t>
      </w:r>
      <w:bookmarkEnd w:id="27"/>
      <w:bookmarkEnd w:id="28"/>
      <w:bookmarkEnd w:id="29"/>
    </w:p>
    <w:p w14:paraId="655A181E" w14:textId="02EF9CF2" w:rsidR="00B06035" w:rsidRPr="000260D9" w:rsidRDefault="000851E6" w:rsidP="006F7CFD">
      <w:r>
        <w:t xml:space="preserve">In some circumstances, an </w:t>
      </w:r>
      <w:r w:rsidR="009D0FDE">
        <w:t xml:space="preserve">applicant </w:t>
      </w:r>
      <w:r>
        <w:t xml:space="preserve">may be required </w:t>
      </w:r>
      <w:r w:rsidR="00772863">
        <w:t xml:space="preserve">to disclose their criminal history </w:t>
      </w:r>
      <w:r w:rsidR="007E3D3F">
        <w:t xml:space="preserve">as part of an </w:t>
      </w:r>
      <w:r w:rsidR="00772863">
        <w:t>assessment</w:t>
      </w:r>
      <w:r w:rsidR="00FA561F">
        <w:t xml:space="preserve">. </w:t>
      </w:r>
      <w:r w:rsidR="007A06A3">
        <w:t>This may be a relevant consideration in circumstances where the licence</w:t>
      </w:r>
      <w:r>
        <w:t xml:space="preserve"> </w:t>
      </w:r>
      <w:r w:rsidRPr="000260D9">
        <w:t>or permission</w:t>
      </w:r>
      <w:r w:rsidR="007A06A3" w:rsidRPr="000260D9">
        <w:t xml:space="preserve">: </w:t>
      </w:r>
    </w:p>
    <w:p w14:paraId="096DF536" w14:textId="2DD82971" w:rsidR="000260D9" w:rsidRPr="000260D9" w:rsidRDefault="007A06A3" w:rsidP="008608BD">
      <w:pPr>
        <w:pStyle w:val="Bullet1"/>
      </w:pPr>
      <w:r w:rsidRPr="000260D9">
        <w:t xml:space="preserve">could put the applicant in </w:t>
      </w:r>
      <w:proofErr w:type="gramStart"/>
      <w:r w:rsidRPr="000260D9">
        <w:t>close proximity</w:t>
      </w:r>
      <w:proofErr w:type="gramEnd"/>
      <w:r w:rsidRPr="000260D9">
        <w:t xml:space="preserve"> with vulnerable persons, such as a licence to operate a rooming house</w:t>
      </w:r>
      <w:r w:rsidR="00E3506A" w:rsidRPr="000260D9">
        <w:t xml:space="preserve"> or to employ children</w:t>
      </w:r>
      <w:r w:rsidR="000260D9" w:rsidRPr="000260D9">
        <w:t xml:space="preserve">, </w:t>
      </w:r>
      <w:r w:rsidR="003A1515" w:rsidRPr="000260D9">
        <w:t>or</w:t>
      </w:r>
    </w:p>
    <w:p w14:paraId="49B21AC1" w14:textId="3A05AF6F" w:rsidR="000260D9" w:rsidRPr="00354EAC" w:rsidRDefault="007A06A3" w:rsidP="008608BD">
      <w:pPr>
        <w:pStyle w:val="Bullet1"/>
      </w:pPr>
      <w:r w:rsidRPr="3FC26C05">
        <w:t>is for a high</w:t>
      </w:r>
      <w:r w:rsidR="062FA213" w:rsidRPr="3FC26C05">
        <w:t>-</w:t>
      </w:r>
      <w:r w:rsidRPr="3FC26C05">
        <w:t xml:space="preserve">risk activity or function, such </w:t>
      </w:r>
      <w:r w:rsidR="00E3506A" w:rsidRPr="3FC26C05">
        <w:t xml:space="preserve">the operation of a </w:t>
      </w:r>
      <w:r w:rsidRPr="3FC26C05">
        <w:t>firearm</w:t>
      </w:r>
      <w:r w:rsidR="00E3506A" w:rsidRPr="3FC26C05">
        <w:t xml:space="preserve"> or the manufacturing of dangerous goods</w:t>
      </w:r>
      <w:r w:rsidR="00995680">
        <w:t xml:space="preserve">. </w:t>
      </w:r>
    </w:p>
    <w:p w14:paraId="4080D9B8" w14:textId="26B251BE" w:rsidR="000260D9" w:rsidRPr="00354EAC" w:rsidRDefault="003A1515" w:rsidP="006F7CFD">
      <w:pPr>
        <w:rPr>
          <w:rFonts w:cs="Arial"/>
        </w:rPr>
      </w:pPr>
      <w:r w:rsidRPr="00354EAC">
        <w:t xml:space="preserve">Criminal history may also be relevant where </w:t>
      </w:r>
      <w:r w:rsidR="00E307FB" w:rsidRPr="00354EAC">
        <w:t>the</w:t>
      </w:r>
      <w:r w:rsidRPr="00354EAC">
        <w:t xml:space="preserve"> </w:t>
      </w:r>
      <w:proofErr w:type="gramStart"/>
      <w:r w:rsidRPr="00354EAC">
        <w:t>particular Act</w:t>
      </w:r>
      <w:proofErr w:type="gramEnd"/>
      <w:r w:rsidRPr="00354EAC">
        <w:t xml:space="preserve"> or regulation</w:t>
      </w:r>
      <w:r w:rsidR="00E307FB" w:rsidRPr="00354EAC">
        <w:t xml:space="preserve">s creates an offence for licence or permission holders, and a regulator </w:t>
      </w:r>
      <w:r w:rsidR="00045A7F" w:rsidRPr="00354EAC">
        <w:t>is interested in where the applicant has committed that offence under a past licence or permission</w:t>
      </w:r>
      <w:r w:rsidR="00995680">
        <w:t xml:space="preserve">. </w:t>
      </w:r>
    </w:p>
    <w:p w14:paraId="0D969DCA" w14:textId="3B633439" w:rsidR="00A469EE" w:rsidRPr="00354EAC" w:rsidRDefault="00A469EE" w:rsidP="008608BD">
      <w:pPr>
        <w:keepNext/>
      </w:pPr>
      <w:r w:rsidRPr="3FC26C05">
        <w:t xml:space="preserve">As part of an assessment, a </w:t>
      </w:r>
      <w:r w:rsidR="00ED4FA1" w:rsidRPr="3FC26C05">
        <w:t xml:space="preserve">regulator </w:t>
      </w:r>
      <w:r w:rsidRPr="3FC26C05">
        <w:t xml:space="preserve">may seek </w:t>
      </w:r>
      <w:r w:rsidR="00062710" w:rsidRPr="3FC26C05">
        <w:t xml:space="preserve">an applicant’s consent to conduct a </w:t>
      </w:r>
      <w:r w:rsidRPr="3FC26C05">
        <w:t xml:space="preserve">formal </w:t>
      </w:r>
      <w:r w:rsidR="00062710" w:rsidRPr="3FC26C05">
        <w:t>police check</w:t>
      </w:r>
      <w:r w:rsidRPr="3FC26C05">
        <w:t xml:space="preserve">. </w:t>
      </w:r>
      <w:r w:rsidR="001A140D" w:rsidRPr="3FC26C05">
        <w:t xml:space="preserve">This may include mechanisms such as the </w:t>
      </w:r>
      <w:hyperlink r:id="rId58" w:history="1">
        <w:r w:rsidR="001A140D" w:rsidRPr="00C90021">
          <w:rPr>
            <w:rStyle w:val="Hyperlink"/>
          </w:rPr>
          <w:t>National Police Check.</w:t>
        </w:r>
      </w:hyperlink>
      <w:r w:rsidR="001A140D" w:rsidRPr="3FC26C05">
        <w:t xml:space="preserve"> </w:t>
      </w:r>
      <w:r w:rsidRPr="3FC26C05">
        <w:t>This check will produce a criminal history report which contains details including:</w:t>
      </w:r>
    </w:p>
    <w:p w14:paraId="70B8F632" w14:textId="0D0B722D" w:rsidR="00A469EE" w:rsidRPr="000260D9" w:rsidRDefault="00A469EE" w:rsidP="00AD7505">
      <w:pPr>
        <w:pStyle w:val="Bullet1"/>
        <w:keepNext/>
      </w:pPr>
      <w:r w:rsidRPr="000260D9">
        <w:t xml:space="preserve">upcoming </w:t>
      </w:r>
      <w:r w:rsidR="00AB1E82" w:rsidRPr="000260D9">
        <w:t>court details</w:t>
      </w:r>
      <w:r w:rsidRPr="000260D9">
        <w:t xml:space="preserve"> and </w:t>
      </w:r>
      <w:r w:rsidR="00101848" w:rsidRPr="000260D9">
        <w:t>hearing dates</w:t>
      </w:r>
      <w:r w:rsidR="00CA3652">
        <w:t xml:space="preserve"> for matters with police involvement</w:t>
      </w:r>
    </w:p>
    <w:p w14:paraId="50BF2550" w14:textId="1CF820E7" w:rsidR="00A469EE" w:rsidRPr="000260D9" w:rsidRDefault="00A469EE" w:rsidP="00AD7505">
      <w:pPr>
        <w:pStyle w:val="Bullet1"/>
      </w:pPr>
      <w:r w:rsidRPr="000260D9">
        <w:t xml:space="preserve">past </w:t>
      </w:r>
      <w:r w:rsidR="00101848" w:rsidRPr="000260D9">
        <w:t>offences</w:t>
      </w:r>
      <w:r w:rsidRPr="000260D9">
        <w:t xml:space="preserve"> for which a conviction has been recorded</w:t>
      </w:r>
      <w:r w:rsidR="00101848" w:rsidRPr="000260D9">
        <w:t xml:space="preserve"> </w:t>
      </w:r>
    </w:p>
    <w:p w14:paraId="3C0714CE" w14:textId="77777777" w:rsidR="00E800C1" w:rsidRPr="000260D9" w:rsidRDefault="00141EAC" w:rsidP="00AD7505">
      <w:pPr>
        <w:pStyle w:val="Bullet1"/>
      </w:pPr>
      <w:r w:rsidRPr="000260D9">
        <w:t xml:space="preserve">sentencing outcomes. </w:t>
      </w:r>
    </w:p>
    <w:p w14:paraId="7F899AF3" w14:textId="1156CE3F" w:rsidR="007A06A3" w:rsidRPr="000260D9" w:rsidRDefault="00E800C1" w:rsidP="006F7CFD">
      <w:r w:rsidRPr="000260D9">
        <w:t xml:space="preserve">A </w:t>
      </w:r>
      <w:r w:rsidR="00365DD1">
        <w:t>criminal history report</w:t>
      </w:r>
      <w:r w:rsidRPr="000260D9">
        <w:t xml:space="preserve"> will not </w:t>
      </w:r>
      <w:r w:rsidR="002418AD" w:rsidRPr="000260D9">
        <w:t xml:space="preserve">provide </w:t>
      </w:r>
      <w:r w:rsidRPr="000260D9">
        <w:t>details on</w:t>
      </w:r>
      <w:r w:rsidR="00CA79A3" w:rsidRPr="000260D9">
        <w:t>:</w:t>
      </w:r>
    </w:p>
    <w:p w14:paraId="15EE31E9" w14:textId="761311C2" w:rsidR="00CA79A3" w:rsidRPr="000260D9" w:rsidRDefault="00CA79A3" w:rsidP="00AD7505">
      <w:pPr>
        <w:pStyle w:val="Bullet1"/>
      </w:pPr>
      <w:r w:rsidRPr="000260D9">
        <w:t>the Act or regulation under which an offence was committed</w:t>
      </w:r>
    </w:p>
    <w:p w14:paraId="16B7A3A3" w14:textId="66B966FD" w:rsidR="00CA79A3" w:rsidRPr="000260D9" w:rsidRDefault="00CA79A3" w:rsidP="00AD7505">
      <w:pPr>
        <w:pStyle w:val="Bullet1"/>
      </w:pPr>
      <w:r w:rsidRPr="000260D9">
        <w:t>whether the offence was an offence against the Commonwealth, Victoria, or another jurisdiction</w:t>
      </w:r>
      <w:r w:rsidR="00B50FFA" w:rsidRPr="000260D9">
        <w:t>,</w:t>
      </w:r>
      <w:r w:rsidRPr="000260D9">
        <w:t xml:space="preserve"> </w:t>
      </w:r>
      <w:r w:rsidR="00D94FD9" w:rsidRPr="000260D9">
        <w:t>or</w:t>
      </w:r>
    </w:p>
    <w:p w14:paraId="3215963E" w14:textId="0F3FF496" w:rsidR="00CA79A3" w:rsidRDefault="00CA79A3" w:rsidP="00AD7505">
      <w:pPr>
        <w:pStyle w:val="Bullet1"/>
      </w:pPr>
      <w:r w:rsidRPr="000260D9">
        <w:t>whether an offence was an indictable offence</w:t>
      </w:r>
      <w:r w:rsidR="00995680">
        <w:t xml:space="preserve">. </w:t>
      </w:r>
    </w:p>
    <w:p w14:paraId="223FA200" w14:textId="75FBB5ED" w:rsidR="00365DD1" w:rsidRPr="002C0A17" w:rsidRDefault="00365DD1" w:rsidP="006F7CFD">
      <w:r w:rsidRPr="002C0A17">
        <w:t xml:space="preserve">Notably, a criminal history report </w:t>
      </w:r>
      <w:r w:rsidRPr="004F6200">
        <w:rPr>
          <w:b/>
          <w:bCs/>
        </w:rPr>
        <w:t xml:space="preserve">will not </w:t>
      </w:r>
      <w:r w:rsidRPr="002C0A17">
        <w:t xml:space="preserve">provide details on </w:t>
      </w:r>
      <w:r w:rsidR="002C0A17" w:rsidRPr="002C0A17">
        <w:t xml:space="preserve">any prosecution or criminal history related matters under the jurisdiction of enforcement agencies or regulators other than police. </w:t>
      </w:r>
    </w:p>
    <w:p w14:paraId="37ED99C6" w14:textId="2D1757C4" w:rsidR="00136C31" w:rsidRDefault="00D94FD9" w:rsidP="006F7CFD">
      <w:r>
        <w:t xml:space="preserve">Where these additional details are required, </w:t>
      </w:r>
      <w:r w:rsidR="00774240">
        <w:t>policymakers</w:t>
      </w:r>
      <w:r>
        <w:t xml:space="preserve"> may seek to include legislated powers which require </w:t>
      </w:r>
      <w:r w:rsidR="00CA79A3">
        <w:t>an applicant to make disclosures about the applicant’s criminal history</w:t>
      </w:r>
      <w:r w:rsidR="00B33FBB">
        <w:t>, including for regulatory-based offences outside the jurisdiction of police</w:t>
      </w:r>
      <w:r w:rsidR="00CA79A3">
        <w:t xml:space="preserve">. Any </w:t>
      </w:r>
      <w:r w:rsidR="00136C31">
        <w:t>information disclosed by an applicant, or collected by a regulator, must be done in accordance with the</w:t>
      </w:r>
      <w:r w:rsidR="00BF08EC">
        <w:t xml:space="preserve"> SCA.</w:t>
      </w:r>
    </w:p>
    <w:tbl>
      <w:tblPr>
        <w:tblStyle w:val="TableGrid"/>
        <w:tblW w:w="0" w:type="auto"/>
        <w:tblLook w:val="04A0" w:firstRow="1" w:lastRow="0" w:firstColumn="1" w:lastColumn="0" w:noHBand="0" w:noVBand="1"/>
      </w:tblPr>
      <w:tblGrid>
        <w:gridCol w:w="9016"/>
      </w:tblGrid>
      <w:tr w:rsidR="005520FB" w14:paraId="33EE21A7" w14:textId="77777777" w:rsidTr="3FC26C05">
        <w:trPr>
          <w:trHeight w:val="4800"/>
        </w:trPr>
        <w:tc>
          <w:tcPr>
            <w:tcW w:w="9016" w:type="dxa"/>
            <w:tcBorders>
              <w:top w:val="nil"/>
              <w:left w:val="nil"/>
              <w:bottom w:val="nil"/>
              <w:right w:val="nil"/>
            </w:tcBorders>
            <w:shd w:val="clear" w:color="auto" w:fill="F2F2F2" w:themeFill="background1" w:themeFillShade="F2"/>
          </w:tcPr>
          <w:p w14:paraId="2ACE8146" w14:textId="2BA9F698" w:rsidR="005520FB" w:rsidRPr="00AD7505" w:rsidRDefault="005520FB" w:rsidP="00AD7505">
            <w:pPr>
              <w:pStyle w:val="Heading4"/>
            </w:pPr>
            <w:r w:rsidRPr="00AD7505">
              <w:lastRenderedPageBreak/>
              <w:t xml:space="preserve">Criminal history </w:t>
            </w:r>
            <w:r w:rsidRPr="00D57000">
              <w:t>[for</w:t>
            </w:r>
            <w:r w:rsidR="00D46277" w:rsidRPr="00D57000">
              <w:t xml:space="preserve"> Provision</w:t>
            </w:r>
            <w:r w:rsidRPr="00D57000">
              <w:t xml:space="preserve"> A </w:t>
            </w:r>
            <w:r w:rsidR="00D30735" w:rsidRPr="00D57000">
              <w:t>on</w:t>
            </w:r>
            <w:r w:rsidR="00E5075E" w:rsidRPr="00D57000">
              <w:t xml:space="preserve"> </w:t>
            </w:r>
            <w:r w:rsidR="001A33D3" w:rsidRPr="00D57000">
              <w:t xml:space="preserve">page </w:t>
            </w:r>
            <w:r w:rsidR="58E38472" w:rsidRPr="00D57000">
              <w:t>9</w:t>
            </w:r>
            <w:r w:rsidR="00D57000" w:rsidRPr="00D57000">
              <w:t xml:space="preserve"> o</w:t>
            </w:r>
            <w:r w:rsidRPr="00D57000">
              <w:t xml:space="preserve">r </w:t>
            </w:r>
            <w:r w:rsidR="00D46277" w:rsidRPr="00D57000">
              <w:t xml:space="preserve">Provision </w:t>
            </w:r>
            <w:r w:rsidRPr="00D57000">
              <w:t>B</w:t>
            </w:r>
            <w:r w:rsidR="00D46277" w:rsidRPr="00D57000">
              <w:t xml:space="preserve"> </w:t>
            </w:r>
            <w:r w:rsidR="00D30735" w:rsidRPr="00D57000">
              <w:t>on</w:t>
            </w:r>
            <w:r w:rsidR="001A33D3" w:rsidRPr="00D57000">
              <w:t xml:space="preserve"> page</w:t>
            </w:r>
            <w:r w:rsidR="001A33D3" w:rsidRPr="00D57000">
              <w:rPr>
                <w:rStyle w:val="Hyperlink"/>
                <w:color w:val="3A3467" w:themeColor="text2"/>
                <w:u w:val="none"/>
              </w:rPr>
              <w:t xml:space="preserve"> </w:t>
            </w:r>
            <w:r w:rsidR="007A6DC6" w:rsidRPr="00D57000">
              <w:rPr>
                <w:rStyle w:val="Hyperlink"/>
                <w:color w:val="3A3467" w:themeColor="text2"/>
                <w:u w:val="none"/>
              </w:rPr>
              <w:t>1</w:t>
            </w:r>
            <w:r w:rsidR="00DE2B55">
              <w:rPr>
                <w:rStyle w:val="Hyperlink"/>
                <w:color w:val="3A3467" w:themeColor="text2"/>
                <w:u w:val="none"/>
              </w:rPr>
              <w:t>0</w:t>
            </w:r>
            <w:r w:rsidRPr="00D57000">
              <w:t>]</w:t>
            </w:r>
          </w:p>
          <w:p w14:paraId="4F4229DA" w14:textId="08034859" w:rsidR="005520FB" w:rsidRDefault="005520FB" w:rsidP="001A33D3">
            <w:r>
              <w:t>The Regulator [</w:t>
            </w:r>
            <w:r>
              <w:rPr>
                <w:i/>
                <w:iCs/>
              </w:rPr>
              <w:t>must/may</w:t>
            </w:r>
            <w:r>
              <w:t>] consider whether the applicant has [</w:t>
            </w:r>
            <w:r w:rsidRPr="00021FE8">
              <w:rPr>
                <w:i/>
                <w:iCs/>
              </w:rPr>
              <w:t xml:space="preserve">within </w:t>
            </w:r>
            <w:r w:rsidRPr="00C372DF">
              <w:t>[</w:t>
            </w:r>
            <w:r>
              <w:rPr>
                <w:i/>
                <w:iCs/>
              </w:rPr>
              <w:t>number</w:t>
            </w:r>
            <w:r w:rsidRPr="00C372DF">
              <w:t>]</w:t>
            </w:r>
            <w:r w:rsidRPr="00021FE8">
              <w:rPr>
                <w:i/>
                <w:iCs/>
              </w:rPr>
              <w:t xml:space="preserve"> years before the application</w:t>
            </w:r>
            <w:r w:rsidRPr="00021FE8">
              <w:t>]</w:t>
            </w:r>
          </w:p>
          <w:p w14:paraId="69A6093F" w14:textId="01F42310" w:rsidR="005520FB" w:rsidRPr="00021FE8" w:rsidRDefault="005520FB" w:rsidP="00AD7505">
            <w:pPr>
              <w:pStyle w:val="Heading5"/>
            </w:pPr>
            <w:r w:rsidRPr="009175AE">
              <w:t>[Policy</w:t>
            </w:r>
            <w:r w:rsidR="004162D5">
              <w:t>makers</w:t>
            </w:r>
            <w:r w:rsidRPr="009175AE">
              <w:t xml:space="preserve"> to select one or more of the following.]</w:t>
            </w:r>
          </w:p>
          <w:p w14:paraId="0888A97F" w14:textId="2EADEEFA" w:rsidR="001A33D3" w:rsidRDefault="51E530C6" w:rsidP="001A33D3">
            <w:pPr>
              <w:pStyle w:val="Listnumindent"/>
              <w:numPr>
                <w:ilvl w:val="6"/>
                <w:numId w:val="50"/>
              </w:numPr>
              <w:ind w:left="864"/>
            </w:pPr>
            <w:r w:rsidRPr="3FC26C05">
              <w:rPr>
                <w:rFonts w:cs="Arial"/>
              </w:rPr>
              <w:t>at any time has been found guilty of any of the following</w:t>
            </w:r>
            <w:r w:rsidR="008B1696" w:rsidRPr="001A33D3">
              <w:rPr>
                <w:rFonts w:cs="Arial"/>
              </w:rPr>
              <w:t>—</w:t>
            </w:r>
          </w:p>
          <w:p w14:paraId="333D2C75" w14:textId="212C6BAB" w:rsidR="001C0412" w:rsidRDefault="005520FB" w:rsidP="001C0412">
            <w:pPr>
              <w:pStyle w:val="Listnumindent2"/>
              <w:spacing w:before="60" w:after="60"/>
              <w:ind w:left="1368"/>
            </w:pPr>
            <w:r w:rsidRPr="001A33D3">
              <w:rPr>
                <w:rFonts w:cs="Arial"/>
              </w:rPr>
              <w:t xml:space="preserve">an offence against this Act or the </w:t>
            </w:r>
            <w:proofErr w:type="gramStart"/>
            <w:r w:rsidRPr="001A33D3">
              <w:rPr>
                <w:rFonts w:cs="Arial"/>
              </w:rPr>
              <w:t>regulations;</w:t>
            </w:r>
            <w:proofErr w:type="gramEnd"/>
          </w:p>
          <w:p w14:paraId="6BCD6D2E" w14:textId="2DE6994F" w:rsidR="001C0412" w:rsidRDefault="005520FB" w:rsidP="001C0412">
            <w:pPr>
              <w:pStyle w:val="Listnumindent2"/>
              <w:spacing w:before="60" w:after="60"/>
              <w:ind w:left="1368"/>
            </w:pPr>
            <w:r>
              <w:rPr>
                <w:rFonts w:cs="Arial"/>
              </w:rPr>
              <w:t>an offence involving fraud or dishonesty, whether committed in Victoria or another jurisdiction [</w:t>
            </w:r>
            <w:r>
              <w:rPr>
                <w:rFonts w:cs="Arial"/>
                <w:i/>
                <w:iCs/>
              </w:rPr>
              <w:t>or other specified behaviour/subject matter</w:t>
            </w:r>
            <w:proofErr w:type="gramStart"/>
            <w:r>
              <w:rPr>
                <w:rFonts w:cs="Arial"/>
              </w:rPr>
              <w:t>]</w:t>
            </w:r>
            <w:r w:rsidR="000132BA">
              <w:rPr>
                <w:rFonts w:cs="Arial"/>
              </w:rPr>
              <w:t>;</w:t>
            </w:r>
            <w:proofErr w:type="gramEnd"/>
          </w:p>
          <w:p w14:paraId="3AECBB17" w14:textId="77777777" w:rsidR="001C0412" w:rsidRDefault="005520FB" w:rsidP="001C0412">
            <w:pPr>
              <w:pStyle w:val="Listnumindent2"/>
              <w:spacing w:before="60" w:after="60"/>
              <w:ind w:left="1368"/>
            </w:pPr>
            <w:r>
              <w:rPr>
                <w:rFonts w:cs="Arial"/>
              </w:rPr>
              <w:t xml:space="preserve">an offence against a law of another State, a Territory or the Commonwealth [another jurisdiction] that corresponds to this </w:t>
            </w:r>
            <w:proofErr w:type="gramStart"/>
            <w:r>
              <w:rPr>
                <w:rFonts w:cs="Arial"/>
              </w:rPr>
              <w:t>Act</w:t>
            </w:r>
            <w:r w:rsidDel="00DC5A1A">
              <w:rPr>
                <w:rFonts w:cs="Arial"/>
              </w:rPr>
              <w:t>;</w:t>
            </w:r>
            <w:proofErr w:type="gramEnd"/>
          </w:p>
          <w:p w14:paraId="4B8E9E27" w14:textId="1F98626B" w:rsidR="001C0412" w:rsidRDefault="005520FB" w:rsidP="001C0412">
            <w:pPr>
              <w:pStyle w:val="Listnumindent"/>
              <w:numPr>
                <w:ilvl w:val="6"/>
                <w:numId w:val="50"/>
              </w:numPr>
              <w:ind w:left="864"/>
            </w:pPr>
            <w:r w:rsidRPr="00685864">
              <w:rPr>
                <w:rFonts w:cs="Arial"/>
              </w:rPr>
              <w:t>any indictable offence or an offence against a law of another State, a Territory or the Commonwealth [</w:t>
            </w:r>
            <w:r w:rsidRPr="006406E2">
              <w:rPr>
                <w:rFonts w:cs="Arial"/>
              </w:rPr>
              <w:t>another jurisdiction</w:t>
            </w:r>
            <w:r w:rsidRPr="00685864">
              <w:rPr>
                <w:rFonts w:cs="Arial"/>
              </w:rPr>
              <w:t xml:space="preserve">] that, if committed in Victoria, would be an indictable </w:t>
            </w:r>
            <w:proofErr w:type="gramStart"/>
            <w:r w:rsidRPr="00685864">
              <w:rPr>
                <w:rFonts w:cs="Arial"/>
              </w:rPr>
              <w:t>offence</w:t>
            </w:r>
            <w:r w:rsidR="009D52D7">
              <w:rPr>
                <w:rFonts w:cs="Arial"/>
              </w:rPr>
              <w:t>;</w:t>
            </w:r>
            <w:proofErr w:type="gramEnd"/>
          </w:p>
          <w:p w14:paraId="66C52375" w14:textId="1422AA86" w:rsidR="005520FB" w:rsidRPr="007919C5" w:rsidRDefault="005520FB" w:rsidP="00AD7505">
            <w:pPr>
              <w:pStyle w:val="Listnumindent"/>
              <w:numPr>
                <w:ilvl w:val="6"/>
                <w:numId w:val="50"/>
              </w:numPr>
              <w:ind w:left="864"/>
              <w:rPr>
                <w:rFonts w:cs="Arial"/>
              </w:rPr>
            </w:pPr>
            <w:r w:rsidRPr="00632AF9">
              <w:rPr>
                <w:rFonts w:cs="Arial"/>
              </w:rPr>
              <w:t>been charged with an offence referred to in paragraph (a) and that charge has not been finally determined.</w:t>
            </w:r>
          </w:p>
        </w:tc>
      </w:tr>
    </w:tbl>
    <w:p w14:paraId="179FBDA2" w14:textId="77777777" w:rsidR="00187818" w:rsidRDefault="00187818" w:rsidP="00AD7505">
      <w:pPr>
        <w:pStyle w:val="Spacer"/>
      </w:pPr>
    </w:p>
    <w:p w14:paraId="2C5F1B02" w14:textId="029E8D4F" w:rsidR="00AC16B1" w:rsidRDefault="00774240" w:rsidP="006F7CFD">
      <w:r>
        <w:t>Policymakers</w:t>
      </w:r>
      <w:r w:rsidR="001B44BD">
        <w:t xml:space="preserve"> should consider best practice principles in determining </w:t>
      </w:r>
      <w:r w:rsidR="001B44BD" w:rsidRPr="00FD27A0">
        <w:t xml:space="preserve">the preceding </w:t>
      </w:r>
      <w:proofErr w:type="gramStart"/>
      <w:r w:rsidR="001B44BD" w:rsidRPr="00FD27A0">
        <w:t>time period</w:t>
      </w:r>
      <w:proofErr w:type="gramEnd"/>
      <w:r w:rsidR="001B44BD" w:rsidRPr="00FD27A0">
        <w:t xml:space="preserve"> in which an applicant is required to disclose </w:t>
      </w:r>
      <w:r w:rsidR="001B44BD">
        <w:t xml:space="preserve">their criminal history. </w:t>
      </w:r>
    </w:p>
    <w:p w14:paraId="086B4BE3" w14:textId="00FB2380" w:rsidR="00AC16B1" w:rsidRDefault="003E7152" w:rsidP="006F7CFD">
      <w:r w:rsidRPr="00287EAB">
        <w:t xml:space="preserve">Where the </w:t>
      </w:r>
      <w:r w:rsidR="001B44BD">
        <w:t>licence or permission sought relates to a lower risk activity</w:t>
      </w:r>
      <w:r w:rsidR="003E340E">
        <w:t xml:space="preserve"> (</w:t>
      </w:r>
      <w:r w:rsidR="00FA5EE1">
        <w:t>e.g.</w:t>
      </w:r>
      <w:r w:rsidR="003E340E">
        <w:t xml:space="preserve"> </w:t>
      </w:r>
      <w:r w:rsidR="000C1AF1">
        <w:t>a meat and seafood transport vehicle licence)</w:t>
      </w:r>
      <w:r w:rsidR="001B44BD">
        <w:t xml:space="preserve">, </w:t>
      </w:r>
      <w:r w:rsidR="0050678F">
        <w:t xml:space="preserve">a shorter </w:t>
      </w:r>
      <w:r w:rsidR="001B44BD">
        <w:t>disclosure period</w:t>
      </w:r>
      <w:r w:rsidR="0050678F">
        <w:t xml:space="preserve"> may be appropriate</w:t>
      </w:r>
      <w:r w:rsidR="0048455B">
        <w:t xml:space="preserve"> (</w:t>
      </w:r>
      <w:r w:rsidR="00746194">
        <w:t>3</w:t>
      </w:r>
      <w:r w:rsidR="0048455B">
        <w:t xml:space="preserve"> years)</w:t>
      </w:r>
      <w:r w:rsidR="0050678F">
        <w:t xml:space="preserve">. </w:t>
      </w:r>
    </w:p>
    <w:p w14:paraId="668A2F78" w14:textId="3D8D9C93" w:rsidR="0074117E" w:rsidRDefault="000C1AF1" w:rsidP="006F7CFD">
      <w:r>
        <w:t>Where there is</w:t>
      </w:r>
      <w:r w:rsidR="0005775C">
        <w:t xml:space="preserve"> a greater risk to the public or of exposure to offending behaviour, </w:t>
      </w:r>
      <w:r>
        <w:t>(</w:t>
      </w:r>
      <w:r w:rsidR="00EB4D28">
        <w:t>e.g.</w:t>
      </w:r>
      <w:r>
        <w:t xml:space="preserve"> </w:t>
      </w:r>
      <w:r w:rsidR="00C57587">
        <w:t>tobacco sales or provision of a firearms licence) a longer disclosure period may be appropriate</w:t>
      </w:r>
      <w:r w:rsidR="0048455B">
        <w:t xml:space="preserve"> (</w:t>
      </w:r>
      <w:r w:rsidR="00C57587">
        <w:t xml:space="preserve">up to </w:t>
      </w:r>
      <w:r w:rsidR="0048455B">
        <w:t>10 years).</w:t>
      </w:r>
    </w:p>
    <w:tbl>
      <w:tblPr>
        <w:tblStyle w:val="DTFtexttable"/>
        <w:tblW w:w="9026" w:type="dxa"/>
        <w:tblLayout w:type="fixed"/>
        <w:tblLook w:val="04A0" w:firstRow="1" w:lastRow="0" w:firstColumn="1" w:lastColumn="0" w:noHBand="0" w:noVBand="1"/>
      </w:tblPr>
      <w:tblGrid>
        <w:gridCol w:w="805"/>
        <w:gridCol w:w="1458"/>
        <w:gridCol w:w="6763"/>
      </w:tblGrid>
      <w:tr w:rsidR="001C0412" w:rsidRPr="000357EF" w14:paraId="7A39CAE2"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05" w:type="dxa"/>
            <w:vAlign w:val="center"/>
          </w:tcPr>
          <w:p w14:paraId="02C567E9" w14:textId="361722BE" w:rsidR="001C0412" w:rsidRPr="000357EF" w:rsidRDefault="001C0412">
            <w:pPr>
              <w:keepNext w:val="0"/>
              <w:spacing w:before="240"/>
              <w:contextualSpacing/>
              <w:rPr>
                <w:rFonts w:ascii="Arial" w:hAnsi="Arial" w:cs="Arial"/>
                <w:b/>
                <w:bCs/>
                <w:sz w:val="18"/>
                <w:szCs w:val="18"/>
              </w:rPr>
            </w:pPr>
            <w:r w:rsidRPr="00646ED8">
              <w:rPr>
                <w:rFonts w:ascii="Arial" w:hAnsi="Arial" w:cs="Arial"/>
                <w:b/>
                <w:bCs/>
                <w:noProof/>
                <w:sz w:val="18"/>
                <w:szCs w:val="18"/>
              </w:rPr>
              <w:drawing>
                <wp:inline distT="0" distB="0" distL="0" distR="0" wp14:anchorId="309C9CD4" wp14:editId="289146C8">
                  <wp:extent cx="365760" cy="365760"/>
                  <wp:effectExtent l="0" t="0" r="0" b="0"/>
                  <wp:docPr id="1004736390" name="Graphic 1004736390" descr="Magnifying glass with solid fill">
                    <a:extLst xmlns:a="http://schemas.openxmlformats.org/drawingml/2006/main">
                      <a:ext uri="{FF2B5EF4-FFF2-40B4-BE49-F238E27FC236}">
                        <a16:creationId xmlns:a16="http://schemas.microsoft.com/office/drawing/2014/main" id="{BE99A7E1-F806-AB04-29D2-AC7223C417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4" descr="Magnifying glass with solid fill">
                            <a:extLst>
                              <a:ext uri="{FF2B5EF4-FFF2-40B4-BE49-F238E27FC236}">
                                <a16:creationId xmlns:a16="http://schemas.microsoft.com/office/drawing/2014/main" id="{BE99A7E1-F806-AB04-29D2-AC7223C417B8}"/>
                              </a:ext>
                            </a:extLst>
                          </pic:cNvPr>
                          <pic:cNvPicPr>
                            <a:picLocks noChangeAspect="1"/>
                          </pic:cNvPicPr>
                        </pic:nvPicPr>
                        <pic:blipFill>
                          <a:blip r:embed="rId33">
                            <a:extLst>
                              <a:ext uri="{96DAC541-7B7A-43D3-8B79-37D633B846F1}">
                                <asvg:svgBlip xmlns:asvg="http://schemas.microsoft.com/office/drawing/2016/SVG/main" r:embed="rId34"/>
                              </a:ext>
                            </a:extLst>
                          </a:blip>
                          <a:stretch>
                            <a:fillRect/>
                          </a:stretch>
                        </pic:blipFill>
                        <pic:spPr>
                          <a:xfrm>
                            <a:off x="0" y="0"/>
                            <a:ext cx="365760" cy="365760"/>
                          </a:xfrm>
                          <a:prstGeom prst="rect">
                            <a:avLst/>
                          </a:prstGeom>
                        </pic:spPr>
                      </pic:pic>
                    </a:graphicData>
                  </a:graphic>
                </wp:inline>
              </w:drawing>
            </w:r>
          </w:p>
        </w:tc>
        <w:tc>
          <w:tcPr>
            <w:tcW w:w="1458" w:type="dxa"/>
            <w:vAlign w:val="center"/>
          </w:tcPr>
          <w:p w14:paraId="6A2FFDCE" w14:textId="541C3968" w:rsidR="001C0412" w:rsidRPr="00BE7448" w:rsidRDefault="001C0412">
            <w:pPr>
              <w:pStyle w:val="Tabletext"/>
              <w:keepNext w:val="0"/>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AD7505">
              <w:rPr>
                <w:rFonts w:asciiTheme="majorHAnsi" w:hAnsiTheme="majorHAnsi"/>
              </w:rPr>
              <w:t xml:space="preserve">Proportionality </w:t>
            </w:r>
            <w:r w:rsidRPr="00BE7448">
              <w:rPr>
                <w:rFonts w:asciiTheme="majorHAnsi" w:hAnsiTheme="majorHAnsi"/>
              </w:rPr>
              <w:t>in practice</w:t>
            </w:r>
          </w:p>
        </w:tc>
        <w:tc>
          <w:tcPr>
            <w:tcW w:w="6763" w:type="dxa"/>
            <w:shd w:val="clear" w:color="auto" w:fill="FFFFFF" w:themeFill="background1"/>
          </w:tcPr>
          <w:p w14:paraId="332B7250" w14:textId="77777777" w:rsidR="001C0412" w:rsidRPr="001C0412" w:rsidRDefault="001C0412" w:rsidP="001C0412">
            <w:pPr>
              <w:pStyle w:val="Tabletext"/>
              <w:cnfStyle w:val="100000000000" w:firstRow="1" w:lastRow="0" w:firstColumn="0" w:lastColumn="0" w:oddVBand="0" w:evenVBand="0" w:oddHBand="0" w:evenHBand="0" w:firstRowFirstColumn="0" w:firstRowLastColumn="0" w:lastRowFirstColumn="0" w:lastRowLastColumn="0"/>
            </w:pPr>
            <w:r w:rsidRPr="001C0412">
              <w:t xml:space="preserve">The length of time in which an applicant’s criminal history may be considered should be determined with reference to: </w:t>
            </w:r>
          </w:p>
          <w:p w14:paraId="24CD37FD" w14:textId="77777777" w:rsidR="001C0412" w:rsidRPr="001C0412" w:rsidRDefault="001C0412" w:rsidP="001C0412">
            <w:pPr>
              <w:pStyle w:val="Tablebullet"/>
              <w:cnfStyle w:val="100000000000" w:firstRow="1" w:lastRow="0" w:firstColumn="0" w:lastColumn="0" w:oddVBand="0" w:evenVBand="0" w:oddHBand="0" w:evenHBand="0" w:firstRowFirstColumn="0" w:firstRowLastColumn="0" w:lastRowFirstColumn="0" w:lastRowLastColumn="0"/>
            </w:pPr>
            <w:r w:rsidRPr="001C0412">
              <w:t>the seriousness and relevance of the conduct related to the offending</w:t>
            </w:r>
          </w:p>
          <w:p w14:paraId="6FE99EFA" w14:textId="77777777" w:rsidR="001C0412" w:rsidRPr="001C0412" w:rsidRDefault="001C0412" w:rsidP="001C0412">
            <w:pPr>
              <w:pStyle w:val="Tablebullet"/>
              <w:cnfStyle w:val="100000000000" w:firstRow="1" w:lastRow="0" w:firstColumn="0" w:lastColumn="0" w:oddVBand="0" w:evenVBand="0" w:oddHBand="0" w:evenHBand="0" w:firstRowFirstColumn="0" w:firstRowLastColumn="0" w:lastRowFirstColumn="0" w:lastRowLastColumn="0"/>
            </w:pPr>
            <w:r w:rsidRPr="001C0412">
              <w:t>where the offending results in a sentence, the severity and nature of the sentence</w:t>
            </w:r>
          </w:p>
          <w:p w14:paraId="7084D441" w14:textId="77777777" w:rsidR="001C0412" w:rsidRPr="001C0412" w:rsidRDefault="001C0412" w:rsidP="001C0412">
            <w:pPr>
              <w:pStyle w:val="Tablebullet"/>
              <w:cnfStyle w:val="100000000000" w:firstRow="1" w:lastRow="0" w:firstColumn="0" w:lastColumn="0" w:oddVBand="0" w:evenVBand="0" w:oddHBand="0" w:evenHBand="0" w:firstRowFirstColumn="0" w:firstRowLastColumn="0" w:lastRowFirstColumn="0" w:lastRowLastColumn="0"/>
            </w:pPr>
            <w:r w:rsidRPr="001C0412">
              <w:t>the nature of the licence or permission for which the applicant is applying, including the level of harm which a regulator is seeking to manage</w:t>
            </w:r>
          </w:p>
          <w:p w14:paraId="32CFB022" w14:textId="77777777" w:rsidR="001C0412" w:rsidRPr="001C0412" w:rsidRDefault="001C0412" w:rsidP="001C0412">
            <w:pPr>
              <w:pStyle w:val="Tablebullet"/>
              <w:cnfStyle w:val="100000000000" w:firstRow="1" w:lastRow="0" w:firstColumn="0" w:lastColumn="0" w:oddVBand="0" w:evenVBand="0" w:oddHBand="0" w:evenHBand="0" w:firstRowFirstColumn="0" w:firstRowLastColumn="0" w:lastRowFirstColumn="0" w:lastRowLastColumn="0"/>
            </w:pPr>
            <w:r w:rsidRPr="001C0412">
              <w:t xml:space="preserve">any legislated timeframes for which such offences can be considered relevant (e.g. 5 years), and </w:t>
            </w:r>
          </w:p>
          <w:p w14:paraId="09E03ABB" w14:textId="64A4DF31" w:rsidR="001C0412" w:rsidRPr="001C0412" w:rsidRDefault="001C0412" w:rsidP="00AD7505">
            <w:pPr>
              <w:pStyle w:val="Tablebullet"/>
              <w:cnfStyle w:val="100000000000" w:firstRow="1" w:lastRow="0" w:firstColumn="0" w:lastColumn="0" w:oddVBand="0" w:evenVBand="0" w:oddHBand="0" w:evenHBand="0" w:firstRowFirstColumn="0" w:firstRowLastColumn="0" w:lastRowFirstColumn="0" w:lastRowLastColumn="0"/>
            </w:pPr>
            <w:r w:rsidRPr="004C168A">
              <w:t xml:space="preserve">compliance with the </w:t>
            </w:r>
            <w:r w:rsidRPr="004C168A">
              <w:rPr>
                <w:i/>
                <w:iCs/>
              </w:rPr>
              <w:t>Spent Convictions Act 2021</w:t>
            </w:r>
            <w:r w:rsidRPr="004C168A">
              <w:t xml:space="preserve"> (where relevant).</w:t>
            </w:r>
          </w:p>
        </w:tc>
      </w:tr>
    </w:tbl>
    <w:p w14:paraId="3E1FC866" w14:textId="22C09BE1" w:rsidR="001A140D" w:rsidRDefault="001A140D">
      <w:pPr>
        <w:rPr>
          <w:rFonts w:cs="Arial"/>
          <w:highlight w:val="yellow"/>
        </w:rPr>
      </w:pPr>
      <w:bookmarkStart w:id="30" w:name="_Toc164848022"/>
    </w:p>
    <w:tbl>
      <w:tblPr>
        <w:tblStyle w:val="TableGrid"/>
        <w:tblW w:w="9175" w:type="dxa"/>
        <w:tblBorders>
          <w:top w:val="single" w:sz="4" w:space="0" w:color="232B39" w:themeColor="text1"/>
          <w:left w:val="single" w:sz="4" w:space="0" w:color="232B39" w:themeColor="text1"/>
          <w:bottom w:val="single" w:sz="4" w:space="0" w:color="232B39" w:themeColor="text1"/>
          <w:right w:val="single" w:sz="4" w:space="0" w:color="232B39" w:themeColor="text1"/>
          <w:insideH w:val="none" w:sz="0" w:space="0" w:color="auto"/>
          <w:insideV w:val="none" w:sz="0" w:space="0" w:color="auto"/>
        </w:tblBorders>
        <w:tblLayout w:type="fixed"/>
        <w:tblCellMar>
          <w:left w:w="216" w:type="dxa"/>
          <w:right w:w="216" w:type="dxa"/>
        </w:tblCellMar>
        <w:tblLook w:val="04A0" w:firstRow="1" w:lastRow="0" w:firstColumn="1" w:lastColumn="0" w:noHBand="0" w:noVBand="1"/>
      </w:tblPr>
      <w:tblGrid>
        <w:gridCol w:w="9175"/>
      </w:tblGrid>
      <w:tr w:rsidR="00C56CA3" w:rsidRPr="00A75E40" w14:paraId="1BDF9EBE" w14:textId="77777777" w:rsidTr="00AD7505">
        <w:trPr>
          <w:cantSplit/>
        </w:trPr>
        <w:tc>
          <w:tcPr>
            <w:tcW w:w="9175" w:type="dxa"/>
            <w:shd w:val="clear" w:color="auto" w:fill="F2F2F2" w:themeFill="background1" w:themeFillShade="F2"/>
            <w:vAlign w:val="center"/>
          </w:tcPr>
          <w:p w14:paraId="3AE9B7F4" w14:textId="4963CD19" w:rsidR="00C56CA3" w:rsidRPr="00AD7505" w:rsidRDefault="00C56CA3" w:rsidP="00AD7505">
            <w:pPr>
              <w:pStyle w:val="Heading3"/>
            </w:pPr>
            <w:r w:rsidRPr="00AD7505">
              <w:lastRenderedPageBreak/>
              <w:t>An indictable offence</w:t>
            </w:r>
            <w:r w:rsidR="00CC0225" w:rsidRPr="00AD7505">
              <w:t xml:space="preserve"> </w:t>
            </w:r>
            <w:r w:rsidR="00CC0225" w:rsidRPr="00AD7505">
              <w:rPr>
                <w:noProof/>
                <w:position w:val="-20"/>
                <w:sz w:val="20"/>
                <w:szCs w:val="20"/>
              </w:rPr>
              <w:drawing>
                <wp:inline distT="0" distB="0" distL="0" distR="0" wp14:anchorId="617C586C" wp14:editId="7A5915FA">
                  <wp:extent cx="347472" cy="347472"/>
                  <wp:effectExtent l="0" t="0" r="0" b="0"/>
                  <wp:docPr id="190622386" name="Graphic 190622386" descr="Comment Ad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omment Add with solid fill"/>
                          <pic:cNvPicPr/>
                        </pic:nvPicPr>
                        <pic:blipFill>
                          <a:blip r:embed="rId59">
                            <a:extLst>
                              <a:ext uri="{28A0092B-C50C-407E-A947-70E740481C1C}">
                                <a14:useLocalDpi xmlns:a14="http://schemas.microsoft.com/office/drawing/2010/main" val="0"/>
                              </a:ext>
                              <a:ext uri="{96DAC541-7B7A-43D3-8B79-37D633B846F1}">
                                <asvg:svgBlip xmlns:asvg="http://schemas.microsoft.com/office/drawing/2016/SVG/main" r:embed="rId60"/>
                              </a:ext>
                            </a:extLst>
                          </a:blip>
                          <a:stretch>
                            <a:fillRect/>
                          </a:stretch>
                        </pic:blipFill>
                        <pic:spPr>
                          <a:xfrm>
                            <a:off x="0" y="0"/>
                            <a:ext cx="347472" cy="347472"/>
                          </a:xfrm>
                          <a:prstGeom prst="rect">
                            <a:avLst/>
                          </a:prstGeom>
                        </pic:spPr>
                      </pic:pic>
                    </a:graphicData>
                  </a:graphic>
                </wp:inline>
              </w:drawing>
            </w:r>
          </w:p>
          <w:p w14:paraId="31F71665" w14:textId="11A688F1" w:rsidR="00C56CA3" w:rsidRPr="00AD7505" w:rsidRDefault="00C56CA3" w:rsidP="00CD0011">
            <w:pPr>
              <w:rPr>
                <w:rFonts w:asciiTheme="majorHAnsi" w:hAnsiTheme="majorHAnsi"/>
              </w:rPr>
            </w:pPr>
            <w:r w:rsidRPr="00AD7505">
              <w:rPr>
                <w:rFonts w:asciiTheme="majorHAnsi" w:hAnsiTheme="majorHAnsi"/>
              </w:rPr>
              <w:t>This specification is contemplated in paragraph (b) of the model provision set out above.</w:t>
            </w:r>
          </w:p>
          <w:p w14:paraId="273C9EF0" w14:textId="30330FEF" w:rsidR="00C56CA3" w:rsidRDefault="00C56CA3" w:rsidP="006F7CFD">
            <w:r w:rsidRPr="00560AC4">
              <w:t>In determining whether an applicant should be required to disclose any history of indictable offences, a regulator should consider</w:t>
            </w:r>
            <w:r>
              <w:t xml:space="preserve"> the risk that is posed to the public by the applicant being granted the relevant licence, registration or authority. </w:t>
            </w:r>
          </w:p>
          <w:p w14:paraId="43768898" w14:textId="6E4401D0" w:rsidR="003A3DCD" w:rsidRPr="008262DB" w:rsidRDefault="003A3DCD" w:rsidP="006F7CFD">
            <w:r>
              <w:t>An indictable offence is a serious</w:t>
            </w:r>
            <w:r w:rsidR="008262DB">
              <w:t xml:space="preserve"> criminal</w:t>
            </w:r>
            <w:r>
              <w:t xml:space="preserve"> offence</w:t>
            </w:r>
            <w:r w:rsidR="008262DB">
              <w:t xml:space="preserve"> (refer to the </w:t>
            </w:r>
            <w:r w:rsidR="008262DB">
              <w:rPr>
                <w:i/>
                <w:iCs/>
              </w:rPr>
              <w:t xml:space="preserve">Crimes Act 1958 </w:t>
            </w:r>
            <w:r w:rsidR="008262DB">
              <w:t>for information about offences deemed as indictable).</w:t>
            </w:r>
          </w:p>
          <w:p w14:paraId="34CC477F" w14:textId="35FD6012" w:rsidR="00C56CA3" w:rsidRPr="00C56CA3" w:rsidRDefault="4AAD33F6" w:rsidP="006F7CFD">
            <w:pPr>
              <w:rPr>
                <w:rFonts w:cs="Arial"/>
                <w:highlight w:val="yellow"/>
              </w:rPr>
            </w:pPr>
            <w:r w:rsidRPr="3FC26C05">
              <w:t>The regulator should consider whether the applicant will be involved in the provision of a children’s service, health service, education and care, or anything else placing them in proximity to or engaging with vulnerable persons.</w:t>
            </w:r>
            <w:r w:rsidRPr="00E145F4">
              <w:rPr>
                <w:rFonts w:cs="Arial"/>
              </w:rPr>
              <w:t xml:space="preserve"> </w:t>
            </w:r>
          </w:p>
        </w:tc>
      </w:tr>
    </w:tbl>
    <w:p w14:paraId="1B260298" w14:textId="77777777" w:rsidR="001A140D" w:rsidRDefault="001A140D" w:rsidP="00F36322"/>
    <w:tbl>
      <w:tblPr>
        <w:tblStyle w:val="TableGrid"/>
        <w:tblW w:w="9175" w:type="dxa"/>
        <w:tblBorders>
          <w:top w:val="single" w:sz="4" w:space="0" w:color="232B39" w:themeColor="text1"/>
          <w:left w:val="single" w:sz="4" w:space="0" w:color="232B39" w:themeColor="text1"/>
          <w:bottom w:val="single" w:sz="4" w:space="0" w:color="232B39" w:themeColor="text1"/>
          <w:right w:val="single" w:sz="4" w:space="0" w:color="232B39" w:themeColor="text1"/>
          <w:insideH w:val="none" w:sz="0" w:space="0" w:color="auto"/>
          <w:insideV w:val="none" w:sz="0" w:space="0" w:color="auto"/>
        </w:tblBorders>
        <w:tblLayout w:type="fixed"/>
        <w:tblCellMar>
          <w:left w:w="216" w:type="dxa"/>
          <w:right w:w="216" w:type="dxa"/>
        </w:tblCellMar>
        <w:tblLook w:val="04A0" w:firstRow="1" w:lastRow="0" w:firstColumn="1" w:lastColumn="0" w:noHBand="0" w:noVBand="1"/>
      </w:tblPr>
      <w:tblGrid>
        <w:gridCol w:w="9175"/>
      </w:tblGrid>
      <w:tr w:rsidR="00C96DF8" w:rsidRPr="00A75E40" w14:paraId="50B90DE3" w14:textId="77777777" w:rsidTr="00AD7505">
        <w:trPr>
          <w:cantSplit/>
        </w:trPr>
        <w:tc>
          <w:tcPr>
            <w:tcW w:w="9175" w:type="dxa"/>
            <w:shd w:val="clear" w:color="auto" w:fill="F2F2F2" w:themeFill="background1" w:themeFillShade="F2"/>
            <w:vAlign w:val="center"/>
          </w:tcPr>
          <w:p w14:paraId="07A7F1E2" w14:textId="45CA81A9" w:rsidR="00C96DF8" w:rsidRPr="00560AC4" w:rsidRDefault="00C96DF8" w:rsidP="00AD7505">
            <w:pPr>
              <w:pStyle w:val="Heading3"/>
              <w:keepNext w:val="0"/>
            </w:pPr>
            <w:bookmarkStart w:id="31" w:name="_Hlk173230598"/>
            <w:r w:rsidRPr="00AD7505">
              <w:t>An offence in a specified jurisdiction</w:t>
            </w:r>
            <w:r w:rsidR="00544DA5">
              <w:t xml:space="preserve"> </w:t>
            </w:r>
            <w:r w:rsidR="00544DA5" w:rsidRPr="00AD7505">
              <w:rPr>
                <w:noProof/>
                <w:position w:val="-20"/>
                <w:sz w:val="20"/>
                <w:szCs w:val="20"/>
              </w:rPr>
              <w:drawing>
                <wp:inline distT="0" distB="0" distL="0" distR="0" wp14:anchorId="7C4C130F" wp14:editId="0D841173">
                  <wp:extent cx="347472" cy="347472"/>
                  <wp:effectExtent l="0" t="0" r="0" b="0"/>
                  <wp:docPr id="1177092173" name="Graphic 1177092173" descr="Comment Ad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omment Add with solid fill"/>
                          <pic:cNvPicPr/>
                        </pic:nvPicPr>
                        <pic:blipFill>
                          <a:blip r:embed="rId59">
                            <a:extLst>
                              <a:ext uri="{28A0092B-C50C-407E-A947-70E740481C1C}">
                                <a14:useLocalDpi xmlns:a14="http://schemas.microsoft.com/office/drawing/2010/main" val="0"/>
                              </a:ext>
                              <a:ext uri="{96DAC541-7B7A-43D3-8B79-37D633B846F1}">
                                <asvg:svgBlip xmlns:asvg="http://schemas.microsoft.com/office/drawing/2016/SVG/main" r:embed="rId60"/>
                              </a:ext>
                            </a:extLst>
                          </a:blip>
                          <a:stretch>
                            <a:fillRect/>
                          </a:stretch>
                        </pic:blipFill>
                        <pic:spPr>
                          <a:xfrm>
                            <a:off x="0" y="0"/>
                            <a:ext cx="347472" cy="347472"/>
                          </a:xfrm>
                          <a:prstGeom prst="rect">
                            <a:avLst/>
                          </a:prstGeom>
                        </pic:spPr>
                      </pic:pic>
                    </a:graphicData>
                  </a:graphic>
                </wp:inline>
              </w:drawing>
            </w:r>
          </w:p>
          <w:p w14:paraId="50F7277E" w14:textId="77777777" w:rsidR="00C96DF8" w:rsidRPr="00AD7505" w:rsidRDefault="00C96DF8" w:rsidP="00544DA5">
            <w:pPr>
              <w:rPr>
                <w:rFonts w:asciiTheme="majorHAnsi" w:hAnsiTheme="majorHAnsi"/>
              </w:rPr>
            </w:pPr>
            <w:r w:rsidRPr="00AD7505">
              <w:rPr>
                <w:rFonts w:asciiTheme="majorHAnsi" w:hAnsiTheme="majorHAnsi"/>
              </w:rPr>
              <w:t>This specification is contemplated in paragraphs (a)(iii) and (b) of the model provision set out above.</w:t>
            </w:r>
          </w:p>
          <w:p w14:paraId="34B2F60C" w14:textId="77777777" w:rsidR="00C96DF8" w:rsidRPr="003A46D5" w:rsidRDefault="00C96DF8" w:rsidP="00544DA5">
            <w:r w:rsidRPr="00560AC4">
              <w:t xml:space="preserve">In determining the jurisdictions which may be relevant for an applicant to identify a relevant criminal </w:t>
            </w:r>
            <w:r w:rsidRPr="00555FFD">
              <w:t>history, a regulator should consider:</w:t>
            </w:r>
          </w:p>
          <w:p w14:paraId="50960C11" w14:textId="7CBC7A48" w:rsidR="00C96DF8" w:rsidRPr="005D780A" w:rsidRDefault="00C96DF8" w:rsidP="006F7CFD">
            <w:pPr>
              <w:pStyle w:val="ListParagraph"/>
              <w:numPr>
                <w:ilvl w:val="0"/>
                <w:numId w:val="4"/>
              </w:numPr>
              <w:spacing w:before="0" w:line="240" w:lineRule="auto"/>
              <w:contextualSpacing w:val="0"/>
              <w:rPr>
                <w:rFonts w:cs="Arial"/>
              </w:rPr>
            </w:pPr>
            <w:r>
              <w:rPr>
                <w:rFonts w:cs="Arial"/>
              </w:rPr>
              <w:t>j</w:t>
            </w:r>
            <w:r w:rsidRPr="005D780A">
              <w:rPr>
                <w:rFonts w:cs="Arial"/>
              </w:rPr>
              <w:t>urisdictions with similar or comparable legal and regulatory frameworks in relation to the specific subject matter being regulated</w:t>
            </w:r>
          </w:p>
          <w:p w14:paraId="38A5EE70" w14:textId="55303EBB" w:rsidR="00C96DF8" w:rsidRPr="00187818" w:rsidRDefault="00C96DF8" w:rsidP="00AD7505">
            <w:pPr>
              <w:pStyle w:val="ListParagraph"/>
              <w:numPr>
                <w:ilvl w:val="0"/>
                <w:numId w:val="4"/>
              </w:numPr>
              <w:spacing w:before="0" w:line="240" w:lineRule="auto"/>
              <w:contextualSpacing w:val="0"/>
              <w:rPr>
                <w:rFonts w:cs="Arial"/>
              </w:rPr>
            </w:pPr>
            <w:r>
              <w:rPr>
                <w:rFonts w:cs="Arial"/>
              </w:rPr>
              <w:t>a</w:t>
            </w:r>
            <w:r w:rsidRPr="005D780A">
              <w:rPr>
                <w:rFonts w:cs="Arial"/>
              </w:rPr>
              <w:t>ny shared or mutual recognition arrangements between jurisdictions, e.g. the Trans-Tasman mutual recognition arrangement between Australia and New Zealand.</w:t>
            </w:r>
          </w:p>
        </w:tc>
      </w:tr>
      <w:bookmarkEnd w:id="31"/>
    </w:tbl>
    <w:p w14:paraId="1F3803AA" w14:textId="77777777" w:rsidR="007A7873" w:rsidRPr="00AD7505" w:rsidRDefault="007A7873" w:rsidP="00AD7505"/>
    <w:tbl>
      <w:tblPr>
        <w:tblStyle w:val="TableGrid"/>
        <w:tblW w:w="9175" w:type="dxa"/>
        <w:tblBorders>
          <w:top w:val="single" w:sz="4" w:space="0" w:color="232B39" w:themeColor="text1"/>
          <w:left w:val="single" w:sz="4" w:space="0" w:color="232B39" w:themeColor="text1"/>
          <w:bottom w:val="single" w:sz="4" w:space="0" w:color="232B39" w:themeColor="text1"/>
          <w:right w:val="single" w:sz="4" w:space="0" w:color="232B39" w:themeColor="text1"/>
          <w:insideH w:val="none" w:sz="0" w:space="0" w:color="auto"/>
          <w:insideV w:val="none" w:sz="0" w:space="0" w:color="auto"/>
        </w:tblBorders>
        <w:tblLayout w:type="fixed"/>
        <w:tblCellMar>
          <w:left w:w="216" w:type="dxa"/>
          <w:right w:w="216" w:type="dxa"/>
        </w:tblCellMar>
        <w:tblLook w:val="04A0" w:firstRow="1" w:lastRow="0" w:firstColumn="1" w:lastColumn="0" w:noHBand="0" w:noVBand="1"/>
      </w:tblPr>
      <w:tblGrid>
        <w:gridCol w:w="9175"/>
      </w:tblGrid>
      <w:tr w:rsidR="007A7873" w:rsidRPr="00A75E40" w14:paraId="758BE09E" w14:textId="77777777" w:rsidTr="00AD7505">
        <w:trPr>
          <w:cantSplit/>
        </w:trPr>
        <w:tc>
          <w:tcPr>
            <w:tcW w:w="9175" w:type="dxa"/>
            <w:shd w:val="clear" w:color="auto" w:fill="F2F2F2" w:themeFill="background1" w:themeFillShade="F2"/>
          </w:tcPr>
          <w:p w14:paraId="4D2605F3" w14:textId="721A4316" w:rsidR="007A7873" w:rsidRPr="00AD7505" w:rsidRDefault="007A7873" w:rsidP="00AD7505">
            <w:pPr>
              <w:pStyle w:val="Heading3"/>
              <w:keepNext w:val="0"/>
            </w:pPr>
            <w:bookmarkStart w:id="32" w:name="_Hlk173231255"/>
            <w:r w:rsidRPr="00AD7505">
              <w:t>An offence committed under a specified Act or regulations</w:t>
            </w:r>
            <w:r w:rsidR="00544DA5">
              <w:t xml:space="preserve"> </w:t>
            </w:r>
            <w:r w:rsidR="00544DA5" w:rsidRPr="00AD7505">
              <w:rPr>
                <w:noProof/>
                <w:position w:val="-20"/>
                <w:sz w:val="20"/>
                <w:szCs w:val="20"/>
              </w:rPr>
              <w:drawing>
                <wp:inline distT="0" distB="0" distL="0" distR="0" wp14:anchorId="6BE83009" wp14:editId="4587C414">
                  <wp:extent cx="347472" cy="347472"/>
                  <wp:effectExtent l="0" t="0" r="0" b="0"/>
                  <wp:docPr id="654543394" name="Graphic 654543394" descr="Comment Ad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omment Add with solid fill"/>
                          <pic:cNvPicPr/>
                        </pic:nvPicPr>
                        <pic:blipFill>
                          <a:blip r:embed="rId59">
                            <a:extLst>
                              <a:ext uri="{28A0092B-C50C-407E-A947-70E740481C1C}">
                                <a14:useLocalDpi xmlns:a14="http://schemas.microsoft.com/office/drawing/2010/main" val="0"/>
                              </a:ext>
                              <a:ext uri="{96DAC541-7B7A-43D3-8B79-37D633B846F1}">
                                <asvg:svgBlip xmlns:asvg="http://schemas.microsoft.com/office/drawing/2016/SVG/main" r:embed="rId60"/>
                              </a:ext>
                            </a:extLst>
                          </a:blip>
                          <a:stretch>
                            <a:fillRect/>
                          </a:stretch>
                        </pic:blipFill>
                        <pic:spPr>
                          <a:xfrm>
                            <a:off x="0" y="0"/>
                            <a:ext cx="347472" cy="347472"/>
                          </a:xfrm>
                          <a:prstGeom prst="rect">
                            <a:avLst/>
                          </a:prstGeom>
                        </pic:spPr>
                      </pic:pic>
                    </a:graphicData>
                  </a:graphic>
                </wp:inline>
              </w:drawing>
            </w:r>
          </w:p>
          <w:p w14:paraId="46BF22E7" w14:textId="77777777" w:rsidR="007A7873" w:rsidRPr="00AD7505" w:rsidRDefault="007A7873" w:rsidP="00544DA5">
            <w:pPr>
              <w:rPr>
                <w:rFonts w:asciiTheme="majorHAnsi" w:hAnsiTheme="majorHAnsi"/>
              </w:rPr>
            </w:pPr>
            <w:r w:rsidRPr="00AD7505">
              <w:rPr>
                <w:rFonts w:asciiTheme="majorHAnsi" w:hAnsiTheme="majorHAnsi"/>
              </w:rPr>
              <w:t>This specification is contemplated in paragraph (a)(i) and (b) of the model provision set out above.</w:t>
            </w:r>
          </w:p>
          <w:p w14:paraId="653DD8C2" w14:textId="77777777" w:rsidR="007A7873" w:rsidRDefault="007A7873" w:rsidP="00544DA5">
            <w:r w:rsidRPr="005B6C1F">
              <w:rPr>
                <w:b/>
                <w:bCs/>
              </w:rPr>
              <w:t>In determining</w:t>
            </w:r>
            <w:r w:rsidRPr="00560AC4">
              <w:t xml:space="preserve"> whether an applicant should be required to disclose any history of offending under a specified Act or regulat</w:t>
            </w:r>
            <w:r>
              <w:t>ions</w:t>
            </w:r>
            <w:r w:rsidRPr="00560AC4">
              <w:t>, a regulator should consider</w:t>
            </w:r>
            <w:r w:rsidRPr="005D06C2">
              <w:t xml:space="preserve"> the relationship between the</w:t>
            </w:r>
            <w:r>
              <w:t>ir primary</w:t>
            </w:r>
            <w:r w:rsidRPr="005D06C2">
              <w:t xml:space="preserve"> and </w:t>
            </w:r>
            <w:r>
              <w:t>specified</w:t>
            </w:r>
            <w:r w:rsidRPr="005D06C2">
              <w:t xml:space="preserve"> Act</w:t>
            </w:r>
            <w:r>
              <w:t>s</w:t>
            </w:r>
            <w:r w:rsidRPr="005D06C2">
              <w:t xml:space="preserve"> or regulations</w:t>
            </w:r>
            <w:r>
              <w:t xml:space="preserve">. </w:t>
            </w:r>
          </w:p>
          <w:tbl>
            <w:tblPr>
              <w:tblStyle w:val="DTFtexttable"/>
              <w:tblW w:w="8686" w:type="dxa"/>
              <w:tblLayout w:type="fixed"/>
              <w:tblLook w:val="04A0" w:firstRow="1" w:lastRow="0" w:firstColumn="1" w:lastColumn="0" w:noHBand="0" w:noVBand="1"/>
            </w:tblPr>
            <w:tblGrid>
              <w:gridCol w:w="484"/>
              <w:gridCol w:w="8202"/>
            </w:tblGrid>
            <w:tr w:rsidR="00544DA5" w:rsidRPr="000357EF" w14:paraId="0EFD62BE" w14:textId="77777777" w:rsidTr="00D13824">
              <w:trPr>
                <w:cnfStyle w:val="100000000000" w:firstRow="1" w:lastRow="0" w:firstColumn="0" w:lastColumn="0" w:oddVBand="0" w:evenVBand="0" w:oddHBand="0" w:evenHBand="0" w:firstRowFirstColumn="0" w:firstRowLastColumn="0" w:lastRowFirstColumn="0" w:lastRowLastColumn="0"/>
                <w:trHeight w:val="1134"/>
              </w:trPr>
              <w:tc>
                <w:tcPr>
                  <w:cnfStyle w:val="001000000100" w:firstRow="0" w:lastRow="0" w:firstColumn="1" w:lastColumn="0" w:oddVBand="0" w:evenVBand="0" w:oddHBand="0" w:evenHBand="0" w:firstRowFirstColumn="1" w:firstRowLastColumn="0" w:lastRowFirstColumn="0" w:lastRowLastColumn="0"/>
                  <w:tcW w:w="484" w:type="dxa"/>
                  <w:textDirection w:val="btLr"/>
                  <w:vAlign w:val="center"/>
                </w:tcPr>
                <w:p w14:paraId="33F4AE58" w14:textId="77777777" w:rsidR="00544DA5" w:rsidRPr="00AD7505" w:rsidRDefault="00544DA5" w:rsidP="00544DA5">
                  <w:pPr>
                    <w:pStyle w:val="Tabletext"/>
                    <w:keepNext w:val="0"/>
                    <w:ind w:left="113" w:right="113"/>
                    <w:jc w:val="center"/>
                    <w:rPr>
                      <w:rFonts w:asciiTheme="majorHAnsi" w:hAnsiTheme="majorHAnsi"/>
                      <w:b/>
                      <w:bCs/>
                    </w:rPr>
                  </w:pPr>
                  <w:r w:rsidRPr="00AD7505">
                    <w:rPr>
                      <w:b/>
                      <w:bCs/>
                    </w:rPr>
                    <w:t>Example</w:t>
                  </w:r>
                </w:p>
              </w:tc>
              <w:tc>
                <w:tcPr>
                  <w:tcW w:w="8202" w:type="dxa"/>
                  <w:shd w:val="clear" w:color="auto" w:fill="FFFFFF" w:themeFill="background1"/>
                  <w:vAlign w:val="center"/>
                </w:tcPr>
                <w:p w14:paraId="4CD12821" w14:textId="74A1A5EE" w:rsidR="00544DA5" w:rsidRPr="00544DA5" w:rsidRDefault="00544DA5" w:rsidP="00AD7505">
                  <w:pPr>
                    <w:pStyle w:val="Tabletext"/>
                    <w:cnfStyle w:val="100000000000" w:firstRow="1" w:lastRow="0" w:firstColumn="0" w:lastColumn="0" w:oddVBand="0" w:evenVBand="0" w:oddHBand="0" w:evenHBand="0" w:firstRowFirstColumn="0" w:firstRowLastColumn="0" w:lastRowFirstColumn="0" w:lastRowLastColumn="0"/>
                  </w:pPr>
                  <w:r w:rsidRPr="004C168A">
                    <w:t>When seeking a licence to employ children, consideration may be given to an applicant’s compliance with child employment laws in Victoria, as well in other Australian jurisdictions.</w:t>
                  </w:r>
                </w:p>
              </w:tc>
            </w:tr>
          </w:tbl>
          <w:p w14:paraId="41B9E5EC" w14:textId="77777777" w:rsidR="00544DA5" w:rsidRDefault="00544DA5" w:rsidP="00AD7505">
            <w:pPr>
              <w:pStyle w:val="Spacer"/>
            </w:pPr>
          </w:p>
          <w:bookmarkEnd w:id="32"/>
          <w:p w14:paraId="424BEB3A" w14:textId="7A7E9598" w:rsidR="00303E64" w:rsidRPr="005B6C1F" w:rsidRDefault="00303E64" w:rsidP="00303E64">
            <w:pPr>
              <w:rPr>
                <w:rFonts w:ascii="Arial" w:hAnsi="Arial" w:cs="Arial"/>
              </w:rPr>
            </w:pPr>
          </w:p>
        </w:tc>
      </w:tr>
      <w:bookmarkEnd w:id="30"/>
    </w:tbl>
    <w:p w14:paraId="730D68C8" w14:textId="7BB5AB2D" w:rsidR="006A0FB0" w:rsidRDefault="006A0FB0" w:rsidP="00AD7505"/>
    <w:tbl>
      <w:tblPr>
        <w:tblStyle w:val="TableGrid"/>
        <w:tblW w:w="9175" w:type="dxa"/>
        <w:tblBorders>
          <w:top w:val="single" w:sz="4" w:space="0" w:color="232B39" w:themeColor="text1"/>
          <w:left w:val="single" w:sz="4" w:space="0" w:color="232B39" w:themeColor="text1"/>
          <w:bottom w:val="single" w:sz="4" w:space="0" w:color="232B39" w:themeColor="text1"/>
          <w:right w:val="single" w:sz="4" w:space="0" w:color="232B39" w:themeColor="text1"/>
          <w:insideH w:val="none" w:sz="0" w:space="0" w:color="auto"/>
          <w:insideV w:val="none" w:sz="0" w:space="0" w:color="auto"/>
        </w:tblBorders>
        <w:tblLayout w:type="fixed"/>
        <w:tblCellMar>
          <w:left w:w="216" w:type="dxa"/>
          <w:right w:w="216" w:type="dxa"/>
        </w:tblCellMar>
        <w:tblLook w:val="04A0" w:firstRow="1" w:lastRow="0" w:firstColumn="1" w:lastColumn="0" w:noHBand="0" w:noVBand="1"/>
      </w:tblPr>
      <w:tblGrid>
        <w:gridCol w:w="9175"/>
      </w:tblGrid>
      <w:tr w:rsidR="00E64CE1" w:rsidRPr="00A75E40" w14:paraId="54CD2B90" w14:textId="77777777" w:rsidTr="00AD7505">
        <w:trPr>
          <w:cantSplit/>
        </w:trPr>
        <w:tc>
          <w:tcPr>
            <w:tcW w:w="9175" w:type="dxa"/>
            <w:shd w:val="clear" w:color="auto" w:fill="F2F2F2" w:themeFill="background1" w:themeFillShade="F2"/>
          </w:tcPr>
          <w:p w14:paraId="00E97080" w14:textId="5B4C2D55" w:rsidR="00E64CE1" w:rsidRPr="00AD7505" w:rsidRDefault="00E64CE1" w:rsidP="00AD7505">
            <w:pPr>
              <w:pStyle w:val="Heading3"/>
            </w:pPr>
            <w:r w:rsidRPr="00AD7505">
              <w:t>An offence related to a specified behaviour or class of person</w:t>
            </w:r>
            <w:r w:rsidR="00544DA5">
              <w:t xml:space="preserve"> </w:t>
            </w:r>
            <w:r w:rsidR="00544DA5" w:rsidRPr="00AD7505">
              <w:rPr>
                <w:noProof/>
                <w:position w:val="-20"/>
                <w:sz w:val="20"/>
                <w:szCs w:val="20"/>
              </w:rPr>
              <w:drawing>
                <wp:inline distT="0" distB="0" distL="0" distR="0" wp14:anchorId="66664E11" wp14:editId="7DCDDCFB">
                  <wp:extent cx="347472" cy="347472"/>
                  <wp:effectExtent l="0" t="0" r="0" b="0"/>
                  <wp:docPr id="694869076" name="Graphic 694869076" descr="Comment Ad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omment Add with solid fill"/>
                          <pic:cNvPicPr/>
                        </pic:nvPicPr>
                        <pic:blipFill>
                          <a:blip r:embed="rId59">
                            <a:extLst>
                              <a:ext uri="{28A0092B-C50C-407E-A947-70E740481C1C}">
                                <a14:useLocalDpi xmlns:a14="http://schemas.microsoft.com/office/drawing/2010/main" val="0"/>
                              </a:ext>
                              <a:ext uri="{96DAC541-7B7A-43D3-8B79-37D633B846F1}">
                                <asvg:svgBlip xmlns:asvg="http://schemas.microsoft.com/office/drawing/2016/SVG/main" r:embed="rId60"/>
                              </a:ext>
                            </a:extLst>
                          </a:blip>
                          <a:stretch>
                            <a:fillRect/>
                          </a:stretch>
                        </pic:blipFill>
                        <pic:spPr>
                          <a:xfrm>
                            <a:off x="0" y="0"/>
                            <a:ext cx="347472" cy="347472"/>
                          </a:xfrm>
                          <a:prstGeom prst="rect">
                            <a:avLst/>
                          </a:prstGeom>
                        </pic:spPr>
                      </pic:pic>
                    </a:graphicData>
                  </a:graphic>
                </wp:inline>
              </w:drawing>
            </w:r>
          </w:p>
          <w:p w14:paraId="168D82B1" w14:textId="77777777" w:rsidR="00E64CE1" w:rsidRPr="00AD7505" w:rsidRDefault="00E64CE1" w:rsidP="00544DA5">
            <w:pPr>
              <w:rPr>
                <w:rFonts w:asciiTheme="majorHAnsi" w:hAnsiTheme="majorHAnsi"/>
              </w:rPr>
            </w:pPr>
            <w:r w:rsidRPr="00AD7505">
              <w:rPr>
                <w:rFonts w:asciiTheme="majorHAnsi" w:hAnsiTheme="majorHAnsi"/>
              </w:rPr>
              <w:t>This specification is contemplated in paragraph (a)(ii) of OCPC’s model provision set out above.</w:t>
            </w:r>
          </w:p>
          <w:p w14:paraId="4B663DA3" w14:textId="11A72F0E" w:rsidR="00E64CE1" w:rsidRDefault="782B7DBD" w:rsidP="00544DA5">
            <w:r w:rsidRPr="3FC26C05">
              <w:t>In determining whether an applicant should be required to disclose any history of offending involving a particular behaviour or related to a specified class of persons, a regulator should identify relevant behaviours o</w:t>
            </w:r>
            <w:r w:rsidR="38B89BD0" w:rsidRPr="3FC26C05">
              <w:t>r</w:t>
            </w:r>
            <w:r w:rsidRPr="3FC26C05">
              <w:t xml:space="preserve"> classes of persons for which past offending may be relevant. </w:t>
            </w:r>
          </w:p>
          <w:tbl>
            <w:tblPr>
              <w:tblStyle w:val="DTFtexttable"/>
              <w:tblW w:w="8686" w:type="dxa"/>
              <w:tblLayout w:type="fixed"/>
              <w:tblLook w:val="04A0" w:firstRow="1" w:lastRow="0" w:firstColumn="1" w:lastColumn="0" w:noHBand="0" w:noVBand="1"/>
            </w:tblPr>
            <w:tblGrid>
              <w:gridCol w:w="484"/>
              <w:gridCol w:w="8202"/>
            </w:tblGrid>
            <w:tr w:rsidR="00544DA5" w:rsidRPr="000357EF" w14:paraId="2FF48DAA" w14:textId="77777777" w:rsidTr="00D13824">
              <w:trPr>
                <w:cnfStyle w:val="100000000000" w:firstRow="1" w:lastRow="0" w:firstColumn="0" w:lastColumn="0" w:oddVBand="0" w:evenVBand="0" w:oddHBand="0" w:evenHBand="0" w:firstRowFirstColumn="0" w:firstRowLastColumn="0" w:lastRowFirstColumn="0" w:lastRowLastColumn="0"/>
                <w:trHeight w:val="1134"/>
              </w:trPr>
              <w:tc>
                <w:tcPr>
                  <w:cnfStyle w:val="001000000100" w:firstRow="0" w:lastRow="0" w:firstColumn="1" w:lastColumn="0" w:oddVBand="0" w:evenVBand="0" w:oddHBand="0" w:evenHBand="0" w:firstRowFirstColumn="1" w:firstRowLastColumn="0" w:lastRowFirstColumn="0" w:lastRowLastColumn="0"/>
                  <w:tcW w:w="484" w:type="dxa"/>
                  <w:textDirection w:val="btLr"/>
                  <w:vAlign w:val="center"/>
                </w:tcPr>
                <w:p w14:paraId="07D1138F" w14:textId="77777777" w:rsidR="00544DA5" w:rsidRPr="00AD7505" w:rsidRDefault="00544DA5" w:rsidP="00544DA5">
                  <w:pPr>
                    <w:pStyle w:val="Tabletext"/>
                    <w:keepNext w:val="0"/>
                    <w:ind w:left="113" w:right="113"/>
                    <w:jc w:val="center"/>
                    <w:rPr>
                      <w:rFonts w:asciiTheme="majorHAnsi" w:hAnsiTheme="majorHAnsi"/>
                      <w:b/>
                      <w:bCs/>
                    </w:rPr>
                  </w:pPr>
                  <w:r w:rsidRPr="00AD7505">
                    <w:rPr>
                      <w:b/>
                      <w:bCs/>
                    </w:rPr>
                    <w:t>Example</w:t>
                  </w:r>
                </w:p>
              </w:tc>
              <w:tc>
                <w:tcPr>
                  <w:tcW w:w="8202" w:type="dxa"/>
                  <w:shd w:val="clear" w:color="auto" w:fill="FFFFFF" w:themeFill="background1"/>
                  <w:vAlign w:val="center"/>
                </w:tcPr>
                <w:p w14:paraId="7AE7F6D0" w14:textId="6B892E32" w:rsidR="00544DA5" w:rsidRPr="00F3120C" w:rsidRDefault="00544DA5" w:rsidP="00BE7448">
                  <w:pPr>
                    <w:pStyle w:val="Tabletext"/>
                    <w:keepNext w:val="0"/>
                    <w:cnfStyle w:val="100000000000" w:firstRow="1" w:lastRow="0" w:firstColumn="0" w:lastColumn="0" w:oddVBand="0" w:evenVBand="0" w:oddHBand="0" w:evenHBand="0" w:firstRowFirstColumn="0" w:firstRowLastColumn="0" w:lastRowFirstColumn="0" w:lastRowLastColumn="0"/>
                  </w:pPr>
                  <w:r w:rsidRPr="00544DA5">
                    <w:t>In determining an individual’s suitability to hold a Working with Children permit, any criminal history will be relevant for consideration</w:t>
                  </w:r>
                  <w:r w:rsidR="00995680">
                    <w:t xml:space="preserve">. </w:t>
                  </w:r>
                </w:p>
              </w:tc>
            </w:tr>
          </w:tbl>
          <w:p w14:paraId="540D77C3" w14:textId="77777777" w:rsidR="00544DA5" w:rsidRDefault="00544DA5" w:rsidP="00AD7505">
            <w:pPr>
              <w:pStyle w:val="Spacer"/>
            </w:pPr>
          </w:p>
          <w:tbl>
            <w:tblPr>
              <w:tblStyle w:val="DTFtexttable"/>
              <w:tblW w:w="8686" w:type="dxa"/>
              <w:tblLayout w:type="fixed"/>
              <w:tblLook w:val="04A0" w:firstRow="1" w:lastRow="0" w:firstColumn="1" w:lastColumn="0" w:noHBand="0" w:noVBand="1"/>
            </w:tblPr>
            <w:tblGrid>
              <w:gridCol w:w="484"/>
              <w:gridCol w:w="8202"/>
            </w:tblGrid>
            <w:tr w:rsidR="00544DA5" w:rsidRPr="000357EF" w14:paraId="79A19806" w14:textId="77777777" w:rsidTr="00D13824">
              <w:trPr>
                <w:cnfStyle w:val="100000000000" w:firstRow="1" w:lastRow="0" w:firstColumn="0" w:lastColumn="0" w:oddVBand="0" w:evenVBand="0" w:oddHBand="0" w:evenHBand="0" w:firstRowFirstColumn="0" w:firstRowLastColumn="0" w:lastRowFirstColumn="0" w:lastRowLastColumn="0"/>
                <w:trHeight w:val="1134"/>
              </w:trPr>
              <w:tc>
                <w:tcPr>
                  <w:cnfStyle w:val="001000000100" w:firstRow="0" w:lastRow="0" w:firstColumn="1" w:lastColumn="0" w:oddVBand="0" w:evenVBand="0" w:oddHBand="0" w:evenHBand="0" w:firstRowFirstColumn="1" w:firstRowLastColumn="0" w:lastRowFirstColumn="0" w:lastRowLastColumn="0"/>
                  <w:tcW w:w="484" w:type="dxa"/>
                  <w:textDirection w:val="btLr"/>
                  <w:vAlign w:val="center"/>
                </w:tcPr>
                <w:p w14:paraId="766AA9C0" w14:textId="77777777" w:rsidR="00544DA5" w:rsidRPr="00AD7505" w:rsidRDefault="00544DA5" w:rsidP="00544DA5">
                  <w:pPr>
                    <w:pStyle w:val="Tabletext"/>
                    <w:keepNext w:val="0"/>
                    <w:ind w:left="113" w:right="113"/>
                    <w:jc w:val="center"/>
                    <w:rPr>
                      <w:rFonts w:asciiTheme="majorHAnsi" w:hAnsiTheme="majorHAnsi"/>
                      <w:b/>
                      <w:bCs/>
                    </w:rPr>
                  </w:pPr>
                  <w:r w:rsidRPr="00AD7505">
                    <w:rPr>
                      <w:b/>
                      <w:bCs/>
                    </w:rPr>
                    <w:t>Example</w:t>
                  </w:r>
                </w:p>
              </w:tc>
              <w:tc>
                <w:tcPr>
                  <w:tcW w:w="8202" w:type="dxa"/>
                  <w:shd w:val="clear" w:color="auto" w:fill="FFFFFF" w:themeFill="background1"/>
                  <w:vAlign w:val="center"/>
                </w:tcPr>
                <w:p w14:paraId="74FF1A51" w14:textId="5C2FB17D" w:rsidR="00544DA5" w:rsidRPr="00F3120C" w:rsidRDefault="00544DA5" w:rsidP="00BE7448">
                  <w:pPr>
                    <w:pStyle w:val="Tabletext"/>
                    <w:keepNext w:val="0"/>
                    <w:cnfStyle w:val="100000000000" w:firstRow="1" w:lastRow="0" w:firstColumn="0" w:lastColumn="0" w:oddVBand="0" w:evenVBand="0" w:oddHBand="0" w:evenHBand="0" w:firstRowFirstColumn="0" w:firstRowLastColumn="0" w:lastRowFirstColumn="0" w:lastRowLastColumn="0"/>
                  </w:pPr>
                  <w:r w:rsidRPr="00544DA5">
                    <w:t>When applying for registration as an architect, consideration may be given to whether in the last 5 years an applicant has committed an offence under any law regulating architectural services or architects.</w:t>
                  </w:r>
                </w:p>
              </w:tc>
            </w:tr>
          </w:tbl>
          <w:p w14:paraId="5975BB47" w14:textId="77777777" w:rsidR="00544DA5" w:rsidRDefault="00544DA5" w:rsidP="00AD7505">
            <w:pPr>
              <w:pStyle w:val="Spacer"/>
            </w:pPr>
          </w:p>
          <w:p w14:paraId="023F6332" w14:textId="07D9C876" w:rsidR="007A14DC" w:rsidRPr="005B6C1F" w:rsidRDefault="007A14DC" w:rsidP="00DF6454">
            <w:pPr>
              <w:rPr>
                <w:rFonts w:ascii="Arial" w:hAnsi="Arial" w:cs="Arial"/>
              </w:rPr>
            </w:pPr>
          </w:p>
        </w:tc>
      </w:tr>
    </w:tbl>
    <w:p w14:paraId="48BCB07F" w14:textId="77777777" w:rsidR="00D54E5D" w:rsidRPr="00560AC4" w:rsidRDefault="00D54E5D" w:rsidP="00AD7505"/>
    <w:p w14:paraId="167D0304" w14:textId="77777777" w:rsidR="00ED7A5C" w:rsidRPr="006138FF" w:rsidRDefault="00912F3F" w:rsidP="00DF6B40">
      <w:pPr>
        <w:pStyle w:val="Heading2numbered"/>
      </w:pPr>
      <w:bookmarkStart w:id="33" w:name="_Toc164848025"/>
      <w:bookmarkStart w:id="34" w:name="_Toc174538667"/>
      <w:bookmarkStart w:id="35" w:name="_Toc178780197"/>
      <w:r w:rsidRPr="006138FF">
        <w:t>Assessment of past regulatory compliance</w:t>
      </w:r>
      <w:bookmarkEnd w:id="33"/>
      <w:bookmarkEnd w:id="34"/>
      <w:bookmarkEnd w:id="35"/>
      <w:r w:rsidRPr="006138FF">
        <w:t xml:space="preserve"> </w:t>
      </w:r>
    </w:p>
    <w:p w14:paraId="4862B2AD" w14:textId="20D010C0" w:rsidR="007C753E" w:rsidRDefault="009F54D2" w:rsidP="006F7CFD">
      <w:r w:rsidRPr="00560AC4">
        <w:t xml:space="preserve">The applicant may be required to </w:t>
      </w:r>
      <w:r w:rsidR="008D6445">
        <w:t>disclose any h</w:t>
      </w:r>
      <w:r w:rsidRPr="00560AC4">
        <w:t>istory</w:t>
      </w:r>
      <w:r w:rsidR="00DE682C">
        <w:t xml:space="preserve"> of</w:t>
      </w:r>
      <w:r w:rsidRPr="00560AC4">
        <w:t xml:space="preserve"> </w:t>
      </w:r>
      <w:r w:rsidR="00BE7EE3">
        <w:t xml:space="preserve">non-compliance with an applicable </w:t>
      </w:r>
      <w:r w:rsidR="007C753E">
        <w:t>regulatory regime</w:t>
      </w:r>
      <w:r w:rsidRPr="00560AC4">
        <w:t>.</w:t>
      </w:r>
      <w:r w:rsidR="00ED7A5C" w:rsidRPr="00560AC4">
        <w:t xml:space="preserve"> </w:t>
      </w:r>
      <w:r w:rsidR="007C753E">
        <w:t>This may include, for example</w:t>
      </w:r>
      <w:r w:rsidR="00D71234">
        <w:t>, an assessment o</w:t>
      </w:r>
      <w:r w:rsidR="00F53BDA">
        <w:t xml:space="preserve">f compliance with the </w:t>
      </w:r>
      <w:r w:rsidR="006D6C90">
        <w:t>regulatory ecosystems which surround</w:t>
      </w:r>
      <w:r w:rsidR="007C753E">
        <w:t xml:space="preserve">: </w:t>
      </w:r>
    </w:p>
    <w:p w14:paraId="5D83D1F8" w14:textId="1D4595E8" w:rsidR="009B2791" w:rsidRPr="007C753E" w:rsidRDefault="00D34904" w:rsidP="006F7CFD">
      <w:pPr>
        <w:pStyle w:val="ListParagraph"/>
        <w:numPr>
          <w:ilvl w:val="0"/>
          <w:numId w:val="23"/>
        </w:numPr>
        <w:spacing w:before="0" w:line="240" w:lineRule="auto"/>
        <w:contextualSpacing w:val="0"/>
        <w:rPr>
          <w:rFonts w:cs="Arial"/>
        </w:rPr>
      </w:pPr>
      <w:r>
        <w:rPr>
          <w:rFonts w:cs="Arial"/>
        </w:rPr>
        <w:t>b</w:t>
      </w:r>
      <w:r w:rsidR="009B2791" w:rsidRPr="007C753E">
        <w:rPr>
          <w:rFonts w:cs="Arial"/>
        </w:rPr>
        <w:t>uilding licence</w:t>
      </w:r>
      <w:r w:rsidR="006D6C90">
        <w:rPr>
          <w:rFonts w:cs="Arial"/>
        </w:rPr>
        <w:t>s</w:t>
      </w:r>
      <w:r w:rsidR="009B2791" w:rsidRPr="007C753E">
        <w:rPr>
          <w:rFonts w:cs="Arial"/>
        </w:rPr>
        <w:t xml:space="preserve"> </w:t>
      </w:r>
      <w:r w:rsidR="006D6C90">
        <w:rPr>
          <w:rFonts w:cs="Arial"/>
        </w:rPr>
        <w:t>and</w:t>
      </w:r>
      <w:r w:rsidR="009B2791" w:rsidRPr="007C753E">
        <w:rPr>
          <w:rFonts w:cs="Arial"/>
        </w:rPr>
        <w:t xml:space="preserve"> development permit</w:t>
      </w:r>
      <w:r w:rsidR="006D6C90">
        <w:rPr>
          <w:rFonts w:cs="Arial"/>
        </w:rPr>
        <w:t>s</w:t>
      </w:r>
    </w:p>
    <w:p w14:paraId="41BEF31B" w14:textId="119494F0" w:rsidR="006C5606" w:rsidRDefault="00D34904" w:rsidP="006F7CFD">
      <w:pPr>
        <w:pStyle w:val="ListParagraph"/>
        <w:numPr>
          <w:ilvl w:val="0"/>
          <w:numId w:val="16"/>
        </w:numPr>
        <w:spacing w:before="0" w:line="240" w:lineRule="auto"/>
        <w:contextualSpacing w:val="0"/>
        <w:rPr>
          <w:rFonts w:cs="Arial"/>
        </w:rPr>
      </w:pPr>
      <w:r>
        <w:rPr>
          <w:rFonts w:cs="Arial"/>
        </w:rPr>
        <w:t>m</w:t>
      </w:r>
      <w:r w:rsidR="006D6C90">
        <w:rPr>
          <w:rFonts w:cs="Arial"/>
        </w:rPr>
        <w:t>ining licences</w:t>
      </w:r>
    </w:p>
    <w:p w14:paraId="582D2441" w14:textId="0C2282BF" w:rsidR="0022540C" w:rsidRPr="009B2791" w:rsidRDefault="00D34904" w:rsidP="006F7CFD">
      <w:pPr>
        <w:pStyle w:val="ListParagraph"/>
        <w:numPr>
          <w:ilvl w:val="0"/>
          <w:numId w:val="16"/>
        </w:numPr>
        <w:spacing w:before="0" w:line="240" w:lineRule="auto"/>
        <w:contextualSpacing w:val="0"/>
        <w:rPr>
          <w:rFonts w:cs="Arial"/>
        </w:rPr>
      </w:pPr>
      <w:r>
        <w:rPr>
          <w:rFonts w:cs="Arial"/>
        </w:rPr>
        <w:t>e</w:t>
      </w:r>
      <w:r w:rsidR="00B93613">
        <w:rPr>
          <w:rFonts w:cs="Arial"/>
        </w:rPr>
        <w:t>ligibility to provide education and care services</w:t>
      </w:r>
      <w:r w:rsidR="00567233">
        <w:rPr>
          <w:rFonts w:cs="Arial"/>
        </w:rPr>
        <w:t>,</w:t>
      </w:r>
      <w:r w:rsidR="006D6C90">
        <w:rPr>
          <w:rFonts w:cs="Arial"/>
        </w:rPr>
        <w:t xml:space="preserve"> or </w:t>
      </w:r>
    </w:p>
    <w:p w14:paraId="4928F7FC" w14:textId="22FE9EC6" w:rsidR="006D6C90" w:rsidRPr="009B2791" w:rsidRDefault="00D34904" w:rsidP="006F7CFD">
      <w:pPr>
        <w:pStyle w:val="ListParagraph"/>
        <w:numPr>
          <w:ilvl w:val="0"/>
          <w:numId w:val="16"/>
        </w:numPr>
        <w:spacing w:before="0" w:line="240" w:lineRule="auto"/>
        <w:contextualSpacing w:val="0"/>
        <w:rPr>
          <w:rFonts w:cs="Arial"/>
        </w:rPr>
      </w:pPr>
      <w:r>
        <w:rPr>
          <w:rFonts w:cs="Arial"/>
        </w:rPr>
        <w:t>e</w:t>
      </w:r>
      <w:r w:rsidR="006D6C90">
        <w:rPr>
          <w:rFonts w:cs="Arial"/>
        </w:rPr>
        <w:t xml:space="preserve">ligibility to work with children. </w:t>
      </w:r>
    </w:p>
    <w:p w14:paraId="05AF963D" w14:textId="77777777" w:rsidR="00C13CF9" w:rsidRPr="00820373" w:rsidRDefault="00C13CF9" w:rsidP="00820373">
      <w:pPr>
        <w:keepNext/>
        <w:rPr>
          <w:rFonts w:asciiTheme="majorHAnsi" w:hAnsiTheme="majorHAnsi"/>
        </w:rPr>
      </w:pPr>
      <w:r w:rsidRPr="00820373">
        <w:rPr>
          <w:rFonts w:asciiTheme="majorHAnsi" w:hAnsiTheme="majorHAnsi"/>
        </w:rPr>
        <w:lastRenderedPageBreak/>
        <w:t>[Policymakers should select the most appropriate option</w:t>
      </w:r>
      <w:r w:rsidRPr="00FD6D28">
        <w:rPr>
          <w:color w:val="C00000"/>
          <w:sz w:val="26"/>
          <w:szCs w:val="26"/>
        </w:rPr>
        <w:t>*</w:t>
      </w:r>
      <w:r w:rsidRPr="00820373">
        <w:rPr>
          <w:rFonts w:asciiTheme="majorHAnsi" w:hAnsiTheme="majorHAnsi"/>
        </w:rPr>
        <w:t>]</w:t>
      </w:r>
    </w:p>
    <w:tbl>
      <w:tblPr>
        <w:tblStyle w:val="TableGrid"/>
        <w:tblW w:w="0" w:type="auto"/>
        <w:tblLook w:val="04A0" w:firstRow="1" w:lastRow="0" w:firstColumn="1" w:lastColumn="0" w:noHBand="0" w:noVBand="1"/>
      </w:tblPr>
      <w:tblGrid>
        <w:gridCol w:w="8996"/>
      </w:tblGrid>
      <w:tr w:rsidR="00406DB0" w14:paraId="4DD1AA86" w14:textId="77777777" w:rsidTr="00416493">
        <w:tc>
          <w:tcPr>
            <w:tcW w:w="8996" w:type="dxa"/>
            <w:tcBorders>
              <w:top w:val="nil"/>
              <w:left w:val="nil"/>
              <w:bottom w:val="nil"/>
              <w:right w:val="nil"/>
            </w:tcBorders>
            <w:shd w:val="clear" w:color="auto" w:fill="F2F2F2" w:themeFill="background1" w:themeFillShade="F2"/>
          </w:tcPr>
          <w:p w14:paraId="53B8F23F" w14:textId="1507A59D" w:rsidR="00D30735" w:rsidRPr="00F50F5E" w:rsidRDefault="00406DB0" w:rsidP="00DF6B40">
            <w:pPr>
              <w:pStyle w:val="Heading4"/>
              <w:rPr>
                <w:bCs w:val="0"/>
              </w:rPr>
            </w:pPr>
            <w:r w:rsidRPr="004A3893">
              <w:t xml:space="preserve">Regulatory compliance </w:t>
            </w:r>
            <w:r w:rsidR="00D30735" w:rsidRPr="004A3893">
              <w:t>[for Provision A on</w:t>
            </w:r>
            <w:r w:rsidR="004F0960">
              <w:t xml:space="preserve"> page </w:t>
            </w:r>
            <w:r w:rsidR="00DE2B55">
              <w:t>9</w:t>
            </w:r>
            <w:r w:rsidR="00D30735" w:rsidRPr="004A3893">
              <w:t xml:space="preserve"> or Provision B o</w:t>
            </w:r>
            <w:r w:rsidR="004F0960">
              <w:t xml:space="preserve">n </w:t>
            </w:r>
            <w:r w:rsidR="00CE4B42">
              <w:t xml:space="preserve">page </w:t>
            </w:r>
            <w:r w:rsidR="007A6DC6">
              <w:t>1</w:t>
            </w:r>
            <w:r w:rsidR="00DE2B55">
              <w:t>0</w:t>
            </w:r>
            <w:r w:rsidR="00CE4B42">
              <w:t>]</w:t>
            </w:r>
          </w:p>
          <w:p w14:paraId="7F389737" w14:textId="4FE1AD13" w:rsidR="00406DB0" w:rsidRDefault="00406DB0" w:rsidP="00F50F5E">
            <w:pPr>
              <w:keepNext/>
            </w:pPr>
            <w:r w:rsidRPr="00BF338E">
              <w:t>If the applicant holds or has held a [</w:t>
            </w:r>
            <w:r w:rsidRPr="00BF338E">
              <w:rPr>
                <w:i/>
                <w:iCs/>
              </w:rPr>
              <w:t>licence, registration or exemption</w:t>
            </w:r>
            <w:r w:rsidRPr="00BF338E">
              <w:t xml:space="preserve">] (however described) issued or granted under this Act [or any previous corresponding enactment] or a law of another </w:t>
            </w:r>
            <w:r w:rsidRPr="00BF338E" w:rsidDel="00672375">
              <w:t>S</w:t>
            </w:r>
            <w:r w:rsidRPr="00BF338E">
              <w:t>tate,</w:t>
            </w:r>
            <w:r w:rsidRPr="00BF338E" w:rsidDel="00AB27E5">
              <w:t xml:space="preserve"> a</w:t>
            </w:r>
            <w:r w:rsidRPr="00BF338E">
              <w:t xml:space="preserve"> </w:t>
            </w:r>
            <w:r w:rsidRPr="00BF338E" w:rsidDel="00943141">
              <w:t>T</w:t>
            </w:r>
            <w:r w:rsidRPr="00BF338E">
              <w:t>erritory or the Commonwealth that the Regulator considers to be the equivalent of a [</w:t>
            </w:r>
            <w:r w:rsidRPr="00BF338E">
              <w:rPr>
                <w:i/>
                <w:iCs/>
              </w:rPr>
              <w:t>licence, registration or exemption</w:t>
            </w:r>
            <w:r w:rsidRPr="00BF338E">
              <w:t>], the Regulator [</w:t>
            </w:r>
            <w:r w:rsidRPr="00BF338E">
              <w:rPr>
                <w:i/>
                <w:iCs/>
              </w:rPr>
              <w:t>must/may</w:t>
            </w:r>
            <w:r w:rsidRPr="00BF338E">
              <w:t>] consider whether</w:t>
            </w:r>
            <w:r w:rsidRPr="00BF338E" w:rsidDel="00570C9A">
              <w:t>...</w:t>
            </w:r>
          </w:p>
          <w:p w14:paraId="43BA6381" w14:textId="5B8E0ABA" w:rsidR="00D73591" w:rsidRPr="00D73591" w:rsidRDefault="00D73591" w:rsidP="00D73591">
            <w:pPr>
              <w:pStyle w:val="NormalIndent"/>
              <w:numPr>
                <w:ilvl w:val="0"/>
                <w:numId w:val="47"/>
              </w:numPr>
              <w:spacing w:before="60" w:after="60"/>
              <w:ind w:left="518" w:hanging="144"/>
              <w:contextualSpacing/>
              <w:rPr>
                <w:rFonts w:cs="Arial"/>
              </w:rPr>
            </w:pPr>
            <w:r w:rsidRPr="00D73591">
              <w:rPr>
                <w:rFonts w:cs="Arial"/>
              </w:rPr>
              <w:t>within [</w:t>
            </w:r>
            <w:r w:rsidRPr="00D73591">
              <w:rPr>
                <w:rFonts w:cs="Arial"/>
                <w:i/>
                <w:iCs/>
              </w:rPr>
              <w:t>number</w:t>
            </w:r>
            <w:r w:rsidRPr="00CB4E9D">
              <w:rPr>
                <w:rFonts w:cs="Arial"/>
              </w:rPr>
              <w:t>] years before the application</w:t>
            </w:r>
            <w:r w:rsidRPr="00D73591">
              <w:t>—</w:t>
            </w:r>
          </w:p>
          <w:p w14:paraId="608823FA" w14:textId="7F41EFE6" w:rsidR="00D73591" w:rsidRPr="00425931" w:rsidRDefault="00D73591" w:rsidP="00D73591">
            <w:pPr>
              <w:pStyle w:val="NormalIndent"/>
              <w:numPr>
                <w:ilvl w:val="0"/>
                <w:numId w:val="47"/>
              </w:numPr>
              <w:spacing w:before="60" w:after="60"/>
              <w:ind w:left="518" w:hanging="144"/>
              <w:contextualSpacing/>
              <w:rPr>
                <w:rFonts w:cs="Arial"/>
              </w:rPr>
            </w:pPr>
            <w:r>
              <w:rPr>
                <w:rFonts w:cs="Arial"/>
              </w:rPr>
              <w:t>at any time</w:t>
            </w:r>
            <w:r w:rsidRPr="00D73591">
              <w:t>—</w:t>
            </w:r>
          </w:p>
          <w:p w14:paraId="0036BE5D" w14:textId="2431E598" w:rsidR="00406DB0" w:rsidRPr="00333793" w:rsidRDefault="00406DB0" w:rsidP="006F7CFD">
            <w:pPr>
              <w:pStyle w:val="ListParagraph"/>
              <w:numPr>
                <w:ilvl w:val="0"/>
                <w:numId w:val="13"/>
              </w:numPr>
              <w:rPr>
                <w:rFonts w:cs="Arial"/>
              </w:rPr>
            </w:pPr>
            <w:r>
              <w:t>the</w:t>
            </w:r>
            <w:r>
              <w:rPr>
                <w:rFonts w:cs="Arial"/>
              </w:rPr>
              <w:t xml:space="preserve"> applicant has contravened that </w:t>
            </w:r>
            <w:r w:rsidRPr="00333793">
              <w:rPr>
                <w:rFonts w:cs="Arial"/>
              </w:rPr>
              <w:t>[</w:t>
            </w:r>
            <w:r w:rsidRPr="00333793">
              <w:rPr>
                <w:rFonts w:cs="Arial"/>
                <w:i/>
                <w:iCs/>
              </w:rPr>
              <w:t>licence, registration or exemption</w:t>
            </w:r>
            <w:r w:rsidRPr="00333793">
              <w:rPr>
                <w:rFonts w:cs="Arial"/>
              </w:rPr>
              <w:t>]</w:t>
            </w:r>
            <w:r w:rsidRPr="00333793" w:rsidDel="00E42ADE">
              <w:rPr>
                <w:rFonts w:cs="Arial"/>
              </w:rPr>
              <w:t>;</w:t>
            </w:r>
            <w:r w:rsidRPr="00333793" w:rsidDel="00E33FCB">
              <w:rPr>
                <w:rFonts w:cs="Arial"/>
              </w:rPr>
              <w:t xml:space="preserve"> or</w:t>
            </w:r>
          </w:p>
          <w:p w14:paraId="4F31B1E1" w14:textId="4A6F4913" w:rsidR="00406DB0" w:rsidRPr="00333793" w:rsidRDefault="00406DB0" w:rsidP="006F7CFD">
            <w:pPr>
              <w:pStyle w:val="ListParagraph"/>
              <w:numPr>
                <w:ilvl w:val="0"/>
                <w:numId w:val="13"/>
              </w:numPr>
              <w:rPr>
                <w:rFonts w:cs="Arial"/>
              </w:rPr>
            </w:pPr>
            <w:r w:rsidRPr="00333793">
              <w:rPr>
                <w:rFonts w:cs="Arial"/>
              </w:rPr>
              <w:t>[</w:t>
            </w:r>
            <w:r w:rsidRPr="00333793">
              <w:rPr>
                <w:rFonts w:cs="Arial"/>
                <w:i/>
                <w:iCs/>
              </w:rPr>
              <w:t>that licence, registration or exemption</w:t>
            </w:r>
            <w:r w:rsidRPr="00333793">
              <w:rPr>
                <w:rFonts w:cs="Arial"/>
              </w:rPr>
              <w:t>] is or was suspended</w:t>
            </w:r>
            <w:r w:rsidRPr="00333793" w:rsidDel="00E42ADE">
              <w:rPr>
                <w:rFonts w:cs="Arial"/>
              </w:rPr>
              <w:t>;</w:t>
            </w:r>
            <w:r w:rsidRPr="00333793" w:rsidDel="00E33FCB">
              <w:rPr>
                <w:rFonts w:cs="Arial"/>
              </w:rPr>
              <w:t xml:space="preserve"> or</w:t>
            </w:r>
          </w:p>
          <w:p w14:paraId="4081D224" w14:textId="0990164E" w:rsidR="00406DB0" w:rsidRPr="00333793" w:rsidRDefault="00406DB0" w:rsidP="006F7CFD">
            <w:pPr>
              <w:pStyle w:val="ListParagraph"/>
              <w:numPr>
                <w:ilvl w:val="0"/>
                <w:numId w:val="13"/>
              </w:numPr>
              <w:rPr>
                <w:rFonts w:cs="Arial"/>
              </w:rPr>
            </w:pPr>
            <w:r w:rsidRPr="00333793">
              <w:rPr>
                <w:rFonts w:cs="Arial"/>
              </w:rPr>
              <w:t>that [</w:t>
            </w:r>
            <w:r w:rsidRPr="00333793">
              <w:rPr>
                <w:rFonts w:cs="Arial"/>
                <w:i/>
                <w:iCs/>
              </w:rPr>
              <w:t>licence, registration or exemption</w:t>
            </w:r>
            <w:r w:rsidRPr="00333793">
              <w:rPr>
                <w:rFonts w:cs="Arial"/>
              </w:rPr>
              <w:t>] is or was revoked</w:t>
            </w:r>
            <w:r w:rsidRPr="00333793" w:rsidDel="00E42ADE">
              <w:rPr>
                <w:rFonts w:cs="Arial"/>
              </w:rPr>
              <w:t>;</w:t>
            </w:r>
            <w:r w:rsidR="00CB4E9D">
              <w:rPr>
                <w:rFonts w:cs="Arial"/>
              </w:rPr>
              <w:t xml:space="preserve"> or</w:t>
            </w:r>
          </w:p>
          <w:p w14:paraId="3D179C3D" w14:textId="1F417231" w:rsidR="00406DB0" w:rsidRPr="00406DB0" w:rsidRDefault="00406DB0" w:rsidP="006F7CFD">
            <w:pPr>
              <w:pStyle w:val="ListParagraph"/>
              <w:numPr>
                <w:ilvl w:val="0"/>
                <w:numId w:val="13"/>
              </w:numPr>
              <w:spacing w:after="240"/>
              <w:rPr>
                <w:rFonts w:cs="Arial"/>
              </w:rPr>
            </w:pPr>
            <w:r w:rsidRPr="00333793">
              <w:rPr>
                <w:rFonts w:cs="Arial"/>
              </w:rPr>
              <w:t>the applicant contravened the prescribed requirements.</w:t>
            </w:r>
          </w:p>
        </w:tc>
      </w:tr>
    </w:tbl>
    <w:p w14:paraId="6BA90E55" w14:textId="77777777" w:rsidR="00647DB9" w:rsidRDefault="00647DB9" w:rsidP="000138BD">
      <w:pPr>
        <w:pStyle w:val="Spacer"/>
      </w:pPr>
    </w:p>
    <w:p w14:paraId="7D5A1B47" w14:textId="6FCB7735" w:rsidR="00E92BD8" w:rsidRDefault="00774240" w:rsidP="006F7CFD">
      <w:r>
        <w:t>Policymakers</w:t>
      </w:r>
      <w:r w:rsidR="000F6C7B">
        <w:t xml:space="preserve"> should consider best practice principles in determining </w:t>
      </w:r>
      <w:r w:rsidR="000F6C7B" w:rsidRPr="00FD27A0">
        <w:t xml:space="preserve">the preceding </w:t>
      </w:r>
      <w:proofErr w:type="gramStart"/>
      <w:r w:rsidR="000F6C7B" w:rsidRPr="00FD27A0">
        <w:t>time period</w:t>
      </w:r>
      <w:proofErr w:type="gramEnd"/>
      <w:r w:rsidR="000F6C7B" w:rsidRPr="00FD27A0">
        <w:t xml:space="preserve"> in which an applicant is required to disclose relevant disqualifications, bans or p</w:t>
      </w:r>
      <w:r w:rsidR="000F6C7B">
        <w:t>rohibitions</w:t>
      </w:r>
      <w:r w:rsidR="000F6C7B" w:rsidRPr="00FD27A0">
        <w:t>.</w:t>
      </w:r>
    </w:p>
    <w:tbl>
      <w:tblPr>
        <w:tblStyle w:val="DTFtexttable"/>
        <w:tblW w:w="9026" w:type="dxa"/>
        <w:tblLayout w:type="fixed"/>
        <w:tblLook w:val="04A0" w:firstRow="1" w:lastRow="0" w:firstColumn="1" w:lastColumn="0" w:noHBand="0" w:noVBand="1"/>
      </w:tblPr>
      <w:tblGrid>
        <w:gridCol w:w="720"/>
        <w:gridCol w:w="1440"/>
        <w:gridCol w:w="6866"/>
      </w:tblGrid>
      <w:tr w:rsidR="000F2EDB" w:rsidRPr="000357EF" w14:paraId="63AC1469" w14:textId="77777777" w:rsidTr="005168C5">
        <w:trPr>
          <w:cnfStyle w:val="100000000000" w:firstRow="1" w:lastRow="0" w:firstColumn="0" w:lastColumn="0" w:oddVBand="0" w:evenVBand="0" w:oddHBand="0" w:evenHBand="0" w:firstRowFirstColumn="0" w:firstRowLastColumn="0" w:lastRowFirstColumn="0" w:lastRowLastColumn="0"/>
          <w:trHeight w:val="946"/>
        </w:trPr>
        <w:tc>
          <w:tcPr>
            <w:cnfStyle w:val="001000000100" w:firstRow="0" w:lastRow="0" w:firstColumn="1" w:lastColumn="0" w:oddVBand="0" w:evenVBand="0" w:oddHBand="0" w:evenHBand="0" w:firstRowFirstColumn="1" w:firstRowLastColumn="0" w:lastRowFirstColumn="0" w:lastRowLastColumn="0"/>
            <w:tcW w:w="720" w:type="dxa"/>
            <w:vAlign w:val="center"/>
          </w:tcPr>
          <w:p w14:paraId="252C72E7" w14:textId="0BD8B89D" w:rsidR="000F2EDB" w:rsidRPr="000357EF" w:rsidRDefault="000F2EDB" w:rsidP="000138BD">
            <w:pPr>
              <w:keepNext w:val="0"/>
              <w:spacing w:before="240"/>
              <w:contextualSpacing/>
              <w:rPr>
                <w:rFonts w:ascii="Arial" w:hAnsi="Arial" w:cs="Arial"/>
                <w:b/>
                <w:bCs/>
                <w:sz w:val="18"/>
                <w:szCs w:val="18"/>
              </w:rPr>
            </w:pPr>
            <w:r w:rsidRPr="00646ED8">
              <w:rPr>
                <w:rFonts w:ascii="Arial" w:hAnsi="Arial" w:cs="Arial"/>
                <w:b/>
                <w:bCs/>
                <w:noProof/>
                <w:sz w:val="18"/>
                <w:szCs w:val="18"/>
              </w:rPr>
              <w:drawing>
                <wp:inline distT="0" distB="0" distL="0" distR="0" wp14:anchorId="142F2180" wp14:editId="6F24E365">
                  <wp:extent cx="347472" cy="347472"/>
                  <wp:effectExtent l="0" t="0" r="0" b="0"/>
                  <wp:docPr id="1216970775" name="Graphic 1216970775" descr="Magnifying glass with solid fill">
                    <a:extLst xmlns:a="http://schemas.openxmlformats.org/drawingml/2006/main">
                      <a:ext uri="{FF2B5EF4-FFF2-40B4-BE49-F238E27FC236}">
                        <a16:creationId xmlns:a16="http://schemas.microsoft.com/office/drawing/2014/main" id="{BE99A7E1-F806-AB04-29D2-AC7223C417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4" descr="Magnifying glass with solid fill">
                            <a:extLst>
                              <a:ext uri="{FF2B5EF4-FFF2-40B4-BE49-F238E27FC236}">
                                <a16:creationId xmlns:a16="http://schemas.microsoft.com/office/drawing/2014/main" id="{BE99A7E1-F806-AB04-29D2-AC7223C417B8}"/>
                              </a:ext>
                            </a:extLst>
                          </pic:cNvPr>
                          <pic:cNvPicPr>
                            <a:picLocks noChangeAspect="1"/>
                          </pic:cNvPicPr>
                        </pic:nvPicPr>
                        <pic:blipFill>
                          <a:blip r:embed="rId33">
                            <a:extLst>
                              <a:ext uri="{96DAC541-7B7A-43D3-8B79-37D633B846F1}">
                                <asvg:svgBlip xmlns:asvg="http://schemas.microsoft.com/office/drawing/2016/SVG/main" r:embed="rId34"/>
                              </a:ext>
                            </a:extLst>
                          </a:blip>
                          <a:stretch>
                            <a:fillRect/>
                          </a:stretch>
                        </pic:blipFill>
                        <pic:spPr>
                          <a:xfrm>
                            <a:off x="0" y="0"/>
                            <a:ext cx="347472" cy="347472"/>
                          </a:xfrm>
                          <a:prstGeom prst="rect">
                            <a:avLst/>
                          </a:prstGeom>
                        </pic:spPr>
                      </pic:pic>
                    </a:graphicData>
                  </a:graphic>
                </wp:inline>
              </w:drawing>
            </w:r>
          </w:p>
        </w:tc>
        <w:tc>
          <w:tcPr>
            <w:tcW w:w="1440" w:type="dxa"/>
            <w:vAlign w:val="center"/>
          </w:tcPr>
          <w:p w14:paraId="3540CC68" w14:textId="6561159F" w:rsidR="000F2EDB" w:rsidRPr="00BE7448" w:rsidRDefault="000F2EDB" w:rsidP="000138BD">
            <w:pPr>
              <w:pStyle w:val="Tabletext"/>
              <w:keepNext w:val="0"/>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0138BD">
              <w:rPr>
                <w:rFonts w:asciiTheme="majorHAnsi" w:hAnsiTheme="majorHAnsi"/>
              </w:rPr>
              <w:t xml:space="preserve">Proportionality </w:t>
            </w:r>
            <w:r w:rsidRPr="00BE7448">
              <w:rPr>
                <w:rFonts w:asciiTheme="majorHAnsi" w:hAnsiTheme="majorHAnsi"/>
              </w:rPr>
              <w:t>in practice</w:t>
            </w:r>
          </w:p>
        </w:tc>
        <w:tc>
          <w:tcPr>
            <w:tcW w:w="6866" w:type="dxa"/>
            <w:shd w:val="clear" w:color="auto" w:fill="auto"/>
          </w:tcPr>
          <w:p w14:paraId="44430E44" w14:textId="77777777" w:rsidR="006B405B" w:rsidRPr="004C168A" w:rsidRDefault="006B405B" w:rsidP="006B405B">
            <w:pPr>
              <w:pStyle w:val="Tabletext"/>
              <w:cnfStyle w:val="100000000000" w:firstRow="1" w:lastRow="0" w:firstColumn="0" w:lastColumn="0" w:oddVBand="0" w:evenVBand="0" w:oddHBand="0" w:evenHBand="0" w:firstRowFirstColumn="0" w:firstRowLastColumn="0" w:lastRowFirstColumn="0" w:lastRowLastColumn="0"/>
            </w:pPr>
            <w:r w:rsidRPr="004C168A">
              <w:t xml:space="preserve">The length of time in which an applicant’s past regulatory compliance may be considered should be determined with reference to: </w:t>
            </w:r>
          </w:p>
          <w:p w14:paraId="5B87190C" w14:textId="77777777" w:rsidR="006B405B" w:rsidRPr="004C168A" w:rsidRDefault="006B405B" w:rsidP="006B405B">
            <w:pPr>
              <w:pStyle w:val="Tablebullet"/>
              <w:cnfStyle w:val="100000000000" w:firstRow="1" w:lastRow="0" w:firstColumn="0" w:lastColumn="0" w:oddVBand="0" w:evenVBand="0" w:oddHBand="0" w:evenHBand="0" w:firstRowFirstColumn="0" w:firstRowLastColumn="0" w:lastRowFirstColumn="0" w:lastRowLastColumn="0"/>
            </w:pPr>
            <w:r w:rsidRPr="004C168A">
              <w:t xml:space="preserve">the seriousness and relevance of the conduct which resulted in the non-compliance </w:t>
            </w:r>
          </w:p>
          <w:p w14:paraId="68D8D319" w14:textId="77777777" w:rsidR="006B405B" w:rsidRPr="004C168A" w:rsidRDefault="006B405B" w:rsidP="006B405B">
            <w:pPr>
              <w:pStyle w:val="Tablebullet"/>
              <w:cnfStyle w:val="100000000000" w:firstRow="1" w:lastRow="0" w:firstColumn="0" w:lastColumn="0" w:oddVBand="0" w:evenVBand="0" w:oddHBand="0" w:evenHBand="0" w:firstRowFirstColumn="0" w:firstRowLastColumn="0" w:lastRowFirstColumn="0" w:lastRowLastColumn="0"/>
            </w:pPr>
            <w:r w:rsidRPr="004C168A">
              <w:t>the nature of the licence or permission for which the applicant is applying</w:t>
            </w:r>
          </w:p>
          <w:p w14:paraId="61275BF1" w14:textId="77777777" w:rsidR="006B405B" w:rsidRPr="004C168A" w:rsidRDefault="006B405B" w:rsidP="006B405B">
            <w:pPr>
              <w:pStyle w:val="Tablebullet"/>
              <w:cnfStyle w:val="100000000000" w:firstRow="1" w:lastRow="0" w:firstColumn="0" w:lastColumn="0" w:oddVBand="0" w:evenVBand="0" w:oddHBand="0" w:evenHBand="0" w:firstRowFirstColumn="0" w:firstRowLastColumn="0" w:lastRowFirstColumn="0" w:lastRowLastColumn="0"/>
            </w:pPr>
            <w:r w:rsidRPr="004C168A">
              <w:t xml:space="preserve">any legislated timeframes for which such non-compliance(s) can be considered relevant (e.g. 5 years), and </w:t>
            </w:r>
          </w:p>
          <w:p w14:paraId="5793FF0A" w14:textId="1DC56093" w:rsidR="000F2EDB" w:rsidRPr="006B405B" w:rsidRDefault="006B405B" w:rsidP="000138BD">
            <w:pPr>
              <w:pStyle w:val="Tablebullet"/>
              <w:cnfStyle w:val="100000000000" w:firstRow="1" w:lastRow="0" w:firstColumn="0" w:lastColumn="0" w:oddVBand="0" w:evenVBand="0" w:oddHBand="0" w:evenHBand="0" w:firstRowFirstColumn="0" w:firstRowLastColumn="0" w:lastRowFirstColumn="0" w:lastRowLastColumn="0"/>
            </w:pPr>
            <w:r w:rsidRPr="004C168A">
              <w:t xml:space="preserve">compliance with the </w:t>
            </w:r>
            <w:r w:rsidRPr="004C168A">
              <w:rPr>
                <w:i/>
                <w:iCs/>
              </w:rPr>
              <w:t>Spent Convictions Act 2021</w:t>
            </w:r>
            <w:r w:rsidRPr="004C168A">
              <w:t xml:space="preserve"> (where relevant).</w:t>
            </w:r>
          </w:p>
        </w:tc>
      </w:tr>
    </w:tbl>
    <w:p w14:paraId="223B9069" w14:textId="4D94A0FC" w:rsidR="00BD79BF" w:rsidRPr="000138BD" w:rsidRDefault="00BD79BF" w:rsidP="006B405B">
      <w:pPr>
        <w:pStyle w:val="Heading2numbered"/>
      </w:pPr>
      <w:bookmarkStart w:id="36" w:name="_Toc178778674"/>
      <w:bookmarkStart w:id="37" w:name="_Toc178778776"/>
      <w:bookmarkStart w:id="38" w:name="_Toc178780198"/>
      <w:bookmarkStart w:id="39" w:name="_Toc164848031"/>
      <w:bookmarkStart w:id="40" w:name="_Toc174538668"/>
      <w:bookmarkStart w:id="41" w:name="_Toc178780207"/>
      <w:bookmarkEnd w:id="36"/>
      <w:bookmarkEnd w:id="37"/>
      <w:bookmarkEnd w:id="38"/>
      <w:r w:rsidRPr="000138BD">
        <w:t>Outcomes of previous permissions</w:t>
      </w:r>
      <w:bookmarkEnd w:id="39"/>
      <w:bookmarkEnd w:id="40"/>
      <w:bookmarkEnd w:id="41"/>
      <w:r w:rsidRPr="000138BD">
        <w:t xml:space="preserve"> </w:t>
      </w:r>
    </w:p>
    <w:p w14:paraId="6B980E15" w14:textId="3994F258" w:rsidR="00D72179" w:rsidRDefault="00EB03C4" w:rsidP="006B405B">
      <w:r w:rsidRPr="00EE0B93">
        <w:t>An applicant may be required to disclose the outcomes of</w:t>
      </w:r>
      <w:r w:rsidR="00454529">
        <w:t xml:space="preserve"> previous</w:t>
      </w:r>
      <w:r w:rsidRPr="00EE0B93">
        <w:t xml:space="preserve"> applications for a licence or permission</w:t>
      </w:r>
      <w:r w:rsidR="00454529">
        <w:t xml:space="preserve">. This may be </w:t>
      </w:r>
      <w:r w:rsidR="009F02A6">
        <w:t xml:space="preserve">relevant </w:t>
      </w:r>
      <w:r w:rsidRPr="00EE0B93">
        <w:t xml:space="preserve">where </w:t>
      </w:r>
      <w:r w:rsidR="00F34976" w:rsidRPr="00EE0B93">
        <w:t xml:space="preserve">there is a likelihood of harm or risk arising where that applicant has </w:t>
      </w:r>
      <w:r w:rsidR="00EE0B93" w:rsidRPr="00EE0B93">
        <w:t xml:space="preserve">previously been deemed to be unsuitable to carry out the relevant activity. </w:t>
      </w:r>
    </w:p>
    <w:tbl>
      <w:tblPr>
        <w:tblStyle w:val="DTFtexttable"/>
        <w:tblW w:w="9000" w:type="dxa"/>
        <w:tblLayout w:type="fixed"/>
        <w:tblLook w:val="04A0" w:firstRow="1" w:lastRow="0" w:firstColumn="1" w:lastColumn="0" w:noHBand="0" w:noVBand="1"/>
      </w:tblPr>
      <w:tblGrid>
        <w:gridCol w:w="540"/>
        <w:gridCol w:w="8460"/>
      </w:tblGrid>
      <w:tr w:rsidR="0026049D" w:rsidRPr="000357EF" w14:paraId="0D7652B8" w14:textId="77777777">
        <w:trPr>
          <w:cnfStyle w:val="100000000000" w:firstRow="1" w:lastRow="0" w:firstColumn="0" w:lastColumn="0" w:oddVBand="0" w:evenVBand="0" w:oddHBand="0" w:evenHBand="0" w:firstRowFirstColumn="0" w:firstRowLastColumn="0" w:lastRowFirstColumn="0" w:lastRowLastColumn="0"/>
          <w:trHeight w:val="1134"/>
        </w:trPr>
        <w:tc>
          <w:tcPr>
            <w:cnfStyle w:val="001000000100" w:firstRow="0" w:lastRow="0" w:firstColumn="1" w:lastColumn="0" w:oddVBand="0" w:evenVBand="0" w:oddHBand="0" w:evenHBand="0" w:firstRowFirstColumn="1" w:firstRowLastColumn="0" w:lastRowFirstColumn="0" w:lastRowLastColumn="0"/>
            <w:tcW w:w="540" w:type="dxa"/>
            <w:textDirection w:val="btLr"/>
            <w:vAlign w:val="center"/>
          </w:tcPr>
          <w:p w14:paraId="22751F9F" w14:textId="77777777" w:rsidR="0026049D" w:rsidRPr="000138BD" w:rsidRDefault="0026049D">
            <w:pPr>
              <w:pStyle w:val="Tabletext"/>
              <w:keepNext w:val="0"/>
              <w:ind w:left="113" w:right="113"/>
              <w:jc w:val="center"/>
              <w:rPr>
                <w:rFonts w:asciiTheme="majorHAnsi" w:hAnsiTheme="majorHAnsi"/>
                <w:b/>
                <w:bCs/>
              </w:rPr>
            </w:pPr>
            <w:r w:rsidRPr="000138BD">
              <w:rPr>
                <w:b/>
                <w:bCs/>
              </w:rPr>
              <w:t>Example</w:t>
            </w:r>
          </w:p>
        </w:tc>
        <w:tc>
          <w:tcPr>
            <w:tcW w:w="8460" w:type="dxa"/>
            <w:shd w:val="clear" w:color="auto" w:fill="FFFFFF" w:themeFill="background1"/>
          </w:tcPr>
          <w:p w14:paraId="3DFF9D8E" w14:textId="77777777" w:rsidR="0026049D" w:rsidRPr="0026049D" w:rsidRDefault="0026049D" w:rsidP="0026049D">
            <w:pPr>
              <w:pStyle w:val="Tabletext"/>
              <w:cnfStyle w:val="100000000000" w:firstRow="1" w:lastRow="0" w:firstColumn="0" w:lastColumn="0" w:oddVBand="0" w:evenVBand="0" w:oddHBand="0" w:evenHBand="0" w:firstRowFirstColumn="0" w:firstRowLastColumn="0" w:lastRowFirstColumn="0" w:lastRowLastColumn="0"/>
            </w:pPr>
            <w:r w:rsidRPr="0026049D">
              <w:t xml:space="preserve">When applying for a Working with Children’s Check in Victoria, an applicant may be required to disclose the outcomes of previous applications in other Australian states and territories. </w:t>
            </w:r>
          </w:p>
          <w:p w14:paraId="024ADFBF" w14:textId="124C2FE6" w:rsidR="0026049D" w:rsidRPr="00F3120C" w:rsidRDefault="0026049D" w:rsidP="000138BD">
            <w:pPr>
              <w:pStyle w:val="Tabletext"/>
              <w:cnfStyle w:val="100000000000" w:firstRow="1" w:lastRow="0" w:firstColumn="0" w:lastColumn="0" w:oddVBand="0" w:evenVBand="0" w:oddHBand="0" w:evenHBand="0" w:firstRowFirstColumn="0" w:firstRowLastColumn="0" w:lastRowFirstColumn="0" w:lastRowLastColumn="0"/>
            </w:pPr>
            <w:r w:rsidRPr="004C168A">
              <w:t>This is because information which led to an adverse finding in those jurisdictions may be relevant in assessing the applicant’s suitability in Victoria, when concerning a high-risk environment (i.e. working with children).</w:t>
            </w:r>
          </w:p>
        </w:tc>
      </w:tr>
    </w:tbl>
    <w:p w14:paraId="7D044734" w14:textId="77777777" w:rsidR="00DE70F6" w:rsidRPr="00EE0B93" w:rsidRDefault="00DE70F6" w:rsidP="000138BD">
      <w:pPr>
        <w:pStyle w:val="Spacer"/>
      </w:pPr>
    </w:p>
    <w:p w14:paraId="5975347E" w14:textId="60EE6EC9" w:rsidR="00EE0B93" w:rsidRPr="00EE0B93" w:rsidRDefault="00EE0B93" w:rsidP="000138BD">
      <w:r w:rsidRPr="00EE0B93">
        <w:lastRenderedPageBreak/>
        <w:t>To in</w:t>
      </w:r>
      <w:r w:rsidRPr="006F7CFD">
        <w:t xml:space="preserve">clude this requirement, </w:t>
      </w:r>
      <w:r w:rsidR="1A61A12E" w:rsidRPr="006F7CFD">
        <w:t>policymakers</w:t>
      </w:r>
      <w:r w:rsidRPr="006F7CFD">
        <w:t xml:space="preserve"> may seek to add a paragraph to the model provision provi</w:t>
      </w:r>
      <w:r w:rsidRPr="007A61D1">
        <w:t xml:space="preserve">ded by OCPC above. </w:t>
      </w:r>
      <w:r w:rsidR="1313601C" w:rsidRPr="2EDF6A22">
        <w:t>Policymaker</w:t>
      </w:r>
      <w:r w:rsidRPr="2EDF6A22">
        <w:t>s</w:t>
      </w:r>
      <w:r w:rsidRPr="007A61D1">
        <w:t xml:space="preserve"> should always engage with OCPC to ensure their intended provisions are appropriate and fit</w:t>
      </w:r>
      <w:r w:rsidR="00E6104D">
        <w:t xml:space="preserve"> </w:t>
      </w:r>
      <w:r w:rsidRPr="007A61D1">
        <w:t>for</w:t>
      </w:r>
      <w:r w:rsidR="00E6104D">
        <w:t xml:space="preserve"> </w:t>
      </w:r>
      <w:r w:rsidRPr="007A61D1">
        <w:t>purpose</w:t>
      </w:r>
      <w:r w:rsidR="00FB7298">
        <w:t>. Policymakers should also seek</w:t>
      </w:r>
      <w:r w:rsidR="006F6264">
        <w:t xml:space="preserve"> legal advice where necessary</w:t>
      </w:r>
      <w:r w:rsidRPr="007A61D1">
        <w:t>.</w:t>
      </w:r>
    </w:p>
    <w:p w14:paraId="78BB5830" w14:textId="4F47C4DA" w:rsidR="00E80A6E" w:rsidRPr="000138BD" w:rsidRDefault="00D72179" w:rsidP="0026049D">
      <w:pPr>
        <w:pStyle w:val="Heading2numbered"/>
        <w:rPr>
          <w:rStyle w:val="Heading3Char"/>
          <w:bCs/>
          <w:sz w:val="28"/>
          <w:szCs w:val="26"/>
        </w:rPr>
      </w:pPr>
      <w:bookmarkStart w:id="42" w:name="_Toc164848032"/>
      <w:bookmarkStart w:id="43" w:name="_Toc174538669"/>
      <w:bookmarkStart w:id="44" w:name="_Toc178780208"/>
      <w:r w:rsidRPr="000138BD">
        <w:rPr>
          <w:rStyle w:val="Heading3Char"/>
          <w:bCs/>
          <w:sz w:val="28"/>
          <w:szCs w:val="26"/>
        </w:rPr>
        <w:t>Disqualifications, bans and prohibitions</w:t>
      </w:r>
      <w:bookmarkEnd w:id="42"/>
      <w:bookmarkEnd w:id="43"/>
      <w:bookmarkEnd w:id="44"/>
      <w:r w:rsidRPr="000138BD">
        <w:rPr>
          <w:rStyle w:val="Heading3Char"/>
          <w:bCs/>
          <w:sz w:val="28"/>
          <w:szCs w:val="26"/>
        </w:rPr>
        <w:t xml:space="preserve"> </w:t>
      </w:r>
    </w:p>
    <w:p w14:paraId="6803A9A2" w14:textId="0D38C0A3" w:rsidR="005316FD" w:rsidRPr="00560AC4" w:rsidRDefault="000A7E18" w:rsidP="006F7CFD">
      <w:r>
        <w:t xml:space="preserve">An applicant for a licence or permission may be required to disclose their </w:t>
      </w:r>
      <w:r w:rsidR="0015297F">
        <w:t xml:space="preserve">current or past disqualifications, bans or prohibitions from: </w:t>
      </w:r>
    </w:p>
    <w:p w14:paraId="00D561EF" w14:textId="57C0E8F2" w:rsidR="0015297F" w:rsidRDefault="00E6104D" w:rsidP="000138BD">
      <w:pPr>
        <w:pStyle w:val="Bullet1"/>
      </w:pPr>
      <w:r>
        <w:t>c</w:t>
      </w:r>
      <w:r w:rsidR="0015297F">
        <w:t>onducting a relevant activity</w:t>
      </w:r>
      <w:r>
        <w:t>,</w:t>
      </w:r>
      <w:r w:rsidR="0015297F">
        <w:t xml:space="preserve"> or </w:t>
      </w:r>
    </w:p>
    <w:p w14:paraId="34C34B05" w14:textId="1EB576C4" w:rsidR="0015297F" w:rsidRDefault="00E6104D" w:rsidP="000138BD">
      <w:pPr>
        <w:pStyle w:val="Bullet1"/>
      </w:pPr>
      <w:r>
        <w:t>h</w:t>
      </w:r>
      <w:r w:rsidR="0015297F">
        <w:t xml:space="preserve">olding a licence or permission under a specified Act or regulations. </w:t>
      </w:r>
    </w:p>
    <w:p w14:paraId="3E95F7ED" w14:textId="0F157053" w:rsidR="00B06D32" w:rsidRPr="00B06D32" w:rsidRDefault="00B06D32" w:rsidP="006F7CFD">
      <w:r w:rsidRPr="00B06D32">
        <w:t xml:space="preserve">This specification is contemplated in </w:t>
      </w:r>
      <w:r w:rsidRPr="000138BD">
        <w:rPr>
          <w:rFonts w:asciiTheme="majorHAnsi" w:hAnsiTheme="majorHAnsi"/>
        </w:rPr>
        <w:t>paragraphs (a) and (d)</w:t>
      </w:r>
      <w:r w:rsidRPr="00B06D32">
        <w:t xml:space="preserve"> of OCPC’s model provision set out above.</w:t>
      </w:r>
    </w:p>
    <w:p w14:paraId="16004176" w14:textId="72A342EC" w:rsidR="00E662A6" w:rsidRPr="00FD27A0" w:rsidRDefault="00E662A6" w:rsidP="006F7CFD">
      <w:r>
        <w:t>For example,</w:t>
      </w:r>
      <w:r w:rsidR="00227EEE">
        <w:t xml:space="preserve"> when applying for an A</w:t>
      </w:r>
      <w:r w:rsidR="00E4713D">
        <w:t>ustralian Financial Services Licence, the Australian Securities and Investments Commission (ASIC) will consider whether</w:t>
      </w:r>
      <w:r>
        <w:t xml:space="preserve"> a </w:t>
      </w:r>
      <w:r w:rsidRPr="007174FD">
        <w:t xml:space="preserve">ban or disqualification order has been made by a court against the </w:t>
      </w:r>
      <w:r w:rsidR="00E4713D" w:rsidRPr="007174FD">
        <w:t>applicant</w:t>
      </w:r>
      <w:r w:rsidRPr="007174FD">
        <w:t xml:space="preserve"> under Subdivision B of Div</w:t>
      </w:r>
      <w:r w:rsidR="007174FD">
        <w:t>ision</w:t>
      </w:r>
      <w:r w:rsidRPr="007174FD">
        <w:t xml:space="preserve"> 8 of the </w:t>
      </w:r>
      <w:r w:rsidRPr="007174FD">
        <w:rPr>
          <w:i/>
        </w:rPr>
        <w:t xml:space="preserve">Corporations Act </w:t>
      </w:r>
      <w:r w:rsidR="007174FD" w:rsidRPr="007174FD">
        <w:rPr>
          <w:i/>
          <w:iCs/>
        </w:rPr>
        <w:t>2001</w:t>
      </w:r>
      <w:r w:rsidR="007174FD" w:rsidRPr="007174FD">
        <w:t xml:space="preserve"> </w:t>
      </w:r>
      <w:r w:rsidR="007174FD">
        <w:t>(</w:t>
      </w:r>
      <w:proofErr w:type="spellStart"/>
      <w:r w:rsidR="007174FD">
        <w:t>Cth</w:t>
      </w:r>
      <w:proofErr w:type="spellEnd"/>
      <w:r w:rsidR="007174FD">
        <w:t xml:space="preserve">) </w:t>
      </w:r>
      <w:r w:rsidRPr="007174FD">
        <w:t xml:space="preserve">or Part 2-4 of the </w:t>
      </w:r>
      <w:r w:rsidRPr="007174FD">
        <w:rPr>
          <w:i/>
        </w:rPr>
        <w:t>National Consumer Credit Protection Act 2009</w:t>
      </w:r>
      <w:r w:rsidR="000F17A4">
        <w:rPr>
          <w:i/>
        </w:rPr>
        <w:t xml:space="preserve"> </w:t>
      </w:r>
      <w:r w:rsidR="000F17A4" w:rsidRPr="000F17A4">
        <w:rPr>
          <w:iCs/>
        </w:rPr>
        <w:t>(</w:t>
      </w:r>
      <w:proofErr w:type="spellStart"/>
      <w:r w:rsidR="000F17A4" w:rsidRPr="000F17A4">
        <w:rPr>
          <w:iCs/>
        </w:rPr>
        <w:t>Cth</w:t>
      </w:r>
      <w:proofErr w:type="spellEnd"/>
      <w:r w:rsidR="000F17A4" w:rsidRPr="000F17A4">
        <w:rPr>
          <w:iCs/>
        </w:rPr>
        <w:t>)</w:t>
      </w:r>
      <w:r w:rsidR="007174FD" w:rsidRPr="000F17A4">
        <w:rPr>
          <w:iCs/>
        </w:rPr>
        <w:t>.</w:t>
      </w:r>
      <w:r w:rsidR="007174FD">
        <w:t xml:space="preserve"> </w:t>
      </w:r>
      <w:r w:rsidR="0086774A">
        <w:t xml:space="preserve">ASIC might also consider whether any bans apply to the applicant, for </w:t>
      </w:r>
      <w:r w:rsidR="00871274">
        <w:t xml:space="preserve">any credit-related activities under state or territory laws. </w:t>
      </w:r>
    </w:p>
    <w:p w14:paraId="414504F8" w14:textId="5235C93A" w:rsidR="00871274" w:rsidRDefault="00774240" w:rsidP="006F7CFD">
      <w:r>
        <w:t>Policymakers</w:t>
      </w:r>
      <w:r w:rsidR="00E823DB">
        <w:t xml:space="preserve"> should consider best practice principles in determining </w:t>
      </w:r>
      <w:r w:rsidR="00E823DB" w:rsidRPr="00FD27A0">
        <w:t xml:space="preserve">the preceding </w:t>
      </w:r>
      <w:proofErr w:type="gramStart"/>
      <w:r w:rsidR="00E823DB" w:rsidRPr="00FD27A0">
        <w:t>time period</w:t>
      </w:r>
      <w:proofErr w:type="gramEnd"/>
      <w:r w:rsidR="00E823DB" w:rsidRPr="00FD27A0">
        <w:t xml:space="preserve"> in which an applicant is required to disclose relevant disqualifications, bans or p</w:t>
      </w:r>
      <w:r w:rsidR="00A75E40">
        <w:t>rohibitions</w:t>
      </w:r>
      <w:r w:rsidR="00E823DB" w:rsidRPr="00FD27A0">
        <w:t>.</w:t>
      </w:r>
    </w:p>
    <w:tbl>
      <w:tblPr>
        <w:tblStyle w:val="DTFtexttable"/>
        <w:tblW w:w="9000" w:type="dxa"/>
        <w:tblLayout w:type="fixed"/>
        <w:tblLook w:val="04A0" w:firstRow="1" w:lastRow="0" w:firstColumn="1" w:lastColumn="0" w:noHBand="0" w:noVBand="1"/>
      </w:tblPr>
      <w:tblGrid>
        <w:gridCol w:w="540"/>
        <w:gridCol w:w="8460"/>
      </w:tblGrid>
      <w:tr w:rsidR="00006560" w:rsidRPr="000357EF" w14:paraId="09232949" w14:textId="77777777">
        <w:trPr>
          <w:cnfStyle w:val="100000000000" w:firstRow="1" w:lastRow="0" w:firstColumn="0" w:lastColumn="0" w:oddVBand="0" w:evenVBand="0" w:oddHBand="0" w:evenHBand="0" w:firstRowFirstColumn="0" w:firstRowLastColumn="0" w:lastRowFirstColumn="0" w:lastRowLastColumn="0"/>
          <w:trHeight w:val="1134"/>
        </w:trPr>
        <w:tc>
          <w:tcPr>
            <w:cnfStyle w:val="001000000100" w:firstRow="0" w:lastRow="0" w:firstColumn="1" w:lastColumn="0" w:oddVBand="0" w:evenVBand="0" w:oddHBand="0" w:evenHBand="0" w:firstRowFirstColumn="1" w:firstRowLastColumn="0" w:lastRowFirstColumn="0" w:lastRowLastColumn="0"/>
            <w:tcW w:w="540" w:type="dxa"/>
            <w:textDirection w:val="btLr"/>
            <w:vAlign w:val="center"/>
          </w:tcPr>
          <w:p w14:paraId="083BFE83" w14:textId="77777777" w:rsidR="00006560" w:rsidRPr="000138BD" w:rsidRDefault="00006560">
            <w:pPr>
              <w:pStyle w:val="Tabletext"/>
              <w:keepNext w:val="0"/>
              <w:ind w:left="113" w:right="113"/>
              <w:jc w:val="center"/>
              <w:rPr>
                <w:rFonts w:asciiTheme="majorHAnsi" w:hAnsiTheme="majorHAnsi"/>
                <w:b/>
                <w:bCs/>
              </w:rPr>
            </w:pPr>
            <w:r w:rsidRPr="000138BD">
              <w:rPr>
                <w:b/>
                <w:bCs/>
              </w:rPr>
              <w:t>Example</w:t>
            </w:r>
          </w:p>
        </w:tc>
        <w:tc>
          <w:tcPr>
            <w:tcW w:w="8460" w:type="dxa"/>
            <w:shd w:val="clear" w:color="auto" w:fill="FFFFFF" w:themeFill="background1"/>
          </w:tcPr>
          <w:p w14:paraId="009FAFAD" w14:textId="77777777" w:rsidR="00006560" w:rsidRPr="00F3120C" w:rsidRDefault="00006560">
            <w:pPr>
              <w:pStyle w:val="Tabletext"/>
              <w:keepNext w:val="0"/>
              <w:cnfStyle w:val="100000000000" w:firstRow="1" w:lastRow="0" w:firstColumn="0" w:lastColumn="0" w:oddVBand="0" w:evenVBand="0" w:oddHBand="0" w:evenHBand="0" w:firstRowFirstColumn="0" w:firstRowLastColumn="0" w:lastRowFirstColumn="0" w:lastRowLastColumn="0"/>
            </w:pPr>
            <w:r w:rsidRPr="00F3120C">
              <w:t>An individual applies to be a taxi driver. The applicant satisfies all mandatory criteria, including satisfactory medical and police checks. However, there is a limit on the number of taxi licences which can be in operation at any one time. This limit has been reached and therefore, the decision-making uses their discretion to deny the taxi licence on this occasion, providing clear reasoning.</w:t>
            </w:r>
          </w:p>
        </w:tc>
      </w:tr>
    </w:tbl>
    <w:p w14:paraId="288C0608" w14:textId="77777777" w:rsidR="00006560" w:rsidRDefault="00006560" w:rsidP="000138BD">
      <w:pPr>
        <w:pStyle w:val="Spacer"/>
      </w:pPr>
    </w:p>
    <w:tbl>
      <w:tblPr>
        <w:tblStyle w:val="DTFtexttable"/>
        <w:tblW w:w="9026" w:type="dxa"/>
        <w:tblLayout w:type="fixed"/>
        <w:tblLook w:val="04A0" w:firstRow="1" w:lastRow="0" w:firstColumn="1" w:lastColumn="0" w:noHBand="0" w:noVBand="1"/>
      </w:tblPr>
      <w:tblGrid>
        <w:gridCol w:w="805"/>
        <w:gridCol w:w="1458"/>
        <w:gridCol w:w="6763"/>
      </w:tblGrid>
      <w:tr w:rsidR="00006560" w:rsidRPr="000357EF" w14:paraId="7260383A"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05" w:type="dxa"/>
            <w:vAlign w:val="center"/>
          </w:tcPr>
          <w:p w14:paraId="0069C4AE" w14:textId="77777777" w:rsidR="00006560" w:rsidRPr="000357EF" w:rsidRDefault="00006560">
            <w:pPr>
              <w:keepNext w:val="0"/>
              <w:spacing w:before="240"/>
              <w:contextualSpacing/>
              <w:rPr>
                <w:rFonts w:ascii="Arial" w:hAnsi="Arial" w:cs="Arial"/>
                <w:b/>
                <w:bCs/>
                <w:sz w:val="18"/>
                <w:szCs w:val="18"/>
              </w:rPr>
            </w:pPr>
            <w:r w:rsidRPr="00646ED8">
              <w:rPr>
                <w:rFonts w:ascii="Arial" w:hAnsi="Arial" w:cs="Arial"/>
                <w:b/>
                <w:bCs/>
                <w:noProof/>
                <w:sz w:val="18"/>
                <w:szCs w:val="18"/>
              </w:rPr>
              <w:drawing>
                <wp:inline distT="0" distB="0" distL="0" distR="0" wp14:anchorId="7059EFB8" wp14:editId="454E605A">
                  <wp:extent cx="407773" cy="407773"/>
                  <wp:effectExtent l="0" t="0" r="0" b="0"/>
                  <wp:docPr id="1112500434" name="Graphic 1112500434" descr="Magnifying glass with solid fill">
                    <a:extLst xmlns:a="http://schemas.openxmlformats.org/drawingml/2006/main">
                      <a:ext uri="{FF2B5EF4-FFF2-40B4-BE49-F238E27FC236}">
                        <a16:creationId xmlns:a16="http://schemas.microsoft.com/office/drawing/2014/main" id="{BE99A7E1-F806-AB04-29D2-AC7223C417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4" descr="Magnifying glass with solid fill">
                            <a:extLst>
                              <a:ext uri="{FF2B5EF4-FFF2-40B4-BE49-F238E27FC236}">
                                <a16:creationId xmlns:a16="http://schemas.microsoft.com/office/drawing/2014/main" id="{BE99A7E1-F806-AB04-29D2-AC7223C417B8}"/>
                              </a:ext>
                            </a:extLst>
                          </pic:cNvPr>
                          <pic:cNvPicPr>
                            <a:picLocks noChangeAspect="1"/>
                          </pic:cNvPicPr>
                        </pic:nvPicPr>
                        <pic:blipFill>
                          <a:blip r:embed="rId33">
                            <a:extLst>
                              <a:ext uri="{96DAC541-7B7A-43D3-8B79-37D633B846F1}">
                                <asvg:svgBlip xmlns:asvg="http://schemas.microsoft.com/office/drawing/2016/SVG/main" r:embed="rId34"/>
                              </a:ext>
                            </a:extLst>
                          </a:blip>
                          <a:stretch>
                            <a:fillRect/>
                          </a:stretch>
                        </pic:blipFill>
                        <pic:spPr>
                          <a:xfrm>
                            <a:off x="0" y="0"/>
                            <a:ext cx="414137" cy="414137"/>
                          </a:xfrm>
                          <a:prstGeom prst="rect">
                            <a:avLst/>
                          </a:prstGeom>
                        </pic:spPr>
                      </pic:pic>
                    </a:graphicData>
                  </a:graphic>
                </wp:inline>
              </w:drawing>
            </w:r>
          </w:p>
        </w:tc>
        <w:tc>
          <w:tcPr>
            <w:tcW w:w="1458" w:type="dxa"/>
            <w:vAlign w:val="center"/>
          </w:tcPr>
          <w:p w14:paraId="74AAEE8C" w14:textId="77777777" w:rsidR="00006560" w:rsidRPr="00BE7448" w:rsidRDefault="00006560">
            <w:pPr>
              <w:pStyle w:val="Tabletext"/>
              <w:keepNext w:val="0"/>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0138BD">
              <w:rPr>
                <w:rFonts w:asciiTheme="majorHAnsi" w:hAnsiTheme="majorHAnsi"/>
              </w:rPr>
              <w:t xml:space="preserve">Proportionality </w:t>
            </w:r>
            <w:r w:rsidRPr="00BE7448">
              <w:rPr>
                <w:rFonts w:asciiTheme="majorHAnsi" w:hAnsiTheme="majorHAnsi"/>
              </w:rPr>
              <w:t>in practice</w:t>
            </w:r>
          </w:p>
        </w:tc>
        <w:tc>
          <w:tcPr>
            <w:tcW w:w="6763" w:type="dxa"/>
            <w:shd w:val="clear" w:color="auto" w:fill="FFFFFF" w:themeFill="background1"/>
          </w:tcPr>
          <w:p w14:paraId="5380CD3F" w14:textId="77777777" w:rsidR="00006560" w:rsidRPr="004C168A" w:rsidRDefault="00006560" w:rsidP="00006560">
            <w:pPr>
              <w:pStyle w:val="Tabletext"/>
              <w:cnfStyle w:val="100000000000" w:firstRow="1" w:lastRow="0" w:firstColumn="0" w:lastColumn="0" w:oddVBand="0" w:evenVBand="0" w:oddHBand="0" w:evenHBand="0" w:firstRowFirstColumn="0" w:firstRowLastColumn="0" w:lastRowFirstColumn="0" w:lastRowLastColumn="0"/>
            </w:pPr>
            <w:r w:rsidRPr="004C168A">
              <w:t xml:space="preserve">The length of time in which an applicant’s relevant disqualifications, bans or prohibitions may be considered should be determined with reference to: </w:t>
            </w:r>
          </w:p>
          <w:p w14:paraId="0F4EBFD5" w14:textId="77777777" w:rsidR="00006560" w:rsidRPr="004C168A" w:rsidRDefault="00006560" w:rsidP="00006560">
            <w:pPr>
              <w:pStyle w:val="Tablebullet"/>
              <w:cnfStyle w:val="100000000000" w:firstRow="1" w:lastRow="0" w:firstColumn="0" w:lastColumn="0" w:oddVBand="0" w:evenVBand="0" w:oddHBand="0" w:evenHBand="0" w:firstRowFirstColumn="0" w:firstRowLastColumn="0" w:lastRowFirstColumn="0" w:lastRowLastColumn="0"/>
            </w:pPr>
            <w:r w:rsidRPr="004C168A">
              <w:t>whether the ban, disqualification or prohibition is current or historical</w:t>
            </w:r>
          </w:p>
          <w:p w14:paraId="5B220EF7" w14:textId="77777777" w:rsidR="00006560" w:rsidRPr="004C168A" w:rsidRDefault="00006560" w:rsidP="00006560">
            <w:pPr>
              <w:pStyle w:val="Tablebullet"/>
              <w:cnfStyle w:val="100000000000" w:firstRow="1" w:lastRow="0" w:firstColumn="0" w:lastColumn="0" w:oddVBand="0" w:evenVBand="0" w:oddHBand="0" w:evenHBand="0" w:firstRowFirstColumn="0" w:firstRowLastColumn="0" w:lastRowFirstColumn="0" w:lastRowLastColumn="0"/>
            </w:pPr>
            <w:r w:rsidRPr="004C168A">
              <w:t>the seriousness and relevance of the conduct which results in the ban, disqualification or prohibition</w:t>
            </w:r>
          </w:p>
          <w:p w14:paraId="44A50999" w14:textId="77777777" w:rsidR="00006560" w:rsidRPr="004C168A" w:rsidRDefault="00006560" w:rsidP="00006560">
            <w:pPr>
              <w:pStyle w:val="Tablebullet"/>
              <w:cnfStyle w:val="100000000000" w:firstRow="1" w:lastRow="0" w:firstColumn="0" w:lastColumn="0" w:oddVBand="0" w:evenVBand="0" w:oddHBand="0" w:evenHBand="0" w:firstRowFirstColumn="0" w:firstRowLastColumn="0" w:lastRowFirstColumn="0" w:lastRowLastColumn="0"/>
            </w:pPr>
            <w:r w:rsidRPr="004C168A">
              <w:t>the nature of the licence or permission for which the applicant is applying</w:t>
            </w:r>
          </w:p>
          <w:p w14:paraId="0A6E13B1" w14:textId="77777777" w:rsidR="00006560" w:rsidRPr="004C168A" w:rsidRDefault="00006560" w:rsidP="00006560">
            <w:pPr>
              <w:pStyle w:val="Tablebullet"/>
              <w:cnfStyle w:val="100000000000" w:firstRow="1" w:lastRow="0" w:firstColumn="0" w:lastColumn="0" w:oddVBand="0" w:evenVBand="0" w:oddHBand="0" w:evenHBand="0" w:firstRowFirstColumn="0" w:firstRowLastColumn="0" w:lastRowFirstColumn="0" w:lastRowLastColumn="0"/>
            </w:pPr>
            <w:r w:rsidRPr="004C168A">
              <w:t xml:space="preserve">any legislated timeframes for which such bans, disqualifications or prohibitions can be considered relevant (e.g. 5 years), and </w:t>
            </w:r>
          </w:p>
          <w:p w14:paraId="0F275122" w14:textId="3BF6305D" w:rsidR="00006560" w:rsidRPr="00006560" w:rsidRDefault="00006560" w:rsidP="00006560">
            <w:pPr>
              <w:pStyle w:val="Tablebullet"/>
              <w:cnfStyle w:val="100000000000" w:firstRow="1" w:lastRow="0" w:firstColumn="0" w:lastColumn="0" w:oddVBand="0" w:evenVBand="0" w:oddHBand="0" w:evenHBand="0" w:firstRowFirstColumn="0" w:firstRowLastColumn="0" w:lastRowFirstColumn="0" w:lastRowLastColumn="0"/>
            </w:pPr>
            <w:r w:rsidRPr="004C168A">
              <w:t>the need for compliance with the Spent Convictions Act (where relevant).</w:t>
            </w:r>
          </w:p>
        </w:tc>
      </w:tr>
    </w:tbl>
    <w:p w14:paraId="18D4413C" w14:textId="77777777" w:rsidR="00B23CE9" w:rsidRDefault="00B23CE9" w:rsidP="006F7CFD"/>
    <w:tbl>
      <w:tblPr>
        <w:tblStyle w:val="DTFtexttable"/>
        <w:tblW w:w="9000" w:type="dxa"/>
        <w:tblLayout w:type="fixed"/>
        <w:tblLook w:val="04A0" w:firstRow="1" w:lastRow="0" w:firstColumn="1" w:lastColumn="0" w:noHBand="0" w:noVBand="1"/>
      </w:tblPr>
      <w:tblGrid>
        <w:gridCol w:w="540"/>
        <w:gridCol w:w="8460"/>
      </w:tblGrid>
      <w:tr w:rsidR="00B23CE9" w:rsidRPr="000357EF" w14:paraId="747E369D" w14:textId="77777777">
        <w:trPr>
          <w:cnfStyle w:val="100000000000" w:firstRow="1" w:lastRow="0" w:firstColumn="0" w:lastColumn="0" w:oddVBand="0" w:evenVBand="0" w:oddHBand="0" w:evenHBand="0" w:firstRowFirstColumn="0" w:firstRowLastColumn="0" w:lastRowFirstColumn="0" w:lastRowLastColumn="0"/>
          <w:trHeight w:val="1134"/>
        </w:trPr>
        <w:tc>
          <w:tcPr>
            <w:cnfStyle w:val="001000000100" w:firstRow="0" w:lastRow="0" w:firstColumn="1" w:lastColumn="0" w:oddVBand="0" w:evenVBand="0" w:oddHBand="0" w:evenHBand="0" w:firstRowFirstColumn="1" w:firstRowLastColumn="0" w:lastRowFirstColumn="0" w:lastRowLastColumn="0"/>
            <w:tcW w:w="540" w:type="dxa"/>
            <w:textDirection w:val="btLr"/>
            <w:vAlign w:val="center"/>
          </w:tcPr>
          <w:p w14:paraId="61153BFD" w14:textId="77777777" w:rsidR="00B23CE9" w:rsidRPr="000138BD" w:rsidRDefault="00B23CE9">
            <w:pPr>
              <w:pStyle w:val="Tabletext"/>
              <w:keepNext w:val="0"/>
              <w:ind w:left="113" w:right="113"/>
              <w:jc w:val="center"/>
              <w:rPr>
                <w:rFonts w:asciiTheme="majorHAnsi" w:hAnsiTheme="majorHAnsi"/>
                <w:b/>
                <w:bCs/>
              </w:rPr>
            </w:pPr>
            <w:r w:rsidRPr="000138BD">
              <w:rPr>
                <w:b/>
                <w:bCs/>
              </w:rPr>
              <w:lastRenderedPageBreak/>
              <w:t>Example</w:t>
            </w:r>
          </w:p>
        </w:tc>
        <w:tc>
          <w:tcPr>
            <w:tcW w:w="8460" w:type="dxa"/>
            <w:shd w:val="clear" w:color="auto" w:fill="FFFFFF" w:themeFill="background1"/>
          </w:tcPr>
          <w:p w14:paraId="315157C2" w14:textId="77777777" w:rsidR="00B23CE9" w:rsidRPr="004C168A" w:rsidRDefault="00B23CE9" w:rsidP="00B23CE9">
            <w:pPr>
              <w:pStyle w:val="Tabletext"/>
              <w:cnfStyle w:val="100000000000" w:firstRow="1" w:lastRow="0" w:firstColumn="0" w:lastColumn="0" w:oddVBand="0" w:evenVBand="0" w:oddHBand="0" w:evenHBand="0" w:firstRowFirstColumn="0" w:firstRowLastColumn="0" w:lastRowFirstColumn="0" w:lastRowLastColumn="0"/>
            </w:pPr>
            <w:r w:rsidRPr="004C168A">
              <w:t xml:space="preserve">An individual is disqualified from managing corporations and is seeking permission to register as a building practitioner. As the applicant’s disqualification is current, registration as a building practitioner will not be permitted. </w:t>
            </w:r>
          </w:p>
          <w:p w14:paraId="06AB4B8E" w14:textId="18A07509" w:rsidR="00B23CE9" w:rsidRPr="00B23CE9" w:rsidRDefault="00B23CE9" w:rsidP="00B23CE9">
            <w:pPr>
              <w:pStyle w:val="Tabletext"/>
              <w:keepNext w:val="0"/>
              <w:cnfStyle w:val="100000000000" w:firstRow="1" w:lastRow="0" w:firstColumn="0" w:lastColumn="0" w:oddVBand="0" w:evenVBand="0" w:oddHBand="0" w:evenHBand="0" w:firstRowFirstColumn="0" w:firstRowLastColumn="0" w:lastRowFirstColumn="0" w:lastRowLastColumn="0"/>
            </w:pPr>
            <w:r w:rsidRPr="004C168A">
              <w:t>This individual is also seeking to apply for a driver’s licence. The nature of the conduct which led to the individual’s disqualification from managing corporations (e.g. business-related conduct) may not be relevant in considering the applicant’s ability to fulfill the requirements of a driver’s licence holder. Where all other relevant requirements are satisfied, the driver’s licence may be granted.</w:t>
            </w:r>
          </w:p>
        </w:tc>
      </w:tr>
    </w:tbl>
    <w:p w14:paraId="18AD126D" w14:textId="56CFD397" w:rsidR="004424E1" w:rsidRPr="007A61D1" w:rsidRDefault="00487783" w:rsidP="006F7CFD">
      <w:r>
        <w:t>Policymakers considering</w:t>
      </w:r>
      <w:r w:rsidR="000968FF" w:rsidRPr="007A61D1">
        <w:t xml:space="preserve"> disqualifications, bans and prohibitions may also </w:t>
      </w:r>
      <w:r>
        <w:t>need to consider</w:t>
      </w:r>
      <w:r w:rsidR="005D5CE7">
        <w:t xml:space="preserve"> a requirement that an applicant</w:t>
      </w:r>
      <w:r w:rsidR="004F470F">
        <w:t xml:space="preserve"> disclose whether they are:</w:t>
      </w:r>
    </w:p>
    <w:p w14:paraId="7B5DA156" w14:textId="3F9C0107" w:rsidR="000968FF" w:rsidRDefault="000968FF" w:rsidP="000138BD">
      <w:pPr>
        <w:pStyle w:val="Bullet1"/>
      </w:pPr>
      <w:r w:rsidRPr="00321B1A">
        <w:t>currently or have been subject to a court order</w:t>
      </w:r>
    </w:p>
    <w:p w14:paraId="4D746F50" w14:textId="4A592F7C" w:rsidR="00614AAF" w:rsidRDefault="00614AAF" w:rsidP="000138BD">
      <w:pPr>
        <w:pStyle w:val="Bullet1"/>
      </w:pPr>
      <w:r w:rsidRPr="3FC26C05">
        <w:t>currently or have been found to be in breach of relevant and applicable professional standards</w:t>
      </w:r>
      <w:r w:rsidR="008D61A3">
        <w:t xml:space="preserve">, e.g. </w:t>
      </w:r>
      <w:r w:rsidR="00E36801" w:rsidRPr="3FC26C05">
        <w:t xml:space="preserve">an individual applying to work in disability services, who has previously been found to have violated </w:t>
      </w:r>
      <w:r w:rsidR="003F6200" w:rsidRPr="3FC26C05">
        <w:t>the Nursing and Midwifery Board’s Professional Standards</w:t>
      </w:r>
      <w:r w:rsidR="00984B9C" w:rsidRPr="3FC26C05">
        <w:t xml:space="preserve">, </w:t>
      </w:r>
      <w:r w:rsidR="46A840B5" w:rsidRPr="3FC26C05">
        <w:t>or</w:t>
      </w:r>
    </w:p>
    <w:p w14:paraId="719EE048" w14:textId="010BED02" w:rsidR="007A61D1" w:rsidRDefault="00CC0B1E" w:rsidP="000138BD">
      <w:pPr>
        <w:pStyle w:val="Bullet1"/>
      </w:pPr>
      <w:r w:rsidRPr="3FC26C05">
        <w:t xml:space="preserve">currently being investigated for </w:t>
      </w:r>
      <w:r w:rsidR="007A61D1" w:rsidRPr="3FC26C05">
        <w:t>conduct which may result in a relevant ban, disqualification of permission</w:t>
      </w:r>
      <w:r w:rsidR="00995680">
        <w:t xml:space="preserve">. </w:t>
      </w:r>
    </w:p>
    <w:p w14:paraId="08BA2309" w14:textId="53B52468" w:rsidR="000968FF" w:rsidRPr="007A61D1" w:rsidRDefault="007A61D1" w:rsidP="006F7CFD">
      <w:r w:rsidRPr="007A61D1">
        <w:t xml:space="preserve">For these matters, </w:t>
      </w:r>
      <w:r w:rsidR="00FE0FF0">
        <w:t>d</w:t>
      </w:r>
      <w:r w:rsidRPr="007A61D1">
        <w:t>epartments may seek to add a</w:t>
      </w:r>
      <w:r w:rsidR="000968FF" w:rsidRPr="007A61D1">
        <w:t xml:space="preserve"> paragraph to the model provision provided by OCPC above. </w:t>
      </w:r>
      <w:r w:rsidR="00774240">
        <w:t>Policy</w:t>
      </w:r>
      <w:r w:rsidR="00F0650E">
        <w:t xml:space="preserve"> </w:t>
      </w:r>
      <w:r w:rsidR="00774240">
        <w:t>makers</w:t>
      </w:r>
      <w:r w:rsidR="000968FF" w:rsidRPr="007A61D1">
        <w:t xml:space="preserve"> should always engage with OCPC to ensure their intended provisions are appropriate and fit</w:t>
      </w:r>
      <w:r w:rsidR="007433F6">
        <w:t xml:space="preserve"> </w:t>
      </w:r>
      <w:r w:rsidR="000968FF" w:rsidRPr="007A61D1">
        <w:t>fo</w:t>
      </w:r>
      <w:r w:rsidR="007433F6">
        <w:t xml:space="preserve">r </w:t>
      </w:r>
      <w:r w:rsidR="000968FF" w:rsidRPr="007A61D1">
        <w:t>purpose</w:t>
      </w:r>
      <w:r w:rsidR="00FB7298">
        <w:t>. Policymakers should also seek legal advice where necessary</w:t>
      </w:r>
      <w:r w:rsidR="00FB7298" w:rsidRPr="007A61D1">
        <w:t>.</w:t>
      </w:r>
    </w:p>
    <w:p w14:paraId="27F9FAFE" w14:textId="5366DEC6" w:rsidR="001B6E48" w:rsidRPr="000138BD" w:rsidRDefault="00E80A6E" w:rsidP="00B23CE9">
      <w:pPr>
        <w:pStyle w:val="Heading2numbered"/>
        <w:rPr>
          <w:rStyle w:val="Heading3Char"/>
          <w:bCs/>
          <w:sz w:val="28"/>
          <w:szCs w:val="26"/>
        </w:rPr>
      </w:pPr>
      <w:bookmarkStart w:id="45" w:name="_Toc164848034"/>
      <w:bookmarkStart w:id="46" w:name="_Toc174538670"/>
      <w:bookmarkStart w:id="47" w:name="_Toc178780209"/>
      <w:r w:rsidRPr="000138BD">
        <w:rPr>
          <w:rStyle w:val="Heading3Char"/>
          <w:bCs/>
          <w:sz w:val="28"/>
          <w:szCs w:val="26"/>
        </w:rPr>
        <w:t>Relevant skills and experience</w:t>
      </w:r>
      <w:bookmarkEnd w:id="45"/>
      <w:bookmarkEnd w:id="46"/>
      <w:bookmarkEnd w:id="47"/>
    </w:p>
    <w:p w14:paraId="2B84DAC6" w14:textId="77777777" w:rsidR="00072A3D" w:rsidRDefault="00E81D9D" w:rsidP="006F7CFD">
      <w:r>
        <w:t xml:space="preserve">In some circumstances, an application </w:t>
      </w:r>
      <w:r w:rsidR="001B6E48" w:rsidRPr="00560AC4">
        <w:t xml:space="preserve">may be required to demonstrate they hold the skills and experience required to undertake </w:t>
      </w:r>
      <w:r w:rsidR="00F435BA">
        <w:t>an</w:t>
      </w:r>
      <w:r w:rsidR="001B6E48" w:rsidRPr="00560AC4">
        <w:t xml:space="preserve"> activity or hold the relevant permission. </w:t>
      </w:r>
    </w:p>
    <w:p w14:paraId="0B2128E2" w14:textId="634E9A92" w:rsidR="001B6E48" w:rsidRDefault="001B6E48" w:rsidP="006F7CFD">
      <w:r w:rsidRPr="00560AC4">
        <w:t xml:space="preserve">The relevant skills and experience will vary depending on the nature of the activity or permission sought by the applicant. </w:t>
      </w:r>
      <w:r w:rsidR="00D24FCE">
        <w:t>It may include a requirement that an applicant provide evidence to demonstrate their suitability</w:t>
      </w:r>
      <w:r w:rsidR="00425E4B">
        <w:t xml:space="preserve"> (such as a certificate, or proof of a qualification)</w:t>
      </w:r>
      <w:r w:rsidR="00D24FCE">
        <w:t xml:space="preserve">. </w:t>
      </w:r>
    </w:p>
    <w:p w14:paraId="09A8C918" w14:textId="77777777" w:rsidR="00931C12" w:rsidRPr="00144D5C" w:rsidRDefault="00931C12" w:rsidP="00931C12">
      <w:pPr>
        <w:keepNext/>
        <w:rPr>
          <w:rFonts w:asciiTheme="majorHAnsi" w:hAnsiTheme="majorHAnsi"/>
        </w:rPr>
      </w:pPr>
      <w:r w:rsidRPr="00144D5C">
        <w:rPr>
          <w:rFonts w:asciiTheme="majorHAnsi" w:hAnsiTheme="majorHAnsi"/>
        </w:rPr>
        <w:lastRenderedPageBreak/>
        <w:t>[Policymakers should select the most appropriate option</w:t>
      </w:r>
      <w:r w:rsidRPr="006E4CE9">
        <w:rPr>
          <w:color w:val="C00000"/>
          <w:sz w:val="26"/>
          <w:szCs w:val="26"/>
        </w:rPr>
        <w:t>*</w:t>
      </w:r>
      <w:r w:rsidRPr="00144D5C">
        <w:rPr>
          <w:rFonts w:asciiTheme="majorHAnsi" w:hAnsiTheme="majorHAns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016"/>
      </w:tblGrid>
      <w:tr w:rsidR="008B7860" w14:paraId="52B833DC" w14:textId="77777777" w:rsidTr="004F1AFE">
        <w:trPr>
          <w:cantSplit/>
        </w:trPr>
        <w:tc>
          <w:tcPr>
            <w:tcW w:w="9016" w:type="dxa"/>
            <w:shd w:val="clear" w:color="auto" w:fill="F2F2F2" w:themeFill="background1" w:themeFillShade="F2"/>
          </w:tcPr>
          <w:p w14:paraId="45019CBD" w14:textId="4DD0B07F" w:rsidR="008B7860" w:rsidRDefault="008B7860" w:rsidP="004F1AFE">
            <w:pPr>
              <w:pStyle w:val="Heading4"/>
            </w:pPr>
            <w:r w:rsidRPr="00944ED3">
              <w:t>Relevant skills and experience</w:t>
            </w:r>
          </w:p>
          <w:p w14:paraId="69E6E768" w14:textId="77777777" w:rsidR="008B7860" w:rsidRPr="004F1AFE" w:rsidRDefault="008B7860" w:rsidP="00C13CF9">
            <w:pPr>
              <w:rPr>
                <w:rFonts w:asciiTheme="majorHAnsi" w:hAnsiTheme="majorHAnsi"/>
              </w:rPr>
            </w:pPr>
            <w:r w:rsidRPr="004F1AFE">
              <w:rPr>
                <w:rFonts w:asciiTheme="majorHAnsi" w:hAnsiTheme="majorHAnsi"/>
              </w:rPr>
              <w:t>1 Application for [licence/registration/exemption]</w:t>
            </w:r>
          </w:p>
          <w:p w14:paraId="4EBBDC34" w14:textId="7C13B98C" w:rsidR="00F944E1" w:rsidRPr="00BD533E" w:rsidRDefault="008B7860" w:rsidP="004F1AFE">
            <w:pPr>
              <w:pStyle w:val="Numpara"/>
              <w:spacing w:before="60" w:after="60"/>
            </w:pPr>
            <w:r w:rsidRPr="00F944E1">
              <w:rPr>
                <w:rFonts w:cs="Arial"/>
              </w:rPr>
              <w:t>A person may apply for</w:t>
            </w:r>
            <w:r w:rsidR="00F129FB">
              <w:rPr>
                <w:rFonts w:cs="Arial"/>
              </w:rPr>
              <w:t>…</w:t>
            </w:r>
          </w:p>
          <w:p w14:paraId="49FCE6C9" w14:textId="0E295C90" w:rsidR="001F4044" w:rsidRPr="00D73591" w:rsidRDefault="008B7860" w:rsidP="00D01045">
            <w:pPr>
              <w:pStyle w:val="NormalIndent"/>
              <w:numPr>
                <w:ilvl w:val="0"/>
                <w:numId w:val="47"/>
              </w:numPr>
              <w:spacing w:before="60" w:after="60"/>
              <w:ind w:left="518" w:hanging="144"/>
              <w:contextualSpacing/>
              <w:rPr>
                <w:rFonts w:cs="Arial"/>
              </w:rPr>
            </w:pPr>
            <w:r>
              <w:rPr>
                <w:rFonts w:cs="Arial"/>
              </w:rPr>
              <w:t xml:space="preserve">a licence to </w:t>
            </w:r>
            <w:r w:rsidRPr="004519DC">
              <w:rPr>
                <w:rFonts w:cs="Arial"/>
              </w:rPr>
              <w:t>[</w:t>
            </w:r>
            <w:r>
              <w:rPr>
                <w:rFonts w:cs="Arial"/>
                <w:i/>
              </w:rPr>
              <w:t>engage in a regulated activity</w:t>
            </w:r>
            <w:r>
              <w:rPr>
                <w:rFonts w:cs="Arial"/>
              </w:rPr>
              <w:t>].</w:t>
            </w:r>
          </w:p>
          <w:p w14:paraId="062E8F41" w14:textId="4164C5E9" w:rsidR="001F4044" w:rsidRDefault="008B7860" w:rsidP="00D01045">
            <w:pPr>
              <w:pStyle w:val="NormalIndent"/>
              <w:numPr>
                <w:ilvl w:val="0"/>
                <w:numId w:val="47"/>
              </w:numPr>
              <w:spacing w:before="60" w:after="60"/>
              <w:ind w:left="518" w:hanging="144"/>
              <w:contextualSpacing/>
              <w:rPr>
                <w:rFonts w:cs="Arial"/>
              </w:rPr>
            </w:pPr>
            <w:r>
              <w:rPr>
                <w:rFonts w:cs="Arial"/>
              </w:rPr>
              <w:t xml:space="preserve">registration to </w:t>
            </w:r>
            <w:r w:rsidRPr="004519DC">
              <w:rPr>
                <w:rFonts w:cs="Arial"/>
              </w:rPr>
              <w:t>[</w:t>
            </w:r>
            <w:r>
              <w:rPr>
                <w:rFonts w:cs="Arial"/>
                <w:i/>
              </w:rPr>
              <w:t>provide a regulated service</w:t>
            </w:r>
            <w:r w:rsidRPr="004519DC">
              <w:rPr>
                <w:rFonts w:cs="Arial"/>
              </w:rPr>
              <w:t>]</w:t>
            </w:r>
            <w:r>
              <w:rPr>
                <w:rFonts w:cs="Arial"/>
              </w:rPr>
              <w:t>.</w:t>
            </w:r>
          </w:p>
          <w:p w14:paraId="4F4D4F7A" w14:textId="28A7E922" w:rsidR="001F4044" w:rsidRPr="00425931" w:rsidRDefault="008B7860" w:rsidP="00D01045">
            <w:pPr>
              <w:pStyle w:val="NormalIndent"/>
              <w:numPr>
                <w:ilvl w:val="0"/>
                <w:numId w:val="47"/>
              </w:numPr>
              <w:spacing w:before="60" w:after="60"/>
              <w:ind w:left="518" w:hanging="144"/>
              <w:contextualSpacing/>
              <w:rPr>
                <w:rFonts w:cs="Arial"/>
              </w:rPr>
            </w:pPr>
            <w:r>
              <w:rPr>
                <w:rFonts w:cs="Arial"/>
              </w:rPr>
              <w:t>an exemption from [</w:t>
            </w:r>
            <w:r>
              <w:rPr>
                <w:rFonts w:cs="Arial"/>
                <w:i/>
              </w:rPr>
              <w:t xml:space="preserve">section </w:t>
            </w:r>
            <w:proofErr w:type="spellStart"/>
            <w:r>
              <w:rPr>
                <w:rFonts w:cs="Arial"/>
                <w:i/>
              </w:rPr>
              <w:t>xxxx</w:t>
            </w:r>
            <w:proofErr w:type="spellEnd"/>
            <w:r>
              <w:rPr>
                <w:rFonts w:cs="Arial"/>
                <w:i/>
              </w:rPr>
              <w:t xml:space="preserve">/any or </w:t>
            </w:r>
            <w:proofErr w:type="gramStart"/>
            <w:r>
              <w:rPr>
                <w:rFonts w:cs="Arial"/>
                <w:i/>
              </w:rPr>
              <w:t>all of</w:t>
            </w:r>
            <w:proofErr w:type="gramEnd"/>
            <w:r>
              <w:rPr>
                <w:rFonts w:cs="Arial"/>
                <w:i/>
              </w:rPr>
              <w:t xml:space="preserve"> the requirements under section </w:t>
            </w:r>
            <w:proofErr w:type="spellStart"/>
            <w:r>
              <w:rPr>
                <w:rFonts w:cs="Arial"/>
                <w:i/>
              </w:rPr>
              <w:t>xxxx</w:t>
            </w:r>
            <w:proofErr w:type="spellEnd"/>
            <w:r>
              <w:rPr>
                <w:rFonts w:cs="Arial"/>
              </w:rPr>
              <w:t>].</w:t>
            </w:r>
          </w:p>
          <w:p w14:paraId="5785CCCB" w14:textId="79453050" w:rsidR="001F4044" w:rsidRPr="00BD533E" w:rsidRDefault="008B7860" w:rsidP="004519DC">
            <w:pPr>
              <w:pStyle w:val="Numpara"/>
            </w:pPr>
            <w:r w:rsidRPr="00425931">
              <w:t>An application must</w:t>
            </w:r>
            <w:r w:rsidR="00E14D89" w:rsidRPr="001F4044">
              <w:rPr>
                <w:rFonts w:cs="Arial"/>
              </w:rPr>
              <w:t>—</w:t>
            </w:r>
          </w:p>
          <w:p w14:paraId="71E42327" w14:textId="6E5B5F53" w:rsidR="001F4044" w:rsidRPr="00BD533E" w:rsidRDefault="008B7860" w:rsidP="00FB4EFE">
            <w:pPr>
              <w:pStyle w:val="Listnumindent"/>
              <w:ind w:left="881"/>
            </w:pPr>
            <w:r w:rsidRPr="00425931">
              <w:t>be in</w:t>
            </w:r>
            <w:r w:rsidR="0071243A">
              <w:rPr>
                <w:rFonts w:cs="Arial"/>
              </w:rPr>
              <w:t>…</w:t>
            </w:r>
          </w:p>
          <w:p w14:paraId="71E1F895" w14:textId="3704E828" w:rsidR="008B7860" w:rsidRPr="001F4044" w:rsidRDefault="008B7860" w:rsidP="00FB4EFE">
            <w:pPr>
              <w:pStyle w:val="Star2"/>
            </w:pPr>
            <w:r w:rsidRPr="001F4044">
              <w:t xml:space="preserve">the prescribed </w:t>
            </w:r>
            <w:proofErr w:type="gramStart"/>
            <w:r w:rsidRPr="001F4044">
              <w:t>form;</w:t>
            </w:r>
            <w:proofErr w:type="gramEnd"/>
          </w:p>
          <w:p w14:paraId="050A4DFD" w14:textId="460C8C68" w:rsidR="008B7860" w:rsidRPr="00425931" w:rsidRDefault="008B7860" w:rsidP="00FB4EFE">
            <w:pPr>
              <w:pStyle w:val="Star2"/>
            </w:pPr>
            <w:r w:rsidRPr="00425931">
              <w:t xml:space="preserve">the form approved by the </w:t>
            </w:r>
            <w:proofErr w:type="gramStart"/>
            <w:r w:rsidRPr="00425931">
              <w:t>Regulator;</w:t>
            </w:r>
            <w:proofErr w:type="gramEnd"/>
          </w:p>
          <w:p w14:paraId="775E9F13" w14:textId="77777777" w:rsidR="008B7860" w:rsidRPr="00425931" w:rsidRDefault="008B7860" w:rsidP="00DF491E">
            <w:pPr>
              <w:pStyle w:val="NormalIndent"/>
              <w:ind w:left="431"/>
            </w:pPr>
            <w:r w:rsidRPr="00425931">
              <w:t>[</w:t>
            </w:r>
            <w:r w:rsidRPr="00DF491E">
              <w:rPr>
                <w:i/>
                <w:iCs/>
              </w:rPr>
              <w:t>Alternatives for para (a) relate to the application form. If the application form is prescribed, desired elements can be included in the application form by prescription</w:t>
            </w:r>
            <w:r w:rsidRPr="00425931">
              <w:t>.]</w:t>
            </w:r>
          </w:p>
          <w:p w14:paraId="040996A4" w14:textId="7D2478E2" w:rsidR="008B7860" w:rsidRDefault="008B7860" w:rsidP="00DF491E">
            <w:pPr>
              <w:pStyle w:val="Listnumindent"/>
              <w:ind w:left="881"/>
              <w:rPr>
                <w:rFonts w:cs="Arial"/>
              </w:rPr>
            </w:pPr>
            <w:r w:rsidRPr="001F4044">
              <w:t>include</w:t>
            </w:r>
            <w:r w:rsidRPr="00425931" w:rsidDel="001943A1">
              <w:rPr>
                <w:rFonts w:cs="Arial"/>
              </w:rPr>
              <w:t>—</w:t>
            </w:r>
          </w:p>
          <w:p w14:paraId="64E9EFBA" w14:textId="0ED0B60D" w:rsidR="004C1AF0" w:rsidRPr="00DF491E" w:rsidRDefault="004C1AF0" w:rsidP="00DF491E">
            <w:pPr>
              <w:pStyle w:val="Star2"/>
            </w:pPr>
            <w:r w:rsidRPr="00354EAC">
              <w:rPr>
                <w:rFonts w:ascii="Arial" w:eastAsiaTheme="minorHAnsi" w:hAnsi="Arial"/>
              </w:rPr>
              <w:t>ev</w:t>
            </w:r>
            <w:r w:rsidRPr="00DF491E">
              <w:t>idence that the applicant has</w:t>
            </w:r>
          </w:p>
          <w:p w14:paraId="7D9E9459" w14:textId="28FE69CD" w:rsidR="004C1AF0" w:rsidRDefault="004C1AF0" w:rsidP="00B729A5">
            <w:pPr>
              <w:pStyle w:val="Star2"/>
            </w:pPr>
            <w:r w:rsidRPr="008F0AC5">
              <w:t>appropriate skills, qualifications or experience to [</w:t>
            </w:r>
            <w:r w:rsidRPr="008F0AC5">
              <w:rPr>
                <w:i/>
                <w:iCs/>
              </w:rPr>
              <w:t>hold a licence/engage in the regulated activity/be issued an exemption</w:t>
            </w:r>
            <w:proofErr w:type="gramStart"/>
            <w:r w:rsidRPr="00354EAC">
              <w:t>];</w:t>
            </w:r>
            <w:proofErr w:type="gramEnd"/>
          </w:p>
          <w:p w14:paraId="0D06A36D" w14:textId="28571ADB" w:rsidR="008B7860" w:rsidRDefault="004C1AF0" w:rsidP="008F0AC5">
            <w:pPr>
              <w:pStyle w:val="Star2"/>
            </w:pPr>
            <w:r w:rsidRPr="00354EAC">
              <w:t>skills, qualifications o</w:t>
            </w:r>
            <w:r w:rsidR="002A4576" w:rsidRPr="00891360">
              <w:t>r</w:t>
            </w:r>
            <w:r w:rsidRPr="00354EAC">
              <w:t xml:space="preserve"> experience in [</w:t>
            </w:r>
            <w:r w:rsidRPr="008F0AC5">
              <w:rPr>
                <w:i/>
                <w:iCs/>
              </w:rPr>
              <w:t>specify</w:t>
            </w:r>
            <w:r w:rsidRPr="00354EAC">
              <w:t>]</w:t>
            </w:r>
            <w:r w:rsidR="00920405">
              <w:t>.</w:t>
            </w:r>
          </w:p>
        </w:tc>
      </w:tr>
    </w:tbl>
    <w:p w14:paraId="18CA791D" w14:textId="77777777" w:rsidR="00192136" w:rsidRPr="00560AC4" w:rsidRDefault="00192136" w:rsidP="008F0AC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016"/>
      </w:tblGrid>
      <w:tr w:rsidR="00192136" w14:paraId="7B9AB758" w14:textId="77777777" w:rsidTr="00A70EDD">
        <w:tc>
          <w:tcPr>
            <w:tcW w:w="9016" w:type="dxa"/>
            <w:shd w:val="clear" w:color="auto" w:fill="F2F2F2" w:themeFill="background1" w:themeFillShade="F2"/>
          </w:tcPr>
          <w:p w14:paraId="6C9B9030" w14:textId="6B5A88D4" w:rsidR="00192136" w:rsidRPr="00D760BD" w:rsidRDefault="00192136" w:rsidP="00971B40">
            <w:pPr>
              <w:pStyle w:val="Heading4"/>
              <w:rPr>
                <w:bCs w:val="0"/>
              </w:rPr>
            </w:pPr>
            <w:r w:rsidRPr="00971B40">
              <w:t xml:space="preserve">Relevant skills and experience </w:t>
            </w:r>
            <w:r w:rsidR="004C168A" w:rsidRPr="004C168A">
              <w:t xml:space="preserve">[for Provision A on page </w:t>
            </w:r>
            <w:r w:rsidR="00DE2B55">
              <w:t>9</w:t>
            </w:r>
            <w:r w:rsidR="004C168A" w:rsidRPr="004C168A">
              <w:t xml:space="preserve"> or Provision B on page</w:t>
            </w:r>
            <w:r w:rsidR="004C168A" w:rsidRPr="004F1133">
              <w:t xml:space="preserve"> </w:t>
            </w:r>
            <w:r w:rsidR="2C34C2E9">
              <w:t>1</w:t>
            </w:r>
            <w:r w:rsidR="00DE2B55">
              <w:t>0</w:t>
            </w:r>
            <w:r w:rsidR="004C168A" w:rsidRPr="004C168A">
              <w:t>]</w:t>
            </w:r>
          </w:p>
          <w:p w14:paraId="26F762EC" w14:textId="73A42D83" w:rsidR="00192136" w:rsidRPr="00944ED3" w:rsidRDefault="00192136" w:rsidP="004C168A">
            <w:pPr>
              <w:rPr>
                <w:color w:val="FF0000"/>
              </w:rPr>
            </w:pPr>
            <w:r w:rsidRPr="00944ED3">
              <w:rPr>
                <w:rFonts w:eastAsiaTheme="minorHAnsi"/>
              </w:rPr>
              <w:t>The Regulator must not [</w:t>
            </w:r>
            <w:r w:rsidRPr="00944ED3">
              <w:rPr>
                <w:rFonts w:eastAsiaTheme="minorHAnsi"/>
                <w:i/>
                <w:iCs/>
              </w:rPr>
              <w:t>issue the licence/registration/grant the exemption</w:t>
            </w:r>
            <w:r w:rsidRPr="001F0B78">
              <w:rPr>
                <w:rFonts w:eastAsiaTheme="minorHAnsi"/>
              </w:rPr>
              <w:t xml:space="preserve">] </w:t>
            </w:r>
            <w:r w:rsidR="001F0B78" w:rsidRPr="00354EAC">
              <w:t>unless the Regulator is satisfied that the person has appropriate skills, qualifications or experience to [</w:t>
            </w:r>
            <w:r w:rsidR="001F0B78" w:rsidRPr="00354EAC">
              <w:rPr>
                <w:i/>
              </w:rPr>
              <w:t>hold the licence/engage in the regulated activity/be issued an exemption</w:t>
            </w:r>
            <w:r w:rsidR="001F0B78" w:rsidRPr="00354EAC">
              <w:t>].</w:t>
            </w:r>
          </w:p>
        </w:tc>
      </w:tr>
    </w:tbl>
    <w:p w14:paraId="44D44634" w14:textId="77777777" w:rsidR="00192136" w:rsidRDefault="00192136" w:rsidP="004B2E27"/>
    <w:tbl>
      <w:tblPr>
        <w:tblStyle w:val="DTFtexttable"/>
        <w:tblW w:w="9000" w:type="dxa"/>
        <w:tblLayout w:type="fixed"/>
        <w:tblLook w:val="04A0" w:firstRow="1" w:lastRow="0" w:firstColumn="1" w:lastColumn="0" w:noHBand="0" w:noVBand="1"/>
      </w:tblPr>
      <w:tblGrid>
        <w:gridCol w:w="567"/>
        <w:gridCol w:w="8433"/>
      </w:tblGrid>
      <w:tr w:rsidR="00F23EAC" w:rsidRPr="000357EF" w14:paraId="193A43B3" w14:textId="77777777" w:rsidTr="0056560E">
        <w:trPr>
          <w:cnfStyle w:val="100000000000" w:firstRow="1" w:lastRow="0" w:firstColumn="0" w:lastColumn="0" w:oddVBand="0" w:evenVBand="0" w:oddHBand="0" w:evenHBand="0" w:firstRowFirstColumn="0" w:firstRowLastColumn="0" w:lastRowFirstColumn="0" w:lastRowLastColumn="0"/>
          <w:trHeight w:val="1134"/>
        </w:trPr>
        <w:tc>
          <w:tcPr>
            <w:cnfStyle w:val="001000000100" w:firstRow="0" w:lastRow="0" w:firstColumn="1" w:lastColumn="0" w:oddVBand="0" w:evenVBand="0" w:oddHBand="0" w:evenHBand="0" w:firstRowFirstColumn="1" w:firstRowLastColumn="0" w:lastRowFirstColumn="0" w:lastRowLastColumn="0"/>
            <w:tcW w:w="567" w:type="dxa"/>
            <w:textDirection w:val="btLr"/>
            <w:vAlign w:val="center"/>
          </w:tcPr>
          <w:p w14:paraId="1EE30095" w14:textId="77777777" w:rsidR="004C168A" w:rsidRPr="00D760BD" w:rsidRDefault="004C168A">
            <w:pPr>
              <w:pStyle w:val="Tabletext"/>
              <w:keepNext w:val="0"/>
              <w:ind w:left="113" w:right="113"/>
              <w:jc w:val="center"/>
              <w:rPr>
                <w:rFonts w:asciiTheme="majorHAnsi" w:hAnsiTheme="majorHAnsi"/>
                <w:b/>
                <w:bCs/>
              </w:rPr>
            </w:pPr>
            <w:r w:rsidRPr="00D760BD">
              <w:rPr>
                <w:b/>
                <w:bCs/>
              </w:rPr>
              <w:t>Example</w:t>
            </w:r>
          </w:p>
        </w:tc>
        <w:tc>
          <w:tcPr>
            <w:tcW w:w="8433" w:type="dxa"/>
            <w:shd w:val="clear" w:color="auto" w:fill="FFFFFF" w:themeFill="background1"/>
            <w:vAlign w:val="center"/>
          </w:tcPr>
          <w:p w14:paraId="013995F3" w14:textId="2391421A" w:rsidR="004C168A" w:rsidRPr="004C168A" w:rsidRDefault="004C168A" w:rsidP="004C168A">
            <w:pPr>
              <w:pStyle w:val="Tabletext"/>
              <w:cnfStyle w:val="100000000000" w:firstRow="1" w:lastRow="0" w:firstColumn="0" w:lastColumn="0" w:oddVBand="0" w:evenVBand="0" w:oddHBand="0" w:evenHBand="0" w:firstRowFirstColumn="0" w:firstRowLastColumn="0" w:lastRowFirstColumn="0" w:lastRowLastColumn="0"/>
            </w:pPr>
            <w:r w:rsidRPr="004C168A">
              <w:t>An individual applying for a firearm’s licence may be required to provide evidence that they have satisfactorily completed the prescribed firearms safety or other training courses.</w:t>
            </w:r>
          </w:p>
        </w:tc>
      </w:tr>
    </w:tbl>
    <w:p w14:paraId="4F391559" w14:textId="77777777" w:rsidR="004C168A" w:rsidRDefault="004C168A" w:rsidP="004B2E27"/>
    <w:tbl>
      <w:tblPr>
        <w:tblStyle w:val="DTFtexttable"/>
        <w:tblW w:w="9000" w:type="dxa"/>
        <w:tblLayout w:type="fixed"/>
        <w:tblLook w:val="04A0" w:firstRow="1" w:lastRow="0" w:firstColumn="1" w:lastColumn="0" w:noHBand="0" w:noVBand="1"/>
      </w:tblPr>
      <w:tblGrid>
        <w:gridCol w:w="567"/>
        <w:gridCol w:w="8433"/>
      </w:tblGrid>
      <w:tr w:rsidR="00F23EAC" w:rsidRPr="000357EF" w14:paraId="225E18B7" w14:textId="77777777" w:rsidTr="0056560E">
        <w:trPr>
          <w:cnfStyle w:val="100000000000" w:firstRow="1" w:lastRow="0" w:firstColumn="0" w:lastColumn="0" w:oddVBand="0" w:evenVBand="0" w:oddHBand="0" w:evenHBand="0" w:firstRowFirstColumn="0" w:firstRowLastColumn="0" w:lastRowFirstColumn="0" w:lastRowLastColumn="0"/>
          <w:trHeight w:val="1134"/>
        </w:trPr>
        <w:tc>
          <w:tcPr>
            <w:cnfStyle w:val="001000000100" w:firstRow="0" w:lastRow="0" w:firstColumn="1" w:lastColumn="0" w:oddVBand="0" w:evenVBand="0" w:oddHBand="0" w:evenHBand="0" w:firstRowFirstColumn="1" w:firstRowLastColumn="0" w:lastRowFirstColumn="0" w:lastRowLastColumn="0"/>
            <w:tcW w:w="567" w:type="dxa"/>
            <w:textDirection w:val="btLr"/>
            <w:vAlign w:val="center"/>
          </w:tcPr>
          <w:p w14:paraId="1D51C6E7" w14:textId="77777777" w:rsidR="004C168A" w:rsidRPr="00D760BD" w:rsidRDefault="004C168A">
            <w:pPr>
              <w:pStyle w:val="Tabletext"/>
              <w:keepNext w:val="0"/>
              <w:ind w:left="113" w:right="113"/>
              <w:jc w:val="center"/>
              <w:rPr>
                <w:rFonts w:asciiTheme="majorHAnsi" w:hAnsiTheme="majorHAnsi"/>
                <w:b/>
                <w:bCs/>
              </w:rPr>
            </w:pPr>
            <w:r w:rsidRPr="00D760BD">
              <w:rPr>
                <w:b/>
                <w:bCs/>
              </w:rPr>
              <w:t>Example</w:t>
            </w:r>
          </w:p>
        </w:tc>
        <w:tc>
          <w:tcPr>
            <w:tcW w:w="8433" w:type="dxa"/>
            <w:shd w:val="clear" w:color="auto" w:fill="FFFFFF" w:themeFill="background1"/>
            <w:vAlign w:val="center"/>
          </w:tcPr>
          <w:p w14:paraId="65485126" w14:textId="2BBDD3E4" w:rsidR="004C168A" w:rsidRPr="00BE7448" w:rsidRDefault="004C168A" w:rsidP="004C168A">
            <w:pPr>
              <w:pStyle w:val="Tabletext"/>
              <w:cnfStyle w:val="100000000000" w:firstRow="1" w:lastRow="0" w:firstColumn="0" w:lastColumn="0" w:oddVBand="0" w:evenVBand="0" w:oddHBand="0" w:evenHBand="0" w:firstRowFirstColumn="0" w:firstRowLastColumn="0" w:lastRowFirstColumn="0" w:lastRowLastColumn="0"/>
            </w:pPr>
            <w:r w:rsidRPr="00BE7448">
              <w:t>A disability worker applying to hold a limited registration may be required to provide evidence of the nature, extent, period and recency of any previous practice as a disability worker.</w:t>
            </w:r>
          </w:p>
        </w:tc>
      </w:tr>
    </w:tbl>
    <w:p w14:paraId="48E0486E" w14:textId="77777777" w:rsidR="004C168A" w:rsidRDefault="004C168A" w:rsidP="004C168A"/>
    <w:p w14:paraId="0B63ADCE" w14:textId="77777777" w:rsidR="00BF14F3" w:rsidRPr="00D760BD" w:rsidRDefault="00BF14F3" w:rsidP="00BE7448">
      <w:pPr>
        <w:pStyle w:val="Heading2numbered"/>
        <w:rPr>
          <w:rStyle w:val="Heading3Char"/>
          <w:bCs/>
          <w:sz w:val="28"/>
          <w:szCs w:val="26"/>
        </w:rPr>
      </w:pPr>
      <w:bookmarkStart w:id="48" w:name="_Toc178778686"/>
      <w:bookmarkStart w:id="49" w:name="_Toc178778788"/>
      <w:bookmarkStart w:id="50" w:name="_Toc178780210"/>
      <w:bookmarkStart w:id="51" w:name="_Toc174538671"/>
      <w:bookmarkStart w:id="52" w:name="_Toc178780218"/>
      <w:bookmarkStart w:id="53" w:name="_Toc164848035"/>
      <w:bookmarkEnd w:id="48"/>
      <w:bookmarkEnd w:id="49"/>
      <w:bookmarkEnd w:id="50"/>
      <w:r w:rsidRPr="00D760BD">
        <w:rPr>
          <w:rStyle w:val="Heading3Char"/>
          <w:bCs/>
          <w:sz w:val="28"/>
          <w:szCs w:val="26"/>
        </w:rPr>
        <w:lastRenderedPageBreak/>
        <w:t>Assessment of financial position</w:t>
      </w:r>
      <w:bookmarkEnd w:id="51"/>
      <w:bookmarkEnd w:id="52"/>
      <w:r w:rsidRPr="00D760BD">
        <w:rPr>
          <w:rStyle w:val="Heading3Char"/>
          <w:bCs/>
          <w:sz w:val="28"/>
          <w:szCs w:val="26"/>
        </w:rPr>
        <w:t xml:space="preserve"> </w:t>
      </w:r>
    </w:p>
    <w:p w14:paraId="5F2AA6F7" w14:textId="77777777" w:rsidR="00BF14F3" w:rsidRDefault="00BF14F3" w:rsidP="006F7CFD">
      <w:r w:rsidRPr="00560AC4">
        <w:t xml:space="preserve">An applicant may be required to provide information which supports a regulator in making an assessment as to the applicant’s financial position. This may be required </w:t>
      </w:r>
      <w:r>
        <w:t>where:</w:t>
      </w:r>
    </w:p>
    <w:p w14:paraId="4BEC084B" w14:textId="04B72694" w:rsidR="00D408DC" w:rsidRDefault="00082BBB" w:rsidP="006F7CFD">
      <w:pPr>
        <w:pStyle w:val="ListParagraph"/>
        <w:numPr>
          <w:ilvl w:val="0"/>
          <w:numId w:val="34"/>
        </w:numPr>
        <w:spacing w:before="0" w:line="240" w:lineRule="auto"/>
        <w:contextualSpacing w:val="0"/>
        <w:rPr>
          <w:rFonts w:eastAsiaTheme="majorEastAsia" w:cs="Arial"/>
        </w:rPr>
      </w:pPr>
      <w:r>
        <w:rPr>
          <w:rFonts w:eastAsiaTheme="majorEastAsia" w:cs="Arial"/>
        </w:rPr>
        <w:t>s</w:t>
      </w:r>
      <w:r w:rsidR="00BF14F3" w:rsidRPr="00354EAC">
        <w:rPr>
          <w:rFonts w:eastAsiaTheme="majorEastAsia" w:cs="Arial"/>
        </w:rPr>
        <w:t>ignificant or ongoing financial output is required to undertake the activity for which the permission is being sought</w:t>
      </w:r>
    </w:p>
    <w:p w14:paraId="2D947DCD" w14:textId="014FAD86" w:rsidR="00EE1FB3" w:rsidRDefault="00082BBB" w:rsidP="006F7CFD">
      <w:pPr>
        <w:pStyle w:val="ListParagraph"/>
        <w:numPr>
          <w:ilvl w:val="0"/>
          <w:numId w:val="34"/>
        </w:numPr>
        <w:spacing w:before="0" w:line="240" w:lineRule="auto"/>
        <w:contextualSpacing w:val="0"/>
        <w:rPr>
          <w:rFonts w:eastAsiaTheme="majorEastAsia" w:cs="Arial"/>
        </w:rPr>
      </w:pPr>
      <w:r>
        <w:rPr>
          <w:rFonts w:eastAsiaTheme="majorEastAsia" w:cs="Arial"/>
        </w:rPr>
        <w:t>t</w:t>
      </w:r>
      <w:r w:rsidR="00D408DC">
        <w:rPr>
          <w:rFonts w:eastAsiaTheme="majorEastAsia" w:cs="Arial"/>
        </w:rPr>
        <w:t>here is a risk</w:t>
      </w:r>
      <w:r w:rsidR="00BF14F3" w:rsidRPr="00354EAC">
        <w:rPr>
          <w:rFonts w:eastAsiaTheme="majorEastAsia" w:cs="Arial"/>
        </w:rPr>
        <w:t xml:space="preserve"> of consumer harm if the business becomes insolvent (e.g. where there is an ongoing relationship</w:t>
      </w:r>
      <w:r w:rsidR="00EE1FB3">
        <w:rPr>
          <w:rFonts w:eastAsiaTheme="majorEastAsia" w:cs="Arial"/>
        </w:rPr>
        <w:t>,</w:t>
      </w:r>
      <w:r w:rsidR="00BF14F3" w:rsidRPr="00354EAC">
        <w:rPr>
          <w:rFonts w:eastAsiaTheme="majorEastAsia" w:cs="Arial"/>
        </w:rPr>
        <w:t xml:space="preserve"> such a</w:t>
      </w:r>
      <w:r w:rsidR="00EE1FB3">
        <w:rPr>
          <w:rFonts w:eastAsiaTheme="majorEastAsia" w:cs="Arial"/>
        </w:rPr>
        <w:t>s a</w:t>
      </w:r>
      <w:r w:rsidR="00BF14F3" w:rsidRPr="00354EAC">
        <w:rPr>
          <w:rFonts w:eastAsiaTheme="majorEastAsia" w:cs="Arial"/>
        </w:rPr>
        <w:t xml:space="preserve"> financing relationship</w:t>
      </w:r>
      <w:r w:rsidR="00EE1FB3">
        <w:rPr>
          <w:rFonts w:eastAsiaTheme="majorEastAsia" w:cs="Arial"/>
        </w:rPr>
        <w:t>,</w:t>
      </w:r>
      <w:r w:rsidR="00BF14F3" w:rsidRPr="00354EAC">
        <w:rPr>
          <w:rFonts w:eastAsiaTheme="majorEastAsia" w:cs="Arial"/>
        </w:rPr>
        <w:t xml:space="preserve"> where the consumer is unlikely to obtain the benefit of an expensive or highly valuable good or service if the business becomes insolvent), or </w:t>
      </w:r>
    </w:p>
    <w:p w14:paraId="0A0F5C2E" w14:textId="68C0922B" w:rsidR="00BF14F3" w:rsidRDefault="00082BBB" w:rsidP="006F7CFD">
      <w:pPr>
        <w:pStyle w:val="ListParagraph"/>
        <w:numPr>
          <w:ilvl w:val="0"/>
          <w:numId w:val="34"/>
        </w:numPr>
        <w:spacing w:before="0" w:line="240" w:lineRule="auto"/>
        <w:contextualSpacing w:val="0"/>
        <w:rPr>
          <w:rFonts w:eastAsiaTheme="majorEastAsia" w:cs="Arial"/>
        </w:rPr>
      </w:pPr>
      <w:r>
        <w:rPr>
          <w:rFonts w:eastAsiaTheme="majorEastAsia" w:cs="Arial"/>
        </w:rPr>
        <w:t>w</w:t>
      </w:r>
      <w:r w:rsidR="00BF14F3" w:rsidRPr="00354EAC">
        <w:rPr>
          <w:rFonts w:eastAsiaTheme="majorEastAsia" w:cs="Arial"/>
        </w:rPr>
        <w:t>here an activity would put an applicant at risk of actual or perceived financial coercion or bribery.</w:t>
      </w:r>
    </w:p>
    <w:p w14:paraId="4E796918" w14:textId="77777777" w:rsidR="004C168A" w:rsidRDefault="004C168A" w:rsidP="004C168A"/>
    <w:tbl>
      <w:tblPr>
        <w:tblStyle w:val="DTFtexttable"/>
        <w:tblW w:w="9000" w:type="dxa"/>
        <w:tblLayout w:type="fixed"/>
        <w:tblLook w:val="04A0" w:firstRow="1" w:lastRow="0" w:firstColumn="1" w:lastColumn="0" w:noHBand="0" w:noVBand="1"/>
      </w:tblPr>
      <w:tblGrid>
        <w:gridCol w:w="540"/>
        <w:gridCol w:w="8460"/>
      </w:tblGrid>
      <w:tr w:rsidR="004C168A" w:rsidRPr="000357EF" w14:paraId="5D342838" w14:textId="77777777">
        <w:trPr>
          <w:cnfStyle w:val="100000000000" w:firstRow="1" w:lastRow="0" w:firstColumn="0" w:lastColumn="0" w:oddVBand="0" w:evenVBand="0" w:oddHBand="0" w:evenHBand="0" w:firstRowFirstColumn="0" w:firstRowLastColumn="0" w:lastRowFirstColumn="0" w:lastRowLastColumn="0"/>
          <w:trHeight w:val="1134"/>
        </w:trPr>
        <w:tc>
          <w:tcPr>
            <w:cnfStyle w:val="001000000100" w:firstRow="0" w:lastRow="0" w:firstColumn="1" w:lastColumn="0" w:oddVBand="0" w:evenVBand="0" w:oddHBand="0" w:evenHBand="0" w:firstRowFirstColumn="1" w:firstRowLastColumn="0" w:lastRowFirstColumn="0" w:lastRowLastColumn="0"/>
            <w:tcW w:w="540" w:type="dxa"/>
            <w:textDirection w:val="btLr"/>
            <w:vAlign w:val="center"/>
          </w:tcPr>
          <w:p w14:paraId="688DBFBE" w14:textId="77777777" w:rsidR="004C168A" w:rsidRPr="00D760BD" w:rsidRDefault="004C168A">
            <w:pPr>
              <w:pStyle w:val="Tabletext"/>
              <w:keepNext w:val="0"/>
              <w:ind w:left="113" w:right="113"/>
              <w:jc w:val="center"/>
              <w:rPr>
                <w:rFonts w:asciiTheme="majorHAnsi" w:hAnsiTheme="majorHAnsi"/>
                <w:b/>
                <w:bCs/>
              </w:rPr>
            </w:pPr>
            <w:r w:rsidRPr="00D760BD">
              <w:rPr>
                <w:b/>
                <w:bCs/>
              </w:rPr>
              <w:t>Example</w:t>
            </w:r>
          </w:p>
        </w:tc>
        <w:tc>
          <w:tcPr>
            <w:tcW w:w="8460" w:type="dxa"/>
            <w:shd w:val="clear" w:color="auto" w:fill="FFFFFF" w:themeFill="background1"/>
            <w:vAlign w:val="center"/>
          </w:tcPr>
          <w:p w14:paraId="2101CD78" w14:textId="688D8710" w:rsidR="004C168A" w:rsidRPr="002701B7" w:rsidRDefault="004C168A">
            <w:pPr>
              <w:pStyle w:val="Tabletext"/>
              <w:cnfStyle w:val="100000000000" w:firstRow="1" w:lastRow="0" w:firstColumn="0" w:lastColumn="0" w:oddVBand="0" w:evenVBand="0" w:oddHBand="0" w:evenHBand="0" w:firstRowFirstColumn="0" w:firstRowLastColumn="0" w:lastRowFirstColumn="0" w:lastRowLastColumn="0"/>
              <w:rPr>
                <w:b/>
                <w:bCs/>
              </w:rPr>
            </w:pPr>
            <w:r>
              <w:t>In determining whether to register premises as a health services establishment, the Secretary of the Department of Health must consider whether the applicant for registration has and is likely to continue to have the financial capacity to carry on a health service establishment.</w:t>
            </w:r>
          </w:p>
        </w:tc>
      </w:tr>
    </w:tbl>
    <w:p w14:paraId="23356020" w14:textId="77777777" w:rsidR="004C168A" w:rsidRDefault="004C168A" w:rsidP="004C168A"/>
    <w:tbl>
      <w:tblPr>
        <w:tblStyle w:val="DTFtexttable"/>
        <w:tblW w:w="9000" w:type="dxa"/>
        <w:tblLayout w:type="fixed"/>
        <w:tblLook w:val="04A0" w:firstRow="1" w:lastRow="0" w:firstColumn="1" w:lastColumn="0" w:noHBand="0" w:noVBand="1"/>
      </w:tblPr>
      <w:tblGrid>
        <w:gridCol w:w="540"/>
        <w:gridCol w:w="8460"/>
      </w:tblGrid>
      <w:tr w:rsidR="004C168A" w:rsidRPr="000357EF" w14:paraId="403BED88" w14:textId="77777777">
        <w:trPr>
          <w:cnfStyle w:val="100000000000" w:firstRow="1" w:lastRow="0" w:firstColumn="0" w:lastColumn="0" w:oddVBand="0" w:evenVBand="0" w:oddHBand="0" w:evenHBand="0" w:firstRowFirstColumn="0" w:firstRowLastColumn="0" w:lastRowFirstColumn="0" w:lastRowLastColumn="0"/>
          <w:trHeight w:val="1134"/>
        </w:trPr>
        <w:tc>
          <w:tcPr>
            <w:cnfStyle w:val="001000000100" w:firstRow="0" w:lastRow="0" w:firstColumn="1" w:lastColumn="0" w:oddVBand="0" w:evenVBand="0" w:oddHBand="0" w:evenHBand="0" w:firstRowFirstColumn="1" w:firstRowLastColumn="0" w:lastRowFirstColumn="0" w:lastRowLastColumn="0"/>
            <w:tcW w:w="540" w:type="dxa"/>
            <w:textDirection w:val="btLr"/>
            <w:vAlign w:val="center"/>
          </w:tcPr>
          <w:p w14:paraId="265C9BBF" w14:textId="77777777" w:rsidR="004C168A" w:rsidRPr="00D760BD" w:rsidRDefault="004C168A">
            <w:pPr>
              <w:pStyle w:val="Tabletext"/>
              <w:keepNext w:val="0"/>
              <w:ind w:left="113" w:right="113"/>
              <w:jc w:val="center"/>
              <w:rPr>
                <w:rFonts w:asciiTheme="majorHAnsi" w:hAnsiTheme="majorHAnsi"/>
                <w:b/>
                <w:bCs/>
              </w:rPr>
            </w:pPr>
            <w:r w:rsidRPr="00D760BD">
              <w:rPr>
                <w:b/>
                <w:bCs/>
              </w:rPr>
              <w:t>Example</w:t>
            </w:r>
          </w:p>
        </w:tc>
        <w:tc>
          <w:tcPr>
            <w:tcW w:w="8460" w:type="dxa"/>
            <w:shd w:val="clear" w:color="auto" w:fill="FFFFFF" w:themeFill="background1"/>
            <w:vAlign w:val="center"/>
          </w:tcPr>
          <w:p w14:paraId="213B7A99" w14:textId="77777777" w:rsidR="004C168A" w:rsidRPr="004C168A" w:rsidRDefault="004C168A" w:rsidP="004C168A">
            <w:pPr>
              <w:pStyle w:val="Tabletext"/>
              <w:cnfStyle w:val="100000000000" w:firstRow="1" w:lastRow="0" w:firstColumn="0" w:lastColumn="0" w:oddVBand="0" w:evenVBand="0" w:oddHBand="0" w:evenHBand="0" w:firstRowFirstColumn="0" w:firstRowLastColumn="0" w:lastRowFirstColumn="0" w:lastRowLastColumn="0"/>
              <w:rPr>
                <w:bCs/>
              </w:rPr>
            </w:pPr>
            <w:r w:rsidRPr="004C168A">
              <w:rPr>
                <w:bCs/>
              </w:rPr>
              <w:t xml:space="preserve">When determining whether to grant a licence for the operation of a Keno business, consideration of whether the applicant is of sound and stable financial </w:t>
            </w:r>
            <w:proofErr w:type="gramStart"/>
            <w:r w:rsidRPr="004C168A">
              <w:rPr>
                <w:bCs/>
              </w:rPr>
              <w:t>background, and</w:t>
            </w:r>
            <w:proofErr w:type="gramEnd"/>
            <w:r w:rsidRPr="004C168A">
              <w:rPr>
                <w:bCs/>
              </w:rPr>
              <w:t xml:space="preserve"> has financial resources that are adequate is required. </w:t>
            </w:r>
          </w:p>
          <w:p w14:paraId="49CFB412" w14:textId="01DAFCCD" w:rsidR="004C168A" w:rsidRPr="004C168A" w:rsidRDefault="004C168A" w:rsidP="004C168A">
            <w:pPr>
              <w:pStyle w:val="Tabletext"/>
              <w:cnfStyle w:val="100000000000" w:firstRow="1" w:lastRow="0" w:firstColumn="0" w:lastColumn="0" w:oddVBand="0" w:evenVBand="0" w:oddHBand="0" w:evenHBand="0" w:firstRowFirstColumn="0" w:firstRowLastColumn="0" w:lastRowFirstColumn="0" w:lastRowLastColumn="0"/>
              <w:rPr>
                <w:bCs/>
              </w:rPr>
            </w:pPr>
            <w:r w:rsidRPr="006B1199">
              <w:rPr>
                <w:bCs/>
              </w:rPr>
              <w:t>This is to ensure the financial viability of a Keno business and, given that Keno is a form of gambling, assess the applicant’s risk of engaging in behaviours which do not comply with relevant gambling laws.</w:t>
            </w:r>
          </w:p>
        </w:tc>
      </w:tr>
    </w:tbl>
    <w:p w14:paraId="3B60BCD1" w14:textId="0048ECCE" w:rsidR="004C168A" w:rsidRDefault="004C168A" w:rsidP="004C168A"/>
    <w:tbl>
      <w:tblPr>
        <w:tblStyle w:val="DTFtexttable"/>
        <w:tblW w:w="9000" w:type="dxa"/>
        <w:tblLayout w:type="fixed"/>
        <w:tblLook w:val="04A0" w:firstRow="1" w:lastRow="0" w:firstColumn="1" w:lastColumn="0" w:noHBand="0" w:noVBand="1"/>
      </w:tblPr>
      <w:tblGrid>
        <w:gridCol w:w="540"/>
        <w:gridCol w:w="8460"/>
      </w:tblGrid>
      <w:tr w:rsidR="004C168A" w:rsidRPr="000357EF" w14:paraId="7358E320" w14:textId="77777777">
        <w:trPr>
          <w:cnfStyle w:val="100000000000" w:firstRow="1" w:lastRow="0" w:firstColumn="0" w:lastColumn="0" w:oddVBand="0" w:evenVBand="0" w:oddHBand="0" w:evenHBand="0" w:firstRowFirstColumn="0" w:firstRowLastColumn="0" w:lastRowFirstColumn="0" w:lastRowLastColumn="0"/>
          <w:trHeight w:val="1134"/>
        </w:trPr>
        <w:tc>
          <w:tcPr>
            <w:cnfStyle w:val="001000000100" w:firstRow="0" w:lastRow="0" w:firstColumn="1" w:lastColumn="0" w:oddVBand="0" w:evenVBand="0" w:oddHBand="0" w:evenHBand="0" w:firstRowFirstColumn="1" w:firstRowLastColumn="0" w:lastRowFirstColumn="0" w:lastRowLastColumn="0"/>
            <w:tcW w:w="540" w:type="dxa"/>
            <w:textDirection w:val="btLr"/>
            <w:vAlign w:val="center"/>
          </w:tcPr>
          <w:p w14:paraId="30B8D20A" w14:textId="77777777" w:rsidR="004C168A" w:rsidRPr="00D760BD" w:rsidRDefault="004C168A">
            <w:pPr>
              <w:pStyle w:val="Tabletext"/>
              <w:keepNext w:val="0"/>
              <w:ind w:left="113" w:right="113"/>
              <w:jc w:val="center"/>
              <w:rPr>
                <w:rFonts w:asciiTheme="majorHAnsi" w:hAnsiTheme="majorHAnsi"/>
                <w:b/>
                <w:bCs/>
              </w:rPr>
            </w:pPr>
            <w:r w:rsidRPr="00D760BD">
              <w:rPr>
                <w:b/>
                <w:bCs/>
              </w:rPr>
              <w:t>Example</w:t>
            </w:r>
          </w:p>
        </w:tc>
        <w:tc>
          <w:tcPr>
            <w:tcW w:w="8460" w:type="dxa"/>
            <w:shd w:val="clear" w:color="auto" w:fill="FFFFFF" w:themeFill="background1"/>
            <w:vAlign w:val="center"/>
          </w:tcPr>
          <w:p w14:paraId="3D5EA7D1" w14:textId="58B51734" w:rsidR="004C168A" w:rsidRPr="00D760BD" w:rsidRDefault="004C168A">
            <w:pPr>
              <w:pStyle w:val="Tabletext"/>
              <w:cnfStyle w:val="100000000000" w:firstRow="1" w:lastRow="0" w:firstColumn="0" w:lastColumn="0" w:oddVBand="0" w:evenVBand="0" w:oddHBand="0" w:evenHBand="0" w:firstRowFirstColumn="0" w:firstRowLastColumn="0" w:lastRowFirstColumn="0" w:lastRowLastColumn="0"/>
            </w:pPr>
            <w:r w:rsidRPr="00BE7448">
              <w:t>An applicant seeking to adopt a child must include in the application details which demonstrate whether the applicant or applicants’ financial circumstances are suitable for providing financial support to the child until they reach adulthood.</w:t>
            </w:r>
          </w:p>
        </w:tc>
      </w:tr>
    </w:tbl>
    <w:p w14:paraId="7EAD2E3E" w14:textId="77777777" w:rsidR="004C168A" w:rsidRDefault="004C168A" w:rsidP="004C168A"/>
    <w:p w14:paraId="0D89DF67" w14:textId="5DFC97C8" w:rsidR="00E80A6E" w:rsidRPr="00D760BD" w:rsidRDefault="00E80A6E" w:rsidP="007A5402">
      <w:pPr>
        <w:pStyle w:val="Heading2numbered"/>
        <w:rPr>
          <w:rStyle w:val="Heading3Char"/>
          <w:bCs/>
          <w:sz w:val="28"/>
          <w:szCs w:val="26"/>
        </w:rPr>
      </w:pPr>
      <w:bookmarkStart w:id="54" w:name="_Toc178778695"/>
      <w:bookmarkStart w:id="55" w:name="_Toc178778797"/>
      <w:bookmarkStart w:id="56" w:name="_Toc178780219"/>
      <w:bookmarkStart w:id="57" w:name="_Toc178778699"/>
      <w:bookmarkStart w:id="58" w:name="_Toc178778801"/>
      <w:bookmarkStart w:id="59" w:name="_Toc178780223"/>
      <w:bookmarkStart w:id="60" w:name="_Toc178778704"/>
      <w:bookmarkStart w:id="61" w:name="_Toc178778806"/>
      <w:bookmarkStart w:id="62" w:name="_Toc178780228"/>
      <w:bookmarkStart w:id="63" w:name="_Toc174538672"/>
      <w:bookmarkStart w:id="64" w:name="_Toc178780232"/>
      <w:bookmarkEnd w:id="54"/>
      <w:bookmarkEnd w:id="55"/>
      <w:bookmarkEnd w:id="56"/>
      <w:bookmarkEnd w:id="57"/>
      <w:bookmarkEnd w:id="58"/>
      <w:bookmarkEnd w:id="59"/>
      <w:bookmarkEnd w:id="60"/>
      <w:bookmarkEnd w:id="61"/>
      <w:bookmarkEnd w:id="62"/>
      <w:r w:rsidRPr="00D760BD">
        <w:rPr>
          <w:rStyle w:val="Heading3Char"/>
          <w:bCs/>
          <w:sz w:val="28"/>
          <w:szCs w:val="26"/>
        </w:rPr>
        <w:lastRenderedPageBreak/>
        <w:t>Solvency</w:t>
      </w:r>
      <w:bookmarkEnd w:id="53"/>
      <w:bookmarkEnd w:id="63"/>
      <w:bookmarkEnd w:id="64"/>
      <w:r w:rsidRPr="00D760BD">
        <w:rPr>
          <w:rStyle w:val="Heading3Char"/>
          <w:bCs/>
          <w:sz w:val="28"/>
          <w:szCs w:val="26"/>
        </w:rPr>
        <w:t xml:space="preserve"> </w:t>
      </w:r>
    </w:p>
    <w:p w14:paraId="1B5BE65F" w14:textId="77777777" w:rsidR="00DF781A" w:rsidRDefault="00D413D0" w:rsidP="00D760BD">
      <w:pPr>
        <w:keepNext/>
      </w:pPr>
      <w:r w:rsidRPr="00560AC4">
        <w:t>The applicant may be required to disclose their solvency status. This may be re</w:t>
      </w:r>
      <w:r w:rsidR="007273D7">
        <w:t>quired</w:t>
      </w:r>
      <w:r w:rsidRPr="00560AC4">
        <w:t xml:space="preserve"> in circumstances </w:t>
      </w:r>
      <w:r w:rsidR="00F4722E">
        <w:t>where the relevant permission or licence requires that the applicant h</w:t>
      </w:r>
      <w:r w:rsidR="007273D7">
        <w:t>old</w:t>
      </w:r>
      <w:r w:rsidR="00F4722E">
        <w:t xml:space="preserve"> and maintain adequate control over any personal </w:t>
      </w:r>
      <w:r w:rsidR="007273D7">
        <w:t xml:space="preserve">or business-related </w:t>
      </w:r>
      <w:r w:rsidR="00F4722E">
        <w:t xml:space="preserve">financial risks. </w:t>
      </w:r>
    </w:p>
    <w:p w14:paraId="1355864B" w14:textId="00080CEC" w:rsidR="00DF781A" w:rsidRDefault="00644588" w:rsidP="00D760BD">
      <w:pPr>
        <w:keepNext/>
      </w:pPr>
      <w:r>
        <w:t xml:space="preserve">While legislation may create the </w:t>
      </w:r>
      <w:r w:rsidR="00DF781A">
        <w:t xml:space="preserve">requirement for a decision-maker to consider solvency, policymakers may determine the relevant solvency criteria. </w:t>
      </w:r>
      <w:r w:rsidR="00B84A56">
        <w:t>Examples include</w:t>
      </w:r>
      <w:r w:rsidR="00DF781A">
        <w:t xml:space="preserve">: </w:t>
      </w:r>
    </w:p>
    <w:p w14:paraId="7D4C1A20" w14:textId="00B1894D" w:rsidR="00E80A6E" w:rsidRDefault="004175C6" w:rsidP="00D760BD">
      <w:pPr>
        <w:pStyle w:val="ListParagraph"/>
        <w:keepNext/>
        <w:numPr>
          <w:ilvl w:val="0"/>
          <w:numId w:val="19"/>
        </w:numPr>
        <w:spacing w:before="0" w:line="240" w:lineRule="auto"/>
        <w:contextualSpacing w:val="0"/>
        <w:rPr>
          <w:rFonts w:cs="Arial"/>
        </w:rPr>
      </w:pPr>
      <w:r>
        <w:rPr>
          <w:rFonts w:cs="Arial"/>
        </w:rPr>
        <w:t>t</w:t>
      </w:r>
      <w:r w:rsidR="00DF781A">
        <w:rPr>
          <w:rFonts w:cs="Arial"/>
        </w:rPr>
        <w:t xml:space="preserve">he applicant’s ability to </w:t>
      </w:r>
      <w:r w:rsidR="00FB4952">
        <w:rPr>
          <w:rFonts w:cs="Arial"/>
        </w:rPr>
        <w:t xml:space="preserve">pay any debts they have incurred as at the date of the application </w:t>
      </w:r>
    </w:p>
    <w:p w14:paraId="2D3F9294" w14:textId="3E08AEE8" w:rsidR="00FB4952" w:rsidRDefault="004C35A1" w:rsidP="006F7CFD">
      <w:pPr>
        <w:pStyle w:val="ListParagraph"/>
        <w:numPr>
          <w:ilvl w:val="0"/>
          <w:numId w:val="19"/>
        </w:numPr>
        <w:spacing w:before="0" w:line="240" w:lineRule="auto"/>
        <w:contextualSpacing w:val="0"/>
        <w:rPr>
          <w:rFonts w:cs="Arial"/>
        </w:rPr>
      </w:pPr>
      <w:r>
        <w:rPr>
          <w:rFonts w:cs="Arial"/>
        </w:rPr>
        <w:t>future debts and the extent to which these can be paid, with reference to debts pending on the date of application</w:t>
      </w:r>
    </w:p>
    <w:p w14:paraId="367132F2" w14:textId="41E22269" w:rsidR="00097B3E" w:rsidRDefault="00B1572C" w:rsidP="006F7CFD">
      <w:pPr>
        <w:pStyle w:val="ListParagraph"/>
        <w:numPr>
          <w:ilvl w:val="0"/>
          <w:numId w:val="19"/>
        </w:numPr>
        <w:spacing w:before="0" w:line="240" w:lineRule="auto"/>
        <w:contextualSpacing w:val="0"/>
        <w:rPr>
          <w:rFonts w:cs="Arial"/>
        </w:rPr>
      </w:pPr>
      <w:r>
        <w:rPr>
          <w:rFonts w:cs="Arial"/>
        </w:rPr>
        <w:t>o</w:t>
      </w:r>
      <w:r w:rsidR="00097B3E">
        <w:rPr>
          <w:rFonts w:cs="Arial"/>
        </w:rPr>
        <w:t>ther factors</w:t>
      </w:r>
      <w:r w:rsidR="008E5E33">
        <w:rPr>
          <w:rFonts w:cs="Arial"/>
        </w:rPr>
        <w:t xml:space="preserve"> of uncertainty,</w:t>
      </w:r>
      <w:r w:rsidR="00097B3E">
        <w:rPr>
          <w:rFonts w:cs="Arial"/>
        </w:rPr>
        <w:t xml:space="preserve"> such as the withdrawal of existing financial support</w:t>
      </w:r>
      <w:r w:rsidR="008E5E33">
        <w:rPr>
          <w:rFonts w:cs="Arial"/>
        </w:rPr>
        <w:t xml:space="preserve">. </w:t>
      </w:r>
    </w:p>
    <w:p w14:paraId="4AE22FE0" w14:textId="77777777" w:rsidR="00931C12" w:rsidRPr="00144D5C" w:rsidRDefault="00931C12" w:rsidP="00931C12">
      <w:pPr>
        <w:keepNext/>
        <w:rPr>
          <w:rFonts w:asciiTheme="majorHAnsi" w:hAnsiTheme="majorHAnsi"/>
        </w:rPr>
      </w:pPr>
      <w:r w:rsidRPr="00144D5C">
        <w:rPr>
          <w:rFonts w:asciiTheme="majorHAnsi" w:hAnsiTheme="majorHAnsi"/>
        </w:rPr>
        <w:t>[Policymakers should select the most appropriate option</w:t>
      </w:r>
      <w:r w:rsidRPr="006E4CE9">
        <w:rPr>
          <w:color w:val="C00000"/>
          <w:sz w:val="26"/>
          <w:szCs w:val="26"/>
        </w:rPr>
        <w:t>*</w:t>
      </w:r>
      <w:r w:rsidRPr="00144D5C">
        <w:rPr>
          <w:rFonts w:asciiTheme="majorHAnsi" w:hAnsiTheme="majorHAns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016"/>
      </w:tblGrid>
      <w:tr w:rsidR="00622359" w14:paraId="3A1C1952" w14:textId="77777777" w:rsidTr="00A70EDD">
        <w:tc>
          <w:tcPr>
            <w:tcW w:w="9016" w:type="dxa"/>
            <w:shd w:val="clear" w:color="auto" w:fill="F2F2F2" w:themeFill="background1" w:themeFillShade="F2"/>
          </w:tcPr>
          <w:p w14:paraId="2268502D" w14:textId="1EF157AF" w:rsidR="00622359" w:rsidRDefault="00D07962" w:rsidP="00D760BD">
            <w:pPr>
              <w:pStyle w:val="Heading4"/>
            </w:pPr>
            <w:r>
              <w:t>Solvency</w:t>
            </w:r>
          </w:p>
          <w:p w14:paraId="16D880DA" w14:textId="77777777" w:rsidR="00622359" w:rsidRPr="00C31DF3" w:rsidRDefault="00622359" w:rsidP="009837F5">
            <w:pPr>
              <w:rPr>
                <w:rFonts w:asciiTheme="majorHAnsi" w:hAnsiTheme="majorHAnsi"/>
              </w:rPr>
            </w:pPr>
            <w:r w:rsidRPr="00D760BD">
              <w:rPr>
                <w:rFonts w:asciiTheme="majorHAnsi" w:hAnsiTheme="majorHAnsi"/>
              </w:rPr>
              <w:t>1 Application for [</w:t>
            </w:r>
            <w:r w:rsidRPr="00C31DF3">
              <w:rPr>
                <w:rFonts w:asciiTheme="majorHAnsi" w:hAnsiTheme="majorHAnsi"/>
                <w:i/>
                <w:iCs/>
              </w:rPr>
              <w:t>licence/registration/exemption</w:t>
            </w:r>
            <w:r w:rsidRPr="00C31DF3">
              <w:rPr>
                <w:rFonts w:asciiTheme="majorHAnsi" w:hAnsiTheme="majorHAnsi"/>
              </w:rPr>
              <w:t>]</w:t>
            </w:r>
          </w:p>
          <w:p w14:paraId="0AD3EF02" w14:textId="128F839F" w:rsidR="00622359" w:rsidRPr="00425931" w:rsidRDefault="00622359" w:rsidP="00C31DF3">
            <w:pPr>
              <w:pStyle w:val="Numpara"/>
              <w:numPr>
                <w:ilvl w:val="0"/>
                <w:numId w:val="73"/>
              </w:numPr>
            </w:pPr>
            <w:r w:rsidRPr="00425931">
              <w:t>A person may apply for</w:t>
            </w:r>
            <w:r w:rsidRPr="00425931" w:rsidDel="009333F1">
              <w:t>…</w:t>
            </w:r>
          </w:p>
          <w:p w14:paraId="7F84E1F6" w14:textId="3E682F95" w:rsidR="00622359" w:rsidRPr="00425931" w:rsidRDefault="00622359" w:rsidP="00C31DF3">
            <w:pPr>
              <w:pStyle w:val="Star2"/>
              <w:ind w:left="539"/>
            </w:pPr>
            <w:r w:rsidRPr="00425931">
              <w:t>a licence to [</w:t>
            </w:r>
            <w:r w:rsidRPr="006B7581">
              <w:rPr>
                <w:i/>
                <w:iCs/>
              </w:rPr>
              <w:t>engage in a regulated activity</w:t>
            </w:r>
            <w:r w:rsidRPr="00425931">
              <w:t>].</w:t>
            </w:r>
          </w:p>
          <w:p w14:paraId="27DD8A16" w14:textId="1774B38C" w:rsidR="00622359" w:rsidRPr="00425931" w:rsidRDefault="00622359" w:rsidP="00C31DF3">
            <w:pPr>
              <w:pStyle w:val="Star2"/>
              <w:ind w:left="539"/>
            </w:pPr>
            <w:r w:rsidRPr="00425931">
              <w:t>registration to [</w:t>
            </w:r>
            <w:r w:rsidRPr="006B7581">
              <w:rPr>
                <w:i/>
                <w:iCs/>
              </w:rPr>
              <w:t>provide a regulated service</w:t>
            </w:r>
            <w:r w:rsidRPr="00425931">
              <w:t>].</w:t>
            </w:r>
          </w:p>
          <w:p w14:paraId="7907413C" w14:textId="00D974B4" w:rsidR="00622359" w:rsidRPr="00425931" w:rsidRDefault="00622359" w:rsidP="00C31DF3">
            <w:pPr>
              <w:pStyle w:val="Star2"/>
              <w:ind w:left="539"/>
            </w:pPr>
            <w:r w:rsidRPr="00425931">
              <w:t>an exemption from [</w:t>
            </w:r>
            <w:r w:rsidRPr="006B7581">
              <w:rPr>
                <w:i/>
                <w:iCs/>
              </w:rPr>
              <w:t xml:space="preserve">section </w:t>
            </w:r>
            <w:proofErr w:type="spellStart"/>
            <w:r w:rsidRPr="006B7581">
              <w:rPr>
                <w:i/>
                <w:iCs/>
              </w:rPr>
              <w:t>xxxx</w:t>
            </w:r>
            <w:proofErr w:type="spellEnd"/>
            <w:r w:rsidRPr="006B7581">
              <w:rPr>
                <w:i/>
                <w:iCs/>
              </w:rPr>
              <w:t xml:space="preserve">/any or </w:t>
            </w:r>
            <w:proofErr w:type="gramStart"/>
            <w:r w:rsidRPr="006B7581">
              <w:rPr>
                <w:i/>
                <w:iCs/>
              </w:rPr>
              <w:t>all of</w:t>
            </w:r>
            <w:proofErr w:type="gramEnd"/>
            <w:r w:rsidRPr="006B7581">
              <w:rPr>
                <w:i/>
                <w:iCs/>
              </w:rPr>
              <w:t xml:space="preserve"> the requirements under section </w:t>
            </w:r>
            <w:proofErr w:type="spellStart"/>
            <w:r w:rsidRPr="006B7581">
              <w:rPr>
                <w:i/>
                <w:iCs/>
              </w:rPr>
              <w:t>xxxx</w:t>
            </w:r>
            <w:proofErr w:type="spellEnd"/>
            <w:r w:rsidRPr="00425931">
              <w:t>].</w:t>
            </w:r>
          </w:p>
          <w:p w14:paraId="154ACDE3" w14:textId="27415CEC" w:rsidR="00622359" w:rsidRPr="00425931" w:rsidRDefault="00622359" w:rsidP="00D13824">
            <w:pPr>
              <w:pStyle w:val="Numpara"/>
            </w:pPr>
            <w:r w:rsidRPr="00425931">
              <w:t>An application must</w:t>
            </w:r>
            <w:r w:rsidR="00DD6368" w:rsidRPr="00425931">
              <w:rPr>
                <w:rFonts w:cs="Arial"/>
              </w:rPr>
              <w:t>—</w:t>
            </w:r>
          </w:p>
          <w:p w14:paraId="71C938A8" w14:textId="11969E2F" w:rsidR="00622359" w:rsidRPr="00425931" w:rsidRDefault="00622359" w:rsidP="006B7581">
            <w:pPr>
              <w:pStyle w:val="Listnumindent"/>
              <w:ind w:left="864"/>
            </w:pPr>
            <w:r w:rsidRPr="00425931">
              <w:t>be in</w:t>
            </w:r>
            <w:r w:rsidR="00A271CE">
              <w:t>…</w:t>
            </w:r>
          </w:p>
          <w:p w14:paraId="4F8F71E7" w14:textId="725ED65C" w:rsidR="00622359" w:rsidRPr="00425931" w:rsidRDefault="00622359" w:rsidP="006B7581">
            <w:pPr>
              <w:pStyle w:val="Star2"/>
            </w:pPr>
            <w:r w:rsidRPr="00425931">
              <w:t xml:space="preserve">the prescribed </w:t>
            </w:r>
            <w:proofErr w:type="gramStart"/>
            <w:r w:rsidRPr="00425931">
              <w:t>form;</w:t>
            </w:r>
            <w:proofErr w:type="gramEnd"/>
          </w:p>
          <w:p w14:paraId="4D1181E9" w14:textId="5E5CE270" w:rsidR="00622359" w:rsidRPr="00425931" w:rsidRDefault="00622359" w:rsidP="006B7581">
            <w:pPr>
              <w:pStyle w:val="Star2"/>
            </w:pPr>
            <w:r w:rsidRPr="00425931">
              <w:t xml:space="preserve">the form approved by the </w:t>
            </w:r>
            <w:proofErr w:type="gramStart"/>
            <w:r w:rsidRPr="00425931">
              <w:t>Regulator;</w:t>
            </w:r>
            <w:proofErr w:type="gramEnd"/>
          </w:p>
          <w:p w14:paraId="33B19D10" w14:textId="77777777" w:rsidR="00622359" w:rsidRPr="00425931" w:rsidRDefault="00622359" w:rsidP="006B7581">
            <w:pPr>
              <w:ind w:left="343"/>
            </w:pPr>
            <w:r w:rsidRPr="00425931">
              <w:t>[</w:t>
            </w:r>
            <w:r w:rsidRPr="006B7581">
              <w:rPr>
                <w:i/>
                <w:iCs/>
              </w:rPr>
              <w:t>Alternatives for para (a) relate to the application form. If the application form is prescribed, desired elements can be included in the application form by prescription</w:t>
            </w:r>
            <w:r w:rsidRPr="00425931">
              <w:t>.]</w:t>
            </w:r>
          </w:p>
          <w:p w14:paraId="3FE34B59" w14:textId="5A3F1962" w:rsidR="00622359" w:rsidRDefault="00622359" w:rsidP="006B7581">
            <w:pPr>
              <w:pStyle w:val="Listnumindent"/>
              <w:ind w:left="864"/>
              <w:rPr>
                <w:rFonts w:cs="Arial"/>
              </w:rPr>
            </w:pPr>
            <w:r w:rsidRPr="00D61023">
              <w:t>include</w:t>
            </w:r>
            <w:r w:rsidRPr="00425931" w:rsidDel="009333F1">
              <w:rPr>
                <w:rFonts w:cs="Arial"/>
              </w:rPr>
              <w:t>—</w:t>
            </w:r>
          </w:p>
          <w:p w14:paraId="7618FE80" w14:textId="6D613BFF" w:rsidR="004A7876" w:rsidRPr="00354EAC" w:rsidRDefault="004A7876" w:rsidP="006B7581">
            <w:pPr>
              <w:pStyle w:val="Star2"/>
            </w:pPr>
            <w:r w:rsidRPr="00354EAC">
              <w:t>a statement of the skills, qualifications or experience that make the person suitable to [</w:t>
            </w:r>
            <w:r w:rsidRPr="00354EAC">
              <w:rPr>
                <w:i/>
                <w:iCs/>
              </w:rPr>
              <w:t>hold the licence/engage in the regulated activity/be issued an exemption</w:t>
            </w:r>
            <w:proofErr w:type="gramStart"/>
            <w:r w:rsidRPr="00354EAC">
              <w:t>];</w:t>
            </w:r>
            <w:proofErr w:type="gramEnd"/>
          </w:p>
          <w:p w14:paraId="37E87A06" w14:textId="4B8219A6" w:rsidR="004A7876" w:rsidRPr="00354EAC" w:rsidRDefault="004A7876" w:rsidP="006B7581">
            <w:pPr>
              <w:pStyle w:val="Star2"/>
            </w:pPr>
            <w:r w:rsidRPr="00354EAC">
              <w:t xml:space="preserve">any prescribed </w:t>
            </w:r>
            <w:proofErr w:type="gramStart"/>
            <w:r w:rsidRPr="00354EAC">
              <w:t>information;</w:t>
            </w:r>
            <w:proofErr w:type="gramEnd"/>
            <w:r w:rsidRPr="00354EAC">
              <w:t xml:space="preserve"> </w:t>
            </w:r>
          </w:p>
          <w:p w14:paraId="468A2007" w14:textId="6FF9CD6C" w:rsidR="00D07962" w:rsidRPr="00354EAC" w:rsidRDefault="004A7876" w:rsidP="006B7581">
            <w:pPr>
              <w:pStyle w:val="Star2"/>
            </w:pPr>
            <w:r w:rsidRPr="00354EAC">
              <w:t xml:space="preserve">evidence of specified </w:t>
            </w:r>
            <w:proofErr w:type="gramStart"/>
            <w:r w:rsidRPr="00354EAC">
              <w:t>elements;</w:t>
            </w:r>
            <w:proofErr w:type="gramEnd"/>
          </w:p>
          <w:p w14:paraId="52C06629" w14:textId="1C27C24B" w:rsidR="00622359" w:rsidRPr="00D07962" w:rsidRDefault="00D07962" w:rsidP="006B7581">
            <w:pPr>
              <w:pStyle w:val="Listnumindent"/>
              <w:ind w:left="864"/>
            </w:pPr>
            <w:r w:rsidRPr="00D61023">
              <w:t>state</w:t>
            </w:r>
            <w:r w:rsidRPr="00354EAC">
              <w:rPr>
                <w:rFonts w:cs="Arial"/>
              </w:rPr>
              <w:t xml:space="preserve"> that the applicant is an insolvent under administration</w:t>
            </w:r>
            <w:r w:rsidR="00DD1CD4">
              <w:rPr>
                <w:rFonts w:cs="Arial"/>
              </w:rPr>
              <w:t>.</w:t>
            </w:r>
          </w:p>
        </w:tc>
      </w:tr>
    </w:tbl>
    <w:p w14:paraId="53359AA9" w14:textId="77777777" w:rsidR="00622359" w:rsidRDefault="00622359" w:rsidP="00354EAC">
      <w:pPr>
        <w:spacing w:after="0" w:line="240" w:lineRule="auto"/>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016"/>
      </w:tblGrid>
      <w:tr w:rsidR="005814C8" w14:paraId="3090E9C6" w14:textId="77777777" w:rsidTr="00192136">
        <w:tc>
          <w:tcPr>
            <w:tcW w:w="9016" w:type="dxa"/>
            <w:shd w:val="clear" w:color="auto" w:fill="F2F2F2" w:themeFill="background1" w:themeFillShade="F2"/>
          </w:tcPr>
          <w:p w14:paraId="5179F658" w14:textId="72D7BB83" w:rsidR="005814C8" w:rsidRPr="006B7581" w:rsidRDefault="005814C8" w:rsidP="006B7581">
            <w:pPr>
              <w:pStyle w:val="Heading4"/>
            </w:pPr>
            <w:bookmarkStart w:id="65" w:name="_Hlk170298865"/>
            <w:r w:rsidRPr="006B7581">
              <w:lastRenderedPageBreak/>
              <w:t xml:space="preserve">Solvency </w:t>
            </w:r>
            <w:r w:rsidR="00DF4E53" w:rsidRPr="009837F5">
              <w:t xml:space="preserve">[for Provision A on page </w:t>
            </w:r>
            <w:r w:rsidR="00DE2B55">
              <w:t>9</w:t>
            </w:r>
            <w:r w:rsidR="00D57000">
              <w:t xml:space="preserve"> o</w:t>
            </w:r>
            <w:r w:rsidR="4F2CE00B">
              <w:t>r</w:t>
            </w:r>
            <w:r w:rsidR="00DF4E53" w:rsidRPr="009837F5">
              <w:t xml:space="preserve"> Provision B on page</w:t>
            </w:r>
            <w:r w:rsidR="00DF4E53" w:rsidRPr="006B7581">
              <w:rPr>
                <w:rStyle w:val="Hyperlink"/>
                <w:color w:val="3A3467" w:themeColor="text2"/>
                <w:u w:val="none"/>
              </w:rPr>
              <w:t xml:space="preserve"> </w:t>
            </w:r>
            <w:r w:rsidR="0BB6BF59" w:rsidRPr="4F014B70">
              <w:rPr>
                <w:rStyle w:val="Hyperlink"/>
                <w:color w:val="3A3467" w:themeColor="text2"/>
                <w:u w:val="none"/>
              </w:rPr>
              <w:t>1</w:t>
            </w:r>
            <w:r w:rsidR="00DE2B55">
              <w:rPr>
                <w:rStyle w:val="Hyperlink"/>
                <w:color w:val="3A3467" w:themeColor="text2"/>
                <w:u w:val="none"/>
              </w:rPr>
              <w:t>0</w:t>
            </w:r>
            <w:r w:rsidR="00DF4E53" w:rsidRPr="009837F5">
              <w:t>]</w:t>
            </w:r>
          </w:p>
          <w:p w14:paraId="0902194A" w14:textId="7251C36B" w:rsidR="007A431C" w:rsidRPr="00354EAC" w:rsidRDefault="00192136" w:rsidP="00DF4E53">
            <w:pPr>
              <w:rPr>
                <w:color w:val="FF0000"/>
              </w:rPr>
            </w:pPr>
            <w:r w:rsidRPr="00354EAC">
              <w:t>The Regulator must not [</w:t>
            </w:r>
            <w:r w:rsidRPr="00354EAC">
              <w:rPr>
                <w:i/>
                <w:iCs/>
              </w:rPr>
              <w:t>issue the licence/registration/grant the exemption</w:t>
            </w:r>
            <w:r w:rsidRPr="00354EAC">
              <w:t>] if the applicant is an</w:t>
            </w:r>
            <w:r>
              <w:t xml:space="preserve"> </w:t>
            </w:r>
            <w:r w:rsidRPr="00192136">
              <w:t>insolvent under administration.</w:t>
            </w:r>
          </w:p>
        </w:tc>
      </w:tr>
      <w:bookmarkEnd w:id="65"/>
    </w:tbl>
    <w:p w14:paraId="6200DAED" w14:textId="77777777" w:rsidR="005814C8" w:rsidRDefault="005814C8" w:rsidP="00F04ADD">
      <w:pPr>
        <w:spacing w:after="0"/>
      </w:pPr>
    </w:p>
    <w:tbl>
      <w:tblPr>
        <w:tblStyle w:val="DTFtexttable"/>
        <w:tblW w:w="9000" w:type="dxa"/>
        <w:tblLayout w:type="fixed"/>
        <w:tblLook w:val="04A0" w:firstRow="1" w:lastRow="0" w:firstColumn="1" w:lastColumn="0" w:noHBand="0" w:noVBand="1"/>
      </w:tblPr>
      <w:tblGrid>
        <w:gridCol w:w="540"/>
        <w:gridCol w:w="8460"/>
      </w:tblGrid>
      <w:tr w:rsidR="004C168A" w:rsidRPr="000357EF" w14:paraId="6335AEDA" w14:textId="77777777">
        <w:trPr>
          <w:cnfStyle w:val="100000000000" w:firstRow="1" w:lastRow="0" w:firstColumn="0" w:lastColumn="0" w:oddVBand="0" w:evenVBand="0" w:oddHBand="0" w:evenHBand="0" w:firstRowFirstColumn="0" w:firstRowLastColumn="0" w:lastRowFirstColumn="0" w:lastRowLastColumn="0"/>
          <w:trHeight w:val="1134"/>
        </w:trPr>
        <w:tc>
          <w:tcPr>
            <w:cnfStyle w:val="001000000100" w:firstRow="0" w:lastRow="0" w:firstColumn="1" w:lastColumn="0" w:oddVBand="0" w:evenVBand="0" w:oddHBand="0" w:evenHBand="0" w:firstRowFirstColumn="1" w:firstRowLastColumn="0" w:lastRowFirstColumn="0" w:lastRowLastColumn="0"/>
            <w:tcW w:w="540" w:type="dxa"/>
            <w:textDirection w:val="btLr"/>
            <w:vAlign w:val="center"/>
          </w:tcPr>
          <w:p w14:paraId="378FE6A0" w14:textId="77777777" w:rsidR="004C168A" w:rsidRPr="006B7581" w:rsidRDefault="004C168A">
            <w:pPr>
              <w:pStyle w:val="Tabletext"/>
              <w:keepNext w:val="0"/>
              <w:ind w:left="113" w:right="113"/>
              <w:jc w:val="center"/>
              <w:rPr>
                <w:rFonts w:asciiTheme="majorHAnsi" w:hAnsiTheme="majorHAnsi"/>
                <w:b/>
                <w:bCs/>
              </w:rPr>
            </w:pPr>
            <w:r w:rsidRPr="006B7581">
              <w:rPr>
                <w:b/>
                <w:bCs/>
              </w:rPr>
              <w:t>Example</w:t>
            </w:r>
          </w:p>
        </w:tc>
        <w:tc>
          <w:tcPr>
            <w:tcW w:w="8460" w:type="dxa"/>
            <w:shd w:val="clear" w:color="auto" w:fill="FFFFFF" w:themeFill="background1"/>
            <w:vAlign w:val="center"/>
          </w:tcPr>
          <w:p w14:paraId="268F517B" w14:textId="1B94F679" w:rsidR="004C168A" w:rsidRPr="006B7581" w:rsidRDefault="004C168A">
            <w:pPr>
              <w:pStyle w:val="Tabletext"/>
              <w:cnfStyle w:val="100000000000" w:firstRow="1" w:lastRow="0" w:firstColumn="0" w:lastColumn="0" w:oddVBand="0" w:evenVBand="0" w:oddHBand="0" w:evenHBand="0" w:firstRowFirstColumn="0" w:firstRowLastColumn="0" w:lastRowFirstColumn="0" w:lastRowLastColumn="0"/>
            </w:pPr>
            <w:r w:rsidRPr="00BE7448">
              <w:t>A builder is seeking permissions to commence a long-term, capital-intensive project, so there is a need to consider the builder’s solvency in determining whether sufficient funds are available to undertake the project on an ongoing basis. While assessing solvency, it is discovered that the project’s risk is not managed by insurances and the builder has previously declared bankruptcy. The permission will not be awarded in this case.</w:t>
            </w:r>
          </w:p>
        </w:tc>
      </w:tr>
    </w:tbl>
    <w:p w14:paraId="61071D52" w14:textId="77777777" w:rsidR="004C168A" w:rsidRDefault="004C168A" w:rsidP="00DF6B40">
      <w:pPr>
        <w:pStyle w:val="Spacer"/>
      </w:pPr>
    </w:p>
    <w:p w14:paraId="299FF68B" w14:textId="53BF7A1A" w:rsidR="00DD0C8F" w:rsidRPr="00560AC4" w:rsidRDefault="00DD0C8F" w:rsidP="00DB37DA">
      <w:pPr>
        <w:pStyle w:val="Heading1numbered"/>
      </w:pPr>
      <w:bookmarkStart w:id="66" w:name="_Toc178778709"/>
      <w:bookmarkStart w:id="67" w:name="_Toc178778811"/>
      <w:bookmarkStart w:id="68" w:name="_Toc178780233"/>
      <w:bookmarkStart w:id="69" w:name="_Toc178778713"/>
      <w:bookmarkStart w:id="70" w:name="_Toc178778815"/>
      <w:bookmarkStart w:id="71" w:name="_Toc178780237"/>
      <w:bookmarkStart w:id="72" w:name="_Toc164848036"/>
      <w:bookmarkStart w:id="73" w:name="_Toc174538673"/>
      <w:bookmarkStart w:id="74" w:name="_Toc178780238"/>
      <w:bookmarkEnd w:id="66"/>
      <w:bookmarkEnd w:id="67"/>
      <w:bookmarkEnd w:id="68"/>
      <w:bookmarkEnd w:id="69"/>
      <w:bookmarkEnd w:id="70"/>
      <w:bookmarkEnd w:id="71"/>
      <w:r w:rsidRPr="00560AC4">
        <w:t xml:space="preserve">Bespoke </w:t>
      </w:r>
      <w:r w:rsidR="00E64DC6">
        <w:t>e</w:t>
      </w:r>
      <w:r w:rsidRPr="00560AC4">
        <w:t>lements</w:t>
      </w:r>
      <w:bookmarkEnd w:id="72"/>
      <w:bookmarkEnd w:id="73"/>
      <w:bookmarkEnd w:id="74"/>
    </w:p>
    <w:p w14:paraId="1B1880C3" w14:textId="77777777" w:rsidR="005D463A" w:rsidRDefault="001210AD" w:rsidP="006F7CFD">
      <w:bookmarkStart w:id="75" w:name="_Toc164844913"/>
      <w:r w:rsidRPr="00560AC4">
        <w:t xml:space="preserve">Bespoke elements are relevant </w:t>
      </w:r>
      <w:r w:rsidR="00761A46">
        <w:t>for consideration in</w:t>
      </w:r>
      <w:r w:rsidRPr="00560AC4">
        <w:t xml:space="preserve"> </w:t>
      </w:r>
      <w:r w:rsidRPr="000B2B09">
        <w:t xml:space="preserve">a limited </w:t>
      </w:r>
      <w:r w:rsidR="00761A46">
        <w:t>number of assessments</w:t>
      </w:r>
      <w:r w:rsidRPr="000B2B09">
        <w:t>, where a customised a</w:t>
      </w:r>
      <w:r w:rsidR="00761A46">
        <w:t>pproach</w:t>
      </w:r>
      <w:r w:rsidRPr="000B2B09">
        <w:t xml:space="preserve"> is required to address identified risks. </w:t>
      </w:r>
    </w:p>
    <w:p w14:paraId="0CA5FE06" w14:textId="50F67CA4" w:rsidR="003B185D" w:rsidRPr="00560AC4" w:rsidRDefault="003B185D" w:rsidP="006F7CFD">
      <w:r w:rsidRPr="000B2B09">
        <w:t>This may include circumstances such as</w:t>
      </w:r>
      <w:r w:rsidR="000B2B09" w:rsidRPr="000B2B09">
        <w:t xml:space="preserve"> applications for </w:t>
      </w:r>
      <w:proofErr w:type="gramStart"/>
      <w:r w:rsidR="000B2B09" w:rsidRPr="000B2B09">
        <w:t>drivers</w:t>
      </w:r>
      <w:proofErr w:type="gramEnd"/>
      <w:r w:rsidR="000B2B09" w:rsidRPr="000B2B09">
        <w:t xml:space="preserve"> licences, taxi-</w:t>
      </w:r>
      <w:proofErr w:type="gramStart"/>
      <w:r w:rsidR="000B2B09" w:rsidRPr="000B2B09">
        <w:t>drivers</w:t>
      </w:r>
      <w:proofErr w:type="gramEnd"/>
      <w:r w:rsidR="000B2B09" w:rsidRPr="000B2B09">
        <w:t xml:space="preserve"> licences, the manufacture of listed or narcotic substances, the provision of health services, adoption, and operating a bingo or other gaming centre.</w:t>
      </w:r>
      <w:bookmarkEnd w:id="75"/>
    </w:p>
    <w:p w14:paraId="153E7608" w14:textId="2F627BD2" w:rsidR="001210AD" w:rsidRPr="00560AC4" w:rsidRDefault="00FF4A62" w:rsidP="006F7CFD">
      <w:bookmarkStart w:id="76" w:name="_Toc164844914"/>
      <w:r>
        <w:t>Bespoke elements</w:t>
      </w:r>
      <w:r w:rsidR="004E52F5" w:rsidRPr="00560AC4">
        <w:t xml:space="preserve"> include:</w:t>
      </w:r>
      <w:bookmarkEnd w:id="76"/>
      <w:r w:rsidR="004E52F5" w:rsidRPr="00560AC4">
        <w:t xml:space="preserve"> </w:t>
      </w:r>
    </w:p>
    <w:p w14:paraId="047F94DE" w14:textId="16F13F70" w:rsidR="004E52F5" w:rsidRPr="00CD0BDB" w:rsidRDefault="005D463A" w:rsidP="006B7581">
      <w:pPr>
        <w:pStyle w:val="Bullet1"/>
      </w:pPr>
      <w:bookmarkStart w:id="77" w:name="_Toc164844915"/>
      <w:r>
        <w:t>a</w:t>
      </w:r>
      <w:r w:rsidR="004E52F5" w:rsidRPr="00CD0BDB">
        <w:t>ssociates and affiliations</w:t>
      </w:r>
      <w:bookmarkEnd w:id="77"/>
      <w:r w:rsidR="004E52F5" w:rsidRPr="00CD0BDB">
        <w:t xml:space="preserve"> </w:t>
      </w:r>
    </w:p>
    <w:p w14:paraId="1606F463" w14:textId="61BA791E" w:rsidR="004E52F5" w:rsidRPr="00CD0BDB" w:rsidRDefault="005D463A" w:rsidP="006B7581">
      <w:pPr>
        <w:pStyle w:val="Bullet1"/>
      </w:pPr>
      <w:bookmarkStart w:id="78" w:name="_Toc164844917"/>
      <w:r>
        <w:t>r</w:t>
      </w:r>
      <w:r w:rsidR="004E52F5" w:rsidRPr="00CD0BDB">
        <w:t>equired resources (other than financial resources)</w:t>
      </w:r>
      <w:bookmarkEnd w:id="78"/>
      <w:r w:rsidR="004E52F5" w:rsidRPr="00CD0BDB">
        <w:t xml:space="preserve"> </w:t>
      </w:r>
    </w:p>
    <w:p w14:paraId="19E428E6" w14:textId="0B7AD88B" w:rsidR="004E52F5" w:rsidRPr="00CD0BDB" w:rsidRDefault="005D463A" w:rsidP="006B7581">
      <w:pPr>
        <w:pStyle w:val="Bullet1"/>
      </w:pPr>
      <w:bookmarkStart w:id="79" w:name="_Toc164844918"/>
      <w:r>
        <w:t>a</w:t>
      </w:r>
      <w:r w:rsidR="004E52F5" w:rsidRPr="00CD0BDB">
        <w:t>ssessment of health and medical conditions</w:t>
      </w:r>
      <w:bookmarkEnd w:id="79"/>
      <w:r>
        <w:t>, and</w:t>
      </w:r>
      <w:r w:rsidR="004E52F5" w:rsidRPr="00CD0BDB">
        <w:t xml:space="preserve"> </w:t>
      </w:r>
    </w:p>
    <w:p w14:paraId="7431D7E1" w14:textId="6D91EC73" w:rsidR="00F257FB" w:rsidRDefault="005D463A" w:rsidP="006B7581">
      <w:pPr>
        <w:pStyle w:val="Bullet1"/>
      </w:pPr>
      <w:bookmarkStart w:id="80" w:name="_Toc164844919"/>
      <w:r>
        <w:t>p</w:t>
      </w:r>
      <w:r w:rsidR="004E52F5" w:rsidRPr="00CD0BDB">
        <w:t>ublic interest</w:t>
      </w:r>
      <w:bookmarkEnd w:id="80"/>
    </w:p>
    <w:p w14:paraId="2D811189" w14:textId="77777777" w:rsidR="005D463A" w:rsidRPr="006B7581" w:rsidRDefault="00FF4A62" w:rsidP="006B7581">
      <w:pPr>
        <w:rPr>
          <w:rFonts w:asciiTheme="majorHAnsi" w:hAnsiTheme="majorHAnsi"/>
        </w:rPr>
      </w:pPr>
      <w:r w:rsidRPr="006B7581">
        <w:rPr>
          <w:rFonts w:asciiTheme="majorHAnsi" w:hAnsiTheme="majorHAnsi"/>
        </w:rPr>
        <w:t>Given the customised nature of these elements</w:t>
      </w:r>
      <w:r w:rsidR="00D52C4A" w:rsidRPr="006B7581">
        <w:rPr>
          <w:rFonts w:asciiTheme="majorHAnsi" w:hAnsiTheme="majorHAnsi"/>
        </w:rPr>
        <w:t xml:space="preserve"> and their appropriateness for consideration in only a limited number of assessments, this section does not contain model provisions. </w:t>
      </w:r>
    </w:p>
    <w:p w14:paraId="5C032106" w14:textId="1622E60C" w:rsidR="00093A17" w:rsidRPr="00763FAE" w:rsidRDefault="009B36A4" w:rsidP="006F7CFD">
      <w:pPr>
        <w:rPr>
          <w:rFonts w:cs="Arial"/>
        </w:rPr>
      </w:pPr>
      <w:r>
        <w:t xml:space="preserve">Policymakers wishing to include a bespoke element </w:t>
      </w:r>
      <w:r w:rsidR="00763FAE" w:rsidRPr="00763FAE">
        <w:t xml:space="preserve">should engage directly with OCPC to ensure that </w:t>
      </w:r>
      <w:r w:rsidR="00D52C4A">
        <w:t xml:space="preserve">the inclusion of the clause is justified and appropriately tailored to the relevant regulatory environment. </w:t>
      </w:r>
    </w:p>
    <w:p w14:paraId="70DAD637" w14:textId="73FBAEF8" w:rsidR="009837F5" w:rsidRPr="00125167" w:rsidRDefault="009837F5" w:rsidP="006B7581">
      <w:pPr>
        <w:pStyle w:val="Heading3"/>
        <w:pageBreakBefore/>
      </w:pPr>
      <w:r>
        <w:rPr>
          <w:noProof/>
        </w:rPr>
        <w:lastRenderedPageBreak/>
        <mc:AlternateContent>
          <mc:Choice Requires="wps">
            <w:drawing>
              <wp:anchor distT="0" distB="0" distL="114300" distR="114300" simplePos="0" relativeHeight="251658242" behindDoc="1" locked="1" layoutInCell="1" allowOverlap="1" wp14:anchorId="197446D3" wp14:editId="513B3FA4">
                <wp:simplePos x="0" y="0"/>
                <wp:positionH relativeFrom="column">
                  <wp:posOffset>-184150</wp:posOffset>
                </wp:positionH>
                <wp:positionV relativeFrom="paragraph">
                  <wp:posOffset>-57150</wp:posOffset>
                </wp:positionV>
                <wp:extent cx="6098540" cy="3917950"/>
                <wp:effectExtent l="0" t="0" r="16510" b="25400"/>
                <wp:wrapNone/>
                <wp:docPr id="212927962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98540" cy="3917950"/>
                        </a:xfrm>
                        <a:prstGeom prst="rect">
                          <a:avLst/>
                        </a:prstGeom>
                        <a:solidFill>
                          <a:schemeClr val="accent2">
                            <a:lumMod val="20000"/>
                            <a:lumOff val="80000"/>
                          </a:schemeClr>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1950A" id="Rectangle 1" o:spid="_x0000_s1026" alt="&quot;&quot;" style="position:absolute;margin-left:-14.5pt;margin-top:-4.5pt;width:480.2pt;height:308.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" fillcolor="#e0f5fc [661]" strokecolor="#0072ce [3204]" strokeweight="1pt">
                <w10:anchorlock/>
              </v:rect>
            </w:pict>
          </mc:Fallback>
        </mc:AlternateContent>
      </w:r>
      <w:r w:rsidRPr="00125167">
        <w:t xml:space="preserve">Considering human rights </w:t>
      </w:r>
      <w:r w:rsidRPr="00125167">
        <w:rPr>
          <w:noProof/>
          <w:position w:val="-20"/>
          <w:sz w:val="20"/>
          <w:szCs w:val="20"/>
        </w:rPr>
        <w:drawing>
          <wp:inline distT="0" distB="0" distL="0" distR="0" wp14:anchorId="2DDAD88B" wp14:editId="3FB22AFB">
            <wp:extent cx="329184" cy="329184"/>
            <wp:effectExtent l="0" t="0" r="0" b="0"/>
            <wp:docPr id="265306374" name="Graphic 265306374"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omment Important with solid fill"/>
                    <pic:cNvPicPr/>
                  </pic:nvPicPr>
                  <pic:blipFill>
                    <a:blip r:embed="rId46">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329184" cy="329184"/>
                    </a:xfrm>
                    <a:prstGeom prst="rect">
                      <a:avLst/>
                    </a:prstGeom>
                  </pic:spPr>
                </pic:pic>
              </a:graphicData>
            </a:graphic>
          </wp:inline>
        </w:drawing>
      </w:r>
    </w:p>
    <w:p w14:paraId="1658FE95" w14:textId="77777777" w:rsidR="009837F5" w:rsidRDefault="009837F5" w:rsidP="009837F5">
      <w:r>
        <w:t xml:space="preserve">The </w:t>
      </w:r>
      <w:r w:rsidRPr="007E3571">
        <w:rPr>
          <w:i/>
          <w:iCs/>
        </w:rPr>
        <w:t>Charter of Human Rights and Responsibilities Act 2006</w:t>
      </w:r>
      <w:r>
        <w:t xml:space="preserve"> (the Charter), along with the </w:t>
      </w:r>
      <w:r w:rsidRPr="008C7F6C">
        <w:rPr>
          <w:i/>
          <w:iCs/>
        </w:rPr>
        <w:t>Equal Opportunity Act 2010</w:t>
      </w:r>
      <w:r>
        <w:t xml:space="preserve">, provide legal protections for Victorians from unjustified infringements on human rights and discrimination. Section 13 of the Charter creates a right to privacy, which extends to the </w:t>
      </w:r>
      <w:r w:rsidRPr="00922A09">
        <w:t>collection of personal information by public authorities, results of medical tests or examinations and other confidential matters</w:t>
      </w:r>
      <w:r>
        <w:t xml:space="preserve">. </w:t>
      </w:r>
    </w:p>
    <w:p w14:paraId="6F2B64AE" w14:textId="77777777" w:rsidR="009837F5" w:rsidRDefault="009837F5" w:rsidP="009837F5">
      <w:r>
        <w:t xml:space="preserve">The nature of some bespoke elements contained in this section means interactions with the Charter must be carefully considered. Any requirement that an individual disclose or provide personal information, such as health-related information or information related to foster caring arrangements, must be justified. This includes identification of a high risk of harm if this information is not collected as part of an assessment. </w:t>
      </w:r>
    </w:p>
    <w:p w14:paraId="6EC25D25" w14:textId="77777777" w:rsidR="009837F5" w:rsidRDefault="009837F5" w:rsidP="009837F5">
      <w:r>
        <w:t xml:space="preserve">Collection of personal, health or other sensitive information may also enliven requirements contained in the </w:t>
      </w:r>
      <w:r w:rsidRPr="00241E30">
        <w:rPr>
          <w:i/>
          <w:iCs/>
        </w:rPr>
        <w:t>Privacy and Data Protection Act 2014</w:t>
      </w:r>
      <w:r>
        <w:t xml:space="preserve"> (PDP Act) and the </w:t>
      </w:r>
      <w:r w:rsidRPr="00D37A43">
        <w:rPr>
          <w:i/>
          <w:iCs/>
        </w:rPr>
        <w:t>Health Records Act 2001</w:t>
      </w:r>
      <w:r>
        <w:t xml:space="preserve"> (HR Act). Additional information on the operation of these regimes can be found as below: </w:t>
      </w:r>
    </w:p>
    <w:p w14:paraId="662D6680" w14:textId="21070BDF" w:rsidR="0097334E" w:rsidRPr="0097334E" w:rsidRDefault="009837F5" w:rsidP="0097334E">
      <w:pPr>
        <w:pStyle w:val="Bullet1"/>
        <w:rPr>
          <w:rFonts w:cs="Arial"/>
        </w:rPr>
      </w:pPr>
      <w:r>
        <w:rPr>
          <w:rFonts w:cs="Arial"/>
        </w:rPr>
        <w:t xml:space="preserve">For the PDP Act, see the Office of the Victorian Information Commissioner’s </w:t>
      </w:r>
      <w:r w:rsidR="00F60DCD">
        <w:rPr>
          <w:rFonts w:cs="Arial"/>
        </w:rPr>
        <w:t xml:space="preserve">guidance </w:t>
      </w:r>
      <w:hyperlink r:id="rId61" w:history="1">
        <w:r w:rsidR="0097334E" w:rsidRPr="0097334E">
          <w:rPr>
            <w:rStyle w:val="Hyperlink"/>
            <w:rFonts w:cs="Arial"/>
          </w:rPr>
          <w:t>The PDP Act</w:t>
        </w:r>
        <w:r w:rsidR="00F60DCD">
          <w:rPr>
            <w:rStyle w:val="Hyperlink"/>
            <w:rFonts w:cs="Arial"/>
          </w:rPr>
          <w:t xml:space="preserve"> </w:t>
        </w:r>
        <w:r w:rsidR="0097334E" w:rsidRPr="0097334E">
          <w:rPr>
            <w:rStyle w:val="Hyperlink"/>
            <w:rFonts w:cs="Arial"/>
          </w:rPr>
          <w:t>– a deep dive</w:t>
        </w:r>
      </w:hyperlink>
    </w:p>
    <w:p w14:paraId="093E15E6" w14:textId="1A50621E" w:rsidR="009837F5" w:rsidRPr="00D17046" w:rsidRDefault="009837F5">
      <w:pPr>
        <w:pStyle w:val="Bullet1"/>
      </w:pPr>
      <w:r>
        <w:t xml:space="preserve">For the HR Act, see the Health Complaint Commissioner’s </w:t>
      </w:r>
      <w:hyperlink r:id="rId62" w:history="1">
        <w:r w:rsidR="00AA0070">
          <w:rPr>
            <w:rStyle w:val="Hyperlink"/>
          </w:rPr>
          <w:t>Health records guidance</w:t>
        </w:r>
      </w:hyperlink>
      <w:r>
        <w:t xml:space="preserve">. </w:t>
      </w:r>
    </w:p>
    <w:p w14:paraId="256F992E" w14:textId="77777777" w:rsidR="009837F5" w:rsidRPr="00093A17" w:rsidRDefault="009837F5" w:rsidP="00093A17">
      <w:pPr>
        <w:spacing w:after="0" w:line="240" w:lineRule="auto"/>
        <w:rPr>
          <w:rFonts w:cs="Arial"/>
        </w:rPr>
      </w:pPr>
    </w:p>
    <w:p w14:paraId="69D40863" w14:textId="77777777" w:rsidR="00D90096" w:rsidRPr="006B7581" w:rsidRDefault="00BA5D2B" w:rsidP="00DF4E53">
      <w:pPr>
        <w:pStyle w:val="Heading2numbered"/>
        <w:rPr>
          <w:rStyle w:val="Heading3Char"/>
          <w:bCs/>
          <w:sz w:val="28"/>
          <w:szCs w:val="26"/>
        </w:rPr>
      </w:pPr>
      <w:bookmarkStart w:id="81" w:name="_Toc164848037"/>
      <w:bookmarkStart w:id="82" w:name="_Toc174538674"/>
      <w:bookmarkStart w:id="83" w:name="_Toc178780239"/>
      <w:r w:rsidRPr="006B7581">
        <w:rPr>
          <w:rStyle w:val="Heading3Char"/>
          <w:bCs/>
          <w:sz w:val="28"/>
          <w:szCs w:val="26"/>
        </w:rPr>
        <w:t>Associates and affiliations</w:t>
      </w:r>
      <w:bookmarkEnd w:id="81"/>
      <w:bookmarkEnd w:id="82"/>
      <w:bookmarkEnd w:id="83"/>
      <w:r w:rsidRPr="006B7581">
        <w:rPr>
          <w:rStyle w:val="Heading3Char"/>
          <w:bCs/>
          <w:sz w:val="28"/>
          <w:szCs w:val="26"/>
        </w:rPr>
        <w:t xml:space="preserve"> </w:t>
      </w:r>
    </w:p>
    <w:p w14:paraId="46AED1C2" w14:textId="4E3DE76B" w:rsidR="0078291E" w:rsidRDefault="00FF2CE9" w:rsidP="006F7CFD">
      <w:r>
        <w:t xml:space="preserve">An </w:t>
      </w:r>
      <w:r w:rsidR="009A12F3">
        <w:t xml:space="preserve">applicant </w:t>
      </w:r>
      <w:r>
        <w:t xml:space="preserve">may be required to </w:t>
      </w:r>
      <w:r w:rsidR="0045274D">
        <w:t xml:space="preserve">declare their associates and affiliates as part of an assessment. In some circumstances, this may extend to demonstrating that the applicant’s associates are </w:t>
      </w:r>
      <w:r w:rsidR="0087194D">
        <w:t xml:space="preserve">also fit and proper through the collection of evidence or assessment by a </w:t>
      </w:r>
      <w:r w:rsidR="00D90096" w:rsidRPr="00560AC4">
        <w:t>regulator</w:t>
      </w:r>
      <w:r w:rsidR="00995680">
        <w:t xml:space="preserve">. </w:t>
      </w:r>
    </w:p>
    <w:p w14:paraId="5F8825A0" w14:textId="77777777" w:rsidR="00B67669" w:rsidRDefault="0061597B" w:rsidP="006F7CFD">
      <w:r>
        <w:t>An applicant’s a</w:t>
      </w:r>
      <w:r w:rsidR="0087194D">
        <w:t>ssociates and affiliat</w:t>
      </w:r>
      <w:r>
        <w:t>es</w:t>
      </w:r>
      <w:r w:rsidR="0087194D">
        <w:t xml:space="preserve"> are necessary for consideration where</w:t>
      </w:r>
      <w:r w:rsidR="00B777F6">
        <w:t>:</w:t>
      </w:r>
    </w:p>
    <w:p w14:paraId="29E1D2BF" w14:textId="5D1D5AEC" w:rsidR="00C356EB" w:rsidRDefault="00760176" w:rsidP="006F7CFD">
      <w:pPr>
        <w:pStyle w:val="ListParagraph"/>
        <w:numPr>
          <w:ilvl w:val="0"/>
          <w:numId w:val="33"/>
        </w:numPr>
        <w:tabs>
          <w:tab w:val="clear" w:pos="340"/>
          <w:tab w:val="num" w:pos="-380"/>
          <w:tab w:val="num" w:pos="2257"/>
        </w:tabs>
        <w:spacing w:before="0"/>
        <w:contextualSpacing w:val="0"/>
        <w:rPr>
          <w:rFonts w:eastAsiaTheme="majorEastAsia" w:cs="Arial"/>
        </w:rPr>
      </w:pPr>
      <w:r>
        <w:rPr>
          <w:rFonts w:eastAsiaTheme="majorEastAsia" w:cs="Arial"/>
        </w:rPr>
        <w:t>t</w:t>
      </w:r>
      <w:r w:rsidR="00877762" w:rsidRPr="00354EAC">
        <w:rPr>
          <w:rFonts w:eastAsiaTheme="majorEastAsia" w:cs="Arial"/>
        </w:rPr>
        <w:t>he</w:t>
      </w:r>
      <w:r w:rsidR="00856B23">
        <w:rPr>
          <w:rFonts w:eastAsiaTheme="majorEastAsia" w:cs="Arial"/>
        </w:rPr>
        <w:t xml:space="preserve"> associates and affiliates</w:t>
      </w:r>
      <w:r w:rsidR="00877762" w:rsidRPr="00354EAC">
        <w:rPr>
          <w:rFonts w:eastAsiaTheme="majorEastAsia" w:cs="Arial"/>
        </w:rPr>
        <w:t xml:space="preserve"> may be </w:t>
      </w:r>
      <w:proofErr w:type="gramStart"/>
      <w:r w:rsidR="00877762" w:rsidRPr="00354EAC">
        <w:rPr>
          <w:rFonts w:eastAsiaTheme="majorEastAsia" w:cs="Arial"/>
        </w:rPr>
        <w:t>in a position</w:t>
      </w:r>
      <w:proofErr w:type="gramEnd"/>
      <w:r w:rsidR="00877762" w:rsidRPr="00354EAC">
        <w:rPr>
          <w:rFonts w:eastAsiaTheme="majorEastAsia" w:cs="Arial"/>
        </w:rPr>
        <w:t xml:space="preserve"> to exert</w:t>
      </w:r>
      <w:r w:rsidR="00A65C41" w:rsidRPr="00354EAC">
        <w:rPr>
          <w:rFonts w:eastAsiaTheme="majorEastAsia" w:cs="Arial"/>
        </w:rPr>
        <w:t xml:space="preserve"> negative</w:t>
      </w:r>
      <w:r w:rsidR="00877762" w:rsidRPr="00354EAC">
        <w:rPr>
          <w:rFonts w:eastAsiaTheme="majorEastAsia" w:cs="Arial"/>
        </w:rPr>
        <w:t xml:space="preserve"> influence or control over the activity </w:t>
      </w:r>
      <w:r w:rsidR="000A2F90" w:rsidRPr="00354EAC">
        <w:rPr>
          <w:rFonts w:eastAsiaTheme="majorEastAsia" w:cs="Arial"/>
        </w:rPr>
        <w:t>to which the application relates</w:t>
      </w:r>
      <w:r w:rsidR="00856B23">
        <w:rPr>
          <w:rFonts w:eastAsiaTheme="majorEastAsia" w:cs="Arial"/>
        </w:rPr>
        <w:t>, and</w:t>
      </w:r>
    </w:p>
    <w:p w14:paraId="09244061" w14:textId="1A36F9A4" w:rsidR="00C356EB" w:rsidRPr="00354EAC" w:rsidRDefault="00CD7655" w:rsidP="006F7CFD">
      <w:pPr>
        <w:pStyle w:val="ListParagraph"/>
        <w:numPr>
          <w:ilvl w:val="0"/>
          <w:numId w:val="32"/>
        </w:numPr>
        <w:tabs>
          <w:tab w:val="clear" w:pos="340"/>
          <w:tab w:val="num" w:pos="-40"/>
          <w:tab w:val="num" w:pos="0"/>
          <w:tab w:val="num" w:pos="1597"/>
          <w:tab w:val="num" w:pos="2257"/>
        </w:tabs>
        <w:spacing w:before="0" w:line="240" w:lineRule="auto"/>
        <w:contextualSpacing w:val="0"/>
        <w:rPr>
          <w:rFonts w:eastAsiaTheme="majorEastAsia" w:cs="Arial"/>
        </w:rPr>
      </w:pPr>
      <w:r w:rsidRPr="00354EAC">
        <w:rPr>
          <w:rFonts w:eastAsiaTheme="majorEastAsia" w:cs="Arial"/>
        </w:rPr>
        <w:t xml:space="preserve">observed </w:t>
      </w:r>
      <w:r w:rsidR="00D44C51">
        <w:rPr>
          <w:rFonts w:eastAsiaTheme="majorEastAsia" w:cs="Arial"/>
        </w:rPr>
        <w:t xml:space="preserve">ongoing or recent </w:t>
      </w:r>
      <w:r w:rsidR="00404099" w:rsidRPr="00354EAC">
        <w:rPr>
          <w:rFonts w:eastAsiaTheme="majorEastAsia" w:cs="Arial"/>
        </w:rPr>
        <w:t xml:space="preserve">market behaviours and conditions indicate a need to </w:t>
      </w:r>
      <w:r w:rsidR="007528F5" w:rsidRPr="00354EAC">
        <w:rPr>
          <w:rFonts w:eastAsiaTheme="majorEastAsia" w:cs="Arial"/>
        </w:rPr>
        <w:t xml:space="preserve">assess </w:t>
      </w:r>
      <w:r w:rsidR="00561590" w:rsidRPr="00354EAC">
        <w:rPr>
          <w:rFonts w:eastAsiaTheme="majorEastAsia" w:cs="Arial"/>
        </w:rPr>
        <w:t xml:space="preserve">associates and affiliates. </w:t>
      </w:r>
    </w:p>
    <w:p w14:paraId="26A3154F" w14:textId="3E698B69" w:rsidR="00561590" w:rsidRDefault="00561590" w:rsidP="006F7CFD">
      <w:r w:rsidRPr="00354EAC">
        <w:t xml:space="preserve">For example, for building practitioner registrations, assessment of </w:t>
      </w:r>
      <w:r w:rsidR="00F2504A" w:rsidRPr="00354EAC">
        <w:t xml:space="preserve">an applicant’s associates and affiliates may be required to combat illegal </w:t>
      </w:r>
      <w:proofErr w:type="spellStart"/>
      <w:r w:rsidR="00F2504A" w:rsidRPr="00354EAC">
        <w:t>phoenixing</w:t>
      </w:r>
      <w:proofErr w:type="spellEnd"/>
      <w:r w:rsidR="00F2504A" w:rsidRPr="00354EAC">
        <w:t xml:space="preserve"> activity in the building market.</w:t>
      </w:r>
      <w:r w:rsidR="009C06E4">
        <w:t xml:space="preserve"> </w:t>
      </w:r>
      <w:r w:rsidR="009C06E4" w:rsidRPr="00354EAC">
        <w:t xml:space="preserve">Illegal </w:t>
      </w:r>
      <w:proofErr w:type="spellStart"/>
      <w:r w:rsidR="009C06E4" w:rsidRPr="00354EAC">
        <w:t>phoenixing</w:t>
      </w:r>
      <w:proofErr w:type="spellEnd"/>
      <w:r w:rsidR="009C06E4" w:rsidRPr="00354EAC">
        <w:t xml:space="preserve"> occurs when an entity goes into external administration and avoids payments to creditors, before re-entering the market as a new company run by the same individuals.</w:t>
      </w:r>
      <w:r w:rsidR="00F2504A" w:rsidRPr="00354EAC">
        <w:t xml:space="preserve"> </w:t>
      </w:r>
      <w:r w:rsidR="0061289F" w:rsidRPr="00354EAC">
        <w:t xml:space="preserve">When registering as a building practitioner, </w:t>
      </w:r>
      <w:r w:rsidR="00D54638">
        <w:t>this assessment</w:t>
      </w:r>
      <w:r w:rsidR="00F116E8" w:rsidRPr="00354EAC">
        <w:t xml:space="preserve"> will consider company directors, secretaries and other influential </w:t>
      </w:r>
      <w:r w:rsidR="00D54638" w:rsidRPr="00354EAC">
        <w:t>individuals from companies who have entered external administration</w:t>
      </w:r>
      <w:r w:rsidR="00546148">
        <w:t xml:space="preserve"> to mitigate the risk of </w:t>
      </w:r>
      <w:proofErr w:type="spellStart"/>
      <w:r w:rsidR="00546148">
        <w:t>phoenixing</w:t>
      </w:r>
      <w:proofErr w:type="spellEnd"/>
      <w:r w:rsidR="00546148">
        <w:t xml:space="preserve"> activity. </w:t>
      </w:r>
    </w:p>
    <w:p w14:paraId="29E3230B" w14:textId="217B34BD" w:rsidR="00BF14F3" w:rsidRDefault="00BF14F3" w:rsidP="006F7CFD">
      <w:r>
        <w:lastRenderedPageBreak/>
        <w:t xml:space="preserve">Where the risk cannot be tied to ongoing or recent market behaviours, the burden arising from assessing an applicant’s associates and affiliates may be </w:t>
      </w:r>
      <w:proofErr w:type="gramStart"/>
      <w:r>
        <w:t>in excess of</w:t>
      </w:r>
      <w:proofErr w:type="gramEnd"/>
      <w:r>
        <w:t xml:space="preserve"> the risk being managed. </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248"/>
        <w:gridCol w:w="4768"/>
      </w:tblGrid>
      <w:tr w:rsidR="00F04ADD" w14:paraId="5B89CFCC" w14:textId="32AAB619" w:rsidTr="006B7581">
        <w:tc>
          <w:tcPr>
            <w:tcW w:w="4248" w:type="dxa"/>
            <w:shd w:val="clear" w:color="auto" w:fill="F2F2F2" w:themeFill="background1" w:themeFillShade="F2"/>
          </w:tcPr>
          <w:p w14:paraId="00C11E2C" w14:textId="18A6B1C4" w:rsidR="00F04ADD" w:rsidRPr="006B7581" w:rsidRDefault="00F04ADD" w:rsidP="006B7581">
            <w:pPr>
              <w:rPr>
                <w:rFonts w:asciiTheme="majorHAnsi" w:hAnsiTheme="majorHAnsi"/>
              </w:rPr>
            </w:pPr>
            <w:r w:rsidRPr="006B7581">
              <w:rPr>
                <w:rFonts w:asciiTheme="majorHAnsi" w:hAnsiTheme="majorHAnsi"/>
              </w:rPr>
              <w:t xml:space="preserve">For individuals, </w:t>
            </w:r>
            <w:r w:rsidR="006005DB" w:rsidRPr="006B7581">
              <w:rPr>
                <w:rFonts w:asciiTheme="majorHAnsi" w:hAnsiTheme="majorHAnsi"/>
              </w:rPr>
              <w:t>associates may include:</w:t>
            </w:r>
            <w:r w:rsidR="009837F5" w:rsidRPr="006B7581">
              <w:rPr>
                <w:rFonts w:asciiTheme="majorHAnsi" w:hAnsiTheme="majorHAnsi"/>
                <w:noProof/>
              </w:rPr>
              <w:t xml:space="preserve"> </w:t>
            </w:r>
            <w:r w:rsidR="009837F5" w:rsidRPr="006B7581">
              <w:rPr>
                <w:rFonts w:asciiTheme="majorHAnsi" w:hAnsiTheme="majorHAnsi"/>
                <w:noProof/>
              </w:rPr>
              <w:drawing>
                <wp:inline distT="0" distB="0" distL="0" distR="0" wp14:anchorId="70F98BFF" wp14:editId="307CA31C">
                  <wp:extent cx="467360" cy="467360"/>
                  <wp:effectExtent l="0" t="0" r="0" b="0"/>
                  <wp:docPr id="1605766796" name="Graphic 1605766796" descr="Us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User with solid fill"/>
                          <pic:cNvPicPr/>
                        </pic:nvPicPr>
                        <pic:blipFill>
                          <a:blip r:embed="rId63">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a:xfrm>
                            <a:off x="0" y="0"/>
                            <a:ext cx="467360" cy="467360"/>
                          </a:xfrm>
                          <a:prstGeom prst="rect">
                            <a:avLst/>
                          </a:prstGeom>
                        </pic:spPr>
                      </pic:pic>
                    </a:graphicData>
                  </a:graphic>
                </wp:inline>
              </w:drawing>
            </w:r>
          </w:p>
          <w:p w14:paraId="0BAF2999" w14:textId="77777777" w:rsidR="006005DB" w:rsidRPr="006005DB" w:rsidRDefault="006005DB" w:rsidP="006B7581">
            <w:pPr>
              <w:pStyle w:val="Bullet1"/>
              <w:rPr>
                <w:rFonts w:eastAsiaTheme="majorEastAsia"/>
              </w:rPr>
            </w:pPr>
            <w:r w:rsidRPr="006005DB">
              <w:rPr>
                <w:rFonts w:eastAsiaTheme="majorEastAsia"/>
              </w:rPr>
              <w:t>a relative</w:t>
            </w:r>
            <w:r w:rsidRPr="006005DB">
              <w:rPr>
                <w:rFonts w:ascii="Calibri" w:eastAsiaTheme="majorEastAsia" w:hAnsi="Calibri"/>
              </w:rPr>
              <w:t> </w:t>
            </w:r>
            <w:r w:rsidRPr="006005DB">
              <w:rPr>
                <w:rFonts w:eastAsiaTheme="majorEastAsia"/>
              </w:rPr>
              <w:t>of the individual</w:t>
            </w:r>
          </w:p>
          <w:p w14:paraId="59DB7B1E" w14:textId="77777777" w:rsidR="006005DB" w:rsidRPr="006005DB" w:rsidRDefault="006005DB" w:rsidP="006B7581">
            <w:pPr>
              <w:pStyle w:val="Bullet1"/>
              <w:rPr>
                <w:rFonts w:eastAsiaTheme="majorEastAsia"/>
              </w:rPr>
            </w:pPr>
            <w:r w:rsidRPr="006005DB">
              <w:rPr>
                <w:rFonts w:eastAsiaTheme="majorEastAsia"/>
              </w:rPr>
              <w:t>a partner of the individual or a partnership to which the individual is a partner</w:t>
            </w:r>
          </w:p>
          <w:p w14:paraId="540F1D81" w14:textId="77777777" w:rsidR="006005DB" w:rsidRPr="006005DB" w:rsidRDefault="006005DB" w:rsidP="006B7581">
            <w:pPr>
              <w:pStyle w:val="Bullet1"/>
              <w:rPr>
                <w:rFonts w:eastAsiaTheme="majorEastAsia"/>
              </w:rPr>
            </w:pPr>
            <w:r w:rsidRPr="006005DB">
              <w:rPr>
                <w:rFonts w:eastAsiaTheme="majorEastAsia"/>
              </w:rPr>
              <w:t>the spouse or child of the partner</w:t>
            </w:r>
          </w:p>
          <w:p w14:paraId="62EBB9B9" w14:textId="77777777" w:rsidR="006005DB" w:rsidRPr="006005DB" w:rsidRDefault="006005DB" w:rsidP="006B7581">
            <w:pPr>
              <w:pStyle w:val="Bullet1"/>
              <w:rPr>
                <w:rFonts w:eastAsiaTheme="majorEastAsia"/>
              </w:rPr>
            </w:pPr>
            <w:r w:rsidRPr="006005DB">
              <w:rPr>
                <w:rFonts w:eastAsiaTheme="majorEastAsia"/>
              </w:rPr>
              <w:t xml:space="preserve">a trustee of a trust under which the individual or their </w:t>
            </w:r>
            <w:proofErr w:type="gramStart"/>
            <w:r w:rsidRPr="006005DB">
              <w:rPr>
                <w:rFonts w:eastAsiaTheme="majorEastAsia"/>
              </w:rPr>
              <w:t>associates</w:t>
            </w:r>
            <w:proofErr w:type="gramEnd"/>
            <w:r w:rsidRPr="006005DB">
              <w:rPr>
                <w:rFonts w:eastAsiaTheme="majorEastAsia"/>
              </w:rPr>
              <w:t xml:space="preserve"> benefits, or</w:t>
            </w:r>
          </w:p>
          <w:p w14:paraId="292069DB" w14:textId="6B179F85" w:rsidR="006005DB" w:rsidRPr="006005DB" w:rsidRDefault="006005DB" w:rsidP="006B7581">
            <w:pPr>
              <w:pStyle w:val="Bullet1"/>
              <w:rPr>
                <w:rFonts w:eastAsiaTheme="majorEastAsia"/>
              </w:rPr>
            </w:pPr>
            <w:r w:rsidRPr="006005DB">
              <w:rPr>
                <w:rFonts w:eastAsiaTheme="majorEastAsia"/>
              </w:rPr>
              <w:t>a company under the control of the individual or their associate</w:t>
            </w:r>
            <w:r w:rsidR="00995680">
              <w:rPr>
                <w:rFonts w:eastAsiaTheme="majorEastAsia"/>
              </w:rPr>
              <w:t xml:space="preserve">. </w:t>
            </w:r>
          </w:p>
        </w:tc>
        <w:tc>
          <w:tcPr>
            <w:tcW w:w="4768" w:type="dxa"/>
            <w:shd w:val="clear" w:color="auto" w:fill="F2F2F2" w:themeFill="background1" w:themeFillShade="F2"/>
          </w:tcPr>
          <w:p w14:paraId="2F01EB65" w14:textId="08CBD472" w:rsidR="00F04ADD" w:rsidRPr="006B7581" w:rsidRDefault="006005DB" w:rsidP="006B7581">
            <w:pPr>
              <w:rPr>
                <w:rFonts w:asciiTheme="majorHAnsi" w:hAnsiTheme="majorHAnsi"/>
              </w:rPr>
            </w:pPr>
            <w:r w:rsidRPr="006B7581">
              <w:rPr>
                <w:rFonts w:asciiTheme="majorHAnsi" w:hAnsiTheme="majorHAnsi"/>
              </w:rPr>
              <w:t>For body corporates, associates may include:</w:t>
            </w:r>
            <w:r w:rsidR="009837F5" w:rsidRPr="006B7581">
              <w:rPr>
                <w:rFonts w:asciiTheme="majorHAnsi" w:hAnsiTheme="majorHAnsi"/>
              </w:rPr>
              <w:t xml:space="preserve"> </w:t>
            </w:r>
            <w:r w:rsidR="009837F5" w:rsidRPr="006B7581">
              <w:rPr>
                <w:rFonts w:asciiTheme="majorHAnsi" w:hAnsiTheme="majorHAnsi"/>
                <w:noProof/>
              </w:rPr>
              <w:drawing>
                <wp:inline distT="0" distB="0" distL="0" distR="0" wp14:anchorId="72F5B0A6" wp14:editId="5686B994">
                  <wp:extent cx="478155" cy="478155"/>
                  <wp:effectExtent l="0" t="0" r="0" b="0"/>
                  <wp:docPr id="1137613647" name="Graphic 1137613647" descr="Mortga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Mortgage with solid fil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478155" cy="478155"/>
                          </a:xfrm>
                          <a:prstGeom prst="rect">
                            <a:avLst/>
                          </a:prstGeom>
                        </pic:spPr>
                      </pic:pic>
                    </a:graphicData>
                  </a:graphic>
                </wp:inline>
              </w:drawing>
            </w:r>
          </w:p>
          <w:p w14:paraId="77B04832" w14:textId="3B95A04E" w:rsidR="006005DB" w:rsidRPr="006005DB" w:rsidRDefault="006005DB" w:rsidP="006B7581">
            <w:pPr>
              <w:pStyle w:val="Bullet1"/>
              <w:rPr>
                <w:rFonts w:eastAsiaTheme="majorEastAsia"/>
              </w:rPr>
            </w:pPr>
            <w:r w:rsidRPr="006005DB">
              <w:rPr>
                <w:rFonts w:eastAsiaTheme="majorEastAsia"/>
              </w:rPr>
              <w:t>a partner of the company or a partnership in which the company is a partner</w:t>
            </w:r>
          </w:p>
          <w:p w14:paraId="40CEA372" w14:textId="371F706D" w:rsidR="006005DB" w:rsidRPr="006005DB" w:rsidRDefault="006005DB" w:rsidP="006B7581">
            <w:pPr>
              <w:pStyle w:val="Bullet1"/>
              <w:rPr>
                <w:rFonts w:eastAsiaTheme="majorEastAsia"/>
              </w:rPr>
            </w:pPr>
            <w:r w:rsidRPr="006005DB">
              <w:rPr>
                <w:rFonts w:eastAsiaTheme="majorEastAsia"/>
              </w:rPr>
              <w:t>a trustee under which the company benefits</w:t>
            </w:r>
          </w:p>
          <w:p w14:paraId="52611ADD" w14:textId="77777777" w:rsidR="006005DB" w:rsidRPr="006005DB" w:rsidRDefault="006005DB" w:rsidP="006B7581">
            <w:pPr>
              <w:pStyle w:val="Bullet1"/>
              <w:rPr>
                <w:rFonts w:eastAsiaTheme="majorEastAsia"/>
              </w:rPr>
            </w:pPr>
            <w:r w:rsidRPr="006005DB">
              <w:rPr>
                <w:rFonts w:eastAsiaTheme="majorEastAsia"/>
              </w:rPr>
              <w:t>another entity or its associates who control the company, or</w:t>
            </w:r>
          </w:p>
          <w:p w14:paraId="5A18AF21" w14:textId="0C834DDE" w:rsidR="006005DB" w:rsidRPr="006005DB" w:rsidRDefault="006005DB" w:rsidP="006B7581">
            <w:pPr>
              <w:pStyle w:val="Bullet1"/>
              <w:rPr>
                <w:rFonts w:eastAsiaTheme="majorEastAsia"/>
              </w:rPr>
            </w:pPr>
            <w:r w:rsidRPr="006005DB">
              <w:rPr>
                <w:rFonts w:eastAsiaTheme="majorEastAsia"/>
              </w:rPr>
              <w:t>another company under the primary company’s control.</w:t>
            </w:r>
          </w:p>
        </w:tc>
      </w:tr>
    </w:tbl>
    <w:p w14:paraId="2EDFA1A3" w14:textId="70E29D10" w:rsidR="0078291E" w:rsidRDefault="0078291E" w:rsidP="006005DB">
      <w:pPr>
        <w:shd w:val="clear" w:color="auto" w:fill="FFFFFF"/>
        <w:spacing w:line="240" w:lineRule="auto"/>
        <w:rPr>
          <w:rFonts w:eastAsiaTheme="majorEastAsia" w:cs="Arial"/>
        </w:rPr>
      </w:pPr>
    </w:p>
    <w:tbl>
      <w:tblPr>
        <w:tblStyle w:val="DTFtexttable"/>
        <w:tblW w:w="9000" w:type="dxa"/>
        <w:tblLayout w:type="fixed"/>
        <w:tblLook w:val="04A0" w:firstRow="1" w:lastRow="0" w:firstColumn="1" w:lastColumn="0" w:noHBand="0" w:noVBand="1"/>
      </w:tblPr>
      <w:tblGrid>
        <w:gridCol w:w="540"/>
        <w:gridCol w:w="8460"/>
      </w:tblGrid>
      <w:tr w:rsidR="004C168A" w:rsidRPr="000357EF" w14:paraId="6A0B4303" w14:textId="77777777">
        <w:trPr>
          <w:cnfStyle w:val="100000000000" w:firstRow="1" w:lastRow="0" w:firstColumn="0" w:lastColumn="0" w:oddVBand="0" w:evenVBand="0" w:oddHBand="0" w:evenHBand="0" w:firstRowFirstColumn="0" w:firstRowLastColumn="0" w:lastRowFirstColumn="0" w:lastRowLastColumn="0"/>
          <w:trHeight w:val="1134"/>
        </w:trPr>
        <w:tc>
          <w:tcPr>
            <w:cnfStyle w:val="001000000100" w:firstRow="0" w:lastRow="0" w:firstColumn="1" w:lastColumn="0" w:oddVBand="0" w:evenVBand="0" w:oddHBand="0" w:evenHBand="0" w:firstRowFirstColumn="1" w:firstRowLastColumn="0" w:lastRowFirstColumn="0" w:lastRowLastColumn="0"/>
            <w:tcW w:w="540" w:type="dxa"/>
            <w:textDirection w:val="btLr"/>
            <w:vAlign w:val="center"/>
          </w:tcPr>
          <w:p w14:paraId="564215C3" w14:textId="77777777" w:rsidR="004C168A" w:rsidRPr="006B7581" w:rsidRDefault="004C168A">
            <w:pPr>
              <w:pStyle w:val="Tabletext"/>
              <w:keepNext w:val="0"/>
              <w:ind w:left="113" w:right="113"/>
              <w:jc w:val="center"/>
              <w:rPr>
                <w:rFonts w:asciiTheme="majorHAnsi" w:hAnsiTheme="majorHAnsi"/>
                <w:b/>
                <w:bCs/>
              </w:rPr>
            </w:pPr>
            <w:r w:rsidRPr="006B7581">
              <w:rPr>
                <w:b/>
                <w:bCs/>
              </w:rPr>
              <w:t>Example</w:t>
            </w:r>
          </w:p>
        </w:tc>
        <w:tc>
          <w:tcPr>
            <w:tcW w:w="8460" w:type="dxa"/>
            <w:shd w:val="clear" w:color="auto" w:fill="FFFFFF" w:themeFill="background1"/>
            <w:vAlign w:val="center"/>
          </w:tcPr>
          <w:p w14:paraId="5278A9A3" w14:textId="77777777" w:rsidR="004C168A" w:rsidRPr="00BE7448" w:rsidRDefault="004C168A" w:rsidP="004C168A">
            <w:pPr>
              <w:pStyle w:val="Tabletext"/>
              <w:cnfStyle w:val="100000000000" w:firstRow="1" w:lastRow="0" w:firstColumn="0" w:lastColumn="0" w:oddVBand="0" w:evenVBand="0" w:oddHBand="0" w:evenHBand="0" w:firstRowFirstColumn="0" w:firstRowLastColumn="0" w:lastRowFirstColumn="0" w:lastRowLastColumn="0"/>
            </w:pPr>
            <w:r w:rsidRPr="00BE7448">
              <w:t xml:space="preserve">An applicant seeking a licence to manufacture listed substances (specifically, the cultivation of alkaloid poppies or the processing of poppy straw) may be required to declare their associates as part of an assessment. </w:t>
            </w:r>
          </w:p>
          <w:p w14:paraId="4049CB5B" w14:textId="7A10C155" w:rsidR="004C168A" w:rsidRPr="002701B7" w:rsidRDefault="004C168A" w:rsidP="004C168A">
            <w:pPr>
              <w:pStyle w:val="Tabletext"/>
              <w:cnfStyle w:val="100000000000" w:firstRow="1" w:lastRow="0" w:firstColumn="0" w:lastColumn="0" w:oddVBand="0" w:evenVBand="0" w:oddHBand="0" w:evenHBand="0" w:firstRowFirstColumn="0" w:firstRowLastColumn="0" w:lastRowFirstColumn="0" w:lastRowLastColumn="0"/>
              <w:rPr>
                <w:b/>
                <w:bCs/>
              </w:rPr>
            </w:pPr>
            <w:r w:rsidRPr="00BE7448">
              <w:t>This is because where the applicant may be negatively influenced by an associate in a position of power, manufacturing activities and manufactured end-products may be misused or sold in a manner which is against the law. Given the manufactured products may be used or consumed as illicit substances, there is a high risk of harm to the public.</w:t>
            </w:r>
          </w:p>
        </w:tc>
      </w:tr>
    </w:tbl>
    <w:p w14:paraId="472BEB20" w14:textId="77777777" w:rsidR="00B81BDC" w:rsidRPr="006B7581" w:rsidRDefault="00A15CF2" w:rsidP="00DF4E53">
      <w:pPr>
        <w:pStyle w:val="Heading2numbered"/>
        <w:rPr>
          <w:rStyle w:val="Heading3Char"/>
          <w:bCs/>
          <w:sz w:val="28"/>
          <w:szCs w:val="26"/>
        </w:rPr>
      </w:pPr>
      <w:bookmarkStart w:id="84" w:name="_Toc178778716"/>
      <w:bookmarkStart w:id="85" w:name="_Toc178778818"/>
      <w:bookmarkStart w:id="86" w:name="_Toc178780240"/>
      <w:bookmarkStart w:id="87" w:name="_Toc164848039"/>
      <w:bookmarkStart w:id="88" w:name="_Toc174538675"/>
      <w:bookmarkStart w:id="89" w:name="_Toc178780245"/>
      <w:bookmarkEnd w:id="84"/>
      <w:bookmarkEnd w:id="85"/>
      <w:bookmarkEnd w:id="86"/>
      <w:r w:rsidRPr="006B7581">
        <w:rPr>
          <w:rStyle w:val="Heading3Char"/>
          <w:bCs/>
          <w:sz w:val="28"/>
          <w:szCs w:val="26"/>
        </w:rPr>
        <w:t>Required resources (other than financial resources)</w:t>
      </w:r>
      <w:bookmarkEnd w:id="87"/>
      <w:bookmarkEnd w:id="88"/>
      <w:bookmarkEnd w:id="89"/>
      <w:r w:rsidRPr="006B7581">
        <w:rPr>
          <w:rStyle w:val="Heading3Char"/>
          <w:bCs/>
          <w:sz w:val="28"/>
          <w:szCs w:val="26"/>
        </w:rPr>
        <w:t xml:space="preserve"> </w:t>
      </w:r>
    </w:p>
    <w:p w14:paraId="19C609B4" w14:textId="3C55EB2D" w:rsidR="00B81BDC" w:rsidRPr="00560AC4" w:rsidRDefault="00B81BDC" w:rsidP="00346052">
      <w:pPr>
        <w:rPr>
          <w:rFonts w:eastAsiaTheme="majorEastAsia"/>
        </w:rPr>
      </w:pPr>
      <w:r w:rsidRPr="00560AC4">
        <w:t xml:space="preserve">The applicant may be required to demonstrate they hold or have access to resources required to undertake the activity or hold the relevant permission. </w:t>
      </w:r>
    </w:p>
    <w:p w14:paraId="2B217171" w14:textId="21AC5718" w:rsidR="000B2950" w:rsidRDefault="00B81BDC" w:rsidP="00346052">
      <w:r w:rsidRPr="00560AC4">
        <w:t>This may be required in circumstances</w:t>
      </w:r>
      <w:r w:rsidR="00BA04F5">
        <w:t xml:space="preserve"> where</w:t>
      </w:r>
      <w:r w:rsidR="00E92EB4">
        <w:t xml:space="preserve"> </w:t>
      </w:r>
      <w:r w:rsidR="00BA04F5">
        <w:t xml:space="preserve">the activity </w:t>
      </w:r>
      <w:r w:rsidR="000124EC">
        <w:t xml:space="preserve">for which permission is being sought requires possession of specific resources, such as machinery or </w:t>
      </w:r>
      <w:r w:rsidR="00B73A18">
        <w:t xml:space="preserve">certain </w:t>
      </w:r>
      <w:r w:rsidR="000124EC">
        <w:t>types of premises</w:t>
      </w:r>
      <w:r w:rsidR="00405FCD">
        <w:t>.</w:t>
      </w:r>
    </w:p>
    <w:p w14:paraId="14C5DF32" w14:textId="77777777" w:rsidR="004C168A" w:rsidRDefault="004C168A" w:rsidP="006B7581">
      <w:pPr>
        <w:pStyle w:val="Spacer"/>
      </w:pPr>
    </w:p>
    <w:tbl>
      <w:tblPr>
        <w:tblStyle w:val="DTFtexttable"/>
        <w:tblW w:w="9000" w:type="dxa"/>
        <w:tblLayout w:type="fixed"/>
        <w:tblLook w:val="04A0" w:firstRow="1" w:lastRow="0" w:firstColumn="1" w:lastColumn="0" w:noHBand="0" w:noVBand="1"/>
      </w:tblPr>
      <w:tblGrid>
        <w:gridCol w:w="540"/>
        <w:gridCol w:w="8460"/>
      </w:tblGrid>
      <w:tr w:rsidR="004C168A" w:rsidRPr="000357EF" w14:paraId="3068FF34" w14:textId="77777777">
        <w:trPr>
          <w:cnfStyle w:val="100000000000" w:firstRow="1" w:lastRow="0" w:firstColumn="0" w:lastColumn="0" w:oddVBand="0" w:evenVBand="0" w:oddHBand="0" w:evenHBand="0" w:firstRowFirstColumn="0" w:firstRowLastColumn="0" w:lastRowFirstColumn="0" w:lastRowLastColumn="0"/>
          <w:trHeight w:val="1134"/>
        </w:trPr>
        <w:tc>
          <w:tcPr>
            <w:cnfStyle w:val="001000000100" w:firstRow="0" w:lastRow="0" w:firstColumn="1" w:lastColumn="0" w:oddVBand="0" w:evenVBand="0" w:oddHBand="0" w:evenHBand="0" w:firstRowFirstColumn="1" w:firstRowLastColumn="0" w:lastRowFirstColumn="0" w:lastRowLastColumn="0"/>
            <w:tcW w:w="540" w:type="dxa"/>
            <w:textDirection w:val="btLr"/>
            <w:vAlign w:val="center"/>
          </w:tcPr>
          <w:p w14:paraId="4AC17702" w14:textId="77777777" w:rsidR="004C168A" w:rsidRPr="006B7581" w:rsidRDefault="004C168A">
            <w:pPr>
              <w:pStyle w:val="Tabletext"/>
              <w:keepNext w:val="0"/>
              <w:ind w:left="113" w:right="113"/>
              <w:jc w:val="center"/>
              <w:rPr>
                <w:rFonts w:asciiTheme="majorHAnsi" w:hAnsiTheme="majorHAnsi"/>
                <w:b/>
                <w:bCs/>
              </w:rPr>
            </w:pPr>
            <w:r w:rsidRPr="006B7581">
              <w:rPr>
                <w:b/>
                <w:bCs/>
              </w:rPr>
              <w:t>Example</w:t>
            </w:r>
          </w:p>
        </w:tc>
        <w:tc>
          <w:tcPr>
            <w:tcW w:w="8460" w:type="dxa"/>
            <w:shd w:val="clear" w:color="auto" w:fill="FFFFFF" w:themeFill="background1"/>
            <w:vAlign w:val="center"/>
          </w:tcPr>
          <w:p w14:paraId="7AFF54E6" w14:textId="262110CF" w:rsidR="004C168A" w:rsidRPr="006B7581" w:rsidRDefault="004C168A">
            <w:pPr>
              <w:pStyle w:val="Tabletext"/>
              <w:cnfStyle w:val="100000000000" w:firstRow="1" w:lastRow="0" w:firstColumn="0" w:lastColumn="0" w:oddVBand="0" w:evenVBand="0" w:oddHBand="0" w:evenHBand="0" w:firstRowFirstColumn="0" w:firstRowLastColumn="0" w:lastRowFirstColumn="0" w:lastRowLastColumn="0"/>
            </w:pPr>
            <w:r w:rsidRPr="00BE7448">
              <w:t>A person cannot be granted a licence to carry on the business of trading in motor cars if the Business Licensing Authority considers that the applicant does not have, or is not likely to have, premises in which the applicant can lawfully carry on such a business.</w:t>
            </w:r>
          </w:p>
        </w:tc>
      </w:tr>
    </w:tbl>
    <w:p w14:paraId="3DE76B73" w14:textId="77777777" w:rsidR="004C168A" w:rsidRPr="004C168A" w:rsidRDefault="004C168A" w:rsidP="006B7581">
      <w:pPr>
        <w:pStyle w:val="Spacer"/>
      </w:pPr>
      <w:r>
        <w:t>.</w:t>
      </w:r>
    </w:p>
    <w:tbl>
      <w:tblPr>
        <w:tblStyle w:val="DTFtexttable"/>
        <w:tblW w:w="9000" w:type="dxa"/>
        <w:tblLayout w:type="fixed"/>
        <w:tblLook w:val="04A0" w:firstRow="1" w:lastRow="0" w:firstColumn="1" w:lastColumn="0" w:noHBand="0" w:noVBand="1"/>
      </w:tblPr>
      <w:tblGrid>
        <w:gridCol w:w="540"/>
        <w:gridCol w:w="8460"/>
      </w:tblGrid>
      <w:tr w:rsidR="004C168A" w:rsidRPr="009837F5" w14:paraId="6A76FF67" w14:textId="77777777">
        <w:trPr>
          <w:cnfStyle w:val="100000000000" w:firstRow="1" w:lastRow="0" w:firstColumn="0" w:lastColumn="0" w:oddVBand="0" w:evenVBand="0" w:oddHBand="0" w:evenHBand="0" w:firstRowFirstColumn="0" w:firstRowLastColumn="0" w:lastRowFirstColumn="0" w:lastRowLastColumn="0"/>
          <w:trHeight w:val="1134"/>
        </w:trPr>
        <w:tc>
          <w:tcPr>
            <w:cnfStyle w:val="001000000100" w:firstRow="0" w:lastRow="0" w:firstColumn="1" w:lastColumn="0" w:oddVBand="0" w:evenVBand="0" w:oddHBand="0" w:evenHBand="0" w:firstRowFirstColumn="1" w:firstRowLastColumn="0" w:lastRowFirstColumn="0" w:lastRowLastColumn="0"/>
            <w:tcW w:w="540" w:type="dxa"/>
            <w:textDirection w:val="btLr"/>
            <w:vAlign w:val="center"/>
          </w:tcPr>
          <w:p w14:paraId="7211FF41" w14:textId="77777777" w:rsidR="004C168A" w:rsidRPr="006B7581" w:rsidRDefault="004C168A">
            <w:pPr>
              <w:pStyle w:val="Tabletext"/>
              <w:keepNext w:val="0"/>
              <w:ind w:left="113" w:right="113"/>
              <w:jc w:val="center"/>
              <w:rPr>
                <w:rFonts w:asciiTheme="majorHAnsi" w:hAnsiTheme="majorHAnsi"/>
                <w:b/>
                <w:bCs/>
              </w:rPr>
            </w:pPr>
            <w:r w:rsidRPr="006B7581">
              <w:rPr>
                <w:b/>
                <w:bCs/>
              </w:rPr>
              <w:t>Example</w:t>
            </w:r>
          </w:p>
        </w:tc>
        <w:tc>
          <w:tcPr>
            <w:tcW w:w="8460" w:type="dxa"/>
            <w:shd w:val="clear" w:color="auto" w:fill="FFFFFF" w:themeFill="background1"/>
            <w:vAlign w:val="center"/>
          </w:tcPr>
          <w:p w14:paraId="7B8C767C" w14:textId="77777777" w:rsidR="004C168A" w:rsidRPr="009837F5" w:rsidRDefault="004C168A" w:rsidP="004C168A">
            <w:pPr>
              <w:pStyle w:val="Tabletext"/>
              <w:cnfStyle w:val="100000000000" w:firstRow="1" w:lastRow="0" w:firstColumn="0" w:lastColumn="0" w:oddVBand="0" w:evenVBand="0" w:oddHBand="0" w:evenHBand="0" w:firstRowFirstColumn="0" w:firstRowLastColumn="0" w:lastRowFirstColumn="0" w:lastRowLastColumn="0"/>
            </w:pPr>
            <w:r w:rsidRPr="009837F5">
              <w:t xml:space="preserve">A person cannot be issued a licence to possess a firearm unless the Commissioner is satisfied that the applicant </w:t>
            </w:r>
            <w:proofErr w:type="gramStart"/>
            <w:r w:rsidRPr="009837F5">
              <w:t>is capable of meeting</w:t>
            </w:r>
            <w:proofErr w:type="gramEnd"/>
            <w:r w:rsidRPr="009837F5">
              <w:t xml:space="preserve"> the relevant storage and safety requirements. </w:t>
            </w:r>
          </w:p>
          <w:p w14:paraId="377A50B5" w14:textId="56AA623D" w:rsidR="004C168A" w:rsidRPr="009837F5" w:rsidRDefault="004C168A" w:rsidP="004C168A">
            <w:pPr>
              <w:pStyle w:val="Tabletext"/>
              <w:cnfStyle w:val="100000000000" w:firstRow="1" w:lastRow="0" w:firstColumn="0" w:lastColumn="0" w:oddVBand="0" w:evenVBand="0" w:oddHBand="0" w:evenHBand="0" w:firstRowFirstColumn="0" w:firstRowLastColumn="0" w:lastRowFirstColumn="0" w:lastRowLastColumn="0"/>
              <w:rPr>
                <w:b/>
                <w:bCs/>
              </w:rPr>
            </w:pPr>
            <w:r w:rsidRPr="009837F5">
              <w:t xml:space="preserve">The same requirement applies in respect of a firearms </w:t>
            </w:r>
            <w:proofErr w:type="gramStart"/>
            <w:r w:rsidRPr="009837F5">
              <w:t>dealers</w:t>
            </w:r>
            <w:proofErr w:type="gramEnd"/>
            <w:r w:rsidRPr="009837F5">
              <w:t xml:space="preserve"> licence.</w:t>
            </w:r>
          </w:p>
        </w:tc>
      </w:tr>
    </w:tbl>
    <w:p w14:paraId="0AC8B3C3" w14:textId="1D20E515" w:rsidR="00CF7D8D" w:rsidRPr="006B7581" w:rsidRDefault="0026579F" w:rsidP="00DF4E53">
      <w:pPr>
        <w:pStyle w:val="Heading2numbered"/>
        <w:rPr>
          <w:rStyle w:val="Heading3Char"/>
          <w:bCs/>
          <w:sz w:val="28"/>
          <w:szCs w:val="26"/>
        </w:rPr>
      </w:pPr>
      <w:bookmarkStart w:id="90" w:name="_Toc178780246"/>
      <w:bookmarkStart w:id="91" w:name="_Toc178780247"/>
      <w:bookmarkStart w:id="92" w:name="_Toc164848040"/>
      <w:bookmarkStart w:id="93" w:name="_Toc174538676"/>
      <w:bookmarkStart w:id="94" w:name="_Toc178780257"/>
      <w:bookmarkEnd w:id="90"/>
      <w:bookmarkEnd w:id="91"/>
      <w:r w:rsidRPr="006B7581">
        <w:rPr>
          <w:rStyle w:val="Heading3Char"/>
          <w:bCs/>
          <w:sz w:val="28"/>
          <w:szCs w:val="26"/>
        </w:rPr>
        <w:lastRenderedPageBreak/>
        <w:t>Assessment of health and medical conditions</w:t>
      </w:r>
      <w:bookmarkEnd w:id="92"/>
      <w:bookmarkEnd w:id="93"/>
      <w:bookmarkEnd w:id="94"/>
      <w:r w:rsidRPr="006B7581">
        <w:rPr>
          <w:rStyle w:val="Heading3Char"/>
          <w:bCs/>
          <w:sz w:val="28"/>
          <w:szCs w:val="26"/>
        </w:rPr>
        <w:t xml:space="preserve"> </w:t>
      </w:r>
    </w:p>
    <w:p w14:paraId="17A23D7B" w14:textId="3FD76C6B" w:rsidR="00CF7D8D" w:rsidRPr="00560AC4" w:rsidRDefault="00E76567" w:rsidP="00346052">
      <w:r>
        <w:t>In some circumstances, an a</w:t>
      </w:r>
      <w:r w:rsidR="00CF7D8D" w:rsidRPr="00560AC4">
        <w:t>pplicant may be required to</w:t>
      </w:r>
      <w:r w:rsidR="007D4A83">
        <w:t>:</w:t>
      </w:r>
    </w:p>
    <w:p w14:paraId="3B4D72FE" w14:textId="4A35E946" w:rsidR="00CF7D8D" w:rsidRPr="000B2950" w:rsidRDefault="00802237" w:rsidP="006F7CFD">
      <w:pPr>
        <w:pStyle w:val="ListParagraph"/>
        <w:numPr>
          <w:ilvl w:val="0"/>
          <w:numId w:val="6"/>
        </w:numPr>
        <w:spacing w:before="0" w:line="240" w:lineRule="auto"/>
        <w:contextualSpacing w:val="0"/>
        <w:rPr>
          <w:rFonts w:cs="Arial"/>
        </w:rPr>
      </w:pPr>
      <w:r>
        <w:rPr>
          <w:rFonts w:cs="Arial"/>
        </w:rPr>
        <w:t>d</w:t>
      </w:r>
      <w:r w:rsidR="00CF7D8D" w:rsidRPr="000B2950">
        <w:rPr>
          <w:rFonts w:cs="Arial"/>
        </w:rPr>
        <w:t>isclose if the applicant has a health or medical condition which may impair the applicant’s ability to undertake the relevant activity or hold the relevant permission</w:t>
      </w:r>
      <w:r w:rsidR="00B25BC2" w:rsidDel="0016389A">
        <w:rPr>
          <w:rFonts w:cs="Arial"/>
        </w:rPr>
        <w:t>,</w:t>
      </w:r>
      <w:r w:rsidR="00CF7D8D" w:rsidRPr="000B2950" w:rsidDel="0016389A">
        <w:rPr>
          <w:rFonts w:cs="Arial"/>
        </w:rPr>
        <w:t xml:space="preserve"> or</w:t>
      </w:r>
    </w:p>
    <w:p w14:paraId="7FFDB483" w14:textId="1142FE98" w:rsidR="0026579F" w:rsidRPr="00D9098A" w:rsidRDefault="00802237" w:rsidP="006F7CFD">
      <w:pPr>
        <w:pStyle w:val="ListParagraph"/>
        <w:numPr>
          <w:ilvl w:val="0"/>
          <w:numId w:val="6"/>
        </w:numPr>
        <w:spacing w:before="0" w:line="240" w:lineRule="auto"/>
        <w:contextualSpacing w:val="0"/>
        <w:rPr>
          <w:rFonts w:eastAsiaTheme="majorEastAsia" w:cs="Arial"/>
        </w:rPr>
      </w:pPr>
      <w:r>
        <w:rPr>
          <w:rFonts w:cs="Arial"/>
        </w:rPr>
        <w:t>d</w:t>
      </w:r>
      <w:r w:rsidR="00CF7D8D" w:rsidRPr="000B2950">
        <w:rPr>
          <w:rFonts w:cs="Arial"/>
        </w:rPr>
        <w:t>emonstrate that the applicant is sufficiently healthy for the purposes of conducting the activity or holding the relevant permission.</w:t>
      </w:r>
      <w:r w:rsidR="00CF7D8D" w:rsidRPr="00D9098A">
        <w:rPr>
          <w:rFonts w:cs="Arial"/>
        </w:rPr>
        <w:t xml:space="preserve"> </w:t>
      </w:r>
    </w:p>
    <w:tbl>
      <w:tblPr>
        <w:tblStyle w:val="DTFtexttable"/>
        <w:tblW w:w="9000" w:type="dxa"/>
        <w:tblLayout w:type="fixed"/>
        <w:tblLook w:val="04A0" w:firstRow="1" w:lastRow="0" w:firstColumn="1" w:lastColumn="0" w:noHBand="0" w:noVBand="1"/>
      </w:tblPr>
      <w:tblGrid>
        <w:gridCol w:w="540"/>
        <w:gridCol w:w="8460"/>
      </w:tblGrid>
      <w:tr w:rsidR="004C168A" w:rsidRPr="000357EF" w14:paraId="39CABBDD" w14:textId="77777777">
        <w:trPr>
          <w:cnfStyle w:val="100000000000" w:firstRow="1" w:lastRow="0" w:firstColumn="0" w:lastColumn="0" w:oddVBand="0" w:evenVBand="0" w:oddHBand="0" w:evenHBand="0" w:firstRowFirstColumn="0" w:firstRowLastColumn="0" w:lastRowFirstColumn="0" w:lastRowLastColumn="0"/>
          <w:trHeight w:val="1134"/>
        </w:trPr>
        <w:tc>
          <w:tcPr>
            <w:cnfStyle w:val="001000000100" w:firstRow="0" w:lastRow="0" w:firstColumn="1" w:lastColumn="0" w:oddVBand="0" w:evenVBand="0" w:oddHBand="0" w:evenHBand="0" w:firstRowFirstColumn="1" w:firstRowLastColumn="0" w:lastRowFirstColumn="0" w:lastRowLastColumn="0"/>
            <w:tcW w:w="540" w:type="dxa"/>
            <w:textDirection w:val="btLr"/>
            <w:vAlign w:val="center"/>
          </w:tcPr>
          <w:p w14:paraId="43A5E16C" w14:textId="77777777" w:rsidR="004C168A" w:rsidRPr="006B7581" w:rsidRDefault="004C168A">
            <w:pPr>
              <w:pStyle w:val="Tabletext"/>
              <w:keepNext w:val="0"/>
              <w:ind w:left="113" w:right="113"/>
              <w:jc w:val="center"/>
              <w:rPr>
                <w:rFonts w:asciiTheme="majorHAnsi" w:hAnsiTheme="majorHAnsi"/>
                <w:b/>
                <w:bCs/>
              </w:rPr>
            </w:pPr>
            <w:r w:rsidRPr="006B7581">
              <w:rPr>
                <w:b/>
                <w:bCs/>
              </w:rPr>
              <w:t>Example</w:t>
            </w:r>
          </w:p>
        </w:tc>
        <w:tc>
          <w:tcPr>
            <w:tcW w:w="8460" w:type="dxa"/>
            <w:shd w:val="clear" w:color="auto" w:fill="FFFFFF" w:themeFill="background1"/>
            <w:vAlign w:val="center"/>
          </w:tcPr>
          <w:p w14:paraId="4DC5D6B5" w14:textId="0BE2FA77" w:rsidR="004C168A" w:rsidRPr="006B7581" w:rsidRDefault="004C168A">
            <w:pPr>
              <w:pStyle w:val="Tabletext"/>
              <w:cnfStyle w:val="100000000000" w:firstRow="1" w:lastRow="0" w:firstColumn="0" w:lastColumn="0" w:oddVBand="0" w:evenVBand="0" w:oddHBand="0" w:evenHBand="0" w:firstRowFirstColumn="0" w:firstRowLastColumn="0" w:lastRowFirstColumn="0" w:lastRowLastColumn="0"/>
            </w:pPr>
            <w:r w:rsidRPr="00BE7448">
              <w:t>A person who seeks to become a police reservist must be free from any illness or physical defect which would render the person physically unfit to perform the duties of a police reservist.</w:t>
            </w:r>
          </w:p>
        </w:tc>
      </w:tr>
    </w:tbl>
    <w:p w14:paraId="1CFDBED1" w14:textId="77777777" w:rsidR="004C168A" w:rsidRDefault="004C168A" w:rsidP="006B7581">
      <w:pPr>
        <w:pStyle w:val="Spacer"/>
        <w:rPr>
          <w:rFonts w:eastAsiaTheme="majorEastAsia"/>
        </w:rPr>
      </w:pPr>
    </w:p>
    <w:tbl>
      <w:tblPr>
        <w:tblStyle w:val="DTFtexttable"/>
        <w:tblW w:w="9000" w:type="dxa"/>
        <w:tblLayout w:type="fixed"/>
        <w:tblLook w:val="04A0" w:firstRow="1" w:lastRow="0" w:firstColumn="1" w:lastColumn="0" w:noHBand="0" w:noVBand="1"/>
      </w:tblPr>
      <w:tblGrid>
        <w:gridCol w:w="540"/>
        <w:gridCol w:w="8460"/>
      </w:tblGrid>
      <w:tr w:rsidR="004C168A" w:rsidRPr="000357EF" w14:paraId="61D58FFE" w14:textId="77777777">
        <w:trPr>
          <w:cnfStyle w:val="100000000000" w:firstRow="1" w:lastRow="0" w:firstColumn="0" w:lastColumn="0" w:oddVBand="0" w:evenVBand="0" w:oddHBand="0" w:evenHBand="0" w:firstRowFirstColumn="0" w:firstRowLastColumn="0" w:lastRowFirstColumn="0" w:lastRowLastColumn="0"/>
          <w:trHeight w:val="1134"/>
        </w:trPr>
        <w:tc>
          <w:tcPr>
            <w:cnfStyle w:val="001000000100" w:firstRow="0" w:lastRow="0" w:firstColumn="1" w:lastColumn="0" w:oddVBand="0" w:evenVBand="0" w:oddHBand="0" w:evenHBand="0" w:firstRowFirstColumn="1" w:firstRowLastColumn="0" w:lastRowFirstColumn="0" w:lastRowLastColumn="0"/>
            <w:tcW w:w="540" w:type="dxa"/>
            <w:textDirection w:val="btLr"/>
            <w:vAlign w:val="center"/>
          </w:tcPr>
          <w:p w14:paraId="7E0BFB6D" w14:textId="77777777" w:rsidR="004C168A" w:rsidRPr="006B7581" w:rsidRDefault="004C168A">
            <w:pPr>
              <w:pStyle w:val="Tabletext"/>
              <w:keepNext w:val="0"/>
              <w:ind w:left="113" w:right="113"/>
              <w:jc w:val="center"/>
              <w:rPr>
                <w:rFonts w:asciiTheme="majorHAnsi" w:hAnsiTheme="majorHAnsi"/>
                <w:b/>
                <w:bCs/>
              </w:rPr>
            </w:pPr>
            <w:r w:rsidRPr="006B7581">
              <w:rPr>
                <w:b/>
                <w:bCs/>
              </w:rPr>
              <w:t>Example</w:t>
            </w:r>
          </w:p>
        </w:tc>
        <w:tc>
          <w:tcPr>
            <w:tcW w:w="8460" w:type="dxa"/>
            <w:shd w:val="clear" w:color="auto" w:fill="FFFFFF" w:themeFill="background1"/>
            <w:vAlign w:val="center"/>
          </w:tcPr>
          <w:p w14:paraId="2CB9754B" w14:textId="077FDF71" w:rsidR="004C168A" w:rsidRPr="004C168A" w:rsidRDefault="004C168A">
            <w:pPr>
              <w:pStyle w:val="Tabletext"/>
              <w:cnfStyle w:val="100000000000" w:firstRow="1" w:lastRow="0" w:firstColumn="0" w:lastColumn="0" w:oddVBand="0" w:evenVBand="0" w:oddHBand="0" w:evenHBand="0" w:firstRowFirstColumn="0" w:firstRowLastColumn="0" w:lastRowFirstColumn="0" w:lastRowLastColumn="0"/>
              <w:rPr>
                <w:bCs/>
              </w:rPr>
            </w:pPr>
            <w:r w:rsidRPr="006B1199">
              <w:rPr>
                <w:bCs/>
              </w:rPr>
              <w:t>When determining an application for entrance into a witness protection program, the Chief Commissioner may require the applicant to undergo medical tests or examinations, or psychological or psychiatric examinations.</w:t>
            </w:r>
          </w:p>
        </w:tc>
      </w:tr>
    </w:tbl>
    <w:p w14:paraId="5FDD0E69" w14:textId="77777777" w:rsidR="007D4A83" w:rsidRPr="00560AC4" w:rsidRDefault="007D4A83" w:rsidP="006B7581">
      <w:pPr>
        <w:pStyle w:val="Spacer"/>
        <w:rPr>
          <w:rFonts w:eastAsiaTheme="majorEastAsia"/>
        </w:rPr>
      </w:pPr>
    </w:p>
    <w:p w14:paraId="2F3BF5A2" w14:textId="77777777" w:rsidR="00BF52FB" w:rsidRDefault="00175F52" w:rsidP="00346052">
      <w:r w:rsidRPr="00175F52">
        <w:t>As identified above in ‘Considering Human Rights’,</w:t>
      </w:r>
      <w:r>
        <w:rPr>
          <w:b/>
          <w:bCs/>
        </w:rPr>
        <w:t xml:space="preserve"> </w:t>
      </w:r>
      <w:r w:rsidR="00CB2AA1">
        <w:t xml:space="preserve">appropriate </w:t>
      </w:r>
      <w:r w:rsidR="00D22D2B">
        <w:t>statutory</w:t>
      </w:r>
      <w:r w:rsidR="00A42C0C" w:rsidRPr="00D22D2B">
        <w:t xml:space="preserve"> power (with sufficient justification) </w:t>
      </w:r>
      <w:r w:rsidR="00200E38">
        <w:t>is</w:t>
      </w:r>
      <w:r>
        <w:t xml:space="preserve"> required before requesting a person’s </w:t>
      </w:r>
      <w:r w:rsidR="00D22D2B">
        <w:t>health and medical</w:t>
      </w:r>
      <w:r w:rsidR="00A42C0C" w:rsidRPr="00D22D2B">
        <w:t xml:space="preserve"> information.</w:t>
      </w:r>
      <w:r w:rsidR="00200E38">
        <w:t xml:space="preserve"> </w:t>
      </w:r>
      <w:r w:rsidR="005859F7">
        <w:t>T</w:t>
      </w:r>
      <w:r w:rsidR="00200E38">
        <w:t xml:space="preserve">he intrusive nature of collecting sensitive health-related information </w:t>
      </w:r>
      <w:r w:rsidR="00CA1E10">
        <w:t xml:space="preserve">can </w:t>
      </w:r>
      <w:r w:rsidR="005859F7">
        <w:t xml:space="preserve">also </w:t>
      </w:r>
      <w:r w:rsidR="00CA1E10">
        <w:t>create potential discrimination risks.</w:t>
      </w:r>
      <w:r w:rsidR="00C50EEA">
        <w:t xml:space="preserve"> </w:t>
      </w:r>
    </w:p>
    <w:p w14:paraId="77CADB83" w14:textId="2ADB042D" w:rsidR="00D22D2B" w:rsidRPr="00D22D2B" w:rsidRDefault="00C50EEA" w:rsidP="00346052">
      <w:r>
        <w:t xml:space="preserve">A </w:t>
      </w:r>
      <w:r w:rsidRPr="00321B1A">
        <w:rPr>
          <w:b/>
          <w:bCs/>
        </w:rPr>
        <w:t>clear linkage</w:t>
      </w:r>
      <w:r>
        <w:t xml:space="preserve"> between the risk of harm being managed and the ability for collection and assessment of sensitive health information to mitigate this harm should be evident</w:t>
      </w:r>
      <w:r w:rsidR="00CC20B0">
        <w:t xml:space="preserve"> and justifiable.</w:t>
      </w:r>
      <w:r w:rsidR="00A42C0C" w:rsidRPr="00D22D2B">
        <w:t xml:space="preserve"> </w:t>
      </w:r>
    </w:p>
    <w:p w14:paraId="0A11D730" w14:textId="189CE076" w:rsidR="004F6E61" w:rsidRDefault="002E1E6A" w:rsidP="00346052">
      <w:r w:rsidRPr="006B381B">
        <w:t xml:space="preserve">For example, </w:t>
      </w:r>
      <w:r w:rsidR="002B4581">
        <w:t>a person applying for</w:t>
      </w:r>
      <w:r w:rsidR="00BF08EC">
        <w:t xml:space="preserve"> or renewing</w:t>
      </w:r>
      <w:r w:rsidR="002B4581">
        <w:t xml:space="preserve"> a </w:t>
      </w:r>
      <w:r w:rsidR="007D02E5">
        <w:t>driver’s</w:t>
      </w:r>
      <w:r w:rsidR="002B4581">
        <w:t xml:space="preserve"> licenc</w:t>
      </w:r>
      <w:r w:rsidR="00BF08EC">
        <w:t xml:space="preserve">e </w:t>
      </w:r>
      <w:r w:rsidR="00992CE9">
        <w:t xml:space="preserve">should </w:t>
      </w:r>
      <w:r w:rsidR="002B4581">
        <w:t>demonstrate that</w:t>
      </w:r>
      <w:r w:rsidR="00113EA0">
        <w:t xml:space="preserve"> their vision is sufficient for operating a motor vehicle, and that they are not impaired by a health or medical condition. This is a relevant and justified consideration, as </w:t>
      </w:r>
      <w:r w:rsidR="0098697A">
        <w:t xml:space="preserve">driving with a vision or other impairment creates a significant risk to that individual and to the public. </w:t>
      </w:r>
    </w:p>
    <w:p w14:paraId="60146107" w14:textId="77777777" w:rsidR="00EE757A" w:rsidRDefault="0005118C" w:rsidP="00346052">
      <w:r>
        <w:t xml:space="preserve">When considering an individual’s suitability for holding a </w:t>
      </w:r>
      <w:r w:rsidR="00EB522F" w:rsidRPr="006B381B">
        <w:t>taxi licence,</w:t>
      </w:r>
      <w:r w:rsidR="003B449C" w:rsidRPr="006B381B">
        <w:t xml:space="preserve"> the </w:t>
      </w:r>
      <w:r>
        <w:t>applicant’s</w:t>
      </w:r>
      <w:r w:rsidR="00EB522F" w:rsidRPr="006B381B">
        <w:t xml:space="preserve"> </w:t>
      </w:r>
      <w:r w:rsidR="008C36C1" w:rsidRPr="006B381B">
        <w:t>emotional</w:t>
      </w:r>
      <w:r w:rsidR="002B4581">
        <w:t xml:space="preserve"> and</w:t>
      </w:r>
      <w:r w:rsidR="008C36C1" w:rsidRPr="006B381B">
        <w:t xml:space="preserve"> psychiatric health </w:t>
      </w:r>
      <w:r>
        <w:t>may also be relevant</w:t>
      </w:r>
      <w:r w:rsidR="00706DB7">
        <w:t>.</w:t>
      </w:r>
      <w:r w:rsidR="003B449C" w:rsidRPr="006B381B">
        <w:t xml:space="preserve"> </w:t>
      </w:r>
      <w:r w:rsidR="00A42A80">
        <w:t>I</w:t>
      </w:r>
      <w:r w:rsidR="00983019" w:rsidRPr="006B381B">
        <w:t xml:space="preserve">n </w:t>
      </w:r>
      <w:r w:rsidR="008134F4">
        <w:rPr>
          <w:i/>
          <w:iCs/>
        </w:rPr>
        <w:t xml:space="preserve">QWE v Taxi Services Commission (Review and Regulation) </w:t>
      </w:r>
      <w:r w:rsidR="008134F4">
        <w:t xml:space="preserve">[2015] VCAT 1512, </w:t>
      </w:r>
      <w:r w:rsidR="00983019">
        <w:t xml:space="preserve">the Tribunal had regard to </w:t>
      </w:r>
      <w:r w:rsidR="001F2776">
        <w:t xml:space="preserve">applicable </w:t>
      </w:r>
      <w:r w:rsidR="005E3600">
        <w:t>public care objective</w:t>
      </w:r>
      <w:r w:rsidR="001F2776">
        <w:t>s,</w:t>
      </w:r>
      <w:r w:rsidR="005E3600">
        <w:t xml:space="preserve"> </w:t>
      </w:r>
      <w:r w:rsidR="00A6424D">
        <w:t xml:space="preserve">which require the </w:t>
      </w:r>
      <w:r w:rsidR="0024168F">
        <w:t xml:space="preserve">provision of safe and comfortable driving services. </w:t>
      </w:r>
      <w:r w:rsidR="001F2776">
        <w:t xml:space="preserve">Here, a driver sought to have his licence reinstated. However, a recent chronic </w:t>
      </w:r>
      <w:r w:rsidR="009959A6">
        <w:t xml:space="preserve">psychiatric (paranoid) schizophrenia </w:t>
      </w:r>
      <w:r w:rsidR="001F2776">
        <w:t>diagnosis meant the Tribunal held that it was not appropriate for the applicant’s licence to be reinstated.</w:t>
      </w:r>
    </w:p>
    <w:p w14:paraId="154FC646" w14:textId="522DD0BA" w:rsidR="00751EA0" w:rsidRDefault="001F2776" w:rsidP="00DF6B40">
      <w:pPr>
        <w:keepNext/>
      </w:pPr>
      <w:r>
        <w:lastRenderedPageBreak/>
        <w:t>T</w:t>
      </w:r>
      <w:r w:rsidR="00073096">
        <w:t xml:space="preserve">he Tribunal </w:t>
      </w:r>
      <w:r w:rsidR="00AD549E">
        <w:t xml:space="preserve">considered the </w:t>
      </w:r>
      <w:proofErr w:type="gramStart"/>
      <w:r w:rsidR="00AD549E">
        <w:t>particular context</w:t>
      </w:r>
      <w:proofErr w:type="gramEnd"/>
      <w:r w:rsidR="00AD549E">
        <w:t xml:space="preserve"> of taxi driving and</w:t>
      </w:r>
      <w:r w:rsidR="004D6CD7">
        <w:t xml:space="preserve"> stated (at [38]): </w:t>
      </w:r>
    </w:p>
    <w:p w14:paraId="1F276A2E" w14:textId="3C3C2582" w:rsidR="00D837F0" w:rsidRDefault="00F6797D" w:rsidP="006B7581">
      <w:pPr>
        <w:pStyle w:val="Quote"/>
      </w:pPr>
      <w:r>
        <w:t>‘</w:t>
      </w:r>
      <w:r w:rsidR="00315841">
        <w:t>…</w:t>
      </w:r>
      <w:r w:rsidR="004D6CD7" w:rsidRPr="00315841">
        <w:t xml:space="preserve">I am not satisfied, that there are sufficient safeguards in place, that if the applicant was not to turn up for his injection </w:t>
      </w:r>
      <w:r w:rsidR="004D6CD7" w:rsidRPr="00315841">
        <w:rPr>
          <w:b/>
          <w:bCs/>
        </w:rPr>
        <w:t xml:space="preserve">that he would be apprehended in sufficient time before damage could be done to the public through his driving or, more importantly, to a passenger in his </w:t>
      </w:r>
      <w:proofErr w:type="gramStart"/>
      <w:r w:rsidR="004D6CD7" w:rsidRPr="00315841">
        <w:rPr>
          <w:b/>
          <w:bCs/>
        </w:rPr>
        <w:t>particular taxi</w:t>
      </w:r>
      <w:proofErr w:type="gramEnd"/>
      <w:r w:rsidR="004D6CD7" w:rsidRPr="00315841">
        <w:t xml:space="preserve">. Passengers often become difficult and </w:t>
      </w:r>
      <w:proofErr w:type="gramStart"/>
      <w:r w:rsidR="004D6CD7" w:rsidRPr="00315841">
        <w:t>rude</w:t>
      </w:r>
      <w:proofErr w:type="gramEnd"/>
      <w:r w:rsidR="004D6CD7" w:rsidRPr="00315841">
        <w:t xml:space="preserve"> and it follows that somebody in a psychotic state, as the applicant may be if he was not complying with his medication, may inflict harm on that person</w:t>
      </w:r>
      <w:r w:rsidR="00AD549E" w:rsidRPr="00315841">
        <w:t>.</w:t>
      </w:r>
      <w:r>
        <w:t>’</w:t>
      </w:r>
    </w:p>
    <w:p w14:paraId="686257C2" w14:textId="77777777" w:rsidR="00122B0D" w:rsidRDefault="00F40EB1" w:rsidP="00346052">
      <w:r>
        <w:t xml:space="preserve">This example can be </w:t>
      </w:r>
      <w:r w:rsidR="00512EED">
        <w:t>compared</w:t>
      </w:r>
      <w:r>
        <w:t xml:space="preserve"> with collection of health information related to a lawyer’s </w:t>
      </w:r>
      <w:r w:rsidR="00617A49">
        <w:t xml:space="preserve">or real estate agent’s </w:t>
      </w:r>
      <w:r>
        <w:t xml:space="preserve">history of mental illness. While there may be some instances where collection of this information is </w:t>
      </w:r>
      <w:r w:rsidR="00ED7980">
        <w:t xml:space="preserve">considered relevant </w:t>
      </w:r>
      <w:r>
        <w:t>(for example, to prevent defalcating of trust funds), policymakers should consider alternative means to mitigate this potential harm. This could include through undertaking audits or other external scrutiny processes.</w:t>
      </w:r>
      <w:r w:rsidR="00A82BF6">
        <w:t xml:space="preserve"> </w:t>
      </w:r>
    </w:p>
    <w:p w14:paraId="766D8238" w14:textId="4A137AFF" w:rsidR="00F40EB1" w:rsidRPr="00354EAC" w:rsidRDefault="00512EED" w:rsidP="00346052">
      <w:r>
        <w:t xml:space="preserve">In contrast with the above example related to taxi drivers, </w:t>
      </w:r>
      <w:r w:rsidR="00044D48">
        <w:t xml:space="preserve">there is less immediate </w:t>
      </w:r>
      <w:r w:rsidR="00E20FEE">
        <w:t xml:space="preserve">risk of harm to life or safety </w:t>
      </w:r>
      <w:r w:rsidR="00044D48">
        <w:t xml:space="preserve">associated with these desktop-based roles compared to </w:t>
      </w:r>
      <w:r>
        <w:t xml:space="preserve">where </w:t>
      </w:r>
      <w:r w:rsidR="00044D48">
        <w:t>a</w:t>
      </w:r>
      <w:r>
        <w:t xml:space="preserve"> driver </w:t>
      </w:r>
      <w:r w:rsidR="000D3D99">
        <w:t>has a</w:t>
      </w:r>
      <w:r w:rsidR="004C2771">
        <w:t xml:space="preserve"> passenger</w:t>
      </w:r>
      <w:r w:rsidR="00044D48">
        <w:t xml:space="preserve"> in a confined space that they can quickly and remotely control.</w:t>
      </w:r>
    </w:p>
    <w:p w14:paraId="723B486F" w14:textId="77777777" w:rsidR="009C1AA9" w:rsidRPr="006B7581" w:rsidRDefault="002602D9" w:rsidP="008218C3">
      <w:pPr>
        <w:pStyle w:val="Heading2numbered"/>
        <w:rPr>
          <w:rStyle w:val="Heading3Char"/>
          <w:bCs/>
          <w:sz w:val="28"/>
          <w:szCs w:val="26"/>
        </w:rPr>
      </w:pPr>
      <w:bookmarkStart w:id="95" w:name="_Toc164848041"/>
      <w:bookmarkStart w:id="96" w:name="_Toc174538677"/>
      <w:bookmarkStart w:id="97" w:name="_Toc178780258"/>
      <w:r w:rsidRPr="006B7581">
        <w:rPr>
          <w:rStyle w:val="Heading3Char"/>
          <w:bCs/>
          <w:sz w:val="28"/>
          <w:szCs w:val="26"/>
        </w:rPr>
        <w:t>Public interest</w:t>
      </w:r>
      <w:bookmarkEnd w:id="95"/>
      <w:bookmarkEnd w:id="96"/>
      <w:bookmarkEnd w:id="97"/>
    </w:p>
    <w:p w14:paraId="03CA571F" w14:textId="5042778D" w:rsidR="000D3D99" w:rsidRDefault="00302673" w:rsidP="00346052">
      <w:r>
        <w:t xml:space="preserve">Public interest </w:t>
      </w:r>
      <w:r w:rsidR="001B5C7B">
        <w:t xml:space="preserve">assessments </w:t>
      </w:r>
      <w:r>
        <w:t>may</w:t>
      </w:r>
      <w:r w:rsidR="002C2B0F">
        <w:t xml:space="preserve"> be relevant </w:t>
      </w:r>
      <w:r w:rsidR="00A049E3">
        <w:t xml:space="preserve">in limited circumstances </w:t>
      </w:r>
      <w:r w:rsidR="002C2B0F">
        <w:t xml:space="preserve">where there is a need to </w:t>
      </w:r>
      <w:r w:rsidR="00315841">
        <w:t>balance potential</w:t>
      </w:r>
      <w:r w:rsidR="00B34A42">
        <w:t xml:space="preserve"> </w:t>
      </w:r>
      <w:r w:rsidR="00BC3C61">
        <w:t xml:space="preserve">risks to the public </w:t>
      </w:r>
      <w:r w:rsidR="00315841">
        <w:t>against</w:t>
      </w:r>
      <w:r w:rsidR="00BC3C61">
        <w:t xml:space="preserve"> the benefits of awarding the relevant licence or permission to an applicant. </w:t>
      </w:r>
    </w:p>
    <w:p w14:paraId="2FFD2A3A" w14:textId="62BDF7A5" w:rsidR="009C1AA9" w:rsidRDefault="00315841" w:rsidP="00346052">
      <w:r>
        <w:t>I</w:t>
      </w:r>
      <w:r w:rsidR="007D5253">
        <w:t xml:space="preserve">n </w:t>
      </w:r>
      <w:proofErr w:type="spellStart"/>
      <w:r w:rsidR="005B3209" w:rsidRPr="00EF30F5">
        <w:rPr>
          <w:i/>
          <w:iCs/>
        </w:rPr>
        <w:t>Comalco</w:t>
      </w:r>
      <w:proofErr w:type="spellEnd"/>
      <w:r w:rsidR="005B3209" w:rsidRPr="00EF30F5">
        <w:rPr>
          <w:i/>
          <w:iCs/>
        </w:rPr>
        <w:t xml:space="preserve"> Aluminium (Bell Bay) Ltd v O'Connor</w:t>
      </w:r>
      <w:r w:rsidR="005B3209" w:rsidRPr="00EF30F5">
        <w:t xml:space="preserve"> (1995) ALR 657</w:t>
      </w:r>
      <w:r w:rsidR="00951D51">
        <w:t>,</w:t>
      </w:r>
      <w:r w:rsidR="005B3209" w:rsidRPr="00EF30F5">
        <w:t xml:space="preserve"> the Court held at </w:t>
      </w:r>
      <w:r w:rsidR="00951D51">
        <w:t>paragraph</w:t>
      </w:r>
      <w:r w:rsidR="008218C3">
        <w:rPr>
          <w:rFonts w:ascii="Calibri" w:hAnsi="Calibri" w:cs="Calibri"/>
        </w:rPr>
        <w:t> </w:t>
      </w:r>
      <w:r w:rsidR="005B3209" w:rsidRPr="00EF30F5">
        <w:t>6</w:t>
      </w:r>
      <w:r w:rsidR="00EF30F5" w:rsidRPr="00EF30F5">
        <w:t xml:space="preserve"> that a ‘public interest test’ involves consideration of the interests of the whole community, not just the interests of the relevant individual.</w:t>
      </w:r>
    </w:p>
    <w:tbl>
      <w:tblPr>
        <w:tblStyle w:val="DTFtexttable"/>
        <w:tblW w:w="9000" w:type="dxa"/>
        <w:tblLayout w:type="fixed"/>
        <w:tblLook w:val="04A0" w:firstRow="1" w:lastRow="0" w:firstColumn="1" w:lastColumn="0" w:noHBand="0" w:noVBand="1"/>
      </w:tblPr>
      <w:tblGrid>
        <w:gridCol w:w="540"/>
        <w:gridCol w:w="8460"/>
      </w:tblGrid>
      <w:tr w:rsidR="004C168A" w:rsidRPr="000357EF" w14:paraId="763235D7" w14:textId="77777777">
        <w:trPr>
          <w:cnfStyle w:val="100000000000" w:firstRow="1" w:lastRow="0" w:firstColumn="0" w:lastColumn="0" w:oddVBand="0" w:evenVBand="0" w:oddHBand="0" w:evenHBand="0" w:firstRowFirstColumn="0" w:firstRowLastColumn="0" w:lastRowFirstColumn="0" w:lastRowLastColumn="0"/>
          <w:trHeight w:val="1134"/>
        </w:trPr>
        <w:tc>
          <w:tcPr>
            <w:cnfStyle w:val="001000000100" w:firstRow="0" w:lastRow="0" w:firstColumn="1" w:lastColumn="0" w:oddVBand="0" w:evenVBand="0" w:oddHBand="0" w:evenHBand="0" w:firstRowFirstColumn="1" w:firstRowLastColumn="0" w:lastRowFirstColumn="0" w:lastRowLastColumn="0"/>
            <w:tcW w:w="540" w:type="dxa"/>
            <w:textDirection w:val="btLr"/>
            <w:vAlign w:val="center"/>
          </w:tcPr>
          <w:p w14:paraId="148F126D" w14:textId="77777777" w:rsidR="004C168A" w:rsidRPr="006B7581" w:rsidRDefault="004C168A">
            <w:pPr>
              <w:pStyle w:val="Tabletext"/>
              <w:keepNext w:val="0"/>
              <w:ind w:left="113" w:right="113"/>
              <w:jc w:val="center"/>
              <w:rPr>
                <w:rFonts w:asciiTheme="majorHAnsi" w:hAnsiTheme="majorHAnsi"/>
                <w:b/>
                <w:bCs/>
              </w:rPr>
            </w:pPr>
            <w:r w:rsidRPr="006B7581">
              <w:rPr>
                <w:b/>
                <w:bCs/>
              </w:rPr>
              <w:t>Example</w:t>
            </w:r>
          </w:p>
        </w:tc>
        <w:tc>
          <w:tcPr>
            <w:tcW w:w="8460" w:type="dxa"/>
            <w:shd w:val="clear" w:color="auto" w:fill="FFFFFF" w:themeFill="background1"/>
            <w:vAlign w:val="center"/>
          </w:tcPr>
          <w:p w14:paraId="02F0ECDE" w14:textId="77777777" w:rsidR="004C168A" w:rsidRPr="00BE7448" w:rsidRDefault="004C168A" w:rsidP="004C168A">
            <w:pPr>
              <w:pStyle w:val="Tabletext"/>
              <w:cnfStyle w:val="100000000000" w:firstRow="1" w:lastRow="0" w:firstColumn="0" w:lastColumn="0" w:oddVBand="0" w:evenVBand="0" w:oddHBand="0" w:evenHBand="0" w:firstRowFirstColumn="0" w:firstRowLastColumn="0" w:lastRowFirstColumn="0" w:lastRowLastColumn="0"/>
            </w:pPr>
            <w:r w:rsidRPr="00BE7448">
              <w:t xml:space="preserve">To grant a licence application for the operation of a Keno business, the Secretary of the Department of Justice and Community Safety must be satisfied that doing so is in the public interest, having regard to a set of specified, mandatory considerations. </w:t>
            </w:r>
          </w:p>
          <w:p w14:paraId="4FC2909A" w14:textId="6FBBA669" w:rsidR="004C168A" w:rsidRPr="002701B7" w:rsidRDefault="004C168A" w:rsidP="004C168A">
            <w:pPr>
              <w:pStyle w:val="Tabletext"/>
              <w:cnfStyle w:val="100000000000" w:firstRow="1" w:lastRow="0" w:firstColumn="0" w:lastColumn="0" w:oddVBand="0" w:evenVBand="0" w:oddHBand="0" w:evenHBand="0" w:firstRowFirstColumn="0" w:firstRowLastColumn="0" w:lastRowFirstColumn="0" w:lastRowLastColumn="0"/>
              <w:rPr>
                <w:b/>
                <w:bCs/>
              </w:rPr>
            </w:pPr>
            <w:r w:rsidRPr="00BE7448">
              <w:t>This is a necessary consideration given the business’s likely interactions with the community in which it operates, and the potential for a non-compliant business to cause disruption or harm to that community.</w:t>
            </w:r>
          </w:p>
        </w:tc>
      </w:tr>
    </w:tbl>
    <w:p w14:paraId="5EE8D6BF" w14:textId="77777777" w:rsidR="004C168A" w:rsidRDefault="004C168A" w:rsidP="00346052"/>
    <w:p w14:paraId="60369AA0" w14:textId="19F144B5" w:rsidR="00A618D4" w:rsidRPr="00560AC4" w:rsidRDefault="00DD0C8F" w:rsidP="00DB37DA">
      <w:pPr>
        <w:pStyle w:val="Heading1numbered"/>
      </w:pPr>
      <w:bookmarkStart w:id="98" w:name="_Toc178780259"/>
      <w:bookmarkStart w:id="99" w:name="_Toc164848042"/>
      <w:bookmarkStart w:id="100" w:name="_Toc174538678"/>
      <w:bookmarkStart w:id="101" w:name="_Toc178780266"/>
      <w:bookmarkEnd w:id="98"/>
      <w:r w:rsidRPr="00560AC4">
        <w:lastRenderedPageBreak/>
        <w:t xml:space="preserve">Extraordinary </w:t>
      </w:r>
      <w:r w:rsidR="00E64DC6">
        <w:t>e</w:t>
      </w:r>
      <w:r w:rsidRPr="00560AC4">
        <w:t>lements</w:t>
      </w:r>
      <w:bookmarkEnd w:id="99"/>
      <w:bookmarkEnd w:id="100"/>
      <w:bookmarkEnd w:id="101"/>
      <w:r w:rsidRPr="00560AC4">
        <w:t xml:space="preserve"> </w:t>
      </w:r>
    </w:p>
    <w:p w14:paraId="24D12768" w14:textId="405D9358" w:rsidR="00F13953" w:rsidRDefault="00A618D4" w:rsidP="00394910">
      <w:pPr>
        <w:keepNext/>
      </w:pPr>
      <w:bookmarkStart w:id="102" w:name="_Toc164844921"/>
      <w:r w:rsidRPr="00560AC4">
        <w:t xml:space="preserve">Extraordinary elements </w:t>
      </w:r>
      <w:r w:rsidR="00990613">
        <w:t>reflect</w:t>
      </w:r>
      <w:r w:rsidR="00F13953" w:rsidRPr="00560AC4">
        <w:t xml:space="preserve"> rare circumstances where a subjective element may be relevant for consideration</w:t>
      </w:r>
      <w:r w:rsidR="00990613">
        <w:t xml:space="preserve"> in an assessment</w:t>
      </w:r>
      <w:r w:rsidR="00F13953" w:rsidRPr="00560AC4">
        <w:t>. These elements should be applied only where no other elements can address the risks identified by the regulator.</w:t>
      </w:r>
      <w:bookmarkEnd w:id="102"/>
      <w:r w:rsidR="00F13953" w:rsidRPr="00560AC4">
        <w:t xml:space="preserve"> </w:t>
      </w:r>
    </w:p>
    <w:tbl>
      <w:tblPr>
        <w:tblStyle w:val="DTFtexttable"/>
        <w:tblW w:w="9026" w:type="dxa"/>
        <w:tblLayout w:type="fixed"/>
        <w:tblLook w:val="04A0" w:firstRow="1" w:lastRow="0" w:firstColumn="1" w:lastColumn="0" w:noHBand="0" w:noVBand="1"/>
      </w:tblPr>
      <w:tblGrid>
        <w:gridCol w:w="851"/>
        <w:gridCol w:w="1134"/>
        <w:gridCol w:w="7041"/>
      </w:tblGrid>
      <w:tr w:rsidR="00CB4500" w:rsidRPr="000357EF" w14:paraId="17DAFF3D" w14:textId="77777777" w:rsidTr="00111CBA">
        <w:trPr>
          <w:cnfStyle w:val="100000000000" w:firstRow="1" w:lastRow="0" w:firstColumn="0" w:lastColumn="0" w:oddVBand="0" w:evenVBand="0" w:oddHBand="0" w:evenHBand="0" w:firstRowFirstColumn="0" w:firstRowLastColumn="0" w:lastRowFirstColumn="0" w:lastRowLastColumn="0"/>
          <w:trHeight w:val="1890"/>
        </w:trPr>
        <w:tc>
          <w:tcPr>
            <w:cnfStyle w:val="001000000100" w:firstRow="0" w:lastRow="0" w:firstColumn="1" w:lastColumn="0" w:oddVBand="0" w:evenVBand="0" w:oddHBand="0" w:evenHBand="0" w:firstRowFirstColumn="1" w:firstRowLastColumn="0" w:lastRowFirstColumn="0" w:lastRowLastColumn="0"/>
            <w:tcW w:w="851" w:type="dxa"/>
            <w:vAlign w:val="center"/>
          </w:tcPr>
          <w:p w14:paraId="79D74101" w14:textId="77777777" w:rsidR="008218C3" w:rsidRPr="000357EF" w:rsidRDefault="008218C3">
            <w:pPr>
              <w:spacing w:before="240"/>
              <w:contextualSpacing/>
              <w:rPr>
                <w:rFonts w:ascii="Arial" w:hAnsi="Arial" w:cs="Arial"/>
                <w:b/>
                <w:bCs/>
                <w:sz w:val="18"/>
                <w:szCs w:val="18"/>
              </w:rPr>
            </w:pPr>
            <w:r w:rsidRPr="00646ED8">
              <w:rPr>
                <w:rFonts w:ascii="Arial" w:hAnsi="Arial" w:cs="Arial"/>
                <w:b/>
                <w:bCs/>
                <w:noProof/>
                <w:sz w:val="18"/>
                <w:szCs w:val="18"/>
              </w:rPr>
              <w:drawing>
                <wp:inline distT="0" distB="0" distL="0" distR="0" wp14:anchorId="477E8B9A" wp14:editId="5CBE759B">
                  <wp:extent cx="396949" cy="396949"/>
                  <wp:effectExtent l="0" t="0" r="3175" b="0"/>
                  <wp:docPr id="1079646705" name="Graphic 1079646705" descr="Eye Scan with solid fill">
                    <a:extLst xmlns:a="http://schemas.openxmlformats.org/drawingml/2006/main">
                      <a:ext uri="{FF2B5EF4-FFF2-40B4-BE49-F238E27FC236}">
                        <a16:creationId xmlns:a16="http://schemas.microsoft.com/office/drawing/2014/main" id="{3388C8CE-516B-59B2-2B24-208B36E1C2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0" descr="Eye Scan with solid fill">
                            <a:extLst>
                              <a:ext uri="{FF2B5EF4-FFF2-40B4-BE49-F238E27FC236}">
                                <a16:creationId xmlns:a16="http://schemas.microsoft.com/office/drawing/2014/main" id="{3388C8CE-516B-59B2-2B24-208B36E1C287}"/>
                              </a:ext>
                            </a:extLst>
                          </pic:cNvPr>
                          <pic:cNvPicPr>
                            <a:picLocks noChangeAspect="1"/>
                          </pic:cNvPicPr>
                        </pic:nvPicPr>
                        <pic:blipFill>
                          <a:blip r:embed="rId35">
                            <a:extLst>
                              <a:ext uri="{96DAC541-7B7A-43D3-8B79-37D633B846F1}">
                                <asvg:svgBlip xmlns:asvg="http://schemas.microsoft.com/office/drawing/2016/SVG/main" r:embed="rId36"/>
                              </a:ext>
                            </a:extLst>
                          </a:blip>
                          <a:stretch>
                            <a:fillRect/>
                          </a:stretch>
                        </pic:blipFill>
                        <pic:spPr>
                          <a:xfrm>
                            <a:off x="0" y="0"/>
                            <a:ext cx="399906" cy="399906"/>
                          </a:xfrm>
                          <a:prstGeom prst="rect">
                            <a:avLst/>
                          </a:prstGeom>
                        </pic:spPr>
                      </pic:pic>
                    </a:graphicData>
                  </a:graphic>
                </wp:inline>
              </w:drawing>
            </w:r>
          </w:p>
        </w:tc>
        <w:tc>
          <w:tcPr>
            <w:tcW w:w="1134" w:type="dxa"/>
            <w:vAlign w:val="center"/>
          </w:tcPr>
          <w:p w14:paraId="51E5AA3D" w14:textId="77777777" w:rsidR="008218C3" w:rsidRPr="00394910" w:rsidRDefault="008218C3">
            <w:pPr>
              <w:pStyle w:val="Table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394910">
              <w:rPr>
                <w:rFonts w:asciiTheme="majorHAnsi" w:hAnsiTheme="majorHAnsi"/>
              </w:rPr>
              <w:t>Objectivity in practice</w:t>
            </w:r>
          </w:p>
        </w:tc>
        <w:tc>
          <w:tcPr>
            <w:tcW w:w="7041" w:type="dxa"/>
            <w:shd w:val="clear" w:color="auto" w:fill="auto"/>
            <w:vAlign w:val="center"/>
          </w:tcPr>
          <w:p w14:paraId="067B7245" w14:textId="77777777" w:rsidR="008218C3" w:rsidRDefault="008218C3" w:rsidP="008218C3">
            <w:pPr>
              <w:pStyle w:val="Tabletext"/>
              <w:cnfStyle w:val="100000000000" w:firstRow="1" w:lastRow="0" w:firstColumn="0" w:lastColumn="0" w:oddVBand="0" w:evenVBand="0" w:oddHBand="0" w:evenHBand="0" w:firstRowFirstColumn="0" w:firstRowLastColumn="0" w:lastRowFirstColumn="0" w:lastRowLastColumn="0"/>
            </w:pPr>
            <w:r>
              <w:t xml:space="preserve">Extraordinary elements have been separately categorised as they are subjective in nature. </w:t>
            </w:r>
          </w:p>
          <w:p w14:paraId="48DB7C8F" w14:textId="77777777" w:rsidR="008218C3" w:rsidRPr="002701B7" w:rsidRDefault="008218C3" w:rsidP="008218C3">
            <w:pPr>
              <w:pStyle w:val="Table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2701B7">
              <w:rPr>
                <w:rFonts w:asciiTheme="majorHAnsi" w:hAnsiTheme="majorHAnsi"/>
              </w:rPr>
              <w:t xml:space="preserve">Criteria in this section should only be used in exceptional circumstances. </w:t>
            </w:r>
          </w:p>
          <w:p w14:paraId="04284490" w14:textId="27465C55" w:rsidR="008218C3" w:rsidRPr="00AF66A6" w:rsidRDefault="008218C3" w:rsidP="008218C3">
            <w:pPr>
              <w:pStyle w:val="Tabletext"/>
              <w:cnfStyle w:val="100000000000" w:firstRow="1" w:lastRow="0" w:firstColumn="0" w:lastColumn="0" w:oddVBand="0" w:evenVBand="0" w:oddHBand="0" w:evenHBand="0" w:firstRowFirstColumn="0" w:firstRowLastColumn="0" w:lastRowFirstColumn="0" w:lastRowLastColumn="0"/>
            </w:pPr>
            <w:r w:rsidRPr="0092536C">
              <w:t>Where possible, objective criteria, capable of verification through collection of facts and evidence, should be used in place of subjective criteria.</w:t>
            </w:r>
          </w:p>
        </w:tc>
      </w:tr>
    </w:tbl>
    <w:p w14:paraId="5869EE92" w14:textId="77777777" w:rsidR="008218C3" w:rsidRDefault="008218C3" w:rsidP="00394910">
      <w:pPr>
        <w:pStyle w:val="Spacer"/>
      </w:pPr>
    </w:p>
    <w:p w14:paraId="7AA68E70" w14:textId="141DDB12" w:rsidR="003042EF" w:rsidRPr="00394910" w:rsidRDefault="009D4D52" w:rsidP="00394910">
      <w:pPr>
        <w:rPr>
          <w:rFonts w:asciiTheme="majorHAnsi" w:hAnsiTheme="majorHAnsi"/>
        </w:rPr>
      </w:pPr>
      <w:r w:rsidRPr="00394910">
        <w:rPr>
          <w:rFonts w:asciiTheme="majorHAnsi" w:hAnsiTheme="majorHAnsi"/>
        </w:rPr>
        <w:t xml:space="preserve">Given the subjective nature of these elements and their appropriateness for consideration in rare circumstances, this section does not contain model provisions. </w:t>
      </w:r>
    </w:p>
    <w:p w14:paraId="2CEC4592" w14:textId="64D112D6" w:rsidR="00D63FF1" w:rsidRPr="00560AC4" w:rsidRDefault="009B36A4" w:rsidP="008218C3">
      <w:r>
        <w:t xml:space="preserve">Policymakers wishing to include extraordinary elements </w:t>
      </w:r>
      <w:r w:rsidR="009D4D52" w:rsidRPr="00763FAE">
        <w:t xml:space="preserve">should engage directly with OCPC to ensure that </w:t>
      </w:r>
      <w:r w:rsidR="009D4D52">
        <w:t xml:space="preserve">the inclusion of the clause is justified and appropriately tailored to the relevant regulatory environment. </w:t>
      </w:r>
    </w:p>
    <w:p w14:paraId="3CB83652" w14:textId="0F34E588" w:rsidR="00F13953" w:rsidRPr="00394910" w:rsidRDefault="00F13953" w:rsidP="008218C3">
      <w:pPr>
        <w:pStyle w:val="Heading2numbered"/>
        <w:rPr>
          <w:rStyle w:val="Heading3Char"/>
          <w:bCs/>
          <w:sz w:val="28"/>
          <w:szCs w:val="26"/>
        </w:rPr>
      </w:pPr>
      <w:bookmarkStart w:id="103" w:name="_Toc164848043"/>
      <w:bookmarkStart w:id="104" w:name="_Toc174538679"/>
      <w:bookmarkStart w:id="105" w:name="_Toc178780267"/>
      <w:bookmarkStart w:id="106" w:name="_Toc164844922"/>
      <w:r w:rsidRPr="00394910">
        <w:rPr>
          <w:rStyle w:val="Heading3Char"/>
          <w:bCs/>
          <w:sz w:val="28"/>
          <w:szCs w:val="26"/>
        </w:rPr>
        <w:t>Assessment of good character</w:t>
      </w:r>
      <w:bookmarkEnd w:id="103"/>
      <w:bookmarkEnd w:id="104"/>
      <w:bookmarkEnd w:id="105"/>
      <w:r w:rsidRPr="00394910">
        <w:rPr>
          <w:rStyle w:val="Heading3Char"/>
          <w:bCs/>
          <w:sz w:val="28"/>
          <w:szCs w:val="26"/>
        </w:rPr>
        <w:t xml:space="preserve"> </w:t>
      </w:r>
      <w:bookmarkEnd w:id="106"/>
    </w:p>
    <w:p w14:paraId="3E9C7807" w14:textId="5D98953C" w:rsidR="00536345" w:rsidRPr="00056392" w:rsidRDefault="00536345" w:rsidP="00346052">
      <w:r>
        <w:t xml:space="preserve">The phrase ‘good character’ is </w:t>
      </w:r>
      <w:r w:rsidR="00AA362A">
        <w:t>referred to in</w:t>
      </w:r>
      <w:r>
        <w:t xml:space="preserve"> Victorian statutes</w:t>
      </w:r>
      <w:r w:rsidR="00AA362A">
        <w:t xml:space="preserve"> such as </w:t>
      </w:r>
      <w:r>
        <w:t xml:space="preserve">the </w:t>
      </w:r>
      <w:r w:rsidRPr="001A07B7">
        <w:rPr>
          <w:i/>
          <w:iCs/>
        </w:rPr>
        <w:t>Estate</w:t>
      </w:r>
      <w:r>
        <w:rPr>
          <w:i/>
          <w:iCs/>
        </w:rPr>
        <w:t xml:space="preserve"> Agents Act 1980 </w:t>
      </w:r>
      <w:r>
        <w:t xml:space="preserve">(see section 25), and the </w:t>
      </w:r>
      <w:r>
        <w:rPr>
          <w:i/>
          <w:iCs/>
        </w:rPr>
        <w:t>Children, Youth and Families Act 2005</w:t>
      </w:r>
      <w:r>
        <w:t xml:space="preserve"> (see section 227). </w:t>
      </w:r>
    </w:p>
    <w:p w14:paraId="13B58760" w14:textId="7519D640" w:rsidR="00536345" w:rsidRDefault="00536345" w:rsidP="00346052">
      <w:r>
        <w:t>‘</w:t>
      </w:r>
      <w:r w:rsidR="00AA362A">
        <w:t>G</w:t>
      </w:r>
      <w:r>
        <w:t xml:space="preserve">ood character’ </w:t>
      </w:r>
      <w:r w:rsidR="00FC2626">
        <w:t>should be</w:t>
      </w:r>
      <w:r>
        <w:t xml:space="preserve"> </w:t>
      </w:r>
      <w:r w:rsidR="00AA362A">
        <w:t>interpreted with reference to its</w:t>
      </w:r>
      <w:r>
        <w:t xml:space="preserve"> ordinary meaning</w:t>
      </w:r>
      <w:r w:rsidR="00FC2626">
        <w:t xml:space="preserve"> unless it is otherwise defined in relevant statute</w:t>
      </w:r>
      <w:r>
        <w:t xml:space="preserve">. In </w:t>
      </w:r>
      <w:r>
        <w:rPr>
          <w:i/>
          <w:iCs/>
        </w:rPr>
        <w:t xml:space="preserve">Irving v Minister for Immigration, Local Government and Ethnic Affairs </w:t>
      </w:r>
      <w:r>
        <w:t xml:space="preserve">(1996) 68 FCR 422, the Full Federal Court stated (at 431-432) </w:t>
      </w:r>
      <w:r w:rsidR="00C42584">
        <w:t xml:space="preserve">that </w:t>
      </w:r>
      <w:r>
        <w:t xml:space="preserve">‘good character’ </w:t>
      </w:r>
      <w:r w:rsidR="008620AE">
        <w:t>refers to ‘…</w:t>
      </w:r>
      <w:r>
        <w:rPr>
          <w:i/>
          <w:iCs/>
        </w:rPr>
        <w:t>the enduring moral qualities of a person, and not the good standing, fame or repute of that person in the community</w:t>
      </w:r>
      <w:r w:rsidRPr="006E0ECB">
        <w:t>’</w:t>
      </w:r>
      <w:r>
        <w:rPr>
          <w:i/>
          <w:iCs/>
        </w:rPr>
        <w:t xml:space="preserve">. </w:t>
      </w:r>
    </w:p>
    <w:p w14:paraId="7A7EA97D" w14:textId="2E7E0684" w:rsidR="00DD0C8F" w:rsidRDefault="00536345" w:rsidP="00346052">
      <w:r>
        <w:t xml:space="preserve">An assessment of good character is generally not considered best practice for </w:t>
      </w:r>
      <w:r w:rsidR="00BD443C">
        <w:t>inclusion in</w:t>
      </w:r>
      <w:r>
        <w:t xml:space="preserve"> assessments. However, i</w:t>
      </w:r>
      <w:r w:rsidR="003A0B2D" w:rsidRPr="008D5E7F">
        <w:t xml:space="preserve">n some circumstances, an assessment of good character may be appropriate to support a regulator </w:t>
      </w:r>
      <w:r w:rsidR="008D5E7F" w:rsidRPr="008D5E7F">
        <w:t>in deciding an applicant’s suitability, with reference to</w:t>
      </w:r>
      <w:r w:rsidR="00E15292">
        <w:t xml:space="preserve"> </w:t>
      </w:r>
      <w:r w:rsidR="008D5E7F" w:rsidRPr="008D5E7F">
        <w:t>honesty, integrity</w:t>
      </w:r>
      <w:r w:rsidR="00E15292">
        <w:t xml:space="preserve"> or stability</w:t>
      </w:r>
      <w:r w:rsidR="008D5E7F" w:rsidRPr="008D5E7F">
        <w:t>.</w:t>
      </w:r>
    </w:p>
    <w:tbl>
      <w:tblPr>
        <w:tblStyle w:val="DTFtexttable"/>
        <w:tblW w:w="9000" w:type="dxa"/>
        <w:tblLayout w:type="fixed"/>
        <w:tblLook w:val="04A0" w:firstRow="1" w:lastRow="0" w:firstColumn="1" w:lastColumn="0" w:noHBand="0" w:noVBand="1"/>
      </w:tblPr>
      <w:tblGrid>
        <w:gridCol w:w="540"/>
        <w:gridCol w:w="8460"/>
      </w:tblGrid>
      <w:tr w:rsidR="004C168A" w:rsidRPr="000357EF" w14:paraId="49707CAB" w14:textId="77777777">
        <w:trPr>
          <w:cnfStyle w:val="100000000000" w:firstRow="1" w:lastRow="0" w:firstColumn="0" w:lastColumn="0" w:oddVBand="0" w:evenVBand="0" w:oddHBand="0" w:evenHBand="0" w:firstRowFirstColumn="0" w:firstRowLastColumn="0" w:lastRowFirstColumn="0" w:lastRowLastColumn="0"/>
          <w:trHeight w:val="1134"/>
        </w:trPr>
        <w:tc>
          <w:tcPr>
            <w:cnfStyle w:val="001000000100" w:firstRow="0" w:lastRow="0" w:firstColumn="1" w:lastColumn="0" w:oddVBand="0" w:evenVBand="0" w:oddHBand="0" w:evenHBand="0" w:firstRowFirstColumn="1" w:firstRowLastColumn="0" w:lastRowFirstColumn="0" w:lastRowLastColumn="0"/>
            <w:tcW w:w="540" w:type="dxa"/>
            <w:textDirection w:val="btLr"/>
            <w:vAlign w:val="center"/>
          </w:tcPr>
          <w:p w14:paraId="5152EC23" w14:textId="77777777" w:rsidR="004C168A" w:rsidRPr="00394910" w:rsidRDefault="004C168A">
            <w:pPr>
              <w:pStyle w:val="Tabletext"/>
              <w:keepNext w:val="0"/>
              <w:ind w:left="113" w:right="113"/>
              <w:jc w:val="center"/>
              <w:rPr>
                <w:rFonts w:asciiTheme="majorHAnsi" w:hAnsiTheme="majorHAnsi"/>
                <w:b/>
                <w:bCs/>
              </w:rPr>
            </w:pPr>
            <w:r w:rsidRPr="00394910">
              <w:rPr>
                <w:b/>
                <w:bCs/>
              </w:rPr>
              <w:t>Example</w:t>
            </w:r>
          </w:p>
        </w:tc>
        <w:tc>
          <w:tcPr>
            <w:tcW w:w="8460" w:type="dxa"/>
            <w:shd w:val="clear" w:color="auto" w:fill="FFFFFF" w:themeFill="background1"/>
            <w:vAlign w:val="center"/>
          </w:tcPr>
          <w:p w14:paraId="7539E76F" w14:textId="2C29E785" w:rsidR="004C168A" w:rsidRPr="00394910" w:rsidRDefault="004C168A">
            <w:pPr>
              <w:pStyle w:val="Tabletext"/>
              <w:cnfStyle w:val="100000000000" w:firstRow="1" w:lastRow="0" w:firstColumn="0" w:lastColumn="0" w:oddVBand="0" w:evenVBand="0" w:oddHBand="0" w:evenHBand="0" w:firstRowFirstColumn="0" w:firstRowLastColumn="0" w:lastRowFirstColumn="0" w:lastRowLastColumn="0"/>
            </w:pPr>
            <w:r w:rsidRPr="00BE7448">
              <w:t>A person applying for registration as a police officer or a police reservist is required to be of good character. This is a justified consideration, with reference to the role of police officers in community safety and law enforcement.</w:t>
            </w:r>
          </w:p>
        </w:tc>
      </w:tr>
    </w:tbl>
    <w:p w14:paraId="59E813D9" w14:textId="77777777" w:rsidR="004C168A" w:rsidRDefault="004C168A" w:rsidP="00394910">
      <w:pPr>
        <w:pStyle w:val="Spacer"/>
      </w:pPr>
    </w:p>
    <w:tbl>
      <w:tblPr>
        <w:tblStyle w:val="DTFtexttable"/>
        <w:tblW w:w="9000" w:type="dxa"/>
        <w:tblLayout w:type="fixed"/>
        <w:tblLook w:val="04A0" w:firstRow="1" w:lastRow="0" w:firstColumn="1" w:lastColumn="0" w:noHBand="0" w:noVBand="1"/>
      </w:tblPr>
      <w:tblGrid>
        <w:gridCol w:w="540"/>
        <w:gridCol w:w="8460"/>
      </w:tblGrid>
      <w:tr w:rsidR="004C168A" w:rsidRPr="000357EF" w14:paraId="01077630" w14:textId="77777777">
        <w:trPr>
          <w:cnfStyle w:val="100000000000" w:firstRow="1" w:lastRow="0" w:firstColumn="0" w:lastColumn="0" w:oddVBand="0" w:evenVBand="0" w:oddHBand="0" w:evenHBand="0" w:firstRowFirstColumn="0" w:firstRowLastColumn="0" w:lastRowFirstColumn="0" w:lastRowLastColumn="0"/>
          <w:trHeight w:val="1134"/>
        </w:trPr>
        <w:tc>
          <w:tcPr>
            <w:cnfStyle w:val="001000000100" w:firstRow="0" w:lastRow="0" w:firstColumn="1" w:lastColumn="0" w:oddVBand="0" w:evenVBand="0" w:oddHBand="0" w:evenHBand="0" w:firstRowFirstColumn="1" w:firstRowLastColumn="0" w:lastRowFirstColumn="0" w:lastRowLastColumn="0"/>
            <w:tcW w:w="540" w:type="dxa"/>
            <w:textDirection w:val="btLr"/>
            <w:vAlign w:val="center"/>
          </w:tcPr>
          <w:p w14:paraId="6554DA0D" w14:textId="77777777" w:rsidR="004C168A" w:rsidRPr="00394910" w:rsidRDefault="004C168A">
            <w:pPr>
              <w:pStyle w:val="Tabletext"/>
              <w:keepNext w:val="0"/>
              <w:ind w:left="113" w:right="113"/>
              <w:jc w:val="center"/>
              <w:rPr>
                <w:rFonts w:asciiTheme="majorHAnsi" w:hAnsiTheme="majorHAnsi"/>
                <w:b/>
                <w:bCs/>
              </w:rPr>
            </w:pPr>
            <w:r w:rsidRPr="00394910">
              <w:rPr>
                <w:b/>
                <w:bCs/>
              </w:rPr>
              <w:t>Example</w:t>
            </w:r>
          </w:p>
        </w:tc>
        <w:tc>
          <w:tcPr>
            <w:tcW w:w="8460" w:type="dxa"/>
            <w:shd w:val="clear" w:color="auto" w:fill="FFFFFF" w:themeFill="background1"/>
            <w:vAlign w:val="center"/>
          </w:tcPr>
          <w:p w14:paraId="1BFE6511" w14:textId="77777777" w:rsidR="004C168A" w:rsidRPr="00BE7448" w:rsidRDefault="004C168A" w:rsidP="004C168A">
            <w:pPr>
              <w:pStyle w:val="Tabletext"/>
              <w:cnfStyle w:val="100000000000" w:firstRow="1" w:lastRow="0" w:firstColumn="0" w:lastColumn="0" w:oddVBand="0" w:evenVBand="0" w:oddHBand="0" w:evenHBand="0" w:firstRowFirstColumn="0" w:firstRowLastColumn="0" w:lastRowFirstColumn="0" w:lastRowLastColumn="0"/>
            </w:pPr>
            <w:r w:rsidRPr="00BE7448">
              <w:t xml:space="preserve">A person or persons applying to adopt a child will be assessed having regard to relevant criteria including the character of the applicant(s). </w:t>
            </w:r>
          </w:p>
          <w:p w14:paraId="0977F873" w14:textId="77777777" w:rsidR="004C168A" w:rsidRPr="00BE7448" w:rsidRDefault="004C168A" w:rsidP="004C168A">
            <w:pPr>
              <w:pStyle w:val="Tabletext"/>
              <w:cnfStyle w:val="100000000000" w:firstRow="1" w:lastRow="0" w:firstColumn="0" w:lastColumn="0" w:oddVBand="0" w:evenVBand="0" w:oddHBand="0" w:evenHBand="0" w:firstRowFirstColumn="0" w:firstRowLastColumn="0" w:lastRowFirstColumn="0" w:lastRowLastColumn="0"/>
            </w:pPr>
            <w:r w:rsidRPr="00BE7448">
              <w:t xml:space="preserve">In the case of adoption, this extends to an assessment of an applicant’s emotional, physical and mental state, their age and maturity, life experience and skills, and whether the applicant’s general stability of character is suitable for adopting. </w:t>
            </w:r>
          </w:p>
          <w:p w14:paraId="033E1DBC" w14:textId="5A82FAE3" w:rsidR="004C168A" w:rsidRPr="002701B7" w:rsidRDefault="004C168A" w:rsidP="004C168A">
            <w:pPr>
              <w:pStyle w:val="Tabletext"/>
              <w:cnfStyle w:val="100000000000" w:firstRow="1" w:lastRow="0" w:firstColumn="0" w:lastColumn="0" w:oddVBand="0" w:evenVBand="0" w:oddHBand="0" w:evenHBand="0" w:firstRowFirstColumn="0" w:firstRowLastColumn="0" w:lastRowFirstColumn="0" w:lastRowLastColumn="0"/>
              <w:rPr>
                <w:b/>
                <w:bCs/>
              </w:rPr>
            </w:pPr>
            <w:r w:rsidRPr="00BE7448">
              <w:t>This kind of assessment is justifiable in this context given the vulnerability of a child and the need to ensure the child’s safety upon adoption.</w:t>
            </w:r>
          </w:p>
        </w:tc>
      </w:tr>
    </w:tbl>
    <w:p w14:paraId="3AAB934C" w14:textId="77777777" w:rsidR="004C168A" w:rsidRDefault="004C168A" w:rsidP="00394910">
      <w:pPr>
        <w:pStyle w:val="Spacer"/>
      </w:pPr>
    </w:p>
    <w:p w14:paraId="0BD87964" w14:textId="743C4EB7" w:rsidR="00F9557B" w:rsidRPr="00070448" w:rsidRDefault="009B36A4" w:rsidP="00346052">
      <w:r>
        <w:lastRenderedPageBreak/>
        <w:t xml:space="preserve">Policymakers wishing to include character assessments </w:t>
      </w:r>
      <w:r w:rsidR="00F9557B" w:rsidRPr="00F9557B">
        <w:t>should engage with OCPC to ensure their intended provisions are appropriate and fit</w:t>
      </w:r>
      <w:r w:rsidR="00F01EB2">
        <w:t xml:space="preserve"> </w:t>
      </w:r>
      <w:r w:rsidR="00F9557B" w:rsidRPr="00F9557B">
        <w:t>for</w:t>
      </w:r>
      <w:r w:rsidR="00F01EB2">
        <w:t xml:space="preserve"> </w:t>
      </w:r>
      <w:r w:rsidR="00F9557B" w:rsidRPr="00F9557B">
        <w:t>purpose</w:t>
      </w:r>
      <w:r w:rsidR="00070448">
        <w:t>. Policymakers should also seek legal advice where necessary</w:t>
      </w:r>
      <w:r w:rsidR="00070448" w:rsidRPr="007A61D1">
        <w:t>.</w:t>
      </w:r>
    </w:p>
    <w:p w14:paraId="7BA004F3" w14:textId="77777777" w:rsidR="00846453" w:rsidRPr="00394910" w:rsidRDefault="00846453" w:rsidP="007F79DE">
      <w:pPr>
        <w:pStyle w:val="Heading1numbered"/>
        <w:rPr>
          <w:rStyle w:val="Heading3Char"/>
          <w:bCs/>
          <w:sz w:val="36"/>
          <w:szCs w:val="28"/>
        </w:rPr>
      </w:pPr>
      <w:bookmarkStart w:id="107" w:name="_Toc178780268"/>
      <w:bookmarkStart w:id="108" w:name="_Toc174538680"/>
      <w:r w:rsidRPr="00394910">
        <w:rPr>
          <w:rStyle w:val="Heading3Char"/>
          <w:bCs/>
          <w:sz w:val="36"/>
          <w:szCs w:val="28"/>
        </w:rPr>
        <w:t>Efficient administration</w:t>
      </w:r>
      <w:bookmarkEnd w:id="107"/>
      <w:r w:rsidRPr="00394910">
        <w:rPr>
          <w:rStyle w:val="Heading3Char"/>
          <w:bCs/>
          <w:sz w:val="36"/>
          <w:szCs w:val="28"/>
        </w:rPr>
        <w:t xml:space="preserve"> </w:t>
      </w:r>
    </w:p>
    <w:p w14:paraId="012F48D1" w14:textId="3F2E5990" w:rsidR="00846453" w:rsidRDefault="6F11E524" w:rsidP="00346052">
      <w:r w:rsidRPr="1DEBFB4F">
        <w:t xml:space="preserve">When considering </w:t>
      </w:r>
      <w:r w:rsidR="00474187" w:rsidRPr="1DEBFB4F">
        <w:t>c</w:t>
      </w:r>
      <w:r w:rsidR="00846453" w:rsidRPr="1DEBFB4F">
        <w:t>omponents</w:t>
      </w:r>
      <w:r w:rsidR="00846453" w:rsidRPr="00846453">
        <w:t xml:space="preserve"> which are appropriate and effective in managing the risk of harm, </w:t>
      </w:r>
      <w:r w:rsidR="29DFAC01" w:rsidRPr="16F4EC7A">
        <w:t xml:space="preserve">policymakers should </w:t>
      </w:r>
      <w:r w:rsidR="29DFAC01" w:rsidRPr="33969BC3">
        <w:t>consider</w:t>
      </w:r>
      <w:r w:rsidR="00846453" w:rsidRPr="33969BC3">
        <w:t xml:space="preserve"> </w:t>
      </w:r>
      <w:r w:rsidR="29DFAC01" w:rsidRPr="33969BC3">
        <w:t>how</w:t>
      </w:r>
      <w:r w:rsidR="00846453" w:rsidRPr="16F4EC7A">
        <w:t xml:space="preserve"> </w:t>
      </w:r>
      <w:r w:rsidR="00474187">
        <w:t>assessments</w:t>
      </w:r>
      <w:r w:rsidR="00846453" w:rsidRPr="00846453">
        <w:t xml:space="preserve"> </w:t>
      </w:r>
      <w:r w:rsidR="77210672" w:rsidRPr="40D66E25">
        <w:t xml:space="preserve">can be </w:t>
      </w:r>
      <w:r w:rsidR="77210672" w:rsidRPr="1DEBFB4F">
        <w:t>admin</w:t>
      </w:r>
      <w:r w:rsidR="30128124" w:rsidRPr="1DEBFB4F">
        <w:t>istered</w:t>
      </w:r>
      <w:r w:rsidR="77210672" w:rsidRPr="40D66E25">
        <w:t xml:space="preserve"> in a way that</w:t>
      </w:r>
      <w:r w:rsidR="00846453" w:rsidRPr="00846453">
        <w:t xml:space="preserve"> </w:t>
      </w:r>
      <w:r w:rsidR="00846453" w:rsidRPr="16F4EC7A">
        <w:t>minimi</w:t>
      </w:r>
      <w:r w:rsidR="580A7FB8" w:rsidRPr="16F4EC7A">
        <w:t>s</w:t>
      </w:r>
      <w:r w:rsidR="00846453" w:rsidRPr="16F4EC7A">
        <w:t>es</w:t>
      </w:r>
      <w:r w:rsidR="00846453" w:rsidRPr="00846453">
        <w:t xml:space="preserve"> burden on applicants</w:t>
      </w:r>
      <w:r w:rsidR="5944D2FF" w:rsidRPr="1DEBFB4F">
        <w:t>.</w:t>
      </w:r>
    </w:p>
    <w:p w14:paraId="008F7090" w14:textId="77777777" w:rsidR="00CF31B9" w:rsidRPr="00394910" w:rsidRDefault="00CF31B9" w:rsidP="007F79DE">
      <w:pPr>
        <w:pStyle w:val="Heading2numbered"/>
        <w:rPr>
          <w:rStyle w:val="Heading3Char"/>
          <w:bCs/>
          <w:sz w:val="28"/>
          <w:szCs w:val="26"/>
        </w:rPr>
      </w:pPr>
      <w:bookmarkStart w:id="109" w:name="_Toc178780269"/>
      <w:r w:rsidRPr="00394910">
        <w:rPr>
          <w:rStyle w:val="Heading3Char"/>
          <w:bCs/>
          <w:sz w:val="28"/>
          <w:szCs w:val="26"/>
        </w:rPr>
        <w:t>Service Victoria</w:t>
      </w:r>
      <w:bookmarkEnd w:id="109"/>
      <w:r w:rsidRPr="00394910">
        <w:rPr>
          <w:rStyle w:val="Heading3Char"/>
          <w:bCs/>
          <w:sz w:val="28"/>
          <w:szCs w:val="26"/>
        </w:rPr>
        <w:t xml:space="preserve"> </w:t>
      </w:r>
    </w:p>
    <w:p w14:paraId="74386963" w14:textId="49DCA50D" w:rsidR="00CF31B9" w:rsidRDefault="00CF31B9" w:rsidP="00346052">
      <w:r w:rsidRPr="00320EEB">
        <w:t xml:space="preserve">Regulators should take a </w:t>
      </w:r>
      <w:r w:rsidR="00C92159">
        <w:t>‘</w:t>
      </w:r>
      <w:r w:rsidRPr="00320EEB">
        <w:t>Service Victoria First</w:t>
      </w:r>
      <w:r w:rsidR="00C92159">
        <w:t>’</w:t>
      </w:r>
      <w:r w:rsidRPr="00320EEB">
        <w:t xml:space="preserve"> approach to administering </w:t>
      </w:r>
      <w:r>
        <w:t>assessments</w:t>
      </w:r>
      <w:r w:rsidRPr="00320EEB">
        <w:t xml:space="preserve">, considering in-house or alternative provision </w:t>
      </w:r>
      <w:r>
        <w:t xml:space="preserve">only </w:t>
      </w:r>
      <w:r w:rsidRPr="00320EEB">
        <w:t>when this is not feasible.</w:t>
      </w:r>
      <w:r>
        <w:t xml:space="preserve"> </w:t>
      </w:r>
    </w:p>
    <w:tbl>
      <w:tblPr>
        <w:tblStyle w:val="DTFtexttable"/>
        <w:tblW w:w="9000" w:type="dxa"/>
        <w:tblLayout w:type="fixed"/>
        <w:tblLook w:val="04A0" w:firstRow="1" w:lastRow="0" w:firstColumn="1" w:lastColumn="0" w:noHBand="0" w:noVBand="1"/>
      </w:tblPr>
      <w:tblGrid>
        <w:gridCol w:w="540"/>
        <w:gridCol w:w="8460"/>
      </w:tblGrid>
      <w:tr w:rsidR="006B1199" w:rsidRPr="000357EF" w14:paraId="20D26E55" w14:textId="77777777">
        <w:trPr>
          <w:cnfStyle w:val="100000000000" w:firstRow="1" w:lastRow="0" w:firstColumn="0" w:lastColumn="0" w:oddVBand="0" w:evenVBand="0" w:oddHBand="0" w:evenHBand="0" w:firstRowFirstColumn="0" w:firstRowLastColumn="0" w:lastRowFirstColumn="0" w:lastRowLastColumn="0"/>
          <w:trHeight w:val="1134"/>
        </w:trPr>
        <w:tc>
          <w:tcPr>
            <w:cnfStyle w:val="001000000100" w:firstRow="0" w:lastRow="0" w:firstColumn="1" w:lastColumn="0" w:oddVBand="0" w:evenVBand="0" w:oddHBand="0" w:evenHBand="0" w:firstRowFirstColumn="1" w:firstRowLastColumn="0" w:lastRowFirstColumn="0" w:lastRowLastColumn="0"/>
            <w:tcW w:w="540" w:type="dxa"/>
            <w:textDirection w:val="btLr"/>
            <w:vAlign w:val="center"/>
          </w:tcPr>
          <w:p w14:paraId="2F3A84E0" w14:textId="77777777" w:rsidR="006B1199" w:rsidRPr="00394910" w:rsidRDefault="006B1199">
            <w:pPr>
              <w:pStyle w:val="Tabletext"/>
              <w:keepNext w:val="0"/>
              <w:ind w:left="113" w:right="113"/>
              <w:jc w:val="center"/>
              <w:rPr>
                <w:rFonts w:asciiTheme="majorHAnsi" w:hAnsiTheme="majorHAnsi"/>
                <w:b/>
                <w:bCs/>
              </w:rPr>
            </w:pPr>
            <w:r w:rsidRPr="00394910">
              <w:rPr>
                <w:b/>
                <w:bCs/>
              </w:rPr>
              <w:t>Example</w:t>
            </w:r>
          </w:p>
        </w:tc>
        <w:tc>
          <w:tcPr>
            <w:tcW w:w="8460" w:type="dxa"/>
            <w:shd w:val="clear" w:color="auto" w:fill="FFFFFF" w:themeFill="background1"/>
            <w:vAlign w:val="center"/>
          </w:tcPr>
          <w:p w14:paraId="3F7557BE" w14:textId="77777777" w:rsidR="006B1199" w:rsidRPr="00BE7448" w:rsidRDefault="006B1199" w:rsidP="006B1199">
            <w:pPr>
              <w:pStyle w:val="Tabletext"/>
              <w:cnfStyle w:val="100000000000" w:firstRow="1" w:lastRow="0" w:firstColumn="0" w:lastColumn="0" w:oddVBand="0" w:evenVBand="0" w:oddHBand="0" w:evenHBand="0" w:firstRowFirstColumn="0" w:firstRowLastColumn="0" w:lastRowFirstColumn="0" w:lastRowLastColumn="0"/>
            </w:pPr>
            <w:r w:rsidRPr="00BE7448">
              <w:t>Service Victoria is the Victorian Government’s one stop shop for engagement with business and the community. Service Victoria offers assessment components including:</w:t>
            </w:r>
          </w:p>
          <w:p w14:paraId="13B3E33A" w14:textId="30B4C043" w:rsidR="006B1199" w:rsidRPr="00BE7448" w:rsidRDefault="00C92159" w:rsidP="00394910">
            <w:pPr>
              <w:pStyle w:val="Tablebullet"/>
              <w:contextualSpacing/>
              <w:cnfStyle w:val="100000000000" w:firstRow="1" w:lastRow="0" w:firstColumn="0" w:lastColumn="0" w:oddVBand="0" w:evenVBand="0" w:oddHBand="0" w:evenHBand="0" w:firstRowFirstColumn="0" w:firstRowLastColumn="0" w:lastRowFirstColumn="0" w:lastRowLastColumn="0"/>
            </w:pPr>
            <w:r>
              <w:t>I</w:t>
            </w:r>
            <w:r w:rsidR="006B1199" w:rsidRPr="00BE7448">
              <w:t>dentity Verification</w:t>
            </w:r>
          </w:p>
          <w:p w14:paraId="7720DB51" w14:textId="77777777" w:rsidR="006B1199" w:rsidRPr="00BE7448" w:rsidRDefault="006B1199" w:rsidP="00394910">
            <w:pPr>
              <w:pStyle w:val="Tablebullet"/>
              <w:contextualSpacing/>
              <w:cnfStyle w:val="100000000000" w:firstRow="1" w:lastRow="0" w:firstColumn="0" w:lastColumn="0" w:oddVBand="0" w:evenVBand="0" w:oddHBand="0" w:evenHBand="0" w:firstRowFirstColumn="0" w:firstRowLastColumn="0" w:lastRowFirstColumn="0" w:lastRowLastColumn="0"/>
            </w:pPr>
            <w:r w:rsidRPr="00BE7448">
              <w:t>National Police Check</w:t>
            </w:r>
          </w:p>
          <w:p w14:paraId="73084F2D" w14:textId="42C434B5" w:rsidR="00E90D94" w:rsidRPr="002701B7" w:rsidRDefault="006B1199" w:rsidP="00D0773A">
            <w:pPr>
              <w:pStyle w:val="Tabletext"/>
              <w:cnfStyle w:val="100000000000" w:firstRow="1" w:lastRow="0" w:firstColumn="0" w:lastColumn="0" w:oddVBand="0" w:evenVBand="0" w:oddHBand="0" w:evenHBand="0" w:firstRowFirstColumn="0" w:firstRowLastColumn="0" w:lastRowFirstColumn="0" w:lastRowLastColumn="0"/>
              <w:rPr>
                <w:b/>
                <w:bCs/>
              </w:rPr>
            </w:pPr>
            <w:r w:rsidRPr="00BE7448">
              <w:t xml:space="preserve">Regulators should check in with Service Victoria frequently to assess </w:t>
            </w:r>
            <w:r w:rsidR="005370BA">
              <w:t>their</w:t>
            </w:r>
            <w:r w:rsidR="005370BA" w:rsidRPr="00BE7448">
              <w:t xml:space="preserve"> </w:t>
            </w:r>
            <w:r w:rsidRPr="00BE7448">
              <w:t xml:space="preserve">new FPT offerings and evaluate </w:t>
            </w:r>
            <w:r w:rsidR="00327366">
              <w:t>if they</w:t>
            </w:r>
            <w:r w:rsidRPr="00BE7448">
              <w:t xml:space="preserve"> can deliver services more efficiently. Using Service Victoria can improve regulatory efficiency and minimise burden on applicants</w:t>
            </w:r>
            <w:r w:rsidR="00327366">
              <w:t xml:space="preserve">, while </w:t>
            </w:r>
            <w:r w:rsidR="004F355A">
              <w:t>reducing cyber security risk and supporting better data governance.</w:t>
            </w:r>
          </w:p>
        </w:tc>
      </w:tr>
    </w:tbl>
    <w:p w14:paraId="4F39FF5A" w14:textId="38883306" w:rsidR="00E90D94" w:rsidRPr="00FD7654" w:rsidRDefault="00637504" w:rsidP="00FD7654">
      <w:pPr>
        <w:pStyle w:val="Heading2numbered"/>
        <w:numPr>
          <w:ilvl w:val="0"/>
          <w:numId w:val="0"/>
        </w:numPr>
        <w:rPr>
          <w:rStyle w:val="Heading3Char"/>
          <w:rFonts w:asciiTheme="minorHAnsi" w:hAnsiTheme="minorHAnsi"/>
          <w:bCs/>
          <w:sz w:val="20"/>
          <w:szCs w:val="20"/>
        </w:rPr>
      </w:pPr>
      <w:bookmarkStart w:id="110" w:name="_Toc178778728"/>
      <w:bookmarkStart w:id="111" w:name="_Toc178778830"/>
      <w:bookmarkStart w:id="112" w:name="_Toc178780270"/>
      <w:bookmarkStart w:id="113" w:name="_Toc178778735"/>
      <w:bookmarkStart w:id="114" w:name="_Toc178778837"/>
      <w:bookmarkStart w:id="115" w:name="_Toc178780277"/>
      <w:bookmarkStart w:id="116" w:name="_Toc178780278"/>
      <w:bookmarkEnd w:id="110"/>
      <w:bookmarkEnd w:id="111"/>
      <w:bookmarkEnd w:id="112"/>
      <w:bookmarkEnd w:id="113"/>
      <w:bookmarkEnd w:id="114"/>
      <w:bookmarkEnd w:id="115"/>
      <w:r>
        <w:rPr>
          <w:rStyle w:val="Heading3Char"/>
          <w:rFonts w:asciiTheme="minorHAnsi" w:hAnsiTheme="minorHAnsi"/>
          <w:bCs/>
          <w:sz w:val="20"/>
          <w:szCs w:val="20"/>
        </w:rPr>
        <w:t xml:space="preserve">The use of Service Victoria can minimise administrative burden on regulators and regulatory burden on businesses. This burden is expected to continue to decline as </w:t>
      </w:r>
      <w:r w:rsidR="005F7EAA">
        <w:rPr>
          <w:rStyle w:val="Heading3Char"/>
          <w:rFonts w:asciiTheme="minorHAnsi" w:hAnsiTheme="minorHAnsi"/>
          <w:bCs/>
          <w:sz w:val="20"/>
          <w:szCs w:val="20"/>
        </w:rPr>
        <w:t xml:space="preserve">Service Victoria continues to develop its reusable capabilities. </w:t>
      </w:r>
    </w:p>
    <w:p w14:paraId="433FDEC9" w14:textId="7A169408" w:rsidR="00CF31B9" w:rsidRPr="00394910" w:rsidRDefault="00AB0B4C" w:rsidP="00F86549">
      <w:pPr>
        <w:pStyle w:val="Heading2numbered"/>
        <w:rPr>
          <w:rStyle w:val="Heading3Char"/>
          <w:bCs/>
          <w:sz w:val="28"/>
          <w:szCs w:val="26"/>
        </w:rPr>
      </w:pPr>
      <w:r w:rsidRPr="00394910">
        <w:rPr>
          <w:rStyle w:val="Heading3Char"/>
          <w:bCs/>
          <w:sz w:val="28"/>
          <w:szCs w:val="26"/>
        </w:rPr>
        <w:t>Alternative administration</w:t>
      </w:r>
      <w:r w:rsidR="004B0CD6" w:rsidRPr="00394910">
        <w:rPr>
          <w:rStyle w:val="Heading3Char"/>
          <w:bCs/>
          <w:sz w:val="28"/>
          <w:szCs w:val="26"/>
        </w:rPr>
        <w:t xml:space="preserve"> options</w:t>
      </w:r>
      <w:bookmarkEnd w:id="116"/>
    </w:p>
    <w:p w14:paraId="44255384" w14:textId="0A2A799D" w:rsidR="004F0643" w:rsidRDefault="004F0643" w:rsidP="00346052">
      <w:r w:rsidRPr="6E7A6C6A">
        <w:t xml:space="preserve">When Service Victoria is not </w:t>
      </w:r>
      <w:r w:rsidR="002163F1" w:rsidRPr="6E7A6C6A">
        <w:t xml:space="preserve">a feasible option for administration, or specific </w:t>
      </w:r>
      <w:r w:rsidR="00494D60" w:rsidRPr="6E7A6C6A">
        <w:t xml:space="preserve">assessment components are not offered by Service Victoria, regulators should </w:t>
      </w:r>
      <w:r w:rsidR="009A76C2" w:rsidRPr="6E7A6C6A">
        <w:t xml:space="preserve">engage </w:t>
      </w:r>
      <w:r w:rsidR="004B0CD6" w:rsidRPr="6E7A6C6A">
        <w:t xml:space="preserve">cost-effective, high-quality </w:t>
      </w:r>
      <w:r w:rsidR="004F1EF2" w:rsidRPr="6E7A6C6A">
        <w:t>third-party providers</w:t>
      </w:r>
      <w:r w:rsidR="0097616C" w:rsidRPr="6E7A6C6A">
        <w:t xml:space="preserve"> </w:t>
      </w:r>
      <w:r w:rsidRPr="004F0643">
        <w:t xml:space="preserve">(e.g. to obtain a credit history report via a credit reporting body.) </w:t>
      </w:r>
      <w:r w:rsidR="007F459A" w:rsidRPr="007F459A">
        <w:t xml:space="preserve">Regulators should ensure that third-party providers conduct assessment components digitally to enable assessments to be requested and results received with speed and security. Non-digital methods should also be offered to cater to applicants who cannot or will not engage digitally. </w:t>
      </w:r>
    </w:p>
    <w:p w14:paraId="687236AD" w14:textId="15294ADC" w:rsidR="00D0773A" w:rsidRDefault="0097616C" w:rsidP="00DF6B40">
      <w:pPr>
        <w:keepNext/>
      </w:pPr>
      <w:r w:rsidRPr="6E7A6C6A">
        <w:lastRenderedPageBreak/>
        <w:t xml:space="preserve">Where an assessment involves the use of numerous components, the use of </w:t>
      </w:r>
      <w:proofErr w:type="gramStart"/>
      <w:r w:rsidR="00637327" w:rsidRPr="6E7A6C6A">
        <w:t>full</w:t>
      </w:r>
      <w:r w:rsidR="00D13824">
        <w:t>-</w:t>
      </w:r>
      <w:r w:rsidR="00637327" w:rsidRPr="6E7A6C6A">
        <w:t>suite</w:t>
      </w:r>
      <w:proofErr w:type="gramEnd"/>
      <w:r w:rsidRPr="6E7A6C6A">
        <w:t xml:space="preserve"> Fit and Proper Test </w:t>
      </w:r>
      <w:proofErr w:type="gramStart"/>
      <w:r w:rsidRPr="6E7A6C6A">
        <w:t>providers</w:t>
      </w:r>
      <w:r w:rsidR="00366704">
        <w:t>(</w:t>
      </w:r>
      <w:proofErr w:type="gramEnd"/>
      <w:r w:rsidR="00B9249C">
        <w:t>providers offer</w:t>
      </w:r>
      <w:r w:rsidR="00DE0E0A">
        <w:t>ing</w:t>
      </w:r>
      <w:r w:rsidR="00B9249C">
        <w:t xml:space="preserve"> multiple </w:t>
      </w:r>
      <w:r w:rsidR="00DE0E0A">
        <w:t>components, rather than discrete components)</w:t>
      </w:r>
      <w:r w:rsidR="00B9249C">
        <w:t xml:space="preserve"> </w:t>
      </w:r>
      <w:r w:rsidRPr="6E7A6C6A">
        <w:t>should be considered to improve operating efficiencies and reduce burden on businesses. The</w:t>
      </w:r>
      <w:r w:rsidR="00F57D44" w:rsidRPr="6E7A6C6A">
        <w:t xml:space="preserve">se providers generally offer </w:t>
      </w:r>
      <w:r w:rsidR="008B0FEB" w:rsidRPr="6E7A6C6A">
        <w:t>several</w:t>
      </w:r>
      <w:r w:rsidR="00637327" w:rsidRPr="6E7A6C6A">
        <w:t xml:space="preserve"> </w:t>
      </w:r>
      <w:r w:rsidR="008B0FEB" w:rsidRPr="6E7A6C6A">
        <w:t>components and</w:t>
      </w:r>
      <w:r w:rsidR="00637327" w:rsidRPr="6E7A6C6A">
        <w:t xml:space="preserve"> enable regulators to outsource their assessments</w:t>
      </w:r>
      <w:r w:rsidR="008B0FEB" w:rsidRPr="6E7A6C6A">
        <w:t xml:space="preserve">. </w:t>
      </w:r>
    </w:p>
    <w:p w14:paraId="22F556EC" w14:textId="7DE1A983" w:rsidR="00CF31B9" w:rsidRPr="00CF31B9" w:rsidRDefault="008B0FEB" w:rsidP="00346052">
      <w:r w:rsidRPr="6E7A6C6A">
        <w:t xml:space="preserve">Assessments should only be administered in-house when the regulator has the </w:t>
      </w:r>
      <w:r w:rsidR="00637327" w:rsidRPr="00637327">
        <w:t>necessary digital capability or if components cannot be administered digitally. Digital components allow for applicants to provide the necessary information to regulators simply and quickly and reduce processing times of regulators.</w:t>
      </w:r>
      <w:r w:rsidRPr="6E7A6C6A">
        <w:t xml:space="preserve"> </w:t>
      </w:r>
      <w:r w:rsidR="00637327" w:rsidRPr="00637327">
        <w:t xml:space="preserve">Manual processing of </w:t>
      </w:r>
      <w:r w:rsidRPr="6E7A6C6A">
        <w:t xml:space="preserve">assessments should be </w:t>
      </w:r>
      <w:r w:rsidR="00716FD8" w:rsidRPr="00716FD8">
        <w:t>reserved for bespoke and extraordinary elements of assessments, or for when applicants cannot or will not engage digitally</w:t>
      </w:r>
      <w:r w:rsidR="00995680">
        <w:t xml:space="preserve">. </w:t>
      </w:r>
    </w:p>
    <w:p w14:paraId="72CFD1D6" w14:textId="6DAABC7C" w:rsidR="009F3ADC" w:rsidRDefault="00F86549" w:rsidP="00394910">
      <w:pPr>
        <w:pStyle w:val="Heading1"/>
        <w:pageBreakBefore/>
      </w:pPr>
      <w:bookmarkStart w:id="117" w:name="_Toc178780279"/>
      <w:r>
        <w:lastRenderedPageBreak/>
        <w:t xml:space="preserve">Appendix </w:t>
      </w:r>
      <w:r w:rsidR="000233C6">
        <w:t xml:space="preserve">A </w:t>
      </w:r>
      <w:r>
        <w:t xml:space="preserve">– </w:t>
      </w:r>
      <w:r w:rsidR="00D07962">
        <w:t xml:space="preserve">Consolidated </w:t>
      </w:r>
      <w:r>
        <w:t xml:space="preserve">OCPC </w:t>
      </w:r>
      <w:r w:rsidR="00D07962">
        <w:t>provisions</w:t>
      </w:r>
      <w:bookmarkEnd w:id="108"/>
      <w:bookmarkEnd w:id="117"/>
    </w:p>
    <w:p w14:paraId="29D20385" w14:textId="52CDF61C" w:rsidR="00D07962" w:rsidRDefault="00D07962" w:rsidP="00346052">
      <w:r w:rsidRPr="00354EAC">
        <w:t xml:space="preserve">This </w:t>
      </w:r>
      <w:r w:rsidR="000233C6">
        <w:t>Appendix</w:t>
      </w:r>
      <w:r w:rsidR="000233C6" w:rsidRPr="00354EAC">
        <w:t xml:space="preserve"> </w:t>
      </w:r>
      <w:r w:rsidRPr="00354EAC">
        <w:t xml:space="preserve">includes a consolidated summary of the OCPC model provisions which have been incorporated throughout this document. </w:t>
      </w:r>
    </w:p>
    <w:tbl>
      <w:tblPr>
        <w:tblStyle w:val="TableGrid"/>
        <w:tblW w:w="8635" w:type="dxa"/>
        <w:tblLook w:val="04A0" w:firstRow="1" w:lastRow="0" w:firstColumn="1" w:lastColumn="0" w:noHBand="0" w:noVBand="1"/>
      </w:tblPr>
      <w:tblGrid>
        <w:gridCol w:w="4495"/>
        <w:gridCol w:w="4140"/>
      </w:tblGrid>
      <w:tr w:rsidR="005814C8" w:rsidRPr="00A70EDD" w14:paraId="58965EC8" w14:textId="77777777" w:rsidTr="00394910">
        <w:tc>
          <w:tcPr>
            <w:tcW w:w="4495" w:type="dxa"/>
          </w:tcPr>
          <w:p w14:paraId="703ADD8E" w14:textId="77777777" w:rsidR="005814C8" w:rsidRPr="00354EAC" w:rsidRDefault="005814C8" w:rsidP="00A70EDD">
            <w:pPr>
              <w:jc w:val="center"/>
              <w:rPr>
                <w:rFonts w:ascii="Times New Roman" w:hAnsi="Times New Roman" w:cs="Times New Roman"/>
                <w:b/>
              </w:rPr>
            </w:pPr>
            <w:r w:rsidRPr="00354EAC">
              <w:rPr>
                <w:rFonts w:ascii="Times New Roman" w:hAnsi="Times New Roman" w:cs="Times New Roman"/>
                <w:b/>
              </w:rPr>
              <w:t>Model provisions</w:t>
            </w:r>
          </w:p>
          <w:p w14:paraId="02BD503E" w14:textId="77777777" w:rsidR="005814C8" w:rsidRPr="00354EAC" w:rsidRDefault="005814C8" w:rsidP="00A70EDD">
            <w:pPr>
              <w:rPr>
                <w:rFonts w:ascii="Times New Roman" w:hAnsi="Times New Roman" w:cs="Times New Roman"/>
              </w:rPr>
            </w:pPr>
            <w:r w:rsidRPr="00354EAC">
              <w:rPr>
                <w:rFonts w:ascii="Times New Roman" w:hAnsi="Times New Roman" w:cs="Times New Roman"/>
              </w:rPr>
              <w:t xml:space="preserve">[* </w:t>
            </w:r>
            <w:r w:rsidRPr="00354EAC">
              <w:rPr>
                <w:rFonts w:ascii="Times New Roman" w:hAnsi="Times New Roman" w:cs="Times New Roman"/>
                <w:i/>
              </w:rPr>
              <w:t>select appropriate option</w:t>
            </w:r>
            <w:r w:rsidRPr="00354EAC">
              <w:rPr>
                <w:rFonts w:ascii="Times New Roman" w:hAnsi="Times New Roman" w:cs="Times New Roman"/>
              </w:rPr>
              <w:t>]</w:t>
            </w:r>
          </w:p>
          <w:p w14:paraId="30417DD5" w14:textId="77777777" w:rsidR="005814C8" w:rsidRPr="00354EAC" w:rsidRDefault="005814C8" w:rsidP="00A70EDD">
            <w:pPr>
              <w:rPr>
                <w:rFonts w:ascii="Times New Roman" w:hAnsi="Times New Roman" w:cs="Times New Roman"/>
              </w:rPr>
            </w:pPr>
            <w:r w:rsidRPr="00354EAC">
              <w:rPr>
                <w:rFonts w:ascii="Times New Roman" w:hAnsi="Times New Roman" w:cs="Times New Roman"/>
              </w:rPr>
              <w:t>[</w:t>
            </w:r>
            <w:r w:rsidRPr="00354EAC">
              <w:rPr>
                <w:rFonts w:ascii="Times New Roman" w:hAnsi="Times New Roman" w:cs="Times New Roman"/>
                <w:i/>
              </w:rPr>
              <w:t>define licence/registration/exemption in meaningful way</w:t>
            </w:r>
            <w:r w:rsidRPr="00354EAC">
              <w:rPr>
                <w:rFonts w:ascii="Times New Roman" w:hAnsi="Times New Roman" w:cs="Times New Roman"/>
              </w:rPr>
              <w:t>]</w:t>
            </w:r>
          </w:p>
          <w:p w14:paraId="5B852BAB" w14:textId="77777777" w:rsidR="005814C8" w:rsidRPr="00354EAC" w:rsidRDefault="005814C8" w:rsidP="00A70EDD">
            <w:pPr>
              <w:pStyle w:val="DraftHeading1"/>
              <w:tabs>
                <w:tab w:val="right" w:pos="196"/>
              </w:tabs>
              <w:ind w:left="338" w:hanging="338"/>
              <w:rPr>
                <w:sz w:val="20"/>
                <w:szCs w:val="20"/>
              </w:rPr>
            </w:pPr>
            <w:r w:rsidRPr="00354EAC">
              <w:rPr>
                <w:sz w:val="20"/>
                <w:szCs w:val="20"/>
              </w:rPr>
              <w:tab/>
              <w:t>1</w:t>
            </w:r>
            <w:r w:rsidRPr="00354EAC">
              <w:rPr>
                <w:sz w:val="20"/>
                <w:szCs w:val="20"/>
              </w:rPr>
              <w:tab/>
              <w:t>Application for [</w:t>
            </w:r>
            <w:r w:rsidRPr="00354EAC">
              <w:rPr>
                <w:i/>
                <w:sz w:val="20"/>
                <w:szCs w:val="20"/>
              </w:rPr>
              <w:t>licence/registration/exemption</w:t>
            </w:r>
            <w:r w:rsidRPr="00354EAC">
              <w:rPr>
                <w:sz w:val="20"/>
                <w:szCs w:val="20"/>
              </w:rPr>
              <w:t>]</w:t>
            </w:r>
          </w:p>
          <w:p w14:paraId="1EE9306A" w14:textId="214BE2FC" w:rsidR="005814C8" w:rsidRPr="00354EAC" w:rsidRDefault="005814C8" w:rsidP="00A70EDD">
            <w:pPr>
              <w:pStyle w:val="DraftHeading2"/>
              <w:tabs>
                <w:tab w:val="right" w:pos="622"/>
              </w:tabs>
              <w:ind w:left="763" w:hanging="763"/>
              <w:rPr>
                <w:sz w:val="20"/>
              </w:rPr>
            </w:pPr>
            <w:r w:rsidRPr="00354EAC">
              <w:rPr>
                <w:sz w:val="20"/>
              </w:rPr>
              <w:tab/>
              <w:t>(1)</w:t>
            </w:r>
            <w:r w:rsidRPr="00354EAC">
              <w:rPr>
                <w:sz w:val="20"/>
              </w:rPr>
              <w:tab/>
              <w:t>A person may apply for</w:t>
            </w:r>
            <w:r w:rsidRPr="00354EAC" w:rsidDel="00652D20">
              <w:rPr>
                <w:sz w:val="20"/>
              </w:rPr>
              <w:t>...</w:t>
            </w:r>
          </w:p>
          <w:p w14:paraId="72F31E8F" w14:textId="7217D45C" w:rsidR="005814C8" w:rsidRPr="00354EAC" w:rsidRDefault="005814C8" w:rsidP="00A70EDD">
            <w:pPr>
              <w:pStyle w:val="DraftHeading2"/>
              <w:tabs>
                <w:tab w:val="right" w:pos="622"/>
              </w:tabs>
              <w:ind w:left="763" w:hanging="425"/>
              <w:rPr>
                <w:sz w:val="20"/>
              </w:rPr>
            </w:pPr>
            <w:r w:rsidRPr="00354EAC">
              <w:rPr>
                <w:sz w:val="20"/>
              </w:rPr>
              <w:t xml:space="preserve">     *</w:t>
            </w:r>
            <w:r w:rsidR="009A4A62">
              <w:rPr>
                <w:sz w:val="20"/>
              </w:rPr>
              <w:t xml:space="preserve"> </w:t>
            </w:r>
            <w:r w:rsidRPr="00354EAC">
              <w:rPr>
                <w:sz w:val="20"/>
              </w:rPr>
              <w:t>a licence to [engage in a regulated activity]</w:t>
            </w:r>
            <w:r w:rsidRPr="00354EAC" w:rsidDel="009A4A62">
              <w:rPr>
                <w:sz w:val="20"/>
              </w:rPr>
              <w:t>.</w:t>
            </w:r>
          </w:p>
          <w:p w14:paraId="73E83BCC" w14:textId="7DECBE15" w:rsidR="005814C8" w:rsidRPr="00354EAC" w:rsidRDefault="005814C8" w:rsidP="00A70EDD">
            <w:pPr>
              <w:pStyle w:val="DraftHeading2"/>
              <w:tabs>
                <w:tab w:val="right" w:pos="622"/>
              </w:tabs>
              <w:ind w:left="763" w:hanging="425"/>
              <w:rPr>
                <w:sz w:val="20"/>
              </w:rPr>
            </w:pPr>
            <w:r w:rsidRPr="00354EAC">
              <w:rPr>
                <w:sz w:val="20"/>
              </w:rPr>
              <w:t xml:space="preserve">     *</w:t>
            </w:r>
            <w:r w:rsidR="009A4A62">
              <w:rPr>
                <w:sz w:val="20"/>
              </w:rPr>
              <w:t xml:space="preserve"> </w:t>
            </w:r>
            <w:proofErr w:type="gramStart"/>
            <w:r w:rsidRPr="00354EAC">
              <w:rPr>
                <w:sz w:val="20"/>
              </w:rPr>
              <w:t>registration</w:t>
            </w:r>
            <w:proofErr w:type="gramEnd"/>
            <w:r w:rsidRPr="00354EAC">
              <w:rPr>
                <w:sz w:val="20"/>
              </w:rPr>
              <w:t xml:space="preserve"> to [provide a regulated service]</w:t>
            </w:r>
            <w:r w:rsidRPr="00354EAC" w:rsidDel="009A4A62">
              <w:rPr>
                <w:sz w:val="20"/>
              </w:rPr>
              <w:t>.</w:t>
            </w:r>
          </w:p>
          <w:p w14:paraId="2F4AF806" w14:textId="5FD29A87" w:rsidR="005814C8" w:rsidRPr="00354EAC" w:rsidRDefault="005814C8" w:rsidP="00A70EDD">
            <w:pPr>
              <w:pStyle w:val="DraftHeading2"/>
              <w:tabs>
                <w:tab w:val="right" w:pos="622"/>
              </w:tabs>
              <w:ind w:left="763" w:hanging="425"/>
              <w:rPr>
                <w:sz w:val="20"/>
              </w:rPr>
            </w:pPr>
            <w:r w:rsidRPr="00354EAC">
              <w:rPr>
                <w:sz w:val="20"/>
              </w:rPr>
              <w:t xml:space="preserve">     *</w:t>
            </w:r>
            <w:r w:rsidR="009A4A62">
              <w:rPr>
                <w:sz w:val="20"/>
              </w:rPr>
              <w:t xml:space="preserve"> </w:t>
            </w:r>
            <w:proofErr w:type="gramStart"/>
            <w:r w:rsidRPr="00354EAC">
              <w:rPr>
                <w:sz w:val="20"/>
              </w:rPr>
              <w:t>an</w:t>
            </w:r>
            <w:proofErr w:type="gramEnd"/>
            <w:r w:rsidRPr="00354EAC">
              <w:rPr>
                <w:sz w:val="20"/>
              </w:rPr>
              <w:t xml:space="preserve"> exemption from [</w:t>
            </w:r>
            <w:r w:rsidRPr="00354EAC">
              <w:rPr>
                <w:i/>
                <w:sz w:val="20"/>
              </w:rPr>
              <w:t xml:space="preserve">section </w:t>
            </w:r>
            <w:proofErr w:type="spellStart"/>
            <w:r w:rsidRPr="00354EAC">
              <w:rPr>
                <w:i/>
                <w:sz w:val="20"/>
              </w:rPr>
              <w:t>xxxx</w:t>
            </w:r>
            <w:proofErr w:type="spellEnd"/>
            <w:r w:rsidRPr="00354EAC">
              <w:rPr>
                <w:i/>
                <w:sz w:val="20"/>
              </w:rPr>
              <w:t xml:space="preserve">/any or </w:t>
            </w:r>
            <w:proofErr w:type="gramStart"/>
            <w:r w:rsidRPr="00354EAC">
              <w:rPr>
                <w:i/>
                <w:sz w:val="20"/>
              </w:rPr>
              <w:t>all of</w:t>
            </w:r>
            <w:proofErr w:type="gramEnd"/>
            <w:r w:rsidRPr="00354EAC">
              <w:rPr>
                <w:i/>
                <w:sz w:val="20"/>
              </w:rPr>
              <w:t xml:space="preserve"> the requirements under section </w:t>
            </w:r>
            <w:proofErr w:type="spellStart"/>
            <w:r w:rsidRPr="00354EAC">
              <w:rPr>
                <w:i/>
                <w:sz w:val="20"/>
              </w:rPr>
              <w:t>xxxx</w:t>
            </w:r>
            <w:proofErr w:type="spellEnd"/>
            <w:r w:rsidRPr="00354EAC">
              <w:rPr>
                <w:sz w:val="20"/>
              </w:rPr>
              <w:t>].</w:t>
            </w:r>
          </w:p>
          <w:p w14:paraId="6A19BBD8" w14:textId="0AD5625C" w:rsidR="005814C8" w:rsidRPr="00354EAC" w:rsidRDefault="005814C8" w:rsidP="00A70EDD">
            <w:pPr>
              <w:pStyle w:val="DraftHeading2"/>
              <w:tabs>
                <w:tab w:val="right" w:pos="622"/>
              </w:tabs>
              <w:ind w:left="763" w:hanging="763"/>
              <w:rPr>
                <w:sz w:val="20"/>
              </w:rPr>
            </w:pPr>
            <w:r w:rsidRPr="00354EAC">
              <w:rPr>
                <w:sz w:val="20"/>
              </w:rPr>
              <w:tab/>
              <w:t>(2)</w:t>
            </w:r>
            <w:r w:rsidRPr="00354EAC">
              <w:rPr>
                <w:sz w:val="20"/>
              </w:rPr>
              <w:tab/>
              <w:t>An application must</w:t>
            </w:r>
            <w:r w:rsidR="0058784A" w:rsidRPr="0058784A">
              <w:rPr>
                <w:sz w:val="20"/>
              </w:rPr>
              <w:t>—</w:t>
            </w:r>
          </w:p>
          <w:p w14:paraId="78483A1D" w14:textId="69D8E55F" w:rsidR="005814C8" w:rsidRPr="00354EAC" w:rsidRDefault="005814C8" w:rsidP="00A70EDD">
            <w:pPr>
              <w:pStyle w:val="DraftHeading3"/>
              <w:tabs>
                <w:tab w:val="right" w:pos="1047"/>
              </w:tabs>
              <w:ind w:left="1189" w:hanging="1189"/>
              <w:rPr>
                <w:sz w:val="20"/>
              </w:rPr>
            </w:pPr>
            <w:r w:rsidRPr="00354EAC">
              <w:rPr>
                <w:sz w:val="20"/>
              </w:rPr>
              <w:tab/>
              <w:t>(a)</w:t>
            </w:r>
            <w:r w:rsidRPr="00354EAC">
              <w:rPr>
                <w:sz w:val="20"/>
              </w:rPr>
              <w:tab/>
              <w:t>be in</w:t>
            </w:r>
            <w:r w:rsidRPr="00354EAC" w:rsidDel="00FF23D4">
              <w:rPr>
                <w:sz w:val="20"/>
              </w:rPr>
              <w:t>...</w:t>
            </w:r>
          </w:p>
          <w:p w14:paraId="05EA52EA" w14:textId="53FE94AB" w:rsidR="005814C8" w:rsidRPr="00354EAC" w:rsidRDefault="005814C8" w:rsidP="00A70EDD">
            <w:pPr>
              <w:pStyle w:val="DraftHeading3"/>
              <w:tabs>
                <w:tab w:val="right" w:pos="763"/>
              </w:tabs>
              <w:ind w:left="1189" w:hanging="426"/>
              <w:rPr>
                <w:sz w:val="20"/>
              </w:rPr>
            </w:pPr>
            <w:r w:rsidRPr="00354EAC">
              <w:rPr>
                <w:sz w:val="20"/>
              </w:rPr>
              <w:t xml:space="preserve">     *</w:t>
            </w:r>
            <w:r w:rsidR="008A4EDB">
              <w:rPr>
                <w:sz w:val="20"/>
              </w:rPr>
              <w:t xml:space="preserve"> </w:t>
            </w:r>
            <w:proofErr w:type="gramStart"/>
            <w:r w:rsidRPr="00354EAC">
              <w:rPr>
                <w:sz w:val="20"/>
              </w:rPr>
              <w:t>the</w:t>
            </w:r>
            <w:proofErr w:type="gramEnd"/>
            <w:r w:rsidRPr="00354EAC">
              <w:rPr>
                <w:sz w:val="20"/>
              </w:rPr>
              <w:t xml:space="preserve"> prescribed </w:t>
            </w:r>
            <w:proofErr w:type="gramStart"/>
            <w:r w:rsidRPr="00354EAC">
              <w:rPr>
                <w:sz w:val="20"/>
              </w:rPr>
              <w:t>form</w:t>
            </w:r>
            <w:r w:rsidRPr="00354EAC" w:rsidDel="002757F1">
              <w:rPr>
                <w:sz w:val="20"/>
              </w:rPr>
              <w:t>;</w:t>
            </w:r>
            <w:proofErr w:type="gramEnd"/>
            <w:r w:rsidRPr="00354EAC">
              <w:rPr>
                <w:sz w:val="20"/>
              </w:rPr>
              <w:t xml:space="preserve"> </w:t>
            </w:r>
          </w:p>
          <w:p w14:paraId="097B8F89" w14:textId="68312C0E" w:rsidR="005814C8" w:rsidRPr="00354EAC" w:rsidRDefault="005814C8" w:rsidP="00A70EDD">
            <w:pPr>
              <w:pStyle w:val="DraftHeading3"/>
              <w:tabs>
                <w:tab w:val="right" w:pos="763"/>
              </w:tabs>
              <w:ind w:left="1189" w:hanging="426"/>
              <w:rPr>
                <w:sz w:val="20"/>
              </w:rPr>
            </w:pPr>
            <w:r w:rsidRPr="00354EAC">
              <w:rPr>
                <w:sz w:val="20"/>
              </w:rPr>
              <w:t xml:space="preserve">     *</w:t>
            </w:r>
            <w:r w:rsidR="008A4EDB">
              <w:rPr>
                <w:sz w:val="20"/>
              </w:rPr>
              <w:t xml:space="preserve"> </w:t>
            </w:r>
            <w:proofErr w:type="gramStart"/>
            <w:r w:rsidRPr="00354EAC">
              <w:rPr>
                <w:sz w:val="20"/>
              </w:rPr>
              <w:t>the</w:t>
            </w:r>
            <w:proofErr w:type="gramEnd"/>
            <w:r w:rsidRPr="00354EAC">
              <w:rPr>
                <w:sz w:val="20"/>
              </w:rPr>
              <w:t xml:space="preserve"> form approved by the </w:t>
            </w:r>
            <w:proofErr w:type="gramStart"/>
            <w:r w:rsidRPr="00354EAC">
              <w:rPr>
                <w:sz w:val="20"/>
              </w:rPr>
              <w:t>Regulator</w:t>
            </w:r>
            <w:r w:rsidRPr="00354EAC" w:rsidDel="00A170C8">
              <w:rPr>
                <w:sz w:val="20"/>
              </w:rPr>
              <w:t>;</w:t>
            </w:r>
            <w:proofErr w:type="gramEnd"/>
            <w:r w:rsidRPr="00354EAC">
              <w:rPr>
                <w:sz w:val="20"/>
              </w:rPr>
              <w:t xml:space="preserve"> </w:t>
            </w:r>
          </w:p>
          <w:p w14:paraId="643E3AE8" w14:textId="77777777" w:rsidR="005814C8" w:rsidRPr="00D13824" w:rsidRDefault="005814C8" w:rsidP="00A70EDD">
            <w:pPr>
              <w:pStyle w:val="DraftHeading3"/>
              <w:tabs>
                <w:tab w:val="right" w:pos="763"/>
              </w:tabs>
              <w:spacing w:before="0"/>
              <w:ind w:left="765"/>
              <w:rPr>
                <w:b/>
                <w:sz w:val="20"/>
              </w:rPr>
            </w:pPr>
            <w:r w:rsidRPr="00D13824">
              <w:rPr>
                <w:b/>
                <w:sz w:val="20"/>
              </w:rPr>
              <w:t>[Alternatives for para (a) relate to the application form. If the application form is prescribed, desired elements can be included in the application form by prescription.]</w:t>
            </w:r>
          </w:p>
          <w:p w14:paraId="4266C2B4" w14:textId="15F75DBC" w:rsidR="005814C8" w:rsidRPr="00354EAC" w:rsidRDefault="005814C8" w:rsidP="00A70EDD">
            <w:pPr>
              <w:pStyle w:val="DraftHeading3"/>
              <w:tabs>
                <w:tab w:val="right" w:pos="1047"/>
              </w:tabs>
              <w:ind w:left="1189" w:hanging="1189"/>
              <w:rPr>
                <w:sz w:val="20"/>
              </w:rPr>
            </w:pPr>
            <w:r w:rsidRPr="00354EAC">
              <w:rPr>
                <w:sz w:val="20"/>
              </w:rPr>
              <w:tab/>
              <w:t>(b)</w:t>
            </w:r>
            <w:r w:rsidRPr="00354EAC">
              <w:rPr>
                <w:sz w:val="20"/>
              </w:rPr>
              <w:tab/>
              <w:t>include</w:t>
            </w:r>
            <w:r w:rsidRPr="00354EAC" w:rsidDel="00486BD9">
              <w:rPr>
                <w:sz w:val="20"/>
              </w:rPr>
              <w:t>—</w:t>
            </w:r>
          </w:p>
          <w:p w14:paraId="7B4846DC" w14:textId="68C87A98" w:rsidR="005814C8" w:rsidRPr="00354EAC" w:rsidRDefault="005814C8" w:rsidP="00A70EDD">
            <w:pPr>
              <w:pStyle w:val="DraftHeading3"/>
              <w:tabs>
                <w:tab w:val="right" w:pos="763"/>
              </w:tabs>
              <w:ind w:left="1189" w:hanging="426"/>
              <w:rPr>
                <w:sz w:val="20"/>
              </w:rPr>
            </w:pPr>
            <w:r w:rsidRPr="00354EAC">
              <w:rPr>
                <w:sz w:val="20"/>
              </w:rPr>
              <w:t xml:space="preserve">     *</w:t>
            </w:r>
            <w:r w:rsidR="00486BD9">
              <w:rPr>
                <w:sz w:val="20"/>
              </w:rPr>
              <w:t xml:space="preserve"> </w:t>
            </w:r>
            <w:r w:rsidRPr="00354EAC">
              <w:rPr>
                <w:sz w:val="20"/>
              </w:rPr>
              <w:t>a statement of the skills, qualifications or experience that make the person suitable to [</w:t>
            </w:r>
            <w:r w:rsidRPr="00354EAC">
              <w:rPr>
                <w:i/>
                <w:sz w:val="20"/>
              </w:rPr>
              <w:t>hold the licence/engage in the regulated activity/be issued an exemption</w:t>
            </w:r>
            <w:proofErr w:type="gramStart"/>
            <w:r w:rsidRPr="00354EAC">
              <w:rPr>
                <w:sz w:val="20"/>
              </w:rPr>
              <w:t>];</w:t>
            </w:r>
            <w:proofErr w:type="gramEnd"/>
          </w:p>
          <w:p w14:paraId="1ED34D1A" w14:textId="6DDE30B2" w:rsidR="005814C8" w:rsidRPr="00354EAC" w:rsidRDefault="005814C8" w:rsidP="00A70EDD">
            <w:pPr>
              <w:pStyle w:val="DraftHeading3"/>
              <w:tabs>
                <w:tab w:val="right" w:pos="763"/>
              </w:tabs>
              <w:ind w:left="1189" w:hanging="426"/>
              <w:rPr>
                <w:sz w:val="20"/>
              </w:rPr>
            </w:pPr>
            <w:r w:rsidRPr="00354EAC">
              <w:rPr>
                <w:sz w:val="20"/>
              </w:rPr>
              <w:t xml:space="preserve">     *</w:t>
            </w:r>
            <w:r w:rsidR="00486BD9">
              <w:rPr>
                <w:sz w:val="20"/>
              </w:rPr>
              <w:t xml:space="preserve"> </w:t>
            </w:r>
            <w:proofErr w:type="gramStart"/>
            <w:r w:rsidRPr="00354EAC">
              <w:rPr>
                <w:sz w:val="20"/>
              </w:rPr>
              <w:t>any</w:t>
            </w:r>
            <w:proofErr w:type="gramEnd"/>
            <w:r w:rsidRPr="00354EAC">
              <w:rPr>
                <w:sz w:val="20"/>
              </w:rPr>
              <w:t xml:space="preserve"> prescribed </w:t>
            </w:r>
            <w:proofErr w:type="gramStart"/>
            <w:r w:rsidRPr="00354EAC">
              <w:rPr>
                <w:sz w:val="20"/>
              </w:rPr>
              <w:t>information;</w:t>
            </w:r>
            <w:proofErr w:type="gramEnd"/>
            <w:r w:rsidRPr="00354EAC">
              <w:rPr>
                <w:sz w:val="20"/>
              </w:rPr>
              <w:t xml:space="preserve"> </w:t>
            </w:r>
          </w:p>
          <w:p w14:paraId="2B419691" w14:textId="603018BD" w:rsidR="005814C8" w:rsidRPr="00354EAC" w:rsidRDefault="005814C8" w:rsidP="00A70EDD">
            <w:pPr>
              <w:pStyle w:val="DraftHeading3"/>
              <w:tabs>
                <w:tab w:val="right" w:pos="763"/>
              </w:tabs>
              <w:ind w:left="1189" w:hanging="426"/>
              <w:rPr>
                <w:sz w:val="20"/>
              </w:rPr>
            </w:pPr>
            <w:r w:rsidRPr="00354EAC">
              <w:rPr>
                <w:sz w:val="20"/>
              </w:rPr>
              <w:t xml:space="preserve">     *</w:t>
            </w:r>
            <w:r w:rsidR="00486BD9">
              <w:rPr>
                <w:sz w:val="20"/>
              </w:rPr>
              <w:t xml:space="preserve"> </w:t>
            </w:r>
            <w:proofErr w:type="gramStart"/>
            <w:r w:rsidRPr="00354EAC">
              <w:rPr>
                <w:sz w:val="20"/>
              </w:rPr>
              <w:t>evidence</w:t>
            </w:r>
            <w:proofErr w:type="gramEnd"/>
            <w:r w:rsidRPr="00354EAC">
              <w:rPr>
                <w:sz w:val="20"/>
              </w:rPr>
              <w:t xml:space="preserve"> of specified elements</w:t>
            </w:r>
          </w:p>
          <w:p w14:paraId="0E3A1464" w14:textId="77777777" w:rsidR="005814C8" w:rsidRPr="00354EAC" w:rsidRDefault="005814C8" w:rsidP="00A70EDD">
            <w:pPr>
              <w:pStyle w:val="DraftHeading3"/>
              <w:tabs>
                <w:tab w:val="right" w:pos="763"/>
              </w:tabs>
              <w:spacing w:before="0"/>
              <w:ind w:left="765"/>
              <w:rPr>
                <w:sz w:val="20"/>
              </w:rPr>
            </w:pPr>
            <w:r w:rsidRPr="00354EAC">
              <w:rPr>
                <w:sz w:val="20"/>
              </w:rPr>
              <w:t>[</w:t>
            </w:r>
            <w:r w:rsidRPr="00354EAC">
              <w:rPr>
                <w:i/>
                <w:sz w:val="20"/>
              </w:rPr>
              <w:t>see criminal history and regulatory compliance elements</w:t>
            </w:r>
            <w:r w:rsidRPr="00354EAC">
              <w:rPr>
                <w:sz w:val="20"/>
              </w:rPr>
              <w:t>]</w:t>
            </w:r>
          </w:p>
          <w:p w14:paraId="0A74E1C9" w14:textId="089562C1" w:rsidR="005814C8" w:rsidRPr="00354EAC" w:rsidRDefault="005814C8" w:rsidP="00A70EDD">
            <w:pPr>
              <w:pStyle w:val="DraftHeading3"/>
              <w:tabs>
                <w:tab w:val="right" w:pos="763"/>
              </w:tabs>
              <w:ind w:left="1189" w:hanging="426"/>
              <w:rPr>
                <w:sz w:val="20"/>
              </w:rPr>
            </w:pPr>
            <w:r w:rsidRPr="00354EAC">
              <w:rPr>
                <w:sz w:val="20"/>
              </w:rPr>
              <w:t xml:space="preserve">     *</w:t>
            </w:r>
            <w:r w:rsidR="00D12687">
              <w:rPr>
                <w:sz w:val="20"/>
              </w:rPr>
              <w:t xml:space="preserve"> </w:t>
            </w:r>
            <w:proofErr w:type="gramStart"/>
            <w:r w:rsidRPr="00354EAC">
              <w:rPr>
                <w:sz w:val="20"/>
              </w:rPr>
              <w:t>evidence</w:t>
            </w:r>
            <w:proofErr w:type="gramEnd"/>
            <w:r w:rsidRPr="00354EAC">
              <w:rPr>
                <w:sz w:val="20"/>
              </w:rPr>
              <w:t xml:space="preserve"> that the applicant has</w:t>
            </w:r>
            <w:r w:rsidR="006B43D8">
              <w:rPr>
                <w:sz w:val="20"/>
              </w:rPr>
              <w:t>:</w:t>
            </w:r>
          </w:p>
          <w:p w14:paraId="41068D3F" w14:textId="77777777" w:rsidR="005814C8" w:rsidRPr="00354EAC" w:rsidRDefault="005814C8" w:rsidP="00A70EDD">
            <w:pPr>
              <w:pStyle w:val="DraftHeading3"/>
              <w:tabs>
                <w:tab w:val="right" w:pos="763"/>
              </w:tabs>
              <w:ind w:left="1189" w:hanging="426"/>
              <w:rPr>
                <w:sz w:val="20"/>
              </w:rPr>
            </w:pPr>
            <w:r w:rsidRPr="00354EAC">
              <w:rPr>
                <w:sz w:val="20"/>
              </w:rPr>
              <w:t xml:space="preserve">               *</w:t>
            </w:r>
            <w:proofErr w:type="gramStart"/>
            <w:r w:rsidRPr="00354EAC">
              <w:rPr>
                <w:sz w:val="20"/>
              </w:rPr>
              <w:t>appropriate</w:t>
            </w:r>
            <w:proofErr w:type="gramEnd"/>
            <w:r w:rsidRPr="00354EAC">
              <w:rPr>
                <w:sz w:val="20"/>
              </w:rPr>
              <w:t xml:space="preserve"> skills, qualifications or experience to [</w:t>
            </w:r>
            <w:r w:rsidRPr="00354EAC">
              <w:rPr>
                <w:i/>
                <w:sz w:val="20"/>
              </w:rPr>
              <w:t>hold a licence/engage in the regulated activity/be issued an exemption</w:t>
            </w:r>
            <w:proofErr w:type="gramStart"/>
            <w:r w:rsidRPr="00354EAC">
              <w:rPr>
                <w:sz w:val="20"/>
              </w:rPr>
              <w:t>];</w:t>
            </w:r>
            <w:proofErr w:type="gramEnd"/>
          </w:p>
          <w:p w14:paraId="336590B0" w14:textId="77777777" w:rsidR="005814C8" w:rsidRPr="00354EAC" w:rsidRDefault="005814C8" w:rsidP="00D13824">
            <w:pPr>
              <w:spacing w:after="0"/>
              <w:contextualSpacing/>
              <w:rPr>
                <w:rFonts w:ascii="Times New Roman" w:eastAsia="Times New Roman" w:hAnsi="Times New Roman" w:cs="Times New Roman"/>
              </w:rPr>
            </w:pPr>
            <w:r w:rsidRPr="00354EAC">
              <w:t xml:space="preserve">                                </w:t>
            </w:r>
            <w:r w:rsidRPr="00354EAC">
              <w:rPr>
                <w:rFonts w:ascii="Times New Roman" w:eastAsia="Times New Roman" w:hAnsi="Times New Roman" w:cs="Times New Roman"/>
              </w:rPr>
              <w:t>*</w:t>
            </w:r>
            <w:proofErr w:type="gramStart"/>
            <w:r w:rsidRPr="00354EAC">
              <w:rPr>
                <w:rFonts w:ascii="Times New Roman" w:eastAsia="Times New Roman" w:hAnsi="Times New Roman" w:cs="Times New Roman"/>
              </w:rPr>
              <w:t>skills</w:t>
            </w:r>
            <w:proofErr w:type="gramEnd"/>
            <w:r w:rsidRPr="00354EAC">
              <w:rPr>
                <w:rFonts w:ascii="Times New Roman" w:eastAsia="Times New Roman" w:hAnsi="Times New Roman" w:cs="Times New Roman"/>
              </w:rPr>
              <w:t>, qualifications or</w:t>
            </w:r>
          </w:p>
          <w:p w14:paraId="5A6C91DE" w14:textId="77777777" w:rsidR="005814C8" w:rsidRPr="00354EAC" w:rsidRDefault="005814C8" w:rsidP="00D13824">
            <w:pPr>
              <w:spacing w:after="0"/>
              <w:contextualSpacing/>
              <w:rPr>
                <w:rFonts w:ascii="Times New Roman" w:eastAsia="Times New Roman" w:hAnsi="Times New Roman" w:cs="Times New Roman"/>
              </w:rPr>
            </w:pPr>
            <w:r w:rsidRPr="00354EAC">
              <w:rPr>
                <w:rFonts w:ascii="Times New Roman" w:eastAsia="Times New Roman" w:hAnsi="Times New Roman" w:cs="Times New Roman"/>
              </w:rPr>
              <w:t xml:space="preserve">                            experience in [</w:t>
            </w:r>
            <w:r w:rsidRPr="00354EAC">
              <w:rPr>
                <w:rFonts w:ascii="Times New Roman" w:eastAsia="Times New Roman" w:hAnsi="Times New Roman" w:cs="Times New Roman"/>
                <w:i/>
              </w:rPr>
              <w:t>specify</w:t>
            </w:r>
            <w:proofErr w:type="gramStart"/>
            <w:r w:rsidRPr="00354EAC">
              <w:rPr>
                <w:rFonts w:ascii="Times New Roman" w:eastAsia="Times New Roman" w:hAnsi="Times New Roman" w:cs="Times New Roman"/>
              </w:rPr>
              <w:t>];</w:t>
            </w:r>
            <w:proofErr w:type="gramEnd"/>
          </w:p>
          <w:p w14:paraId="2D263A63" w14:textId="0B7B4211" w:rsidR="005814C8" w:rsidRDefault="005814C8" w:rsidP="00A70EDD">
            <w:pPr>
              <w:pStyle w:val="DraftHeading3"/>
              <w:tabs>
                <w:tab w:val="right" w:pos="1047"/>
              </w:tabs>
              <w:ind w:left="1189" w:hanging="1189"/>
              <w:rPr>
                <w:sz w:val="20"/>
              </w:rPr>
            </w:pPr>
            <w:r w:rsidRPr="00354EAC">
              <w:rPr>
                <w:sz w:val="20"/>
              </w:rPr>
              <w:lastRenderedPageBreak/>
              <w:t xml:space="preserve">           (c)    state if the applicant is an insolvent under administration;</w:t>
            </w:r>
            <w:r w:rsidRPr="00354EAC">
              <w:rPr>
                <w:sz w:val="20"/>
              </w:rPr>
              <w:tab/>
              <w:t>(d)</w:t>
            </w:r>
            <w:r w:rsidRPr="00354EAC">
              <w:rPr>
                <w:sz w:val="20"/>
              </w:rPr>
              <w:tab/>
              <w:t>[</w:t>
            </w:r>
            <w:r w:rsidRPr="00354EAC">
              <w:rPr>
                <w:i/>
                <w:sz w:val="20"/>
              </w:rPr>
              <w:t>other application requirements</w:t>
            </w:r>
            <w:r w:rsidRPr="00354EAC">
              <w:rPr>
                <w:sz w:val="20"/>
              </w:rPr>
              <w:t>].</w:t>
            </w:r>
            <w:r w:rsidR="00D00980">
              <w:rPr>
                <w:sz w:val="20"/>
              </w:rPr>
              <w:br/>
            </w:r>
            <w:r w:rsidR="00207E8D">
              <w:rPr>
                <w:sz w:val="20"/>
              </w:rPr>
              <w:br/>
            </w:r>
          </w:p>
          <w:p w14:paraId="2E9AB704" w14:textId="10759C8F" w:rsidR="005814C8" w:rsidRPr="00354EAC" w:rsidDel="00D00980" w:rsidRDefault="005814C8" w:rsidP="00A70EDD">
            <w:pPr>
              <w:rPr>
                <w:rFonts w:ascii="Times New Roman" w:eastAsia="Times New Roman" w:hAnsi="Times New Roman" w:cs="Times New Roman"/>
              </w:rPr>
            </w:pPr>
          </w:p>
          <w:p w14:paraId="386CEEC2" w14:textId="77777777" w:rsidR="000946E0" w:rsidRDefault="000946E0" w:rsidP="00A70EDD">
            <w:pPr>
              <w:rPr>
                <w:rFonts w:ascii="Times New Roman" w:eastAsia="Times New Roman" w:hAnsi="Times New Roman" w:cs="Times New Roman"/>
              </w:rPr>
            </w:pPr>
          </w:p>
          <w:p w14:paraId="585E7665" w14:textId="77777777" w:rsidR="000946E0" w:rsidRDefault="000946E0" w:rsidP="00A70EDD">
            <w:pPr>
              <w:rPr>
                <w:rFonts w:ascii="Times New Roman" w:eastAsia="Times New Roman" w:hAnsi="Times New Roman" w:cs="Times New Roman"/>
              </w:rPr>
            </w:pPr>
          </w:p>
          <w:p w14:paraId="006BE023" w14:textId="77777777" w:rsidR="005814C8" w:rsidRPr="00354EAC" w:rsidRDefault="005814C8" w:rsidP="00A70EDD">
            <w:pPr>
              <w:pStyle w:val="DraftHeading1"/>
              <w:tabs>
                <w:tab w:val="right" w:pos="196"/>
              </w:tabs>
              <w:ind w:left="338" w:hanging="338"/>
              <w:rPr>
                <w:sz w:val="20"/>
                <w:szCs w:val="20"/>
              </w:rPr>
            </w:pPr>
            <w:r w:rsidRPr="00354EAC">
              <w:rPr>
                <w:sz w:val="20"/>
                <w:szCs w:val="20"/>
              </w:rPr>
              <w:tab/>
              <w:t>2</w:t>
            </w:r>
            <w:r w:rsidRPr="00354EAC">
              <w:rPr>
                <w:sz w:val="20"/>
                <w:szCs w:val="20"/>
              </w:rPr>
              <w:tab/>
              <w:t>Regulator may request further information</w:t>
            </w:r>
          </w:p>
          <w:p w14:paraId="45823D5C" w14:textId="6EFADC08" w:rsidR="005814C8" w:rsidRPr="00354EAC" w:rsidRDefault="005814C8" w:rsidP="00A70EDD">
            <w:pPr>
              <w:pStyle w:val="DraftHeading2"/>
              <w:tabs>
                <w:tab w:val="right" w:pos="622"/>
              </w:tabs>
              <w:ind w:left="763" w:hanging="763"/>
              <w:rPr>
                <w:sz w:val="20"/>
              </w:rPr>
            </w:pPr>
            <w:r w:rsidRPr="00354EAC">
              <w:rPr>
                <w:sz w:val="20"/>
              </w:rPr>
              <w:tab/>
              <w:t>(1)</w:t>
            </w:r>
            <w:r w:rsidRPr="00354EAC">
              <w:rPr>
                <w:sz w:val="20"/>
              </w:rPr>
              <w:tab/>
              <w:t>For the purposes of determining an application for [</w:t>
            </w:r>
            <w:r w:rsidRPr="00354EAC">
              <w:rPr>
                <w:i/>
                <w:sz w:val="20"/>
              </w:rPr>
              <w:t>licence/registration/exemption</w:t>
            </w:r>
            <w:r w:rsidRPr="00354EAC">
              <w:rPr>
                <w:sz w:val="20"/>
              </w:rPr>
              <w:t>], the Regulator may request the applicant to provide information relating to the following</w:t>
            </w:r>
            <w:r w:rsidR="00054205">
              <w:rPr>
                <w:sz w:val="20"/>
              </w:rPr>
              <w:t>:</w:t>
            </w:r>
          </w:p>
          <w:p w14:paraId="3078D76D" w14:textId="77777777" w:rsidR="005814C8" w:rsidRPr="00354EAC" w:rsidRDefault="005814C8" w:rsidP="00A70EDD">
            <w:pPr>
              <w:pStyle w:val="DraftHeading3"/>
              <w:tabs>
                <w:tab w:val="right" w:pos="763"/>
              </w:tabs>
              <w:spacing w:before="0"/>
              <w:ind w:left="737" w:firstLine="28"/>
              <w:rPr>
                <w:sz w:val="20"/>
              </w:rPr>
            </w:pPr>
            <w:r w:rsidRPr="00354EAC">
              <w:rPr>
                <w:sz w:val="20"/>
              </w:rPr>
              <w:t>[</w:t>
            </w:r>
            <w:r w:rsidRPr="00354EAC">
              <w:rPr>
                <w:i/>
                <w:sz w:val="20"/>
              </w:rPr>
              <w:t>list of information relating to relevant elements</w:t>
            </w:r>
            <w:proofErr w:type="gramStart"/>
            <w:r w:rsidRPr="00354EAC">
              <w:rPr>
                <w:sz w:val="20"/>
              </w:rPr>
              <w:t>];</w:t>
            </w:r>
            <w:proofErr w:type="gramEnd"/>
          </w:p>
          <w:p w14:paraId="7AD68864" w14:textId="25BB4CFF" w:rsidR="005814C8" w:rsidRPr="00354EAC" w:rsidDel="00C90B8C" w:rsidRDefault="005814C8" w:rsidP="00A70EDD">
            <w:pPr>
              <w:rPr>
                <w:rFonts w:ascii="Times New Roman" w:hAnsi="Times New Roman" w:cs="Times New Roman"/>
              </w:rPr>
            </w:pPr>
          </w:p>
          <w:p w14:paraId="133B4F8E" w14:textId="42E38919" w:rsidR="005814C8" w:rsidRPr="00354EAC" w:rsidRDefault="005814C8" w:rsidP="00C90B8C">
            <w:pPr>
              <w:pStyle w:val="DraftHeading2"/>
              <w:tabs>
                <w:tab w:val="right" w:pos="622"/>
              </w:tabs>
              <w:ind w:left="763" w:hanging="763"/>
              <w:rPr>
                <w:sz w:val="20"/>
              </w:rPr>
            </w:pPr>
            <w:r w:rsidRPr="00354EAC">
              <w:rPr>
                <w:sz w:val="20"/>
              </w:rPr>
              <w:tab/>
              <w:t>(2)</w:t>
            </w:r>
            <w:r w:rsidRPr="00354EAC">
              <w:rPr>
                <w:sz w:val="20"/>
              </w:rPr>
              <w:tab/>
              <w:t>The request must</w:t>
            </w:r>
            <w:r w:rsidRPr="00354EAC" w:rsidDel="00054205">
              <w:rPr>
                <w:sz w:val="20"/>
              </w:rPr>
              <w:t>—</w:t>
            </w:r>
          </w:p>
          <w:p w14:paraId="6567AB5D" w14:textId="77777777" w:rsidR="005814C8" w:rsidRPr="00354EAC" w:rsidRDefault="005814C8" w:rsidP="00D13824">
            <w:pPr>
              <w:pStyle w:val="DraftHeading3"/>
              <w:tabs>
                <w:tab w:val="right" w:pos="1047"/>
              </w:tabs>
              <w:ind w:left="1195" w:hanging="1195"/>
              <w:rPr>
                <w:sz w:val="20"/>
              </w:rPr>
            </w:pPr>
            <w:r w:rsidRPr="00354EAC">
              <w:rPr>
                <w:sz w:val="20"/>
              </w:rPr>
              <w:tab/>
              <w:t>(a)</w:t>
            </w:r>
            <w:r w:rsidRPr="00354EAC">
              <w:rPr>
                <w:sz w:val="20"/>
              </w:rPr>
              <w:tab/>
              <w:t>be in writing; and</w:t>
            </w:r>
          </w:p>
          <w:p w14:paraId="5525F224" w14:textId="77777777" w:rsidR="005814C8" w:rsidRPr="00354EAC" w:rsidRDefault="005814C8" w:rsidP="00A70EDD">
            <w:pPr>
              <w:pStyle w:val="DraftHeading3"/>
              <w:tabs>
                <w:tab w:val="right" w:pos="1047"/>
              </w:tabs>
              <w:ind w:left="1189" w:hanging="1189"/>
              <w:rPr>
                <w:sz w:val="20"/>
              </w:rPr>
            </w:pPr>
            <w:r w:rsidRPr="00354EAC">
              <w:rPr>
                <w:sz w:val="20"/>
              </w:rPr>
              <w:tab/>
              <w:t>(b)</w:t>
            </w:r>
            <w:r w:rsidRPr="00354EAC">
              <w:rPr>
                <w:sz w:val="20"/>
              </w:rPr>
              <w:tab/>
              <w:t>specify the period within which the applicant must provide the information; and</w:t>
            </w:r>
          </w:p>
          <w:p w14:paraId="2BC72360" w14:textId="77777777" w:rsidR="005814C8" w:rsidRPr="00354EAC" w:rsidRDefault="005814C8" w:rsidP="00A70EDD">
            <w:pPr>
              <w:pStyle w:val="DraftHeading3"/>
              <w:tabs>
                <w:tab w:val="right" w:pos="1047"/>
              </w:tabs>
              <w:ind w:left="1189" w:hanging="1189"/>
              <w:rPr>
                <w:sz w:val="20"/>
              </w:rPr>
            </w:pPr>
            <w:r w:rsidRPr="00354EAC">
              <w:rPr>
                <w:sz w:val="20"/>
              </w:rPr>
              <w:tab/>
              <w:t>(c)</w:t>
            </w:r>
            <w:r w:rsidRPr="00354EAC">
              <w:rPr>
                <w:sz w:val="20"/>
              </w:rPr>
              <w:tab/>
              <w:t>[</w:t>
            </w:r>
            <w:r w:rsidRPr="00354EAC">
              <w:rPr>
                <w:i/>
                <w:sz w:val="20"/>
              </w:rPr>
              <w:t>other requirements</w:t>
            </w:r>
            <w:r w:rsidRPr="00354EAC">
              <w:rPr>
                <w:sz w:val="20"/>
              </w:rPr>
              <w:t>].</w:t>
            </w:r>
          </w:p>
          <w:p w14:paraId="11A4DA9E" w14:textId="77777777" w:rsidR="005814C8" w:rsidRPr="00354EAC" w:rsidRDefault="005814C8" w:rsidP="00A70EDD">
            <w:pPr>
              <w:pStyle w:val="DraftHeading2"/>
              <w:tabs>
                <w:tab w:val="right" w:pos="622"/>
              </w:tabs>
              <w:ind w:left="763" w:hanging="763"/>
              <w:rPr>
                <w:sz w:val="20"/>
              </w:rPr>
            </w:pPr>
            <w:r w:rsidRPr="00354EAC">
              <w:rPr>
                <w:sz w:val="20"/>
              </w:rPr>
              <w:tab/>
              <w:t>(3)</w:t>
            </w:r>
            <w:r w:rsidRPr="00354EAC">
              <w:rPr>
                <w:sz w:val="20"/>
              </w:rPr>
              <w:tab/>
              <w:t>The Regulator may refuse to consider the application if the applicant does not provide the information in accordance with the request.</w:t>
            </w:r>
          </w:p>
          <w:p w14:paraId="12AA7130" w14:textId="77777777" w:rsidR="005814C8" w:rsidRPr="00354EAC" w:rsidRDefault="005814C8" w:rsidP="00A70EDD">
            <w:pPr>
              <w:pStyle w:val="DraftHeading1"/>
              <w:tabs>
                <w:tab w:val="right" w:pos="196"/>
              </w:tabs>
              <w:ind w:left="338" w:hanging="338"/>
              <w:rPr>
                <w:sz w:val="20"/>
                <w:szCs w:val="20"/>
              </w:rPr>
            </w:pPr>
            <w:r w:rsidRPr="00354EAC">
              <w:rPr>
                <w:sz w:val="20"/>
                <w:szCs w:val="20"/>
              </w:rPr>
              <w:tab/>
              <w:t>3</w:t>
            </w:r>
            <w:r w:rsidRPr="00354EAC">
              <w:rPr>
                <w:sz w:val="20"/>
                <w:szCs w:val="20"/>
              </w:rPr>
              <w:tab/>
              <w:t>Applicant must provide information</w:t>
            </w:r>
          </w:p>
          <w:p w14:paraId="2FC50266" w14:textId="49D612DE" w:rsidR="005814C8" w:rsidRPr="00354EAC" w:rsidRDefault="005814C8" w:rsidP="00A70EDD">
            <w:pPr>
              <w:pStyle w:val="DraftHeading2"/>
              <w:tabs>
                <w:tab w:val="right" w:pos="622"/>
              </w:tabs>
              <w:ind w:left="763" w:hanging="27"/>
              <w:rPr>
                <w:sz w:val="20"/>
              </w:rPr>
            </w:pPr>
            <w:r w:rsidRPr="00354EAC">
              <w:rPr>
                <w:sz w:val="20"/>
              </w:rPr>
              <w:t>On receiving a request for further information [under section 2], the applicant must provide the information to the Regulator</w:t>
            </w:r>
            <w:r w:rsidRPr="00354EAC" w:rsidDel="002B11F9">
              <w:rPr>
                <w:sz w:val="20"/>
              </w:rPr>
              <w:t>—</w:t>
            </w:r>
          </w:p>
          <w:p w14:paraId="33F9D33B" w14:textId="77777777" w:rsidR="005814C8" w:rsidRPr="00354EAC" w:rsidRDefault="005814C8" w:rsidP="00A70EDD">
            <w:pPr>
              <w:pStyle w:val="DraftHeading3"/>
              <w:tabs>
                <w:tab w:val="right" w:pos="1047"/>
              </w:tabs>
              <w:ind w:left="1189" w:hanging="1189"/>
              <w:rPr>
                <w:sz w:val="20"/>
              </w:rPr>
            </w:pPr>
            <w:r w:rsidRPr="00354EAC">
              <w:rPr>
                <w:sz w:val="20"/>
              </w:rPr>
              <w:tab/>
              <w:t>(a)</w:t>
            </w:r>
            <w:r w:rsidRPr="00354EAC">
              <w:rPr>
                <w:sz w:val="20"/>
              </w:rPr>
              <w:tab/>
              <w:t xml:space="preserve">in writing; and </w:t>
            </w:r>
          </w:p>
          <w:p w14:paraId="12293F8D" w14:textId="77777777" w:rsidR="005814C8" w:rsidRPr="00354EAC" w:rsidRDefault="005814C8" w:rsidP="00A70EDD">
            <w:pPr>
              <w:pStyle w:val="DraftHeading3"/>
              <w:tabs>
                <w:tab w:val="right" w:pos="1047"/>
              </w:tabs>
              <w:ind w:left="1189" w:hanging="1189"/>
              <w:rPr>
                <w:sz w:val="20"/>
              </w:rPr>
            </w:pPr>
            <w:r w:rsidRPr="00354EAC">
              <w:rPr>
                <w:sz w:val="20"/>
              </w:rPr>
              <w:tab/>
              <w:t>(b)</w:t>
            </w:r>
            <w:r w:rsidRPr="00354EAC">
              <w:rPr>
                <w:sz w:val="20"/>
              </w:rPr>
              <w:tab/>
              <w:t>within the period specified in the request.</w:t>
            </w:r>
          </w:p>
          <w:p w14:paraId="5377B1C7" w14:textId="77777777" w:rsidR="005814C8" w:rsidRPr="00354EAC" w:rsidRDefault="005814C8" w:rsidP="00A70EDD">
            <w:pPr>
              <w:pStyle w:val="DraftHeading3"/>
              <w:tabs>
                <w:tab w:val="right" w:pos="763"/>
              </w:tabs>
              <w:spacing w:before="0"/>
              <w:ind w:left="765"/>
              <w:rPr>
                <w:sz w:val="20"/>
              </w:rPr>
            </w:pPr>
            <w:r w:rsidRPr="00354EAC">
              <w:rPr>
                <w:sz w:val="20"/>
              </w:rPr>
              <w:t>[</w:t>
            </w:r>
            <w:r w:rsidRPr="00354EAC">
              <w:rPr>
                <w:i/>
                <w:sz w:val="20"/>
              </w:rPr>
              <w:t>Provisions should also set out the consequences of an applicant's failure to provide this information.</w:t>
            </w:r>
            <w:r w:rsidRPr="00354EAC">
              <w:rPr>
                <w:sz w:val="20"/>
              </w:rPr>
              <w:t>]</w:t>
            </w:r>
          </w:p>
          <w:p w14:paraId="632AD3DC" w14:textId="77777777" w:rsidR="005814C8" w:rsidRPr="00354EAC" w:rsidRDefault="005814C8" w:rsidP="00A70EDD">
            <w:pPr>
              <w:pStyle w:val="DraftHeading1"/>
              <w:tabs>
                <w:tab w:val="right" w:pos="196"/>
              </w:tabs>
              <w:ind w:left="338" w:hanging="338"/>
              <w:rPr>
                <w:sz w:val="20"/>
                <w:szCs w:val="20"/>
              </w:rPr>
            </w:pPr>
            <w:r w:rsidRPr="00354EAC">
              <w:rPr>
                <w:sz w:val="20"/>
                <w:szCs w:val="20"/>
              </w:rPr>
              <w:tab/>
              <w:t>4</w:t>
            </w:r>
            <w:r w:rsidRPr="00354EAC">
              <w:rPr>
                <w:sz w:val="20"/>
                <w:szCs w:val="20"/>
              </w:rPr>
              <w:tab/>
              <w:t xml:space="preserve">False or misleading information </w:t>
            </w:r>
          </w:p>
          <w:p w14:paraId="7D0E85CC" w14:textId="77777777" w:rsidR="005814C8" w:rsidRPr="00354EAC" w:rsidRDefault="005814C8" w:rsidP="00A70EDD">
            <w:pPr>
              <w:pStyle w:val="DraftHeading2"/>
              <w:tabs>
                <w:tab w:val="right" w:pos="622"/>
              </w:tabs>
              <w:ind w:left="763" w:hanging="27"/>
              <w:rPr>
                <w:sz w:val="20"/>
              </w:rPr>
            </w:pPr>
            <w:r w:rsidRPr="00354EAC">
              <w:rPr>
                <w:sz w:val="20"/>
              </w:rPr>
              <w:t>An applicant must not knowingly provide information to the Regulator that is false or misleading [in a material particular] in relation to an application under section 1.</w:t>
            </w:r>
          </w:p>
          <w:p w14:paraId="312FCC03" w14:textId="77777777" w:rsidR="005814C8" w:rsidRDefault="005814C8" w:rsidP="00A70EDD">
            <w:pPr>
              <w:pStyle w:val="DraftPenalty2"/>
              <w:tabs>
                <w:tab w:val="clear" w:pos="851"/>
                <w:tab w:val="clear" w:pos="1361"/>
                <w:tab w:val="clear" w:pos="1871"/>
                <w:tab w:val="clear" w:pos="2381"/>
                <w:tab w:val="clear" w:pos="2892"/>
                <w:tab w:val="clear" w:pos="3402"/>
              </w:tabs>
              <w:ind w:left="1848" w:hanging="1080"/>
              <w:rPr>
                <w:sz w:val="20"/>
              </w:rPr>
            </w:pPr>
            <w:r w:rsidRPr="00354EAC">
              <w:rPr>
                <w:sz w:val="20"/>
              </w:rPr>
              <w:t>Penalty:</w:t>
            </w:r>
            <w:r w:rsidRPr="00354EAC">
              <w:rPr>
                <w:sz w:val="20"/>
              </w:rPr>
              <w:tab/>
              <w:t>[</w:t>
            </w:r>
            <w:r w:rsidRPr="00354EAC">
              <w:rPr>
                <w:i/>
                <w:sz w:val="20"/>
              </w:rPr>
              <w:t>penalty units</w:t>
            </w:r>
            <w:r w:rsidRPr="00354EAC">
              <w:rPr>
                <w:sz w:val="20"/>
              </w:rPr>
              <w:t>].</w:t>
            </w:r>
          </w:p>
          <w:p w14:paraId="74161BC6" w14:textId="77777777" w:rsidR="007F79DE" w:rsidRPr="007F79DE" w:rsidRDefault="007F79DE" w:rsidP="00D13824"/>
          <w:p w14:paraId="11B24DF5" w14:textId="77777777" w:rsidR="005814C8" w:rsidRPr="00354EAC" w:rsidRDefault="005814C8" w:rsidP="00A70EDD">
            <w:pPr>
              <w:pStyle w:val="DraftHeading1"/>
              <w:tabs>
                <w:tab w:val="right" w:pos="196"/>
              </w:tabs>
              <w:ind w:left="338" w:hanging="338"/>
              <w:rPr>
                <w:sz w:val="20"/>
                <w:szCs w:val="20"/>
              </w:rPr>
            </w:pPr>
            <w:r w:rsidRPr="00354EAC">
              <w:rPr>
                <w:sz w:val="20"/>
                <w:szCs w:val="20"/>
              </w:rPr>
              <w:tab/>
              <w:t>5A</w:t>
            </w:r>
            <w:r w:rsidRPr="00354EAC">
              <w:rPr>
                <w:sz w:val="20"/>
                <w:szCs w:val="20"/>
              </w:rPr>
              <w:tab/>
              <w:t>Consideration of application [</w:t>
            </w:r>
            <w:r w:rsidRPr="00354EAC">
              <w:rPr>
                <w:i/>
                <w:sz w:val="20"/>
                <w:szCs w:val="20"/>
              </w:rPr>
              <w:t>at discretion of the Regulator</w:t>
            </w:r>
            <w:r w:rsidRPr="00354EAC">
              <w:rPr>
                <w:sz w:val="20"/>
                <w:szCs w:val="20"/>
              </w:rPr>
              <w:t>]</w:t>
            </w:r>
          </w:p>
          <w:p w14:paraId="006572B2" w14:textId="0D13E6FE" w:rsidR="005814C8" w:rsidRPr="00354EAC" w:rsidRDefault="005814C8" w:rsidP="00A70EDD">
            <w:pPr>
              <w:pStyle w:val="DraftHeading2"/>
              <w:tabs>
                <w:tab w:val="right" w:pos="622"/>
              </w:tabs>
              <w:ind w:left="763" w:hanging="763"/>
              <w:rPr>
                <w:sz w:val="20"/>
              </w:rPr>
            </w:pPr>
            <w:r w:rsidRPr="00354EAC">
              <w:rPr>
                <w:sz w:val="20"/>
              </w:rPr>
              <w:tab/>
              <w:t>(1)</w:t>
            </w:r>
            <w:r w:rsidRPr="00354EAC">
              <w:rPr>
                <w:sz w:val="20"/>
              </w:rPr>
              <w:tab/>
              <w:t>On receiving an application that complies with section 1, the Regulator</w:t>
            </w:r>
            <w:r w:rsidRPr="00354EAC" w:rsidDel="00CB6024">
              <w:rPr>
                <w:sz w:val="20"/>
              </w:rPr>
              <w:t>—</w:t>
            </w:r>
          </w:p>
          <w:p w14:paraId="4EEDBD1A" w14:textId="77777777" w:rsidR="005814C8" w:rsidRPr="00354EAC" w:rsidRDefault="005814C8" w:rsidP="00A70EDD">
            <w:pPr>
              <w:pStyle w:val="DraftHeading3"/>
              <w:tabs>
                <w:tab w:val="right" w:pos="1047"/>
              </w:tabs>
              <w:ind w:left="1189" w:hanging="1189"/>
              <w:rPr>
                <w:sz w:val="20"/>
              </w:rPr>
            </w:pPr>
            <w:r w:rsidRPr="00354EAC">
              <w:rPr>
                <w:sz w:val="20"/>
              </w:rPr>
              <w:tab/>
              <w:t>(a)</w:t>
            </w:r>
            <w:r w:rsidRPr="00354EAC">
              <w:rPr>
                <w:sz w:val="20"/>
              </w:rPr>
              <w:tab/>
              <w:t>may [</w:t>
            </w:r>
            <w:r w:rsidRPr="00354EAC">
              <w:rPr>
                <w:i/>
                <w:sz w:val="20"/>
              </w:rPr>
              <w:t>issue the licence/registration/grant the exemption</w:t>
            </w:r>
            <w:r w:rsidRPr="00354EAC">
              <w:rPr>
                <w:sz w:val="20"/>
              </w:rPr>
              <w:t>]; or</w:t>
            </w:r>
          </w:p>
          <w:p w14:paraId="117C6F42" w14:textId="77777777" w:rsidR="005814C8" w:rsidRPr="00354EAC" w:rsidRDefault="005814C8" w:rsidP="00A70EDD">
            <w:pPr>
              <w:pStyle w:val="DraftHeading3"/>
              <w:tabs>
                <w:tab w:val="right" w:pos="1047"/>
              </w:tabs>
              <w:ind w:left="1189" w:hanging="1189"/>
              <w:rPr>
                <w:sz w:val="20"/>
              </w:rPr>
            </w:pPr>
            <w:r w:rsidRPr="00354EAC">
              <w:rPr>
                <w:sz w:val="20"/>
              </w:rPr>
              <w:tab/>
              <w:t>(b)</w:t>
            </w:r>
            <w:r w:rsidRPr="00354EAC">
              <w:rPr>
                <w:sz w:val="20"/>
              </w:rPr>
              <w:tab/>
              <w:t>may refuse to [</w:t>
            </w:r>
            <w:r w:rsidRPr="00354EAC">
              <w:rPr>
                <w:i/>
                <w:sz w:val="20"/>
              </w:rPr>
              <w:t>issue the licence/registration/grant the exemption</w:t>
            </w:r>
            <w:r w:rsidRPr="00354EAC">
              <w:rPr>
                <w:sz w:val="20"/>
              </w:rPr>
              <w:t>].</w:t>
            </w:r>
          </w:p>
          <w:p w14:paraId="6DC4EC8C" w14:textId="103A14BE" w:rsidR="005814C8" w:rsidRPr="00354EAC" w:rsidRDefault="005814C8" w:rsidP="00A70EDD">
            <w:pPr>
              <w:pStyle w:val="DraftHeading2"/>
              <w:tabs>
                <w:tab w:val="right" w:pos="622"/>
              </w:tabs>
              <w:ind w:left="763" w:hanging="763"/>
              <w:rPr>
                <w:sz w:val="20"/>
              </w:rPr>
            </w:pPr>
            <w:r w:rsidRPr="00354EAC">
              <w:rPr>
                <w:sz w:val="20"/>
              </w:rPr>
              <w:tab/>
              <w:t>(2)</w:t>
            </w:r>
            <w:r w:rsidRPr="00354EAC">
              <w:rPr>
                <w:sz w:val="20"/>
              </w:rPr>
              <w:tab/>
              <w:t>In considering the application, the Regulator</w:t>
            </w:r>
            <w:r w:rsidRPr="00354EAC" w:rsidDel="00CB6024">
              <w:rPr>
                <w:sz w:val="20"/>
              </w:rPr>
              <w:t>—</w:t>
            </w:r>
            <w:r w:rsidRPr="00354EAC">
              <w:rPr>
                <w:sz w:val="20"/>
              </w:rPr>
              <w:br/>
            </w:r>
          </w:p>
          <w:p w14:paraId="36B3B231" w14:textId="0041AB5F" w:rsidR="005814C8" w:rsidRPr="00354EAC" w:rsidRDefault="005814C8" w:rsidP="00A70EDD">
            <w:pPr>
              <w:pStyle w:val="DraftHeading3"/>
              <w:tabs>
                <w:tab w:val="right" w:pos="1047"/>
              </w:tabs>
              <w:ind w:left="1189" w:hanging="1189"/>
              <w:rPr>
                <w:sz w:val="20"/>
              </w:rPr>
            </w:pPr>
            <w:r w:rsidRPr="00354EAC">
              <w:rPr>
                <w:sz w:val="20"/>
              </w:rPr>
              <w:tab/>
              <w:t>(a)</w:t>
            </w:r>
            <w:r w:rsidRPr="00354EAC">
              <w:rPr>
                <w:sz w:val="20"/>
              </w:rPr>
              <w:tab/>
              <w:t xml:space="preserve">must </w:t>
            </w:r>
            <w:proofErr w:type="gramStart"/>
            <w:r w:rsidRPr="00354EAC">
              <w:rPr>
                <w:sz w:val="20"/>
              </w:rPr>
              <w:t>take into account</w:t>
            </w:r>
            <w:proofErr w:type="gramEnd"/>
            <w:r w:rsidRPr="00354EAC">
              <w:rPr>
                <w:sz w:val="20"/>
              </w:rPr>
              <w:t xml:space="preserve"> the following</w:t>
            </w:r>
            <w:r w:rsidRPr="00354EAC" w:rsidDel="00CB6024">
              <w:rPr>
                <w:sz w:val="20"/>
              </w:rPr>
              <w:t>—</w:t>
            </w:r>
            <w:r w:rsidRPr="00354EAC">
              <w:rPr>
                <w:sz w:val="20"/>
              </w:rPr>
              <w:br/>
            </w:r>
            <w:r w:rsidRPr="00354EAC">
              <w:rPr>
                <w:sz w:val="20"/>
              </w:rPr>
              <w:br/>
            </w:r>
          </w:p>
          <w:p w14:paraId="26C7DB0B" w14:textId="77777777" w:rsidR="005814C8" w:rsidRPr="00354EAC" w:rsidRDefault="005814C8" w:rsidP="00A70EDD">
            <w:pPr>
              <w:pStyle w:val="DraftHeading4"/>
              <w:tabs>
                <w:tab w:val="right" w:pos="1456"/>
              </w:tabs>
              <w:ind w:left="1636" w:hanging="1636"/>
              <w:rPr>
                <w:sz w:val="20"/>
              </w:rPr>
            </w:pPr>
            <w:r w:rsidRPr="00354EAC">
              <w:rPr>
                <w:sz w:val="20"/>
              </w:rPr>
              <w:tab/>
              <w:t>(i)</w:t>
            </w:r>
            <w:r w:rsidRPr="00354EAC">
              <w:rPr>
                <w:sz w:val="20"/>
              </w:rPr>
              <w:tab/>
            </w:r>
            <w:r w:rsidRPr="00354EAC">
              <w:rPr>
                <w:i/>
                <w:sz w:val="20"/>
              </w:rPr>
              <w:t>list of any mandatory specified elements; and</w:t>
            </w:r>
          </w:p>
          <w:p w14:paraId="682B182E" w14:textId="77777777" w:rsidR="005814C8" w:rsidRPr="00354EAC" w:rsidRDefault="005814C8" w:rsidP="00A70EDD">
            <w:pPr>
              <w:rPr>
                <w:rFonts w:ascii="Times New Roman" w:hAnsi="Times New Roman" w:cs="Times New Roman"/>
              </w:rPr>
            </w:pPr>
          </w:p>
          <w:p w14:paraId="65E124EC" w14:textId="44703A0C" w:rsidR="005814C8" w:rsidRPr="00354EAC" w:rsidRDefault="005814C8" w:rsidP="00A70EDD">
            <w:pPr>
              <w:pStyle w:val="DraftHeading3"/>
              <w:tabs>
                <w:tab w:val="right" w:pos="1047"/>
              </w:tabs>
              <w:ind w:left="1189" w:hanging="1189"/>
              <w:rPr>
                <w:sz w:val="20"/>
              </w:rPr>
            </w:pPr>
            <w:r w:rsidRPr="00354EAC">
              <w:rPr>
                <w:sz w:val="20"/>
              </w:rPr>
              <w:tab/>
              <w:t>(b)</w:t>
            </w:r>
            <w:r w:rsidRPr="00354EAC">
              <w:rPr>
                <w:sz w:val="20"/>
              </w:rPr>
              <w:tab/>
              <w:t>may consider the following</w:t>
            </w:r>
          </w:p>
          <w:p w14:paraId="09525D69" w14:textId="77777777" w:rsidR="005814C8" w:rsidRPr="00354EAC" w:rsidRDefault="005814C8" w:rsidP="00A70EDD">
            <w:pPr>
              <w:pStyle w:val="DraftHeading4"/>
              <w:tabs>
                <w:tab w:val="right" w:pos="1456"/>
              </w:tabs>
              <w:ind w:left="1636" w:hanging="1636"/>
              <w:rPr>
                <w:sz w:val="20"/>
              </w:rPr>
            </w:pPr>
            <w:r w:rsidRPr="00354EAC">
              <w:rPr>
                <w:sz w:val="20"/>
              </w:rPr>
              <w:tab/>
              <w:t>(i)</w:t>
            </w:r>
            <w:r w:rsidRPr="00354EAC">
              <w:rPr>
                <w:sz w:val="20"/>
              </w:rPr>
              <w:tab/>
              <w:t>[</w:t>
            </w:r>
            <w:r w:rsidRPr="00354EAC">
              <w:rPr>
                <w:i/>
                <w:sz w:val="20"/>
              </w:rPr>
              <w:t>list of any discretionary specified elements</w:t>
            </w:r>
            <w:r w:rsidRPr="00354EAC">
              <w:rPr>
                <w:sz w:val="20"/>
              </w:rPr>
              <w:t>].</w:t>
            </w:r>
          </w:p>
          <w:p w14:paraId="4A240216" w14:textId="77777777" w:rsidR="002F189E" w:rsidRDefault="002F189E" w:rsidP="00A70EDD">
            <w:pPr>
              <w:rPr>
                <w:rFonts w:ascii="Times New Roman" w:hAnsi="Times New Roman" w:cs="Times New Roman"/>
              </w:rPr>
            </w:pPr>
          </w:p>
          <w:p w14:paraId="7D1681B1" w14:textId="77777777" w:rsidR="002F189E" w:rsidRDefault="002F189E" w:rsidP="00A70EDD">
            <w:pPr>
              <w:rPr>
                <w:rFonts w:ascii="Times New Roman" w:hAnsi="Times New Roman" w:cs="Times New Roman"/>
              </w:rPr>
            </w:pPr>
          </w:p>
          <w:p w14:paraId="11F98540" w14:textId="77777777" w:rsidR="002F189E" w:rsidRDefault="002F189E" w:rsidP="00A70EDD">
            <w:pPr>
              <w:rPr>
                <w:rFonts w:ascii="Times New Roman" w:hAnsi="Times New Roman" w:cs="Times New Roman"/>
              </w:rPr>
            </w:pPr>
          </w:p>
          <w:p w14:paraId="08C9F09B" w14:textId="77777777" w:rsidR="002F189E" w:rsidRDefault="002F189E" w:rsidP="00A70EDD">
            <w:pPr>
              <w:rPr>
                <w:rFonts w:ascii="Times New Roman" w:hAnsi="Times New Roman" w:cs="Times New Roman"/>
              </w:rPr>
            </w:pPr>
          </w:p>
          <w:p w14:paraId="566CE7E7" w14:textId="77777777" w:rsidR="008368F5" w:rsidRDefault="008368F5" w:rsidP="00A70EDD">
            <w:pPr>
              <w:rPr>
                <w:rFonts w:ascii="Times New Roman" w:hAnsi="Times New Roman" w:cs="Times New Roman"/>
              </w:rPr>
            </w:pPr>
          </w:p>
          <w:p w14:paraId="3D2370CF" w14:textId="77777777" w:rsidR="008368F5" w:rsidRDefault="008368F5" w:rsidP="00A70EDD">
            <w:pPr>
              <w:rPr>
                <w:rFonts w:ascii="Times New Roman" w:hAnsi="Times New Roman" w:cs="Times New Roman"/>
              </w:rPr>
            </w:pPr>
          </w:p>
          <w:p w14:paraId="0F3660EE" w14:textId="77777777" w:rsidR="008368F5" w:rsidRDefault="008368F5" w:rsidP="00A70EDD">
            <w:pPr>
              <w:rPr>
                <w:rFonts w:ascii="Times New Roman" w:hAnsi="Times New Roman" w:cs="Times New Roman"/>
              </w:rPr>
            </w:pPr>
          </w:p>
          <w:p w14:paraId="3B7A6573" w14:textId="77777777" w:rsidR="008368F5" w:rsidRDefault="008368F5" w:rsidP="00A70EDD">
            <w:pPr>
              <w:rPr>
                <w:rFonts w:ascii="Times New Roman" w:hAnsi="Times New Roman" w:cs="Times New Roman"/>
              </w:rPr>
            </w:pPr>
          </w:p>
          <w:p w14:paraId="72094D9B" w14:textId="77777777" w:rsidR="008368F5" w:rsidRDefault="008368F5" w:rsidP="00A70EDD">
            <w:pPr>
              <w:rPr>
                <w:rFonts w:ascii="Times New Roman" w:hAnsi="Times New Roman" w:cs="Times New Roman"/>
              </w:rPr>
            </w:pPr>
          </w:p>
          <w:p w14:paraId="451486CA" w14:textId="77777777" w:rsidR="008368F5" w:rsidRDefault="008368F5" w:rsidP="00A70EDD">
            <w:pPr>
              <w:rPr>
                <w:rFonts w:ascii="Times New Roman" w:hAnsi="Times New Roman" w:cs="Times New Roman"/>
              </w:rPr>
            </w:pPr>
          </w:p>
          <w:p w14:paraId="023BC824" w14:textId="77777777" w:rsidR="008368F5" w:rsidRDefault="008368F5" w:rsidP="00A70EDD">
            <w:pPr>
              <w:rPr>
                <w:rFonts w:ascii="Times New Roman" w:hAnsi="Times New Roman" w:cs="Times New Roman"/>
              </w:rPr>
            </w:pPr>
          </w:p>
          <w:p w14:paraId="607949B0" w14:textId="77777777" w:rsidR="008368F5" w:rsidRDefault="008368F5" w:rsidP="00A70EDD">
            <w:pPr>
              <w:rPr>
                <w:rFonts w:ascii="Times New Roman" w:hAnsi="Times New Roman" w:cs="Times New Roman"/>
              </w:rPr>
            </w:pPr>
          </w:p>
          <w:p w14:paraId="1931CC49" w14:textId="77777777" w:rsidR="008368F5" w:rsidRDefault="008368F5" w:rsidP="00A70EDD">
            <w:pPr>
              <w:rPr>
                <w:rFonts w:ascii="Times New Roman" w:hAnsi="Times New Roman" w:cs="Times New Roman"/>
              </w:rPr>
            </w:pPr>
          </w:p>
          <w:p w14:paraId="659464D7" w14:textId="77777777" w:rsidR="008368F5" w:rsidRDefault="008368F5" w:rsidP="00A70EDD">
            <w:pPr>
              <w:rPr>
                <w:rFonts w:ascii="Times New Roman" w:hAnsi="Times New Roman" w:cs="Times New Roman"/>
              </w:rPr>
            </w:pPr>
          </w:p>
          <w:p w14:paraId="723687AA" w14:textId="77777777" w:rsidR="008368F5" w:rsidRDefault="008368F5" w:rsidP="00A70EDD">
            <w:pPr>
              <w:rPr>
                <w:rFonts w:ascii="Times New Roman" w:hAnsi="Times New Roman" w:cs="Times New Roman"/>
              </w:rPr>
            </w:pPr>
          </w:p>
          <w:p w14:paraId="4F73CFD9" w14:textId="77777777" w:rsidR="008368F5" w:rsidRDefault="008368F5" w:rsidP="00A70EDD">
            <w:pPr>
              <w:rPr>
                <w:rFonts w:ascii="Times New Roman" w:hAnsi="Times New Roman" w:cs="Times New Roman"/>
              </w:rPr>
            </w:pPr>
          </w:p>
          <w:p w14:paraId="7C003DF3" w14:textId="77777777" w:rsidR="008368F5" w:rsidRDefault="008368F5" w:rsidP="00A70EDD">
            <w:pPr>
              <w:rPr>
                <w:rFonts w:ascii="Times New Roman" w:hAnsi="Times New Roman" w:cs="Times New Roman"/>
              </w:rPr>
            </w:pPr>
          </w:p>
          <w:p w14:paraId="081EF320" w14:textId="77777777" w:rsidR="008368F5" w:rsidRDefault="008368F5" w:rsidP="00A70EDD">
            <w:pPr>
              <w:rPr>
                <w:rFonts w:ascii="Times New Roman" w:hAnsi="Times New Roman" w:cs="Times New Roman"/>
              </w:rPr>
            </w:pPr>
          </w:p>
          <w:p w14:paraId="67C22C2F" w14:textId="77777777" w:rsidR="005814C8" w:rsidRPr="00354EAC" w:rsidDel="008445AC" w:rsidRDefault="005814C8" w:rsidP="00A70EDD">
            <w:pPr>
              <w:rPr>
                <w:rFonts w:ascii="Times New Roman" w:hAnsi="Times New Roman" w:cs="Times New Roman"/>
              </w:rPr>
            </w:pPr>
          </w:p>
          <w:p w14:paraId="61028287" w14:textId="77777777" w:rsidR="005814C8" w:rsidRPr="00354EAC" w:rsidDel="008445AC" w:rsidRDefault="005814C8" w:rsidP="00A70EDD">
            <w:pPr>
              <w:rPr>
                <w:rFonts w:ascii="Times New Roman" w:hAnsi="Times New Roman" w:cs="Times New Roman"/>
              </w:rPr>
            </w:pPr>
          </w:p>
          <w:p w14:paraId="1AB7ADBE" w14:textId="77777777" w:rsidR="005814C8" w:rsidRPr="00354EAC" w:rsidDel="00AB5FAE" w:rsidRDefault="005814C8" w:rsidP="00A70EDD">
            <w:pPr>
              <w:rPr>
                <w:rFonts w:ascii="Times New Roman" w:hAnsi="Times New Roman" w:cs="Times New Roman"/>
              </w:rPr>
            </w:pPr>
          </w:p>
          <w:p w14:paraId="06546089" w14:textId="77777777" w:rsidR="005814C8" w:rsidRPr="00354EAC" w:rsidRDefault="005814C8" w:rsidP="00A70EDD">
            <w:pPr>
              <w:rPr>
                <w:rFonts w:ascii="Times New Roman" w:hAnsi="Times New Roman" w:cs="Times New Roman"/>
              </w:rPr>
            </w:pPr>
          </w:p>
          <w:p w14:paraId="6E0813D3" w14:textId="77777777" w:rsidR="005814C8" w:rsidRPr="00354EAC" w:rsidRDefault="005814C8" w:rsidP="00A70EDD">
            <w:pPr>
              <w:pStyle w:val="DraftHeading1"/>
              <w:tabs>
                <w:tab w:val="right" w:pos="196"/>
              </w:tabs>
              <w:ind w:left="338" w:hanging="338"/>
              <w:rPr>
                <w:sz w:val="20"/>
                <w:szCs w:val="20"/>
              </w:rPr>
            </w:pPr>
            <w:r w:rsidRPr="00354EAC">
              <w:rPr>
                <w:sz w:val="20"/>
                <w:szCs w:val="20"/>
              </w:rPr>
              <w:tab/>
              <w:t>5B</w:t>
            </w:r>
            <w:r w:rsidRPr="00354EAC">
              <w:rPr>
                <w:sz w:val="20"/>
                <w:szCs w:val="20"/>
              </w:rPr>
              <w:tab/>
              <w:t>Consideration of application [</w:t>
            </w:r>
            <w:r w:rsidRPr="00354EAC">
              <w:rPr>
                <w:i/>
                <w:sz w:val="20"/>
                <w:szCs w:val="20"/>
              </w:rPr>
              <w:t xml:space="preserve">presumed issue/refusal if certain elements met/not </w:t>
            </w:r>
            <w:proofErr w:type="gramStart"/>
            <w:r w:rsidRPr="00354EAC">
              <w:rPr>
                <w:i/>
                <w:sz w:val="20"/>
                <w:szCs w:val="20"/>
              </w:rPr>
              <w:t>met</w:t>
            </w:r>
            <w:r w:rsidRPr="00354EAC">
              <w:rPr>
                <w:sz w:val="20"/>
                <w:szCs w:val="20"/>
              </w:rPr>
              <w:t>—</w:t>
            </w:r>
            <w:r w:rsidRPr="00354EAC">
              <w:rPr>
                <w:i/>
                <w:sz w:val="20"/>
                <w:szCs w:val="20"/>
              </w:rPr>
              <w:t>elements</w:t>
            </w:r>
            <w:proofErr w:type="gramEnd"/>
            <w:r w:rsidRPr="00354EAC">
              <w:rPr>
                <w:i/>
                <w:sz w:val="20"/>
                <w:szCs w:val="20"/>
              </w:rPr>
              <w:t xml:space="preserve"> specified or prescribed</w:t>
            </w:r>
            <w:r w:rsidRPr="00354EAC">
              <w:rPr>
                <w:sz w:val="20"/>
                <w:szCs w:val="20"/>
              </w:rPr>
              <w:t>]</w:t>
            </w:r>
          </w:p>
          <w:p w14:paraId="46ED7E5D" w14:textId="5FD1AE3E" w:rsidR="005814C8" w:rsidRPr="00354EAC" w:rsidRDefault="005814C8" w:rsidP="00A70EDD">
            <w:pPr>
              <w:pStyle w:val="DraftHeading2"/>
              <w:tabs>
                <w:tab w:val="right" w:pos="622"/>
              </w:tabs>
              <w:ind w:left="763" w:hanging="763"/>
              <w:rPr>
                <w:sz w:val="20"/>
              </w:rPr>
            </w:pPr>
            <w:r w:rsidRPr="00354EAC">
              <w:rPr>
                <w:sz w:val="20"/>
              </w:rPr>
              <w:tab/>
              <w:t>(1)</w:t>
            </w:r>
            <w:r w:rsidRPr="00354EAC">
              <w:rPr>
                <w:sz w:val="20"/>
              </w:rPr>
              <w:tab/>
              <w:t xml:space="preserve">After considering an application that complies with section 1 and any further information provided under section 2, the Regulator must </w:t>
            </w:r>
          </w:p>
          <w:p w14:paraId="2015813D" w14:textId="38133509" w:rsidR="005814C8" w:rsidRPr="00354EAC" w:rsidRDefault="005814C8" w:rsidP="00A70EDD">
            <w:pPr>
              <w:pStyle w:val="DraftHeading3"/>
              <w:tabs>
                <w:tab w:val="right" w:pos="1047"/>
              </w:tabs>
              <w:ind w:left="1189" w:hanging="1189"/>
              <w:rPr>
                <w:sz w:val="20"/>
              </w:rPr>
            </w:pPr>
            <w:r w:rsidRPr="00354EAC">
              <w:rPr>
                <w:sz w:val="20"/>
              </w:rPr>
              <w:tab/>
              <w:t>(a)</w:t>
            </w:r>
            <w:r w:rsidRPr="00354EAC">
              <w:rPr>
                <w:sz w:val="20"/>
              </w:rPr>
              <w:tab/>
              <w:t>issue/grant the [</w:t>
            </w:r>
            <w:r w:rsidRPr="00354EAC">
              <w:rPr>
                <w:i/>
                <w:sz w:val="20"/>
              </w:rPr>
              <w:t>licence/registration/exemption</w:t>
            </w:r>
            <w:r w:rsidRPr="00354EAC">
              <w:rPr>
                <w:sz w:val="20"/>
              </w:rPr>
              <w:t>] if the applicant meets</w:t>
            </w:r>
            <w:r w:rsidRPr="00354EAC" w:rsidDel="00B47A07">
              <w:rPr>
                <w:sz w:val="20"/>
              </w:rPr>
              <w:t xml:space="preserve">... </w:t>
            </w:r>
          </w:p>
          <w:p w14:paraId="740BD7A0" w14:textId="34584799" w:rsidR="005814C8" w:rsidRPr="00354EAC" w:rsidRDefault="005814C8" w:rsidP="00A70EDD">
            <w:pPr>
              <w:pStyle w:val="DraftHeading3"/>
              <w:tabs>
                <w:tab w:val="right" w:pos="763"/>
              </w:tabs>
              <w:ind w:left="1189" w:hanging="426"/>
              <w:rPr>
                <w:sz w:val="20"/>
              </w:rPr>
            </w:pPr>
            <w:r w:rsidRPr="00354EAC">
              <w:rPr>
                <w:sz w:val="20"/>
              </w:rPr>
              <w:t xml:space="preserve">     *</w:t>
            </w:r>
            <w:r w:rsidR="00B47A07">
              <w:rPr>
                <w:sz w:val="20"/>
              </w:rPr>
              <w:t xml:space="preserve"> </w:t>
            </w:r>
            <w:proofErr w:type="gramStart"/>
            <w:r w:rsidRPr="00354EAC">
              <w:rPr>
                <w:sz w:val="20"/>
              </w:rPr>
              <w:t>the</w:t>
            </w:r>
            <w:proofErr w:type="gramEnd"/>
            <w:r w:rsidRPr="00354EAC">
              <w:rPr>
                <w:sz w:val="20"/>
              </w:rPr>
              <w:t xml:space="preserve"> prescribed requirements; or</w:t>
            </w:r>
          </w:p>
          <w:p w14:paraId="055C067F" w14:textId="62F928DC" w:rsidR="005814C8" w:rsidRPr="00354EAC" w:rsidRDefault="005814C8" w:rsidP="00A70EDD">
            <w:pPr>
              <w:pStyle w:val="DraftHeading3"/>
              <w:tabs>
                <w:tab w:val="right" w:pos="763"/>
              </w:tabs>
              <w:ind w:left="1189" w:hanging="426"/>
              <w:rPr>
                <w:sz w:val="20"/>
              </w:rPr>
            </w:pPr>
            <w:r w:rsidRPr="00354EAC">
              <w:rPr>
                <w:sz w:val="20"/>
              </w:rPr>
              <w:t xml:space="preserve">     *</w:t>
            </w:r>
            <w:r w:rsidR="00B47A07">
              <w:rPr>
                <w:sz w:val="20"/>
              </w:rPr>
              <w:t xml:space="preserve"> </w:t>
            </w:r>
            <w:proofErr w:type="gramStart"/>
            <w:r w:rsidRPr="00354EAC">
              <w:rPr>
                <w:sz w:val="20"/>
              </w:rPr>
              <w:t>the</w:t>
            </w:r>
            <w:proofErr w:type="gramEnd"/>
            <w:r w:rsidRPr="00354EAC">
              <w:rPr>
                <w:sz w:val="20"/>
              </w:rPr>
              <w:t xml:space="preserve"> requirements specified in subsection (2); or</w:t>
            </w:r>
          </w:p>
          <w:p w14:paraId="3671E2DF" w14:textId="02426F1B" w:rsidR="005814C8" w:rsidRPr="00354EAC" w:rsidRDefault="005814C8" w:rsidP="00A70EDD">
            <w:pPr>
              <w:pStyle w:val="DraftHeading3"/>
              <w:tabs>
                <w:tab w:val="right" w:pos="1047"/>
              </w:tabs>
              <w:ind w:left="1189" w:hanging="1189"/>
              <w:rPr>
                <w:sz w:val="20"/>
              </w:rPr>
            </w:pPr>
            <w:r w:rsidRPr="00354EAC">
              <w:rPr>
                <w:sz w:val="20"/>
              </w:rPr>
              <w:tab/>
              <w:t>(b)</w:t>
            </w:r>
            <w:r w:rsidRPr="00354EAC">
              <w:rPr>
                <w:sz w:val="20"/>
              </w:rPr>
              <w:tab/>
              <w:t>refuse to issue/grant the [</w:t>
            </w:r>
            <w:r w:rsidRPr="00354EAC">
              <w:rPr>
                <w:i/>
                <w:sz w:val="20"/>
              </w:rPr>
              <w:t>licence/registration/exemption</w:t>
            </w:r>
            <w:r w:rsidRPr="00354EAC">
              <w:rPr>
                <w:sz w:val="20"/>
              </w:rPr>
              <w:t>] if the applicant does not meet one or more of the</w:t>
            </w:r>
            <w:r w:rsidRPr="00354EAC" w:rsidDel="00BC2A24">
              <w:rPr>
                <w:sz w:val="20"/>
              </w:rPr>
              <w:t>...</w:t>
            </w:r>
            <w:r w:rsidRPr="00354EAC">
              <w:rPr>
                <w:sz w:val="20"/>
              </w:rPr>
              <w:t xml:space="preserve"> </w:t>
            </w:r>
          </w:p>
          <w:p w14:paraId="4A194959" w14:textId="5ED6F423" w:rsidR="005814C8" w:rsidRPr="00354EAC" w:rsidRDefault="005814C8" w:rsidP="00A70EDD">
            <w:pPr>
              <w:pStyle w:val="DraftHeading3"/>
              <w:tabs>
                <w:tab w:val="right" w:pos="763"/>
              </w:tabs>
              <w:ind w:left="1189" w:hanging="426"/>
              <w:rPr>
                <w:sz w:val="20"/>
              </w:rPr>
            </w:pPr>
            <w:r w:rsidRPr="00354EAC">
              <w:rPr>
                <w:sz w:val="20"/>
              </w:rPr>
              <w:t xml:space="preserve">     *</w:t>
            </w:r>
            <w:r w:rsidR="00BC2A24">
              <w:rPr>
                <w:sz w:val="20"/>
              </w:rPr>
              <w:t xml:space="preserve"> </w:t>
            </w:r>
            <w:proofErr w:type="gramStart"/>
            <w:r w:rsidRPr="00354EAC">
              <w:rPr>
                <w:sz w:val="20"/>
              </w:rPr>
              <w:t>the</w:t>
            </w:r>
            <w:proofErr w:type="gramEnd"/>
            <w:r w:rsidRPr="00354EAC">
              <w:rPr>
                <w:sz w:val="20"/>
              </w:rPr>
              <w:t xml:space="preserve"> prescribed requirements.</w:t>
            </w:r>
          </w:p>
          <w:p w14:paraId="471FA7FC" w14:textId="522CD9FD" w:rsidR="005814C8" w:rsidRPr="00354EAC" w:rsidRDefault="005814C8" w:rsidP="00A70EDD">
            <w:pPr>
              <w:pStyle w:val="DraftHeading3"/>
              <w:tabs>
                <w:tab w:val="right" w:pos="763"/>
              </w:tabs>
              <w:ind w:left="1189" w:hanging="426"/>
              <w:rPr>
                <w:sz w:val="20"/>
              </w:rPr>
            </w:pPr>
            <w:r w:rsidRPr="00354EAC">
              <w:rPr>
                <w:sz w:val="20"/>
              </w:rPr>
              <w:t xml:space="preserve">     *</w:t>
            </w:r>
            <w:r w:rsidR="00BC2A24">
              <w:rPr>
                <w:sz w:val="20"/>
              </w:rPr>
              <w:t xml:space="preserve"> </w:t>
            </w:r>
            <w:proofErr w:type="gramStart"/>
            <w:r w:rsidRPr="00354EAC">
              <w:rPr>
                <w:sz w:val="20"/>
              </w:rPr>
              <w:t>requirements</w:t>
            </w:r>
            <w:proofErr w:type="gramEnd"/>
            <w:r w:rsidRPr="00354EAC">
              <w:rPr>
                <w:sz w:val="20"/>
              </w:rPr>
              <w:t xml:space="preserve"> specified in subsection (2).</w:t>
            </w:r>
          </w:p>
          <w:p w14:paraId="247C416B" w14:textId="533BD956" w:rsidR="005814C8" w:rsidRPr="00354EAC" w:rsidRDefault="005814C8" w:rsidP="00333D90">
            <w:pPr>
              <w:pStyle w:val="DraftHeading2"/>
              <w:tabs>
                <w:tab w:val="right" w:pos="622"/>
              </w:tabs>
              <w:ind w:left="763" w:hanging="763"/>
              <w:rPr>
                <w:sz w:val="20"/>
              </w:rPr>
            </w:pPr>
            <w:r w:rsidRPr="00354EAC">
              <w:rPr>
                <w:sz w:val="20"/>
              </w:rPr>
              <w:tab/>
              <w:t>*(2)</w:t>
            </w:r>
            <w:r w:rsidRPr="00354EAC">
              <w:rPr>
                <w:sz w:val="20"/>
              </w:rPr>
              <w:tab/>
              <w:t xml:space="preserve">For the purposes of subsection (1), the following are specified </w:t>
            </w:r>
            <w:proofErr w:type="gramStart"/>
            <w:r w:rsidRPr="00354EAC">
              <w:rPr>
                <w:sz w:val="20"/>
              </w:rPr>
              <w:t>requirements</w:t>
            </w:r>
            <w:r w:rsidR="00BC2A24">
              <w:rPr>
                <w:sz w:val="20"/>
              </w:rPr>
              <w:t>:</w:t>
            </w:r>
            <w:r w:rsidRPr="00354EAC" w:rsidDel="00BC2A24">
              <w:rPr>
                <w:sz w:val="20"/>
              </w:rPr>
              <w:t>—</w:t>
            </w:r>
            <w:proofErr w:type="gramEnd"/>
          </w:p>
          <w:p w14:paraId="4DE67BAA" w14:textId="77777777" w:rsidR="005814C8" w:rsidRPr="00354EAC" w:rsidRDefault="005814C8" w:rsidP="00A70EDD">
            <w:pPr>
              <w:pStyle w:val="DraftHeading3"/>
              <w:tabs>
                <w:tab w:val="right" w:pos="1047"/>
              </w:tabs>
              <w:ind w:left="1189" w:hanging="1189"/>
              <w:rPr>
                <w:sz w:val="20"/>
              </w:rPr>
            </w:pPr>
            <w:r w:rsidRPr="00354EAC">
              <w:rPr>
                <w:sz w:val="20"/>
              </w:rPr>
              <w:tab/>
              <w:t>(a)</w:t>
            </w:r>
            <w:r w:rsidRPr="00354EAC">
              <w:rPr>
                <w:sz w:val="20"/>
              </w:rPr>
              <w:tab/>
              <w:t>[</w:t>
            </w:r>
            <w:r w:rsidRPr="00354EAC">
              <w:rPr>
                <w:i/>
                <w:sz w:val="20"/>
              </w:rPr>
              <w:t>list of elements formulated as requirements</w:t>
            </w:r>
            <w:r w:rsidRPr="00354EAC">
              <w:rPr>
                <w:sz w:val="20"/>
              </w:rPr>
              <w:t>].</w:t>
            </w:r>
          </w:p>
          <w:p w14:paraId="1E2301C6" w14:textId="77777777" w:rsidR="005814C8" w:rsidRPr="00354EAC" w:rsidRDefault="005814C8" w:rsidP="00A70EDD">
            <w:pPr>
              <w:rPr>
                <w:rFonts w:ascii="Times New Roman" w:hAnsi="Times New Roman" w:cs="Times New Roman"/>
              </w:rPr>
            </w:pPr>
          </w:p>
          <w:p w14:paraId="4007DAAD" w14:textId="77777777" w:rsidR="005814C8" w:rsidRPr="00354EAC" w:rsidRDefault="005814C8" w:rsidP="00A70EDD">
            <w:pPr>
              <w:rPr>
                <w:rFonts w:ascii="Times New Roman" w:hAnsi="Times New Roman" w:cs="Times New Roman"/>
              </w:rPr>
            </w:pPr>
            <w:r w:rsidRPr="00354EAC">
              <w:rPr>
                <w:rFonts w:ascii="Times New Roman" w:hAnsi="Times New Roman" w:cs="Times New Roman"/>
              </w:rPr>
              <w:t>[</w:t>
            </w:r>
            <w:r w:rsidRPr="00354EAC">
              <w:rPr>
                <w:rFonts w:ascii="Times New Roman" w:hAnsi="Times New Roman" w:cs="Times New Roman"/>
                <w:i/>
              </w:rPr>
              <w:t>These elements could also be used to limit the class of persons who may apply for a licence/registration/an exemption</w:t>
            </w:r>
            <w:r w:rsidRPr="00354EAC">
              <w:rPr>
                <w:rFonts w:ascii="Times New Roman" w:hAnsi="Times New Roman" w:cs="Times New Roman"/>
              </w:rPr>
              <w:t>.]</w:t>
            </w:r>
          </w:p>
          <w:p w14:paraId="0AF35791" w14:textId="77777777" w:rsidR="005814C8" w:rsidRPr="00354EAC" w:rsidRDefault="005814C8" w:rsidP="00A70EDD">
            <w:pPr>
              <w:pStyle w:val="DraftHeading1"/>
              <w:tabs>
                <w:tab w:val="right" w:pos="196"/>
              </w:tabs>
              <w:ind w:left="338" w:hanging="338"/>
              <w:rPr>
                <w:sz w:val="20"/>
                <w:szCs w:val="20"/>
              </w:rPr>
            </w:pPr>
            <w:r w:rsidRPr="00354EAC">
              <w:rPr>
                <w:sz w:val="20"/>
                <w:szCs w:val="20"/>
              </w:rPr>
              <w:tab/>
              <w:t>Criminal history [</w:t>
            </w:r>
            <w:r w:rsidRPr="00354EAC">
              <w:rPr>
                <w:i/>
                <w:sz w:val="20"/>
                <w:szCs w:val="20"/>
              </w:rPr>
              <w:t>for 5A or 5B</w:t>
            </w:r>
            <w:r w:rsidRPr="00354EAC">
              <w:rPr>
                <w:sz w:val="20"/>
                <w:szCs w:val="20"/>
              </w:rPr>
              <w:t>]</w:t>
            </w:r>
          </w:p>
          <w:p w14:paraId="34730CC0" w14:textId="55376683" w:rsidR="005814C8" w:rsidRPr="00354EAC" w:rsidRDefault="005814C8" w:rsidP="00A70EDD">
            <w:pPr>
              <w:pStyle w:val="DraftHeading2"/>
              <w:tabs>
                <w:tab w:val="right" w:pos="622"/>
              </w:tabs>
              <w:ind w:left="763" w:hanging="27"/>
              <w:rPr>
                <w:sz w:val="20"/>
              </w:rPr>
            </w:pPr>
            <w:r w:rsidRPr="00354EAC">
              <w:rPr>
                <w:sz w:val="20"/>
              </w:rPr>
              <w:t>The Regulator [</w:t>
            </w:r>
            <w:r w:rsidRPr="00354EAC">
              <w:rPr>
                <w:i/>
                <w:sz w:val="20"/>
              </w:rPr>
              <w:t>must/may</w:t>
            </w:r>
            <w:r w:rsidRPr="00354EAC">
              <w:rPr>
                <w:sz w:val="20"/>
              </w:rPr>
              <w:t>] consider whether the applicant has [</w:t>
            </w:r>
            <w:r w:rsidRPr="00354EAC">
              <w:rPr>
                <w:i/>
                <w:sz w:val="20"/>
              </w:rPr>
              <w:t xml:space="preserve">within </w:t>
            </w:r>
            <w:proofErr w:type="spellStart"/>
            <w:r w:rsidRPr="00354EAC">
              <w:rPr>
                <w:i/>
                <w:sz w:val="20"/>
              </w:rPr>
              <w:t>xxxx</w:t>
            </w:r>
            <w:proofErr w:type="spellEnd"/>
            <w:r w:rsidRPr="00354EAC">
              <w:rPr>
                <w:i/>
                <w:sz w:val="20"/>
              </w:rPr>
              <w:t xml:space="preserve"> years before the application</w:t>
            </w:r>
            <w:r w:rsidRPr="00354EAC">
              <w:rPr>
                <w:sz w:val="20"/>
              </w:rPr>
              <w:t>]</w:t>
            </w:r>
          </w:p>
          <w:p w14:paraId="3CBCE8A2" w14:textId="77777777" w:rsidR="005814C8" w:rsidRPr="00354EAC" w:rsidRDefault="005814C8" w:rsidP="00A70EDD">
            <w:pPr>
              <w:pStyle w:val="DraftHeading2"/>
              <w:tabs>
                <w:tab w:val="right" w:pos="622"/>
              </w:tabs>
              <w:ind w:left="763" w:hanging="27"/>
              <w:rPr>
                <w:sz w:val="20"/>
              </w:rPr>
            </w:pPr>
            <w:r w:rsidRPr="00354EAC">
              <w:rPr>
                <w:sz w:val="20"/>
              </w:rPr>
              <w:t>[</w:t>
            </w:r>
            <w:r w:rsidRPr="00354EAC">
              <w:rPr>
                <w:i/>
                <w:sz w:val="20"/>
              </w:rPr>
              <w:t>Policy to select one or more of the following.</w:t>
            </w:r>
            <w:r w:rsidRPr="00354EAC">
              <w:rPr>
                <w:sz w:val="20"/>
              </w:rPr>
              <w:t>]</w:t>
            </w:r>
          </w:p>
          <w:p w14:paraId="3635623F" w14:textId="49649B09" w:rsidR="005814C8" w:rsidRPr="00354EAC" w:rsidRDefault="005814C8" w:rsidP="00A70EDD">
            <w:pPr>
              <w:pStyle w:val="DraftHeading3"/>
              <w:tabs>
                <w:tab w:val="right" w:pos="1047"/>
              </w:tabs>
              <w:ind w:left="1189" w:hanging="1189"/>
              <w:rPr>
                <w:sz w:val="20"/>
              </w:rPr>
            </w:pPr>
            <w:r w:rsidRPr="00354EAC">
              <w:rPr>
                <w:sz w:val="20"/>
              </w:rPr>
              <w:tab/>
              <w:t>(a)</w:t>
            </w:r>
            <w:r w:rsidRPr="00354EAC">
              <w:rPr>
                <w:sz w:val="20"/>
              </w:rPr>
              <w:tab/>
              <w:t>at any time has been found guilty of any of the following</w:t>
            </w:r>
          </w:p>
          <w:p w14:paraId="3906EB18" w14:textId="77777777" w:rsidR="005814C8" w:rsidRPr="00354EAC" w:rsidRDefault="005814C8" w:rsidP="00394910">
            <w:pPr>
              <w:pStyle w:val="DraftHeading4"/>
              <w:tabs>
                <w:tab w:val="right" w:pos="1418"/>
              </w:tabs>
              <w:ind w:left="1598" w:hanging="1598"/>
              <w:rPr>
                <w:sz w:val="20"/>
              </w:rPr>
            </w:pPr>
            <w:r w:rsidRPr="00354EAC">
              <w:rPr>
                <w:sz w:val="20"/>
              </w:rPr>
              <w:tab/>
              <w:t>(i)</w:t>
            </w:r>
            <w:r w:rsidRPr="00354EAC">
              <w:rPr>
                <w:sz w:val="20"/>
              </w:rPr>
              <w:tab/>
              <w:t xml:space="preserve">an offence against this Act or the </w:t>
            </w:r>
            <w:proofErr w:type="gramStart"/>
            <w:r w:rsidRPr="00354EAC">
              <w:rPr>
                <w:sz w:val="20"/>
              </w:rPr>
              <w:t>regulations;</w:t>
            </w:r>
            <w:proofErr w:type="gramEnd"/>
            <w:r w:rsidRPr="00354EAC">
              <w:rPr>
                <w:sz w:val="20"/>
              </w:rPr>
              <w:t xml:space="preserve"> </w:t>
            </w:r>
          </w:p>
          <w:p w14:paraId="5975DA40" w14:textId="77777777" w:rsidR="005814C8" w:rsidRPr="00354EAC" w:rsidRDefault="005814C8" w:rsidP="00394910">
            <w:pPr>
              <w:pStyle w:val="DraftHeading4"/>
              <w:tabs>
                <w:tab w:val="right" w:pos="1418"/>
              </w:tabs>
              <w:ind w:left="1598" w:hanging="1598"/>
              <w:rPr>
                <w:sz w:val="20"/>
              </w:rPr>
            </w:pPr>
            <w:r w:rsidRPr="00354EAC">
              <w:rPr>
                <w:sz w:val="20"/>
              </w:rPr>
              <w:lastRenderedPageBreak/>
              <w:tab/>
              <w:t>(ii)</w:t>
            </w:r>
            <w:r w:rsidRPr="00354EAC">
              <w:rPr>
                <w:sz w:val="20"/>
              </w:rPr>
              <w:tab/>
              <w:t>an offence involving fraud or dishonesty, whether committed in Victoria or another jurisdiction [</w:t>
            </w:r>
            <w:r w:rsidRPr="00354EAC">
              <w:rPr>
                <w:i/>
                <w:sz w:val="20"/>
              </w:rPr>
              <w:t>or other specified behaviour/subject matter</w:t>
            </w:r>
            <w:proofErr w:type="gramStart"/>
            <w:r w:rsidRPr="00354EAC">
              <w:rPr>
                <w:sz w:val="20"/>
              </w:rPr>
              <w:t>];</w:t>
            </w:r>
            <w:proofErr w:type="gramEnd"/>
          </w:p>
          <w:p w14:paraId="19429D9F" w14:textId="77777777" w:rsidR="005814C8" w:rsidRPr="00354EAC" w:rsidRDefault="005814C8" w:rsidP="00394910">
            <w:pPr>
              <w:pStyle w:val="DraftHeading4"/>
              <w:tabs>
                <w:tab w:val="right" w:pos="1418"/>
              </w:tabs>
              <w:ind w:left="1598" w:hanging="1598"/>
              <w:rPr>
                <w:sz w:val="20"/>
              </w:rPr>
            </w:pPr>
            <w:r w:rsidRPr="00354EAC">
              <w:rPr>
                <w:sz w:val="20"/>
              </w:rPr>
              <w:tab/>
              <w:t>(iii)</w:t>
            </w:r>
            <w:r w:rsidRPr="00354EAC">
              <w:rPr>
                <w:sz w:val="20"/>
              </w:rPr>
              <w:tab/>
              <w:t xml:space="preserve">an offence against a law of another State, a Territory or the Commonwealth [another jurisdiction] that corresponds to this </w:t>
            </w:r>
            <w:proofErr w:type="gramStart"/>
            <w:r w:rsidRPr="00354EAC">
              <w:rPr>
                <w:sz w:val="20"/>
              </w:rPr>
              <w:t>Act;</w:t>
            </w:r>
            <w:proofErr w:type="gramEnd"/>
          </w:p>
          <w:p w14:paraId="2BA5A478" w14:textId="77777777" w:rsidR="005814C8" w:rsidRPr="00354EAC" w:rsidRDefault="005814C8" w:rsidP="00A70EDD">
            <w:pPr>
              <w:pStyle w:val="DraftHeading3"/>
              <w:tabs>
                <w:tab w:val="right" w:pos="1047"/>
              </w:tabs>
              <w:ind w:left="1189" w:hanging="1189"/>
              <w:rPr>
                <w:sz w:val="20"/>
              </w:rPr>
            </w:pPr>
            <w:r w:rsidRPr="00354EAC">
              <w:rPr>
                <w:sz w:val="20"/>
              </w:rPr>
              <w:tab/>
              <w:t>(b)</w:t>
            </w:r>
            <w:r w:rsidRPr="00354EAC">
              <w:rPr>
                <w:sz w:val="20"/>
              </w:rPr>
              <w:tab/>
              <w:t xml:space="preserve">any indictable offence or an offence against a law of another State, a Territory or the Commonwealth [another jurisdiction] that, if committed in Victoria, would be an indictable </w:t>
            </w:r>
            <w:proofErr w:type="gramStart"/>
            <w:r w:rsidRPr="00354EAC">
              <w:rPr>
                <w:sz w:val="20"/>
              </w:rPr>
              <w:t>offence;</w:t>
            </w:r>
            <w:proofErr w:type="gramEnd"/>
            <w:r w:rsidRPr="00354EAC">
              <w:rPr>
                <w:sz w:val="20"/>
              </w:rPr>
              <w:t xml:space="preserve"> </w:t>
            </w:r>
          </w:p>
          <w:p w14:paraId="0CA362EB" w14:textId="77777777" w:rsidR="005814C8" w:rsidRPr="00354EAC" w:rsidRDefault="005814C8" w:rsidP="00A70EDD">
            <w:pPr>
              <w:pStyle w:val="DraftHeading3"/>
              <w:tabs>
                <w:tab w:val="right" w:pos="1047"/>
              </w:tabs>
              <w:ind w:left="1189" w:hanging="1189"/>
              <w:rPr>
                <w:sz w:val="20"/>
              </w:rPr>
            </w:pPr>
            <w:r w:rsidRPr="00354EAC">
              <w:rPr>
                <w:sz w:val="20"/>
              </w:rPr>
              <w:tab/>
              <w:t>(c)</w:t>
            </w:r>
            <w:r w:rsidRPr="00354EAC">
              <w:rPr>
                <w:sz w:val="20"/>
              </w:rPr>
              <w:tab/>
              <w:t>been charged with an offence referred to in paragraph (a) and that charge has not been finally determined.</w:t>
            </w:r>
          </w:p>
          <w:p w14:paraId="7316843F" w14:textId="77777777" w:rsidR="005814C8" w:rsidRPr="00354EAC" w:rsidRDefault="005814C8" w:rsidP="00A70EDD">
            <w:pPr>
              <w:pStyle w:val="DraftHeading1"/>
              <w:tabs>
                <w:tab w:val="right" w:pos="196"/>
              </w:tabs>
              <w:ind w:left="338" w:hanging="338"/>
              <w:rPr>
                <w:sz w:val="20"/>
                <w:szCs w:val="20"/>
              </w:rPr>
            </w:pPr>
            <w:r w:rsidRPr="00354EAC">
              <w:rPr>
                <w:sz w:val="20"/>
                <w:szCs w:val="20"/>
              </w:rPr>
              <w:tab/>
              <w:t>Regulatory compliance [</w:t>
            </w:r>
            <w:r w:rsidRPr="00354EAC">
              <w:rPr>
                <w:i/>
                <w:sz w:val="20"/>
                <w:szCs w:val="20"/>
              </w:rPr>
              <w:t>for 5A or 5B</w:t>
            </w:r>
            <w:r w:rsidRPr="00354EAC">
              <w:rPr>
                <w:sz w:val="20"/>
                <w:szCs w:val="20"/>
              </w:rPr>
              <w:t>]</w:t>
            </w:r>
          </w:p>
          <w:p w14:paraId="41DC4B8A" w14:textId="3973FA5C" w:rsidR="005814C8" w:rsidRPr="00354EAC" w:rsidRDefault="005814C8" w:rsidP="00A70EDD">
            <w:pPr>
              <w:pStyle w:val="DraftHeading2"/>
              <w:tabs>
                <w:tab w:val="right" w:pos="622"/>
              </w:tabs>
              <w:ind w:left="763" w:hanging="27"/>
              <w:rPr>
                <w:sz w:val="20"/>
              </w:rPr>
            </w:pPr>
            <w:r w:rsidRPr="00354EAC">
              <w:rPr>
                <w:sz w:val="20"/>
              </w:rPr>
              <w:t>If the applicant holds or has held a [</w:t>
            </w:r>
            <w:r w:rsidRPr="00354EAC">
              <w:rPr>
                <w:i/>
                <w:sz w:val="20"/>
              </w:rPr>
              <w:t>licence, registration or exemption</w:t>
            </w:r>
            <w:r w:rsidRPr="00354EAC">
              <w:rPr>
                <w:sz w:val="20"/>
              </w:rPr>
              <w:t>] (however described) issued or granted under this Act [</w:t>
            </w:r>
            <w:r w:rsidRPr="00354EAC">
              <w:rPr>
                <w:i/>
                <w:sz w:val="20"/>
              </w:rPr>
              <w:t>or any previous corresponding enactment</w:t>
            </w:r>
            <w:r w:rsidRPr="00354EAC">
              <w:rPr>
                <w:sz w:val="20"/>
              </w:rPr>
              <w:t>] or a law of another State, a Territory or the Commonwealth that the Regulator considers to be the equivalent of a [</w:t>
            </w:r>
            <w:r w:rsidRPr="00354EAC">
              <w:rPr>
                <w:i/>
                <w:sz w:val="20"/>
              </w:rPr>
              <w:t>licence, registration or exemption</w:t>
            </w:r>
            <w:r w:rsidRPr="00354EAC">
              <w:rPr>
                <w:sz w:val="20"/>
              </w:rPr>
              <w:t>], the Regulator [</w:t>
            </w:r>
            <w:r w:rsidRPr="00354EAC">
              <w:rPr>
                <w:i/>
                <w:sz w:val="20"/>
              </w:rPr>
              <w:t>must/may</w:t>
            </w:r>
            <w:r w:rsidRPr="00354EAC">
              <w:rPr>
                <w:sz w:val="20"/>
              </w:rPr>
              <w:t>] consider whether</w:t>
            </w:r>
            <w:r w:rsidRPr="00354EAC" w:rsidDel="00000B41">
              <w:rPr>
                <w:sz w:val="20"/>
              </w:rPr>
              <w:t>...</w:t>
            </w:r>
          </w:p>
          <w:p w14:paraId="2C502BB0" w14:textId="60BEF518" w:rsidR="005814C8" w:rsidRPr="00354EAC" w:rsidRDefault="005814C8" w:rsidP="002E721F">
            <w:pPr>
              <w:pStyle w:val="DraftHeading2"/>
              <w:tabs>
                <w:tab w:val="right" w:pos="622"/>
              </w:tabs>
              <w:ind w:left="763" w:hanging="425"/>
              <w:rPr>
                <w:sz w:val="20"/>
              </w:rPr>
            </w:pPr>
            <w:r w:rsidRPr="00354EAC">
              <w:rPr>
                <w:sz w:val="20"/>
              </w:rPr>
              <w:t xml:space="preserve">     *</w:t>
            </w:r>
            <w:proofErr w:type="gramStart"/>
            <w:r w:rsidRPr="00354EAC">
              <w:rPr>
                <w:sz w:val="20"/>
              </w:rPr>
              <w:t>within</w:t>
            </w:r>
            <w:proofErr w:type="gramEnd"/>
            <w:r w:rsidRPr="00354EAC">
              <w:rPr>
                <w:sz w:val="20"/>
              </w:rPr>
              <w:t xml:space="preserve"> X years before the application*at any </w:t>
            </w:r>
            <w:proofErr w:type="gramStart"/>
            <w:r w:rsidRPr="00354EAC">
              <w:rPr>
                <w:sz w:val="20"/>
              </w:rPr>
              <w:t>time</w:t>
            </w:r>
            <w:r w:rsidR="00746D5D">
              <w:rPr>
                <w:sz w:val="20"/>
              </w:rPr>
              <w:t>:</w:t>
            </w:r>
            <w:r w:rsidRPr="00354EAC" w:rsidDel="00746D5D">
              <w:rPr>
                <w:sz w:val="20"/>
              </w:rPr>
              <w:t>—</w:t>
            </w:r>
            <w:proofErr w:type="gramEnd"/>
          </w:p>
          <w:p w14:paraId="1AA8D70E" w14:textId="77777777" w:rsidR="005814C8" w:rsidRPr="00354EAC" w:rsidRDefault="005814C8" w:rsidP="00394910">
            <w:pPr>
              <w:pStyle w:val="DraftHeading3"/>
              <w:tabs>
                <w:tab w:val="right" w:pos="1047"/>
              </w:tabs>
              <w:ind w:left="1189" w:right="-113" w:hanging="1189"/>
              <w:rPr>
                <w:sz w:val="20"/>
              </w:rPr>
            </w:pPr>
            <w:r w:rsidRPr="00354EAC">
              <w:rPr>
                <w:sz w:val="20"/>
              </w:rPr>
              <w:tab/>
              <w:t>(a)</w:t>
            </w:r>
            <w:r w:rsidRPr="00354EAC">
              <w:rPr>
                <w:sz w:val="20"/>
              </w:rPr>
              <w:tab/>
              <w:t>the applicant has contravened that [</w:t>
            </w:r>
            <w:r w:rsidRPr="00354EAC">
              <w:rPr>
                <w:i/>
                <w:sz w:val="20"/>
              </w:rPr>
              <w:t>licence, registration or exemption</w:t>
            </w:r>
            <w:r w:rsidRPr="00354EAC">
              <w:rPr>
                <w:sz w:val="20"/>
              </w:rPr>
              <w:t xml:space="preserve">]; or </w:t>
            </w:r>
          </w:p>
          <w:p w14:paraId="5A4EFEF0" w14:textId="77777777" w:rsidR="005814C8" w:rsidRPr="00354EAC" w:rsidRDefault="005814C8" w:rsidP="00A70EDD">
            <w:pPr>
              <w:pStyle w:val="DraftHeading3"/>
              <w:tabs>
                <w:tab w:val="right" w:pos="1047"/>
              </w:tabs>
              <w:ind w:left="1189" w:hanging="1189"/>
              <w:rPr>
                <w:sz w:val="20"/>
              </w:rPr>
            </w:pPr>
            <w:r w:rsidRPr="00354EAC">
              <w:rPr>
                <w:sz w:val="20"/>
              </w:rPr>
              <w:tab/>
              <w:t>(b)</w:t>
            </w:r>
            <w:r w:rsidRPr="00354EAC">
              <w:rPr>
                <w:sz w:val="20"/>
              </w:rPr>
              <w:tab/>
              <w:t>[</w:t>
            </w:r>
            <w:r w:rsidRPr="00354EAC">
              <w:rPr>
                <w:i/>
                <w:sz w:val="20"/>
              </w:rPr>
              <w:t>that licence, registration or exemption</w:t>
            </w:r>
            <w:r w:rsidRPr="00354EAC">
              <w:rPr>
                <w:sz w:val="20"/>
              </w:rPr>
              <w:t>] is or was suspended; or</w:t>
            </w:r>
          </w:p>
          <w:p w14:paraId="239728A3" w14:textId="77777777" w:rsidR="005814C8" w:rsidRPr="00354EAC" w:rsidRDefault="005814C8" w:rsidP="00A70EDD">
            <w:pPr>
              <w:pStyle w:val="DraftHeading3"/>
              <w:tabs>
                <w:tab w:val="right" w:pos="1047"/>
              </w:tabs>
              <w:ind w:left="1189" w:hanging="1189"/>
              <w:rPr>
                <w:sz w:val="20"/>
              </w:rPr>
            </w:pPr>
            <w:r w:rsidRPr="00354EAC">
              <w:rPr>
                <w:sz w:val="20"/>
              </w:rPr>
              <w:tab/>
              <w:t>(c)</w:t>
            </w:r>
            <w:r w:rsidRPr="00354EAC">
              <w:rPr>
                <w:sz w:val="20"/>
              </w:rPr>
              <w:tab/>
              <w:t>that [</w:t>
            </w:r>
            <w:r w:rsidRPr="00354EAC">
              <w:rPr>
                <w:i/>
                <w:sz w:val="20"/>
              </w:rPr>
              <w:t>licence, registration or exemption</w:t>
            </w:r>
            <w:r w:rsidRPr="00354EAC">
              <w:rPr>
                <w:sz w:val="20"/>
              </w:rPr>
              <w:t xml:space="preserve">] is or was </w:t>
            </w:r>
            <w:proofErr w:type="gramStart"/>
            <w:r w:rsidRPr="00354EAC">
              <w:rPr>
                <w:sz w:val="20"/>
              </w:rPr>
              <w:t>revoked;</w:t>
            </w:r>
            <w:proofErr w:type="gramEnd"/>
          </w:p>
          <w:p w14:paraId="78FEBAD2" w14:textId="77777777" w:rsidR="005814C8" w:rsidRPr="00354EAC" w:rsidRDefault="005814C8" w:rsidP="00A70EDD">
            <w:pPr>
              <w:pStyle w:val="DraftHeading3"/>
              <w:tabs>
                <w:tab w:val="right" w:pos="1047"/>
              </w:tabs>
              <w:ind w:left="1189" w:hanging="1189"/>
              <w:rPr>
                <w:sz w:val="20"/>
              </w:rPr>
            </w:pPr>
            <w:r w:rsidRPr="00354EAC">
              <w:rPr>
                <w:sz w:val="20"/>
              </w:rPr>
              <w:tab/>
              <w:t>(d)</w:t>
            </w:r>
            <w:r w:rsidRPr="00354EAC">
              <w:rPr>
                <w:sz w:val="20"/>
              </w:rPr>
              <w:tab/>
              <w:t>the applicant contravened the prescribed requirements.</w:t>
            </w:r>
          </w:p>
          <w:p w14:paraId="1AF7A021" w14:textId="77777777" w:rsidR="005814C8" w:rsidRPr="00354EAC" w:rsidRDefault="005814C8" w:rsidP="00A70EDD">
            <w:pPr>
              <w:pStyle w:val="DraftHeading2"/>
              <w:tabs>
                <w:tab w:val="right" w:pos="622"/>
              </w:tabs>
              <w:ind w:left="763" w:hanging="763"/>
              <w:rPr>
                <w:b/>
                <w:sz w:val="20"/>
              </w:rPr>
            </w:pPr>
            <w:r w:rsidRPr="00354EAC">
              <w:rPr>
                <w:b/>
                <w:sz w:val="20"/>
              </w:rPr>
              <w:t>Relevant skills or experience [</w:t>
            </w:r>
            <w:r w:rsidRPr="00354EAC">
              <w:rPr>
                <w:b/>
                <w:i/>
                <w:sz w:val="20"/>
              </w:rPr>
              <w:t>for5A or 5B</w:t>
            </w:r>
            <w:r w:rsidRPr="00354EAC">
              <w:rPr>
                <w:b/>
                <w:sz w:val="20"/>
              </w:rPr>
              <w:t>]</w:t>
            </w:r>
          </w:p>
          <w:p w14:paraId="28C6D580" w14:textId="77777777" w:rsidR="005814C8" w:rsidRPr="00354EAC" w:rsidRDefault="005814C8" w:rsidP="00A70EDD">
            <w:pPr>
              <w:pStyle w:val="DraftHeading2"/>
              <w:tabs>
                <w:tab w:val="right" w:pos="622"/>
              </w:tabs>
              <w:ind w:left="763" w:hanging="763"/>
              <w:rPr>
                <w:sz w:val="20"/>
              </w:rPr>
            </w:pPr>
            <w:r w:rsidRPr="00354EAC">
              <w:rPr>
                <w:sz w:val="20"/>
              </w:rPr>
              <w:t>The Regulator must not [</w:t>
            </w:r>
            <w:r w:rsidRPr="00354EAC">
              <w:rPr>
                <w:i/>
                <w:sz w:val="20"/>
              </w:rPr>
              <w:t>issue the licence/registration/grant the exemption</w:t>
            </w:r>
            <w:r w:rsidRPr="00354EAC">
              <w:rPr>
                <w:sz w:val="20"/>
              </w:rPr>
              <w:t>] unless the Regulator is satisfied that the person has appropriate skills, qualifications or experience to [</w:t>
            </w:r>
            <w:r w:rsidRPr="00354EAC">
              <w:rPr>
                <w:i/>
                <w:sz w:val="20"/>
              </w:rPr>
              <w:t>hold the licence/engage in the regulated activity/be issued an exemption</w:t>
            </w:r>
            <w:r w:rsidRPr="00354EAC">
              <w:rPr>
                <w:sz w:val="20"/>
              </w:rPr>
              <w:t>].</w:t>
            </w:r>
          </w:p>
          <w:p w14:paraId="6EF95C39" w14:textId="77777777" w:rsidR="005814C8" w:rsidRPr="00354EAC" w:rsidRDefault="005814C8" w:rsidP="00A70EDD">
            <w:pPr>
              <w:rPr>
                <w:rFonts w:ascii="Times New Roman" w:hAnsi="Times New Roman" w:cs="Times New Roman"/>
              </w:rPr>
            </w:pPr>
          </w:p>
          <w:p w14:paraId="03341A65" w14:textId="77777777" w:rsidR="005814C8" w:rsidRPr="00354EAC" w:rsidRDefault="005814C8" w:rsidP="00A70EDD">
            <w:pPr>
              <w:pStyle w:val="DraftHeading2"/>
              <w:tabs>
                <w:tab w:val="right" w:pos="622"/>
              </w:tabs>
              <w:ind w:left="763" w:hanging="763"/>
              <w:rPr>
                <w:b/>
                <w:sz w:val="20"/>
              </w:rPr>
            </w:pPr>
            <w:r w:rsidRPr="00354EAC">
              <w:rPr>
                <w:b/>
                <w:sz w:val="20"/>
              </w:rPr>
              <w:lastRenderedPageBreak/>
              <w:t>Solvency [</w:t>
            </w:r>
            <w:r w:rsidRPr="00354EAC">
              <w:rPr>
                <w:b/>
                <w:i/>
                <w:sz w:val="20"/>
              </w:rPr>
              <w:t>for 5A or 5B</w:t>
            </w:r>
            <w:r w:rsidRPr="00354EAC">
              <w:rPr>
                <w:b/>
                <w:sz w:val="20"/>
              </w:rPr>
              <w:t>]</w:t>
            </w:r>
          </w:p>
          <w:p w14:paraId="676B7302" w14:textId="16A61266" w:rsidR="005814C8" w:rsidRPr="00354EAC" w:rsidRDefault="005814C8" w:rsidP="00394910">
            <w:pPr>
              <w:pStyle w:val="DraftHeading2"/>
              <w:tabs>
                <w:tab w:val="right" w:pos="622"/>
              </w:tabs>
              <w:ind w:left="763" w:hanging="763"/>
            </w:pPr>
            <w:r w:rsidRPr="00354EAC">
              <w:rPr>
                <w:sz w:val="20"/>
              </w:rPr>
              <w:t>The Regulator must not [</w:t>
            </w:r>
            <w:r w:rsidRPr="00354EAC">
              <w:rPr>
                <w:i/>
                <w:sz w:val="20"/>
              </w:rPr>
              <w:t>issue the licence/registration/grant the exemption</w:t>
            </w:r>
            <w:r w:rsidRPr="00354EAC">
              <w:rPr>
                <w:sz w:val="20"/>
              </w:rPr>
              <w:t>] if the applicant is an insolvent under administration.</w:t>
            </w:r>
          </w:p>
        </w:tc>
        <w:tc>
          <w:tcPr>
            <w:tcW w:w="4140" w:type="dxa"/>
          </w:tcPr>
          <w:p w14:paraId="20280D30" w14:textId="77777777" w:rsidR="005814C8" w:rsidRPr="00354EAC" w:rsidRDefault="005814C8" w:rsidP="00A70EDD">
            <w:pPr>
              <w:jc w:val="center"/>
              <w:rPr>
                <w:rFonts w:ascii="Times New Roman" w:hAnsi="Times New Roman" w:cs="Times New Roman"/>
                <w:b/>
              </w:rPr>
            </w:pPr>
            <w:r w:rsidRPr="00354EAC">
              <w:rPr>
                <w:rFonts w:ascii="Times New Roman" w:hAnsi="Times New Roman" w:cs="Times New Roman"/>
                <w:b/>
              </w:rPr>
              <w:lastRenderedPageBreak/>
              <w:t>Example</w:t>
            </w:r>
          </w:p>
          <w:p w14:paraId="6BD3AE94" w14:textId="77777777" w:rsidR="005814C8" w:rsidRPr="00354EAC" w:rsidRDefault="005814C8" w:rsidP="00A70EDD">
            <w:pPr>
              <w:rPr>
                <w:rFonts w:ascii="Times New Roman" w:hAnsi="Times New Roman" w:cs="Times New Roman"/>
              </w:rPr>
            </w:pPr>
            <w:r w:rsidRPr="00354EAC">
              <w:rPr>
                <w:rFonts w:ascii="Times New Roman" w:hAnsi="Times New Roman" w:cs="Times New Roman"/>
                <w:i/>
              </w:rPr>
              <w:t>Example details: Application for a licence to supply hammers. Licences issued by the Hardware Regulator. Licences to be issued at the discretion of the Hardware Regulator, who must consider the applicant's criminal and regulatory compliance history before issuing a licence</w:t>
            </w:r>
            <w:r w:rsidRPr="00354EAC">
              <w:rPr>
                <w:rFonts w:ascii="Times New Roman" w:hAnsi="Times New Roman" w:cs="Times New Roman"/>
              </w:rPr>
              <w:t>.</w:t>
            </w:r>
          </w:p>
          <w:p w14:paraId="71459EF1" w14:textId="77777777" w:rsidR="005814C8" w:rsidRPr="00354EAC" w:rsidRDefault="005814C8" w:rsidP="00A70EDD">
            <w:pPr>
              <w:rPr>
                <w:rFonts w:ascii="Times New Roman" w:hAnsi="Times New Roman" w:cs="Times New Roman"/>
              </w:rPr>
            </w:pPr>
            <w:r w:rsidRPr="00354EAC">
              <w:rPr>
                <w:rFonts w:ascii="Times New Roman" w:hAnsi="Times New Roman" w:cs="Times New Roman"/>
                <w:b/>
                <w:i/>
              </w:rPr>
              <w:t>hammer supply licence</w:t>
            </w:r>
            <w:r w:rsidRPr="00354EAC">
              <w:rPr>
                <w:rFonts w:ascii="Times New Roman" w:hAnsi="Times New Roman" w:cs="Times New Roman"/>
              </w:rPr>
              <w:t xml:space="preserve"> means a licence issued under section [5</w:t>
            </w:r>
            <w:proofErr w:type="gramStart"/>
            <w:r w:rsidRPr="00354EAC">
              <w:rPr>
                <w:rFonts w:ascii="Times New Roman" w:hAnsi="Times New Roman" w:cs="Times New Roman"/>
              </w:rPr>
              <w:t>];</w:t>
            </w:r>
            <w:proofErr w:type="gramEnd"/>
          </w:p>
          <w:p w14:paraId="16EF6A81" w14:textId="77777777" w:rsidR="005814C8" w:rsidRPr="00354EAC" w:rsidRDefault="005814C8" w:rsidP="00A70EDD">
            <w:pPr>
              <w:pStyle w:val="DraftHeading1"/>
              <w:tabs>
                <w:tab w:val="right" w:pos="196"/>
              </w:tabs>
              <w:ind w:left="338" w:hanging="338"/>
              <w:rPr>
                <w:sz w:val="20"/>
                <w:szCs w:val="20"/>
              </w:rPr>
            </w:pPr>
            <w:r w:rsidRPr="00354EAC">
              <w:rPr>
                <w:sz w:val="20"/>
                <w:szCs w:val="20"/>
              </w:rPr>
              <w:tab/>
              <w:t>1</w:t>
            </w:r>
            <w:r w:rsidRPr="00354EAC">
              <w:rPr>
                <w:sz w:val="20"/>
                <w:szCs w:val="20"/>
              </w:rPr>
              <w:tab/>
              <w:t>Application for hammer supply licence</w:t>
            </w:r>
          </w:p>
          <w:p w14:paraId="137BD700" w14:textId="77777777" w:rsidR="005814C8" w:rsidRPr="00354EAC" w:rsidRDefault="005814C8" w:rsidP="00A70EDD">
            <w:pPr>
              <w:pStyle w:val="DraftHeading2"/>
              <w:tabs>
                <w:tab w:val="right" w:pos="622"/>
              </w:tabs>
              <w:ind w:left="763" w:hanging="763"/>
              <w:rPr>
                <w:sz w:val="20"/>
              </w:rPr>
            </w:pPr>
            <w:r w:rsidRPr="00354EAC">
              <w:rPr>
                <w:sz w:val="20"/>
              </w:rPr>
              <w:tab/>
              <w:t>(1)</w:t>
            </w:r>
            <w:r w:rsidRPr="00354EAC">
              <w:rPr>
                <w:sz w:val="20"/>
              </w:rPr>
              <w:tab/>
              <w:t>A person may apply to the Hardware Regulator for a hammer supply licence.</w:t>
            </w:r>
          </w:p>
          <w:p w14:paraId="002EB1D0" w14:textId="11AEE263" w:rsidR="005814C8" w:rsidRPr="00354EAC" w:rsidRDefault="005814C8" w:rsidP="00A70EDD">
            <w:pPr>
              <w:pStyle w:val="DraftHeading2"/>
              <w:tabs>
                <w:tab w:val="right" w:pos="622"/>
              </w:tabs>
              <w:ind w:left="763" w:hanging="763"/>
              <w:rPr>
                <w:sz w:val="20"/>
              </w:rPr>
            </w:pPr>
            <w:r w:rsidRPr="00354EAC">
              <w:rPr>
                <w:sz w:val="20"/>
              </w:rPr>
              <w:tab/>
              <w:t>(2)</w:t>
            </w:r>
            <w:r w:rsidRPr="00354EAC">
              <w:rPr>
                <w:sz w:val="20"/>
              </w:rPr>
              <w:tab/>
              <w:t>The application must</w:t>
            </w:r>
          </w:p>
          <w:p w14:paraId="1A682718" w14:textId="77777777" w:rsidR="005814C8" w:rsidRPr="00354EAC" w:rsidRDefault="005814C8" w:rsidP="00A70EDD">
            <w:pPr>
              <w:pStyle w:val="DraftHeading3"/>
              <w:tabs>
                <w:tab w:val="right" w:pos="1047"/>
              </w:tabs>
              <w:ind w:left="1189" w:hanging="1189"/>
              <w:rPr>
                <w:sz w:val="20"/>
              </w:rPr>
            </w:pPr>
            <w:r w:rsidRPr="00354EAC">
              <w:rPr>
                <w:sz w:val="20"/>
              </w:rPr>
              <w:tab/>
              <w:t>(a)</w:t>
            </w:r>
            <w:r w:rsidRPr="00354EAC">
              <w:rPr>
                <w:sz w:val="20"/>
              </w:rPr>
              <w:tab/>
              <w:t>be in the form approved by the Hardware Regulator; and</w:t>
            </w:r>
          </w:p>
          <w:p w14:paraId="28B095D8" w14:textId="77777777" w:rsidR="005814C8" w:rsidRPr="00354EAC" w:rsidRDefault="005814C8" w:rsidP="00A70EDD">
            <w:pPr>
              <w:rPr>
                <w:rFonts w:ascii="Times New Roman" w:eastAsia="Times New Roman" w:hAnsi="Times New Roman" w:cs="Times New Roman"/>
              </w:rPr>
            </w:pPr>
          </w:p>
          <w:p w14:paraId="596C5028" w14:textId="77777777" w:rsidR="005814C8" w:rsidRPr="00354EAC" w:rsidRDefault="005814C8" w:rsidP="00A70EDD">
            <w:pPr>
              <w:rPr>
                <w:rFonts w:ascii="Times New Roman" w:eastAsia="Times New Roman" w:hAnsi="Times New Roman" w:cs="Times New Roman"/>
              </w:rPr>
            </w:pPr>
          </w:p>
          <w:p w14:paraId="2B4BFE53" w14:textId="77777777" w:rsidR="005814C8" w:rsidRPr="00354EAC" w:rsidRDefault="005814C8" w:rsidP="00A70EDD">
            <w:pPr>
              <w:rPr>
                <w:rFonts w:ascii="Times New Roman" w:eastAsia="Times New Roman" w:hAnsi="Times New Roman" w:cs="Times New Roman"/>
              </w:rPr>
            </w:pPr>
          </w:p>
          <w:p w14:paraId="1D68904B" w14:textId="77777777" w:rsidR="005814C8" w:rsidRPr="00354EAC" w:rsidRDefault="005814C8" w:rsidP="00A70EDD">
            <w:pPr>
              <w:pStyle w:val="DraftHeading3"/>
              <w:tabs>
                <w:tab w:val="right" w:pos="1047"/>
              </w:tabs>
              <w:ind w:left="1189" w:hanging="1189"/>
              <w:rPr>
                <w:sz w:val="20"/>
              </w:rPr>
            </w:pPr>
            <w:r w:rsidRPr="00354EAC">
              <w:rPr>
                <w:sz w:val="20"/>
              </w:rPr>
              <w:tab/>
              <w:t>(b)</w:t>
            </w:r>
            <w:r w:rsidRPr="00354EAC">
              <w:rPr>
                <w:sz w:val="20"/>
              </w:rPr>
              <w:tab/>
              <w:t>include any prescribed information; and</w:t>
            </w:r>
          </w:p>
          <w:p w14:paraId="4F74546D" w14:textId="77777777" w:rsidR="005814C8" w:rsidRPr="00354EAC" w:rsidRDefault="005814C8" w:rsidP="00A70EDD">
            <w:pPr>
              <w:rPr>
                <w:rFonts w:ascii="Times New Roman" w:eastAsia="Times New Roman" w:hAnsi="Times New Roman" w:cs="Times New Roman"/>
              </w:rPr>
            </w:pPr>
          </w:p>
          <w:p w14:paraId="3CD7C8DE" w14:textId="77777777" w:rsidR="005814C8" w:rsidRPr="00354EAC" w:rsidRDefault="005814C8" w:rsidP="00A70EDD">
            <w:pPr>
              <w:rPr>
                <w:rFonts w:ascii="Times New Roman" w:eastAsia="Times New Roman" w:hAnsi="Times New Roman" w:cs="Times New Roman"/>
              </w:rPr>
            </w:pPr>
          </w:p>
          <w:p w14:paraId="3D41BC5F" w14:textId="77777777" w:rsidR="005814C8" w:rsidRPr="00354EAC" w:rsidRDefault="005814C8" w:rsidP="00A70EDD">
            <w:pPr>
              <w:rPr>
                <w:rFonts w:ascii="Times New Roman" w:eastAsia="Times New Roman" w:hAnsi="Times New Roman" w:cs="Times New Roman"/>
              </w:rPr>
            </w:pPr>
          </w:p>
          <w:p w14:paraId="54FED265" w14:textId="77777777" w:rsidR="003B06EB" w:rsidRPr="00354EAC" w:rsidRDefault="003B06EB" w:rsidP="00A70EDD">
            <w:pPr>
              <w:rPr>
                <w:rFonts w:ascii="Times New Roman" w:eastAsia="Times New Roman" w:hAnsi="Times New Roman" w:cs="Times New Roman"/>
              </w:rPr>
            </w:pPr>
          </w:p>
          <w:p w14:paraId="613212EF" w14:textId="77777777" w:rsidR="005814C8" w:rsidRPr="00354EAC" w:rsidRDefault="005814C8" w:rsidP="00A70EDD">
            <w:pPr>
              <w:rPr>
                <w:rFonts w:ascii="Times New Roman" w:eastAsia="Times New Roman" w:hAnsi="Times New Roman" w:cs="Times New Roman"/>
              </w:rPr>
            </w:pPr>
          </w:p>
          <w:p w14:paraId="590D3A5B" w14:textId="77777777" w:rsidR="005814C8" w:rsidRPr="00354EAC" w:rsidRDefault="005814C8" w:rsidP="00A70EDD">
            <w:pPr>
              <w:rPr>
                <w:rFonts w:ascii="Times New Roman" w:eastAsia="Times New Roman" w:hAnsi="Times New Roman" w:cs="Times New Roman"/>
              </w:rPr>
            </w:pPr>
          </w:p>
          <w:p w14:paraId="64B6E869" w14:textId="77777777" w:rsidR="00B14344" w:rsidRDefault="00B14344" w:rsidP="00A70EDD">
            <w:pPr>
              <w:rPr>
                <w:rFonts w:ascii="Times New Roman" w:eastAsia="Times New Roman" w:hAnsi="Times New Roman" w:cs="Times New Roman"/>
              </w:rPr>
            </w:pPr>
          </w:p>
          <w:p w14:paraId="1338FCAB" w14:textId="77777777" w:rsidR="00B14344" w:rsidRPr="00354EAC" w:rsidRDefault="00B14344" w:rsidP="00A70EDD">
            <w:pPr>
              <w:rPr>
                <w:rFonts w:ascii="Times New Roman" w:eastAsia="Times New Roman" w:hAnsi="Times New Roman" w:cs="Times New Roman"/>
              </w:rPr>
            </w:pPr>
          </w:p>
          <w:p w14:paraId="6B84A599" w14:textId="77777777" w:rsidR="005814C8" w:rsidRPr="00354EAC" w:rsidRDefault="005814C8" w:rsidP="00A70EDD">
            <w:pPr>
              <w:pStyle w:val="DraftHeading3"/>
              <w:tabs>
                <w:tab w:val="right" w:pos="1047"/>
              </w:tabs>
              <w:ind w:left="1189" w:hanging="1189"/>
              <w:rPr>
                <w:sz w:val="20"/>
              </w:rPr>
            </w:pPr>
            <w:r w:rsidRPr="00354EAC">
              <w:rPr>
                <w:sz w:val="20"/>
              </w:rPr>
              <w:tab/>
              <w:t>(c)</w:t>
            </w:r>
            <w:r w:rsidRPr="00354EAC">
              <w:rPr>
                <w:sz w:val="20"/>
              </w:rPr>
              <w:tab/>
              <w:t>be accompanied by any prescribed document; and</w:t>
            </w:r>
          </w:p>
          <w:p w14:paraId="6B2338EB" w14:textId="18CBC46F" w:rsidR="005814C8" w:rsidRPr="00354EAC" w:rsidRDefault="005814C8" w:rsidP="00A70EDD">
            <w:pPr>
              <w:pStyle w:val="DraftHeading3"/>
              <w:tabs>
                <w:tab w:val="right" w:pos="1047"/>
              </w:tabs>
              <w:ind w:left="1189" w:hanging="1189"/>
              <w:rPr>
                <w:sz w:val="20"/>
              </w:rPr>
            </w:pPr>
            <w:r w:rsidRPr="00354EAC">
              <w:rPr>
                <w:sz w:val="20"/>
              </w:rPr>
              <w:lastRenderedPageBreak/>
              <w:tab/>
              <w:t>(d)</w:t>
            </w:r>
            <w:r w:rsidRPr="00354EAC">
              <w:rPr>
                <w:sz w:val="20"/>
              </w:rPr>
              <w:tab/>
              <w:t>include evidence that the applicant has appropriate skills, qualifications or experience to hold a hammer supply licence; and</w:t>
            </w:r>
            <w:r w:rsidRPr="00354EAC">
              <w:rPr>
                <w:sz w:val="20"/>
              </w:rPr>
              <w:tab/>
              <w:t>(e)</w:t>
            </w:r>
            <w:r w:rsidRPr="00354EAC">
              <w:rPr>
                <w:sz w:val="20"/>
              </w:rPr>
              <w:tab/>
              <w:t>state if the applicant is an insolvent under administration; and</w:t>
            </w:r>
            <w:r w:rsidRPr="00354EAC">
              <w:rPr>
                <w:sz w:val="20"/>
              </w:rPr>
              <w:tab/>
              <w:t>(f)</w:t>
            </w:r>
            <w:r w:rsidRPr="00354EAC">
              <w:rPr>
                <w:sz w:val="20"/>
              </w:rPr>
              <w:tab/>
              <w:t>be accompanied by the prescribed fee.</w:t>
            </w:r>
          </w:p>
          <w:p w14:paraId="414B7FEA" w14:textId="77777777" w:rsidR="005814C8" w:rsidRPr="00354EAC" w:rsidRDefault="005814C8" w:rsidP="00A70EDD">
            <w:pPr>
              <w:pStyle w:val="DraftHeading1"/>
              <w:tabs>
                <w:tab w:val="right" w:pos="196"/>
              </w:tabs>
              <w:ind w:left="338" w:hanging="338"/>
              <w:rPr>
                <w:sz w:val="20"/>
                <w:szCs w:val="20"/>
              </w:rPr>
            </w:pPr>
            <w:r w:rsidRPr="00354EAC">
              <w:rPr>
                <w:sz w:val="20"/>
                <w:szCs w:val="20"/>
              </w:rPr>
              <w:tab/>
              <w:t>2</w:t>
            </w:r>
            <w:r w:rsidRPr="00354EAC">
              <w:rPr>
                <w:sz w:val="20"/>
                <w:szCs w:val="20"/>
              </w:rPr>
              <w:tab/>
              <w:t>Regulator may request further information</w:t>
            </w:r>
          </w:p>
          <w:p w14:paraId="0A3A3AE1" w14:textId="2C8B014A" w:rsidR="005814C8" w:rsidRPr="00354EAC" w:rsidRDefault="005814C8" w:rsidP="00A70EDD">
            <w:pPr>
              <w:pStyle w:val="DraftHeading3"/>
              <w:tabs>
                <w:tab w:val="right" w:pos="1047"/>
              </w:tabs>
              <w:ind w:left="1189" w:hanging="1189"/>
              <w:rPr>
                <w:sz w:val="20"/>
              </w:rPr>
            </w:pPr>
            <w:r w:rsidRPr="00354EAC">
              <w:rPr>
                <w:sz w:val="20"/>
              </w:rPr>
              <w:tab/>
              <w:t>(1)</w:t>
            </w:r>
            <w:r w:rsidRPr="00354EAC">
              <w:rPr>
                <w:sz w:val="20"/>
              </w:rPr>
              <w:tab/>
              <w:t>For the purposes of determining an application for a hammer supply licence, the Hardware Regulator may request the applicant to provide information relating to the following</w:t>
            </w:r>
            <w:r w:rsidRPr="00354EAC">
              <w:rPr>
                <w:sz w:val="20"/>
              </w:rPr>
              <w:tab/>
              <w:t>(a)</w:t>
            </w:r>
            <w:r w:rsidRPr="00354EAC">
              <w:rPr>
                <w:sz w:val="20"/>
              </w:rPr>
              <w:tab/>
              <w:t xml:space="preserve">the applicant's criminal </w:t>
            </w:r>
            <w:proofErr w:type="gramStart"/>
            <w:r w:rsidRPr="00354EAC">
              <w:rPr>
                <w:sz w:val="20"/>
              </w:rPr>
              <w:t>history;</w:t>
            </w:r>
            <w:proofErr w:type="gramEnd"/>
          </w:p>
          <w:p w14:paraId="76F176FE" w14:textId="77777777" w:rsidR="005814C8" w:rsidRPr="00354EAC" w:rsidRDefault="005814C8" w:rsidP="00A70EDD">
            <w:pPr>
              <w:pStyle w:val="DraftHeading3"/>
              <w:tabs>
                <w:tab w:val="right" w:pos="1047"/>
              </w:tabs>
              <w:ind w:left="1189" w:hanging="1189"/>
              <w:rPr>
                <w:sz w:val="20"/>
              </w:rPr>
            </w:pPr>
            <w:r w:rsidRPr="00354EAC">
              <w:rPr>
                <w:sz w:val="20"/>
              </w:rPr>
              <w:tab/>
              <w:t>(b)</w:t>
            </w:r>
            <w:r w:rsidRPr="00354EAC">
              <w:rPr>
                <w:sz w:val="20"/>
              </w:rPr>
              <w:tab/>
              <w:t xml:space="preserve">any previous history of non-compliance by the applicant with this </w:t>
            </w:r>
            <w:proofErr w:type="gramStart"/>
            <w:r w:rsidRPr="00354EAC">
              <w:rPr>
                <w:sz w:val="20"/>
              </w:rPr>
              <w:t>Act;</w:t>
            </w:r>
            <w:proofErr w:type="gramEnd"/>
          </w:p>
          <w:p w14:paraId="286EE363" w14:textId="77777777" w:rsidR="005814C8" w:rsidRPr="00354EAC" w:rsidRDefault="005814C8" w:rsidP="00A70EDD">
            <w:pPr>
              <w:pStyle w:val="DraftHeading3"/>
              <w:tabs>
                <w:tab w:val="right" w:pos="1047"/>
              </w:tabs>
              <w:ind w:left="1189" w:hanging="1189"/>
              <w:rPr>
                <w:sz w:val="20"/>
              </w:rPr>
            </w:pPr>
            <w:r w:rsidRPr="00354EAC">
              <w:rPr>
                <w:sz w:val="20"/>
              </w:rPr>
              <w:tab/>
              <w:t>(c)</w:t>
            </w:r>
            <w:r w:rsidRPr="00354EAC">
              <w:rPr>
                <w:sz w:val="20"/>
              </w:rPr>
              <w:tab/>
              <w:t>any prescribed matter.</w:t>
            </w:r>
          </w:p>
          <w:p w14:paraId="4D43641E" w14:textId="77777777" w:rsidR="002031B6" w:rsidRPr="002031B6" w:rsidRDefault="002031B6" w:rsidP="00D13824"/>
          <w:p w14:paraId="41162335" w14:textId="20AD7783" w:rsidR="005814C8" w:rsidRPr="00354EAC" w:rsidRDefault="005814C8" w:rsidP="00A70EDD">
            <w:pPr>
              <w:pStyle w:val="DraftHeading2"/>
              <w:tabs>
                <w:tab w:val="right" w:pos="622"/>
              </w:tabs>
              <w:ind w:left="763" w:hanging="763"/>
              <w:rPr>
                <w:sz w:val="20"/>
              </w:rPr>
            </w:pPr>
            <w:r w:rsidRPr="00354EAC">
              <w:rPr>
                <w:sz w:val="20"/>
              </w:rPr>
              <w:tab/>
              <w:t>(2)</w:t>
            </w:r>
            <w:r w:rsidRPr="00354EAC">
              <w:rPr>
                <w:sz w:val="20"/>
              </w:rPr>
              <w:tab/>
              <w:t>The request must</w:t>
            </w:r>
            <w:r w:rsidRPr="00354EAC" w:rsidDel="002B11F9">
              <w:rPr>
                <w:sz w:val="20"/>
              </w:rPr>
              <w:t>—</w:t>
            </w:r>
          </w:p>
          <w:p w14:paraId="095184B8" w14:textId="77777777" w:rsidR="005814C8" w:rsidRPr="00354EAC" w:rsidRDefault="005814C8" w:rsidP="00D13824">
            <w:pPr>
              <w:pStyle w:val="DraftHeading3"/>
              <w:tabs>
                <w:tab w:val="right" w:pos="1047"/>
              </w:tabs>
              <w:ind w:left="1189" w:hanging="1189"/>
              <w:rPr>
                <w:sz w:val="20"/>
              </w:rPr>
            </w:pPr>
            <w:r w:rsidRPr="00354EAC">
              <w:rPr>
                <w:sz w:val="20"/>
              </w:rPr>
              <w:tab/>
              <w:t>(a)</w:t>
            </w:r>
            <w:r w:rsidRPr="00354EAC">
              <w:rPr>
                <w:sz w:val="20"/>
              </w:rPr>
              <w:tab/>
              <w:t>be in writing; and</w:t>
            </w:r>
          </w:p>
          <w:p w14:paraId="175D3FDE" w14:textId="77777777" w:rsidR="005814C8" w:rsidRPr="00354EAC" w:rsidRDefault="005814C8" w:rsidP="00D13824">
            <w:pPr>
              <w:pStyle w:val="DraftHeading3"/>
              <w:tabs>
                <w:tab w:val="right" w:pos="1047"/>
              </w:tabs>
              <w:ind w:left="1189" w:hanging="1189"/>
              <w:rPr>
                <w:sz w:val="20"/>
              </w:rPr>
            </w:pPr>
            <w:r w:rsidRPr="00354EAC">
              <w:rPr>
                <w:sz w:val="20"/>
              </w:rPr>
              <w:tab/>
              <w:t>(b)</w:t>
            </w:r>
            <w:r w:rsidRPr="00354EAC">
              <w:rPr>
                <w:sz w:val="20"/>
              </w:rPr>
              <w:tab/>
              <w:t>specify the period within which the applicant must provide the information.</w:t>
            </w:r>
          </w:p>
          <w:p w14:paraId="09DBD451" w14:textId="77777777" w:rsidR="005814C8" w:rsidRPr="000946E0" w:rsidDel="003B06EB" w:rsidRDefault="005814C8" w:rsidP="00A70EDD"/>
          <w:p w14:paraId="7F9E7D2A" w14:textId="77777777" w:rsidR="005814C8" w:rsidRPr="00354EAC" w:rsidRDefault="005814C8" w:rsidP="00A70EDD">
            <w:pPr>
              <w:pStyle w:val="DraftHeading2"/>
              <w:tabs>
                <w:tab w:val="right" w:pos="622"/>
              </w:tabs>
              <w:ind w:left="763" w:hanging="763"/>
              <w:rPr>
                <w:sz w:val="20"/>
              </w:rPr>
            </w:pPr>
            <w:r w:rsidRPr="00354EAC">
              <w:rPr>
                <w:sz w:val="20"/>
              </w:rPr>
              <w:tab/>
              <w:t>(3)</w:t>
            </w:r>
            <w:r w:rsidRPr="00354EAC">
              <w:rPr>
                <w:sz w:val="20"/>
              </w:rPr>
              <w:tab/>
              <w:t>The Hardware Regulator may refuse to consider the application if the applicant does not provide the information in accordance with the request.</w:t>
            </w:r>
          </w:p>
          <w:p w14:paraId="43A90AE5" w14:textId="77777777" w:rsidR="005814C8" w:rsidRPr="00354EAC" w:rsidRDefault="005814C8" w:rsidP="00A70EDD">
            <w:pPr>
              <w:pStyle w:val="DraftHeading1"/>
              <w:tabs>
                <w:tab w:val="right" w:pos="196"/>
              </w:tabs>
              <w:ind w:left="338" w:hanging="338"/>
              <w:rPr>
                <w:sz w:val="20"/>
                <w:szCs w:val="20"/>
              </w:rPr>
            </w:pPr>
            <w:r w:rsidRPr="00354EAC">
              <w:rPr>
                <w:sz w:val="20"/>
                <w:szCs w:val="20"/>
              </w:rPr>
              <w:tab/>
              <w:t>3</w:t>
            </w:r>
            <w:r w:rsidRPr="00354EAC">
              <w:rPr>
                <w:sz w:val="20"/>
                <w:szCs w:val="20"/>
              </w:rPr>
              <w:tab/>
              <w:t>Applicant must provide information</w:t>
            </w:r>
          </w:p>
          <w:p w14:paraId="4713CBD5" w14:textId="5F26E050" w:rsidR="005814C8" w:rsidRPr="00354EAC" w:rsidRDefault="005814C8" w:rsidP="00A70EDD">
            <w:pPr>
              <w:pStyle w:val="DraftHeading2"/>
              <w:tabs>
                <w:tab w:val="right" w:pos="622"/>
              </w:tabs>
              <w:ind w:left="763" w:hanging="27"/>
              <w:rPr>
                <w:sz w:val="20"/>
              </w:rPr>
            </w:pPr>
            <w:r w:rsidRPr="00354EAC">
              <w:rPr>
                <w:sz w:val="20"/>
              </w:rPr>
              <w:t xml:space="preserve">On receiving a request for further information [under section 2], the applicant must provide the information to the Hardware Regulator </w:t>
            </w:r>
          </w:p>
          <w:p w14:paraId="5D7F7FA5" w14:textId="77777777" w:rsidR="005814C8" w:rsidRPr="00354EAC" w:rsidRDefault="005814C8" w:rsidP="00A70EDD">
            <w:pPr>
              <w:pStyle w:val="DraftHeading3"/>
              <w:tabs>
                <w:tab w:val="right" w:pos="1047"/>
              </w:tabs>
              <w:ind w:left="1189" w:hanging="1189"/>
              <w:rPr>
                <w:sz w:val="20"/>
              </w:rPr>
            </w:pPr>
            <w:r w:rsidRPr="00354EAC">
              <w:rPr>
                <w:sz w:val="20"/>
              </w:rPr>
              <w:tab/>
              <w:t>(a)</w:t>
            </w:r>
            <w:r w:rsidRPr="00354EAC">
              <w:rPr>
                <w:sz w:val="20"/>
              </w:rPr>
              <w:tab/>
              <w:t xml:space="preserve">in writing; and </w:t>
            </w:r>
          </w:p>
          <w:p w14:paraId="7F50D1E7" w14:textId="77777777" w:rsidR="005814C8" w:rsidRPr="00354EAC" w:rsidRDefault="005814C8" w:rsidP="00A70EDD">
            <w:pPr>
              <w:pStyle w:val="DraftHeading3"/>
              <w:tabs>
                <w:tab w:val="right" w:pos="1047"/>
              </w:tabs>
              <w:ind w:left="1189" w:hanging="1189"/>
              <w:rPr>
                <w:sz w:val="20"/>
              </w:rPr>
            </w:pPr>
            <w:r w:rsidRPr="00354EAC">
              <w:rPr>
                <w:sz w:val="20"/>
              </w:rPr>
              <w:tab/>
              <w:t>(b)</w:t>
            </w:r>
            <w:r w:rsidRPr="00354EAC">
              <w:rPr>
                <w:sz w:val="20"/>
              </w:rPr>
              <w:tab/>
              <w:t>within the period specified in the request.</w:t>
            </w:r>
          </w:p>
          <w:p w14:paraId="442169FA" w14:textId="77777777" w:rsidR="005814C8" w:rsidRPr="00354EAC" w:rsidRDefault="005814C8" w:rsidP="00A70EDD">
            <w:pPr>
              <w:pStyle w:val="DraftHeading1"/>
              <w:tabs>
                <w:tab w:val="right" w:pos="196"/>
              </w:tabs>
              <w:ind w:left="338" w:hanging="338"/>
              <w:rPr>
                <w:sz w:val="20"/>
                <w:szCs w:val="20"/>
              </w:rPr>
            </w:pPr>
            <w:r w:rsidRPr="00354EAC">
              <w:rPr>
                <w:sz w:val="20"/>
                <w:szCs w:val="20"/>
              </w:rPr>
              <w:tab/>
              <w:t>4</w:t>
            </w:r>
            <w:r w:rsidRPr="00354EAC">
              <w:rPr>
                <w:sz w:val="20"/>
                <w:szCs w:val="20"/>
              </w:rPr>
              <w:tab/>
              <w:t xml:space="preserve">False or misleading information </w:t>
            </w:r>
          </w:p>
          <w:p w14:paraId="50EB6B05" w14:textId="77777777" w:rsidR="005814C8" w:rsidRPr="00354EAC" w:rsidRDefault="005814C8" w:rsidP="00A70EDD">
            <w:pPr>
              <w:pStyle w:val="DraftHeading2"/>
              <w:tabs>
                <w:tab w:val="right" w:pos="622"/>
              </w:tabs>
              <w:ind w:left="763" w:hanging="27"/>
              <w:rPr>
                <w:sz w:val="20"/>
              </w:rPr>
            </w:pPr>
            <w:r w:rsidRPr="00354EAC">
              <w:rPr>
                <w:sz w:val="20"/>
              </w:rPr>
              <w:lastRenderedPageBreak/>
              <w:t>An applicant for a hammer supply licence must not knowingly provide information to the Hardware Regulator that is false or misleading [in a material particular] in relation to the application.</w:t>
            </w:r>
          </w:p>
          <w:p w14:paraId="7275786E" w14:textId="77777777" w:rsidR="005814C8" w:rsidRDefault="005814C8" w:rsidP="00A70EDD">
            <w:pPr>
              <w:pStyle w:val="DraftPenalty2"/>
              <w:tabs>
                <w:tab w:val="clear" w:pos="851"/>
                <w:tab w:val="clear" w:pos="1361"/>
                <w:tab w:val="clear" w:pos="1871"/>
                <w:tab w:val="clear" w:pos="2381"/>
                <w:tab w:val="clear" w:pos="2892"/>
                <w:tab w:val="clear" w:pos="3402"/>
              </w:tabs>
              <w:ind w:left="1848" w:hanging="1080"/>
              <w:rPr>
                <w:sz w:val="20"/>
              </w:rPr>
            </w:pPr>
            <w:r w:rsidRPr="00354EAC">
              <w:rPr>
                <w:sz w:val="20"/>
              </w:rPr>
              <w:t>Penalty:</w:t>
            </w:r>
            <w:r w:rsidRPr="00354EAC">
              <w:rPr>
                <w:sz w:val="20"/>
              </w:rPr>
              <w:tab/>
              <w:t>[</w:t>
            </w:r>
            <w:r w:rsidRPr="00354EAC">
              <w:rPr>
                <w:i/>
                <w:sz w:val="20"/>
              </w:rPr>
              <w:t>penalty units</w:t>
            </w:r>
            <w:r w:rsidRPr="00354EAC">
              <w:rPr>
                <w:sz w:val="20"/>
              </w:rPr>
              <w:t>].</w:t>
            </w:r>
          </w:p>
          <w:p w14:paraId="38847EA6" w14:textId="77777777" w:rsidR="008445AC" w:rsidRPr="008445AC" w:rsidRDefault="008445AC" w:rsidP="00D13824"/>
          <w:p w14:paraId="1F99F718" w14:textId="77777777" w:rsidR="005814C8" w:rsidRPr="00354EAC" w:rsidRDefault="005814C8" w:rsidP="00A70EDD">
            <w:pPr>
              <w:pStyle w:val="DraftHeading1"/>
              <w:tabs>
                <w:tab w:val="right" w:pos="196"/>
              </w:tabs>
              <w:ind w:left="338" w:hanging="338"/>
              <w:rPr>
                <w:sz w:val="20"/>
                <w:szCs w:val="20"/>
              </w:rPr>
            </w:pPr>
            <w:r w:rsidRPr="00354EAC">
              <w:rPr>
                <w:sz w:val="20"/>
                <w:szCs w:val="20"/>
              </w:rPr>
              <w:tab/>
              <w:t>5</w:t>
            </w:r>
            <w:r w:rsidRPr="00354EAC">
              <w:rPr>
                <w:sz w:val="20"/>
                <w:szCs w:val="20"/>
              </w:rPr>
              <w:tab/>
              <w:t xml:space="preserve">Consideration of application </w:t>
            </w:r>
          </w:p>
          <w:p w14:paraId="2151C625" w14:textId="21578219" w:rsidR="005814C8" w:rsidRPr="00354EAC" w:rsidRDefault="005814C8" w:rsidP="00A70EDD">
            <w:pPr>
              <w:pStyle w:val="DraftHeading2"/>
              <w:tabs>
                <w:tab w:val="right" w:pos="622"/>
              </w:tabs>
              <w:ind w:left="763" w:hanging="763"/>
              <w:rPr>
                <w:sz w:val="20"/>
              </w:rPr>
            </w:pPr>
            <w:r w:rsidRPr="00354EAC">
              <w:rPr>
                <w:sz w:val="20"/>
              </w:rPr>
              <w:tab/>
              <w:t>(1)</w:t>
            </w:r>
            <w:r w:rsidRPr="00354EAC">
              <w:rPr>
                <w:sz w:val="20"/>
              </w:rPr>
              <w:tab/>
              <w:t>On receiving an application that complies with section 1, the Hardware Regulator</w:t>
            </w:r>
          </w:p>
          <w:p w14:paraId="592B4BC9" w14:textId="77777777" w:rsidR="005814C8" w:rsidRPr="00354EAC" w:rsidRDefault="005814C8" w:rsidP="00A70EDD">
            <w:pPr>
              <w:pStyle w:val="DraftHeading3"/>
              <w:tabs>
                <w:tab w:val="right" w:pos="1047"/>
              </w:tabs>
              <w:ind w:left="1189" w:hanging="1189"/>
              <w:rPr>
                <w:sz w:val="20"/>
              </w:rPr>
            </w:pPr>
            <w:r w:rsidRPr="00354EAC">
              <w:rPr>
                <w:sz w:val="20"/>
              </w:rPr>
              <w:tab/>
              <w:t>(a)</w:t>
            </w:r>
            <w:r w:rsidRPr="00354EAC">
              <w:rPr>
                <w:sz w:val="20"/>
              </w:rPr>
              <w:tab/>
              <w:t>may issue the hammer supply licence; or</w:t>
            </w:r>
          </w:p>
          <w:p w14:paraId="4C8BBB57" w14:textId="77777777" w:rsidR="005814C8" w:rsidRPr="00354EAC" w:rsidRDefault="005814C8" w:rsidP="00A70EDD">
            <w:pPr>
              <w:pStyle w:val="DraftHeading3"/>
              <w:tabs>
                <w:tab w:val="right" w:pos="1047"/>
              </w:tabs>
              <w:ind w:left="1189" w:hanging="1189"/>
              <w:rPr>
                <w:sz w:val="20"/>
              </w:rPr>
            </w:pPr>
            <w:r w:rsidRPr="00354EAC">
              <w:rPr>
                <w:sz w:val="20"/>
              </w:rPr>
              <w:tab/>
              <w:t>(b)</w:t>
            </w:r>
            <w:r w:rsidRPr="00354EAC">
              <w:rPr>
                <w:sz w:val="20"/>
              </w:rPr>
              <w:tab/>
              <w:t>may refuse to issue the hammer supply licence.</w:t>
            </w:r>
          </w:p>
          <w:p w14:paraId="11640374" w14:textId="1244C97D" w:rsidR="005814C8" w:rsidRPr="00354EAC" w:rsidRDefault="005814C8" w:rsidP="00A70EDD">
            <w:pPr>
              <w:pStyle w:val="DraftHeading2"/>
              <w:tabs>
                <w:tab w:val="right" w:pos="622"/>
              </w:tabs>
              <w:ind w:left="763" w:hanging="763"/>
              <w:rPr>
                <w:sz w:val="20"/>
              </w:rPr>
            </w:pPr>
            <w:r w:rsidRPr="00354EAC">
              <w:rPr>
                <w:sz w:val="20"/>
              </w:rPr>
              <w:tab/>
              <w:t>(2)</w:t>
            </w:r>
            <w:r w:rsidRPr="00354EAC">
              <w:rPr>
                <w:sz w:val="20"/>
              </w:rPr>
              <w:tab/>
              <w:t xml:space="preserve">In considering the application for a hammer supply licence, the Hardware Regulator must </w:t>
            </w:r>
            <w:proofErr w:type="gramStart"/>
            <w:r w:rsidRPr="00354EAC">
              <w:rPr>
                <w:sz w:val="20"/>
              </w:rPr>
              <w:t>take into account</w:t>
            </w:r>
            <w:proofErr w:type="gramEnd"/>
            <w:r w:rsidR="00BC2A24">
              <w:rPr>
                <w:sz w:val="20"/>
              </w:rPr>
              <w:t>:</w:t>
            </w:r>
          </w:p>
          <w:p w14:paraId="44E535E8" w14:textId="73F288B7" w:rsidR="005814C8" w:rsidRPr="00354EAC" w:rsidRDefault="005814C8" w:rsidP="00A70EDD">
            <w:pPr>
              <w:pStyle w:val="DraftHeading3"/>
              <w:tabs>
                <w:tab w:val="right" w:pos="1047"/>
              </w:tabs>
              <w:ind w:left="1189" w:hanging="1189"/>
              <w:rPr>
                <w:sz w:val="20"/>
              </w:rPr>
            </w:pPr>
            <w:r w:rsidRPr="00354EAC">
              <w:rPr>
                <w:sz w:val="20"/>
              </w:rPr>
              <w:tab/>
              <w:t>(a)</w:t>
            </w:r>
            <w:r w:rsidRPr="00354EAC">
              <w:rPr>
                <w:sz w:val="20"/>
              </w:rPr>
              <w:tab/>
              <w:t>whether the applicant has at any time been found guilty of any of the following</w:t>
            </w:r>
          </w:p>
          <w:p w14:paraId="2851EB09" w14:textId="77777777" w:rsidR="005814C8" w:rsidRPr="00354EAC" w:rsidRDefault="005814C8" w:rsidP="00A70EDD">
            <w:pPr>
              <w:pStyle w:val="DraftHeading4"/>
              <w:tabs>
                <w:tab w:val="right" w:pos="1456"/>
              </w:tabs>
              <w:ind w:left="1636" w:hanging="1636"/>
              <w:rPr>
                <w:sz w:val="20"/>
              </w:rPr>
            </w:pPr>
            <w:r w:rsidRPr="00354EAC">
              <w:rPr>
                <w:sz w:val="20"/>
              </w:rPr>
              <w:tab/>
              <w:t>(i)</w:t>
            </w:r>
            <w:r w:rsidRPr="00354EAC">
              <w:rPr>
                <w:sz w:val="20"/>
              </w:rPr>
              <w:tab/>
              <w:t xml:space="preserve">an offence against this Act or the </w:t>
            </w:r>
            <w:proofErr w:type="gramStart"/>
            <w:r w:rsidRPr="00354EAC">
              <w:rPr>
                <w:sz w:val="20"/>
              </w:rPr>
              <w:t>regulations;</w:t>
            </w:r>
            <w:proofErr w:type="gramEnd"/>
            <w:r w:rsidRPr="00354EAC">
              <w:rPr>
                <w:sz w:val="20"/>
              </w:rPr>
              <w:t xml:space="preserve"> </w:t>
            </w:r>
          </w:p>
          <w:p w14:paraId="69B2855E" w14:textId="77777777" w:rsidR="005814C8" w:rsidRPr="00354EAC" w:rsidRDefault="005814C8" w:rsidP="00A70EDD">
            <w:pPr>
              <w:pStyle w:val="DraftHeading4"/>
              <w:tabs>
                <w:tab w:val="right" w:pos="1456"/>
              </w:tabs>
              <w:ind w:left="1636" w:hanging="1636"/>
              <w:rPr>
                <w:sz w:val="20"/>
              </w:rPr>
            </w:pPr>
            <w:r w:rsidRPr="00354EAC">
              <w:rPr>
                <w:sz w:val="20"/>
              </w:rPr>
              <w:tab/>
              <w:t>(ii)</w:t>
            </w:r>
            <w:r w:rsidRPr="00354EAC">
              <w:rPr>
                <w:sz w:val="20"/>
              </w:rPr>
              <w:tab/>
              <w:t xml:space="preserve">an offence involving fraud or dishonesty, whether committed in Victoria or another </w:t>
            </w:r>
            <w:proofErr w:type="gramStart"/>
            <w:r w:rsidRPr="00354EAC">
              <w:rPr>
                <w:sz w:val="20"/>
              </w:rPr>
              <w:t>jurisdiction;</w:t>
            </w:r>
            <w:proofErr w:type="gramEnd"/>
          </w:p>
          <w:p w14:paraId="00B363D5" w14:textId="77777777" w:rsidR="005814C8" w:rsidRPr="00354EAC" w:rsidRDefault="005814C8" w:rsidP="00A70EDD">
            <w:pPr>
              <w:pStyle w:val="DraftHeading4"/>
              <w:tabs>
                <w:tab w:val="right" w:pos="1456"/>
              </w:tabs>
              <w:spacing w:after="120"/>
              <w:ind w:left="1636" w:hanging="1636"/>
              <w:rPr>
                <w:sz w:val="20"/>
              </w:rPr>
            </w:pPr>
            <w:r w:rsidRPr="00354EAC">
              <w:rPr>
                <w:sz w:val="20"/>
              </w:rPr>
              <w:tab/>
              <w:t>(iii)</w:t>
            </w:r>
            <w:r w:rsidRPr="00354EAC">
              <w:rPr>
                <w:sz w:val="20"/>
              </w:rPr>
              <w:tab/>
              <w:t xml:space="preserve">an offence against a law of another State, a Territory or the Commonwealth [another jurisdiction] that corresponds to this </w:t>
            </w:r>
            <w:proofErr w:type="gramStart"/>
            <w:r w:rsidRPr="00354EAC">
              <w:rPr>
                <w:sz w:val="20"/>
              </w:rPr>
              <w:t>Act;</w:t>
            </w:r>
            <w:proofErr w:type="gramEnd"/>
          </w:p>
          <w:p w14:paraId="71286548" w14:textId="77777777" w:rsidR="002F189E" w:rsidRDefault="002F189E" w:rsidP="00D42FB7"/>
          <w:p w14:paraId="03E39F28" w14:textId="77777777" w:rsidR="002F189E" w:rsidRDefault="002F189E" w:rsidP="00D42FB7"/>
          <w:p w14:paraId="1C14CD3D" w14:textId="77777777" w:rsidR="002F189E" w:rsidRPr="002F189E" w:rsidRDefault="002F189E" w:rsidP="00D13824"/>
          <w:p w14:paraId="7D099F71" w14:textId="77777777" w:rsidR="005814C8" w:rsidRPr="00354EAC" w:rsidRDefault="005814C8" w:rsidP="00A70EDD">
            <w:pPr>
              <w:pStyle w:val="DraftHeading3"/>
              <w:tabs>
                <w:tab w:val="right" w:pos="1047"/>
              </w:tabs>
              <w:ind w:left="1189" w:hanging="1189"/>
              <w:rPr>
                <w:sz w:val="20"/>
              </w:rPr>
            </w:pPr>
            <w:r w:rsidRPr="00354EAC">
              <w:rPr>
                <w:sz w:val="20"/>
              </w:rPr>
              <w:tab/>
              <w:t>(b)</w:t>
            </w:r>
            <w:r w:rsidRPr="00354EAC">
              <w:rPr>
                <w:sz w:val="20"/>
              </w:rPr>
              <w:tab/>
              <w:t xml:space="preserve">whether the applicant has been charged with an offence referred to in paragraph (a) and that charge has not been finally </w:t>
            </w:r>
            <w:proofErr w:type="gramStart"/>
            <w:r w:rsidRPr="00354EAC">
              <w:rPr>
                <w:sz w:val="20"/>
              </w:rPr>
              <w:t>determined;</w:t>
            </w:r>
            <w:proofErr w:type="gramEnd"/>
            <w:r w:rsidRPr="00354EAC">
              <w:rPr>
                <w:sz w:val="20"/>
              </w:rPr>
              <w:t xml:space="preserve"> </w:t>
            </w:r>
          </w:p>
          <w:p w14:paraId="7536B3AD" w14:textId="3A73B92F" w:rsidR="005814C8" w:rsidRPr="00354EAC" w:rsidRDefault="005814C8" w:rsidP="00A70EDD">
            <w:pPr>
              <w:pStyle w:val="DraftHeading3"/>
              <w:tabs>
                <w:tab w:val="right" w:pos="1047"/>
              </w:tabs>
              <w:ind w:left="1189" w:hanging="1189"/>
              <w:rPr>
                <w:sz w:val="20"/>
              </w:rPr>
            </w:pPr>
            <w:r w:rsidRPr="00354EAC">
              <w:rPr>
                <w:sz w:val="20"/>
              </w:rPr>
              <w:lastRenderedPageBreak/>
              <w:tab/>
              <w:t>(c)</w:t>
            </w:r>
            <w:r w:rsidRPr="00354EAC">
              <w:rPr>
                <w:sz w:val="20"/>
              </w:rPr>
              <w:tab/>
              <w:t xml:space="preserve">if the applicant holds or has held a licence or permit to supply hammers (however described) issued under a law of another State, a Territory or the Commonwealth that the Hardware Regulator considers to be the equivalent of a licence to supply hammers </w:t>
            </w:r>
          </w:p>
          <w:p w14:paraId="4E97E25E" w14:textId="77777777" w:rsidR="005814C8" w:rsidRPr="00354EAC" w:rsidRDefault="005814C8" w:rsidP="00A70EDD">
            <w:pPr>
              <w:pStyle w:val="DraftHeading4"/>
              <w:tabs>
                <w:tab w:val="right" w:pos="1456"/>
              </w:tabs>
              <w:ind w:left="1636" w:hanging="1636"/>
              <w:rPr>
                <w:sz w:val="20"/>
              </w:rPr>
            </w:pPr>
            <w:r w:rsidRPr="00354EAC">
              <w:rPr>
                <w:sz w:val="20"/>
              </w:rPr>
              <w:tab/>
              <w:t>(i)</w:t>
            </w:r>
            <w:r w:rsidRPr="00354EAC">
              <w:rPr>
                <w:sz w:val="20"/>
              </w:rPr>
              <w:tab/>
              <w:t xml:space="preserve">whether the applicant has contravened that licence or permit at any time; or </w:t>
            </w:r>
          </w:p>
          <w:p w14:paraId="33D406FE" w14:textId="77777777" w:rsidR="005814C8" w:rsidRPr="00354EAC" w:rsidRDefault="005814C8" w:rsidP="00A70EDD">
            <w:pPr>
              <w:pStyle w:val="DraftHeading4"/>
              <w:tabs>
                <w:tab w:val="right" w:pos="1456"/>
              </w:tabs>
              <w:ind w:left="1636" w:hanging="1636"/>
              <w:rPr>
                <w:sz w:val="20"/>
              </w:rPr>
            </w:pPr>
            <w:r w:rsidRPr="00354EAC">
              <w:rPr>
                <w:sz w:val="20"/>
              </w:rPr>
              <w:tab/>
              <w:t>(ii)</w:t>
            </w:r>
            <w:r w:rsidRPr="00354EAC">
              <w:rPr>
                <w:sz w:val="20"/>
              </w:rPr>
              <w:tab/>
              <w:t>whether, at any time, that licence or permit is or was suspended; or</w:t>
            </w:r>
          </w:p>
          <w:p w14:paraId="681D05C1" w14:textId="77777777" w:rsidR="005814C8" w:rsidRPr="00354EAC" w:rsidRDefault="005814C8" w:rsidP="00A70EDD">
            <w:pPr>
              <w:pStyle w:val="DraftHeading4"/>
              <w:tabs>
                <w:tab w:val="right" w:pos="1456"/>
              </w:tabs>
              <w:ind w:left="1636" w:hanging="1636"/>
              <w:rPr>
                <w:sz w:val="20"/>
              </w:rPr>
            </w:pPr>
            <w:r w:rsidRPr="00354EAC">
              <w:rPr>
                <w:sz w:val="20"/>
              </w:rPr>
              <w:t xml:space="preserve"> </w:t>
            </w:r>
            <w:r w:rsidRPr="00354EAC">
              <w:rPr>
                <w:sz w:val="20"/>
              </w:rPr>
              <w:tab/>
              <w:t>(iii)</w:t>
            </w:r>
            <w:r w:rsidRPr="00354EAC">
              <w:rPr>
                <w:sz w:val="20"/>
              </w:rPr>
              <w:tab/>
              <w:t>whether, at any time, that licence or permit is or was revoked.</w:t>
            </w:r>
          </w:p>
          <w:p w14:paraId="2D739A7D" w14:textId="3E20745A" w:rsidR="005814C8" w:rsidRPr="00354EAC" w:rsidRDefault="005814C8" w:rsidP="00A70EDD">
            <w:pPr>
              <w:pStyle w:val="DraftHeading2"/>
              <w:tabs>
                <w:tab w:val="right" w:pos="622"/>
              </w:tabs>
              <w:ind w:left="763" w:hanging="763"/>
              <w:rPr>
                <w:sz w:val="20"/>
              </w:rPr>
            </w:pPr>
            <w:r w:rsidRPr="00354EAC">
              <w:rPr>
                <w:sz w:val="20"/>
              </w:rPr>
              <w:t xml:space="preserve">   (3)    </w:t>
            </w:r>
            <w:r w:rsidRPr="00354EAC">
              <w:rPr>
                <w:sz w:val="20"/>
              </w:rPr>
              <w:tab/>
              <w:t>The Hardware Regulator must not issue the hammer supply licence</w:t>
            </w:r>
            <w:r w:rsidR="003C1D9D">
              <w:rPr>
                <w:sz w:val="20"/>
              </w:rPr>
              <w:t>:</w:t>
            </w:r>
          </w:p>
          <w:p w14:paraId="46FA8BF8" w14:textId="77777777" w:rsidR="005814C8" w:rsidRPr="00354EAC" w:rsidRDefault="005814C8" w:rsidP="00A70EDD">
            <w:pPr>
              <w:pStyle w:val="DraftHeading3"/>
              <w:tabs>
                <w:tab w:val="right" w:pos="1047"/>
              </w:tabs>
              <w:ind w:left="1189" w:hanging="1189"/>
              <w:rPr>
                <w:sz w:val="20"/>
              </w:rPr>
            </w:pPr>
            <w:r w:rsidRPr="00354EAC">
              <w:rPr>
                <w:sz w:val="20"/>
              </w:rPr>
              <w:tab/>
              <w:t>(a)</w:t>
            </w:r>
            <w:r w:rsidRPr="00354EAC">
              <w:rPr>
                <w:sz w:val="20"/>
              </w:rPr>
              <w:tab/>
              <w:t>unless the Hammer Regulator is satisfied that the person has appropriate skills, qualifications or experience to hold a hammer supply licence; or</w:t>
            </w:r>
          </w:p>
          <w:p w14:paraId="14D88BC7" w14:textId="77777777" w:rsidR="005814C8" w:rsidRPr="00354EAC" w:rsidRDefault="005814C8" w:rsidP="00A70EDD">
            <w:pPr>
              <w:pStyle w:val="DraftHeading3"/>
              <w:tabs>
                <w:tab w:val="right" w:pos="1047"/>
              </w:tabs>
              <w:ind w:left="1189" w:hanging="1189"/>
              <w:rPr>
                <w:sz w:val="20"/>
              </w:rPr>
            </w:pPr>
            <w:r w:rsidRPr="00354EAC">
              <w:rPr>
                <w:sz w:val="20"/>
              </w:rPr>
              <w:tab/>
              <w:t>(b)</w:t>
            </w:r>
            <w:r w:rsidRPr="00354EAC">
              <w:rPr>
                <w:sz w:val="20"/>
              </w:rPr>
              <w:tab/>
              <w:t xml:space="preserve">if the applicant is an insolvent under administration. </w:t>
            </w:r>
          </w:p>
          <w:p w14:paraId="52770D3C" w14:textId="77777777" w:rsidR="005814C8" w:rsidRPr="00354EAC" w:rsidRDefault="005814C8" w:rsidP="00A70EDD"/>
          <w:p w14:paraId="3C439CA0" w14:textId="77777777" w:rsidR="005814C8" w:rsidRPr="00354EAC" w:rsidRDefault="005814C8" w:rsidP="00A70EDD"/>
          <w:p w14:paraId="08DC7A33" w14:textId="77777777" w:rsidR="005814C8" w:rsidRPr="00354EAC" w:rsidRDefault="005814C8" w:rsidP="00A70EDD"/>
          <w:p w14:paraId="0D48A25D" w14:textId="77777777" w:rsidR="005814C8" w:rsidRPr="00354EAC" w:rsidRDefault="005814C8" w:rsidP="00A70EDD"/>
          <w:p w14:paraId="3689873A" w14:textId="77777777" w:rsidR="005814C8" w:rsidRPr="00354EAC" w:rsidRDefault="005814C8" w:rsidP="00A70EDD">
            <w:pPr>
              <w:pStyle w:val="DraftHeading4"/>
              <w:tabs>
                <w:tab w:val="right" w:pos="1456"/>
              </w:tabs>
              <w:rPr>
                <w:sz w:val="20"/>
              </w:rPr>
            </w:pPr>
          </w:p>
        </w:tc>
      </w:tr>
    </w:tbl>
    <w:p w14:paraId="39B8357D" w14:textId="77777777" w:rsidR="00D07962" w:rsidRDefault="00D07962" w:rsidP="007F79DE"/>
    <w:p w14:paraId="6316E5D9" w14:textId="6F73A15D" w:rsidR="004B2352" w:rsidRDefault="004B2352">
      <w:pPr>
        <w:rPr>
          <w:rFonts w:ascii="Arial" w:hAnsi="Arial" w:cs="Arial"/>
        </w:rPr>
      </w:pPr>
      <w:r>
        <w:rPr>
          <w:rFonts w:ascii="Arial" w:hAnsi="Arial" w:cs="Arial"/>
        </w:rPr>
        <w:br w:type="page"/>
      </w:r>
    </w:p>
    <w:p w14:paraId="6A9065FA" w14:textId="42E42E1A" w:rsidR="004B2352" w:rsidRDefault="00AB5FAE" w:rsidP="00394910">
      <w:pPr>
        <w:pStyle w:val="Heading1"/>
      </w:pPr>
      <w:bookmarkStart w:id="118" w:name="_Toc174538681"/>
      <w:bookmarkStart w:id="119" w:name="_Toc178780280"/>
      <w:r>
        <w:lastRenderedPageBreak/>
        <w:t xml:space="preserve">Appendix </w:t>
      </w:r>
      <w:r w:rsidR="004B2352">
        <w:t xml:space="preserve">B </w:t>
      </w:r>
      <w:r>
        <w:t xml:space="preserve">– </w:t>
      </w:r>
      <w:r w:rsidR="004B2352">
        <w:t xml:space="preserve">Consolidated </w:t>
      </w:r>
      <w:r w:rsidRPr="00394910">
        <w:rPr>
          <w:rStyle w:val="Heading1Char"/>
        </w:rPr>
        <w:t>list of resources</w:t>
      </w:r>
      <w:bookmarkEnd w:id="118"/>
      <w:bookmarkEnd w:id="119"/>
    </w:p>
    <w:tbl>
      <w:tblPr>
        <w:tblStyle w:val="DTFtexttable"/>
        <w:tblW w:w="9214" w:type="dxa"/>
        <w:tblLook w:val="04A0" w:firstRow="1" w:lastRow="0" w:firstColumn="1" w:lastColumn="0" w:noHBand="0" w:noVBand="1"/>
      </w:tblPr>
      <w:tblGrid>
        <w:gridCol w:w="2610"/>
        <w:gridCol w:w="6604"/>
      </w:tblGrid>
      <w:tr w:rsidR="00497484" w:rsidRPr="00DF20A8" w14:paraId="0E61E2ED" w14:textId="77777777" w:rsidTr="00C63AEE">
        <w:trPr>
          <w:cnfStyle w:val="100000000000" w:firstRow="1" w:lastRow="0" w:firstColumn="0" w:lastColumn="0" w:oddVBand="0" w:evenVBand="0" w:oddHBand="0" w:evenHBand="0" w:firstRowFirstColumn="0" w:firstRowLastColumn="0" w:lastRowFirstColumn="0" w:lastRowLastColumn="0"/>
          <w:trHeight w:val="1134"/>
        </w:trPr>
        <w:tc>
          <w:tcPr>
            <w:cnfStyle w:val="001000000100" w:firstRow="0" w:lastRow="0" w:firstColumn="1" w:lastColumn="0" w:oddVBand="0" w:evenVBand="0" w:oddHBand="0" w:evenHBand="0" w:firstRowFirstColumn="1" w:firstRowLastColumn="0" w:lastRowFirstColumn="0" w:lastRowLastColumn="0"/>
            <w:tcW w:w="2610" w:type="dxa"/>
            <w:vAlign w:val="center"/>
          </w:tcPr>
          <w:p w14:paraId="1EDCDD93" w14:textId="3A850053" w:rsidR="00497484" w:rsidRPr="00E509E5" w:rsidRDefault="00497484" w:rsidP="00D13824">
            <w:pPr>
              <w:pStyle w:val="Tableheader"/>
              <w:jc w:val="center"/>
              <w:rPr>
                <w:rFonts w:asciiTheme="majorHAnsi" w:hAnsiTheme="majorHAnsi"/>
              </w:rPr>
            </w:pPr>
            <w:r w:rsidRPr="00E509E5">
              <w:rPr>
                <w:rFonts w:asciiTheme="majorHAnsi" w:hAnsiTheme="majorHAnsi"/>
              </w:rPr>
              <w:t>Document title</w:t>
            </w:r>
          </w:p>
        </w:tc>
        <w:tc>
          <w:tcPr>
            <w:tcW w:w="6604" w:type="dxa"/>
          </w:tcPr>
          <w:p w14:paraId="1A2D018F" w14:textId="02C50BB5" w:rsidR="00497484" w:rsidRPr="00E509E5" w:rsidRDefault="00497484" w:rsidP="00E509E5">
            <w:pPr>
              <w:pStyle w:val="Tablehead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E509E5">
              <w:rPr>
                <w:rFonts w:asciiTheme="majorHAnsi" w:hAnsiTheme="majorHAnsi"/>
              </w:rPr>
              <w:t>URL</w:t>
            </w:r>
            <w:r w:rsidR="00557344" w:rsidRPr="00E509E5">
              <w:rPr>
                <w:rFonts w:asciiTheme="majorHAnsi" w:hAnsiTheme="majorHAnsi"/>
              </w:rPr>
              <w:t xml:space="preserve"> (if applicable)</w:t>
            </w:r>
          </w:p>
        </w:tc>
      </w:tr>
      <w:tr w:rsidR="56192DBB" w14:paraId="7103B42A" w14:textId="77777777" w:rsidTr="00C63AEE">
        <w:trPr>
          <w:trHeight w:val="300"/>
        </w:trPr>
        <w:tc>
          <w:tcPr>
            <w:cnfStyle w:val="001000000000" w:firstRow="0" w:lastRow="0" w:firstColumn="1" w:lastColumn="0" w:oddVBand="0" w:evenVBand="0" w:oddHBand="0" w:evenHBand="0" w:firstRowFirstColumn="0" w:firstRowLastColumn="0" w:lastRowFirstColumn="0" w:lastRowLastColumn="0"/>
            <w:tcW w:w="2610" w:type="dxa"/>
          </w:tcPr>
          <w:p w14:paraId="075E9EA4" w14:textId="23AF282F" w:rsidR="5CFEE28B" w:rsidRDefault="5CFEE28B" w:rsidP="00E509E5">
            <w:pPr>
              <w:pStyle w:val="Tabletext"/>
            </w:pPr>
            <w:r w:rsidRPr="56192DBB">
              <w:t xml:space="preserve">Better Regulation Victoria’s </w:t>
            </w:r>
            <w:r w:rsidRPr="00346052">
              <w:t>Towards best practice guide for regulators</w:t>
            </w:r>
          </w:p>
        </w:tc>
        <w:tc>
          <w:tcPr>
            <w:tcW w:w="6604" w:type="dxa"/>
          </w:tcPr>
          <w:p w14:paraId="64C8CC3E" w14:textId="414E0FB0" w:rsidR="5CFEE28B" w:rsidRPr="00E509E5" w:rsidRDefault="5CFEE28B" w:rsidP="00E509E5">
            <w:pPr>
              <w:pStyle w:val="Tabletext"/>
              <w:cnfStyle w:val="000000000000" w:firstRow="0" w:lastRow="0" w:firstColumn="0" w:lastColumn="0" w:oddVBand="0" w:evenVBand="0" w:oddHBand="0" w:evenHBand="0" w:firstRowFirstColumn="0" w:firstRowLastColumn="0" w:lastRowFirstColumn="0" w:lastRowLastColumn="0"/>
              <w:rPr>
                <w:rStyle w:val="Hyperlink"/>
              </w:rPr>
            </w:pPr>
            <w:hyperlink r:id="rId67" w:history="1">
              <w:r w:rsidRPr="00D13824">
                <w:rPr>
                  <w:rStyle w:val="Hyperlink"/>
                </w:rPr>
                <w:t>https://www.vic.gov.au/towards-best-practice-guide-regulators</w:t>
              </w:r>
            </w:hyperlink>
          </w:p>
        </w:tc>
      </w:tr>
      <w:tr w:rsidR="009E10D9" w14:paraId="72213DB7" w14:textId="77777777" w:rsidTr="00C63A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099A438F" w14:textId="77777777" w:rsidR="009E10D9" w:rsidRDefault="009E10D9" w:rsidP="00D13824">
            <w:pPr>
              <w:pStyle w:val="Tabletext"/>
            </w:pPr>
            <w:r>
              <w:t>Delegations Guidance Note</w:t>
            </w:r>
          </w:p>
        </w:tc>
        <w:tc>
          <w:tcPr>
            <w:tcW w:w="6604" w:type="dxa"/>
          </w:tcPr>
          <w:p w14:paraId="7E1E7952" w14:textId="276253B8" w:rsidR="009E10D9" w:rsidRDefault="00280FCB" w:rsidP="00D13824">
            <w:pPr>
              <w:pStyle w:val="Tabletext"/>
              <w:cnfStyle w:val="000000010000" w:firstRow="0" w:lastRow="0" w:firstColumn="0" w:lastColumn="0" w:oddVBand="0" w:evenVBand="0" w:oddHBand="0" w:evenHBand="1" w:firstRowFirstColumn="0" w:firstRowLastColumn="0" w:lastRowFirstColumn="0" w:lastRowLastColumn="0"/>
            </w:pPr>
            <w:hyperlink r:id="rId68" w:history="1">
              <w:r w:rsidRPr="006640A4">
                <w:rPr>
                  <w:rStyle w:val="Hyperlink"/>
                </w:rPr>
                <w:t>https://www.dtf.vic.gov.au/development-model-legislative-provisions</w:t>
              </w:r>
            </w:hyperlink>
            <w:r>
              <w:t xml:space="preserve"> </w:t>
            </w:r>
          </w:p>
        </w:tc>
      </w:tr>
      <w:tr w:rsidR="009E10D9" w14:paraId="01E246C6" w14:textId="77777777" w:rsidTr="00C63AEE">
        <w:tc>
          <w:tcPr>
            <w:cnfStyle w:val="001000000000" w:firstRow="0" w:lastRow="0" w:firstColumn="1" w:lastColumn="0" w:oddVBand="0" w:evenVBand="0" w:oddHBand="0" w:evenHBand="0" w:firstRowFirstColumn="0" w:firstRowLastColumn="0" w:lastRowFirstColumn="0" w:lastRowLastColumn="0"/>
            <w:tcW w:w="2610" w:type="dxa"/>
          </w:tcPr>
          <w:p w14:paraId="00498A4C" w14:textId="77777777" w:rsidR="009E10D9" w:rsidRDefault="009E10D9" w:rsidP="00D13824">
            <w:pPr>
              <w:pStyle w:val="Tabletext"/>
            </w:pPr>
            <w:r>
              <w:t>Department of Justice and Community Safety’s Guidance (on certification)</w:t>
            </w:r>
          </w:p>
        </w:tc>
        <w:tc>
          <w:tcPr>
            <w:tcW w:w="6604" w:type="dxa"/>
          </w:tcPr>
          <w:p w14:paraId="204B3FFB" w14:textId="77777777" w:rsidR="009E10D9" w:rsidRPr="00D13824" w:rsidRDefault="009E10D9" w:rsidP="00D13824">
            <w:pPr>
              <w:pStyle w:val="Tabletext"/>
              <w:cnfStyle w:val="000000000000" w:firstRow="0" w:lastRow="0" w:firstColumn="0" w:lastColumn="0" w:oddVBand="0" w:evenVBand="0" w:oddHBand="0" w:evenHBand="0" w:firstRowFirstColumn="0" w:firstRowLastColumn="0" w:lastRowFirstColumn="0" w:lastRowLastColumn="0"/>
              <w:rPr>
                <w:rStyle w:val="Hyperlink"/>
              </w:rPr>
            </w:pPr>
            <w:hyperlink r:id="rId69" w:history="1">
              <w:r w:rsidRPr="00D13824">
                <w:rPr>
                  <w:rStyle w:val="Hyperlink"/>
                </w:rPr>
                <w:t>https://www.justice.vic.gov.au/certifiedcopies</w:t>
              </w:r>
            </w:hyperlink>
          </w:p>
        </w:tc>
      </w:tr>
      <w:tr w:rsidR="009E10D9" w14:paraId="1612AB9F" w14:textId="77777777" w:rsidTr="00C63A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60C1B979" w14:textId="77777777" w:rsidR="009E10D9" w:rsidRDefault="009E10D9" w:rsidP="00D13824">
            <w:pPr>
              <w:pStyle w:val="Tabletext"/>
            </w:pPr>
            <w:r>
              <w:t>Department of Justice and Community Safety’s Guidance (on spent convictions)</w:t>
            </w:r>
          </w:p>
        </w:tc>
        <w:tc>
          <w:tcPr>
            <w:tcW w:w="6604" w:type="dxa"/>
          </w:tcPr>
          <w:p w14:paraId="02F542DC" w14:textId="77777777" w:rsidR="009E10D9" w:rsidRPr="00D13824" w:rsidRDefault="009E10D9" w:rsidP="00D13824">
            <w:pPr>
              <w:pStyle w:val="Tabletext"/>
              <w:cnfStyle w:val="000000010000" w:firstRow="0" w:lastRow="0" w:firstColumn="0" w:lastColumn="0" w:oddVBand="0" w:evenVBand="0" w:oddHBand="0" w:evenHBand="1" w:firstRowFirstColumn="0" w:firstRowLastColumn="0" w:lastRowFirstColumn="0" w:lastRowLastColumn="0"/>
              <w:rPr>
                <w:rStyle w:val="Hyperlink"/>
              </w:rPr>
            </w:pPr>
            <w:hyperlink r:id="rId70" w:history="1">
              <w:r w:rsidRPr="00D13824">
                <w:rPr>
                  <w:rStyle w:val="Hyperlink"/>
                </w:rPr>
                <w:t>https://www.justice.vic.gov.au/spent-convictions</w:t>
              </w:r>
            </w:hyperlink>
          </w:p>
        </w:tc>
      </w:tr>
      <w:tr w:rsidR="009E10D9" w14:paraId="06049FB9" w14:textId="77777777" w:rsidTr="00C63AEE">
        <w:tc>
          <w:tcPr>
            <w:cnfStyle w:val="001000000000" w:firstRow="0" w:lastRow="0" w:firstColumn="1" w:lastColumn="0" w:oddVBand="0" w:evenVBand="0" w:oddHBand="0" w:evenHBand="0" w:firstRowFirstColumn="0" w:firstRowLastColumn="0" w:lastRowFirstColumn="0" w:lastRowLastColumn="0"/>
            <w:tcW w:w="2610" w:type="dxa"/>
          </w:tcPr>
          <w:p w14:paraId="654EA0FE" w14:textId="77777777" w:rsidR="009E10D9" w:rsidRDefault="009E10D9" w:rsidP="00D13824">
            <w:pPr>
              <w:pStyle w:val="Tabletext"/>
            </w:pPr>
            <w:r>
              <w:t>Health Complaint Commissioner’s Guidance on the HR Act</w:t>
            </w:r>
          </w:p>
        </w:tc>
        <w:tc>
          <w:tcPr>
            <w:tcW w:w="6604" w:type="dxa"/>
          </w:tcPr>
          <w:p w14:paraId="148323E4" w14:textId="77777777" w:rsidR="009E10D9" w:rsidRPr="00D13824" w:rsidRDefault="009E10D9" w:rsidP="00D13824">
            <w:pPr>
              <w:pStyle w:val="Tabletext"/>
              <w:cnfStyle w:val="000000000000" w:firstRow="0" w:lastRow="0" w:firstColumn="0" w:lastColumn="0" w:oddVBand="0" w:evenVBand="0" w:oddHBand="0" w:evenHBand="0" w:firstRowFirstColumn="0" w:firstRowLastColumn="0" w:lastRowFirstColumn="0" w:lastRowLastColumn="0"/>
              <w:rPr>
                <w:rStyle w:val="Hyperlink"/>
              </w:rPr>
            </w:pPr>
            <w:hyperlink r:id="rId71" w:history="1">
              <w:r w:rsidRPr="00D13824">
                <w:rPr>
                  <w:rStyle w:val="Hyperlink"/>
                </w:rPr>
                <w:t>https://hcc.vic.gov.au/public/health-records-individuals</w:t>
              </w:r>
            </w:hyperlink>
          </w:p>
        </w:tc>
      </w:tr>
      <w:tr w:rsidR="009E10D9" w14:paraId="0AA2A250" w14:textId="77777777" w:rsidTr="00C63A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7A703107" w14:textId="77777777" w:rsidR="009E10D9" w:rsidRDefault="009E10D9" w:rsidP="00D13824">
            <w:pPr>
              <w:pStyle w:val="Tabletext"/>
            </w:pPr>
            <w:r>
              <w:t>Information about spent convictions, generally</w:t>
            </w:r>
          </w:p>
        </w:tc>
        <w:tc>
          <w:tcPr>
            <w:tcW w:w="6604" w:type="dxa"/>
          </w:tcPr>
          <w:p w14:paraId="3D15DBEB" w14:textId="77777777" w:rsidR="009E10D9" w:rsidRPr="00D13824" w:rsidRDefault="009E10D9" w:rsidP="00D13824">
            <w:pPr>
              <w:pStyle w:val="Tabletext"/>
              <w:cnfStyle w:val="000000010000" w:firstRow="0" w:lastRow="0" w:firstColumn="0" w:lastColumn="0" w:oddVBand="0" w:evenVBand="0" w:oddHBand="0" w:evenHBand="1" w:firstRowFirstColumn="0" w:firstRowLastColumn="0" w:lastRowFirstColumn="0" w:lastRowLastColumn="0"/>
              <w:rPr>
                <w:rStyle w:val="Hyperlink"/>
              </w:rPr>
            </w:pPr>
            <w:hyperlink r:id="rId72" w:history="1">
              <w:r w:rsidRPr="00D13824">
                <w:rPr>
                  <w:rStyle w:val="Hyperlink"/>
                </w:rPr>
                <w:t>https://www.justice.vic.gov.au/spent-convictions</w:t>
              </w:r>
            </w:hyperlink>
          </w:p>
        </w:tc>
      </w:tr>
      <w:tr w:rsidR="009E10D9" w14:paraId="095F5256" w14:textId="77777777" w:rsidTr="00C63AEE">
        <w:tc>
          <w:tcPr>
            <w:cnfStyle w:val="001000000000" w:firstRow="0" w:lastRow="0" w:firstColumn="1" w:lastColumn="0" w:oddVBand="0" w:evenVBand="0" w:oddHBand="0" w:evenHBand="0" w:firstRowFirstColumn="0" w:firstRowLastColumn="0" w:lastRowFirstColumn="0" w:lastRowLastColumn="0"/>
            <w:tcW w:w="2610" w:type="dxa"/>
          </w:tcPr>
          <w:p w14:paraId="1C3985AC" w14:textId="77777777" w:rsidR="009E10D9" w:rsidRPr="004700E6" w:rsidRDefault="009E10D9" w:rsidP="00D13824">
            <w:pPr>
              <w:pStyle w:val="Tabletext"/>
              <w:rPr>
                <w:i/>
                <w:iCs/>
              </w:rPr>
            </w:pPr>
            <w:r>
              <w:t xml:space="preserve">Information about statutory review of the </w:t>
            </w:r>
            <w:r>
              <w:rPr>
                <w:i/>
                <w:iCs/>
              </w:rPr>
              <w:t>Spent Convictions Act 2021</w:t>
            </w:r>
          </w:p>
        </w:tc>
        <w:tc>
          <w:tcPr>
            <w:tcW w:w="6604" w:type="dxa"/>
          </w:tcPr>
          <w:p w14:paraId="65C9CA35" w14:textId="77777777" w:rsidR="009E10D9" w:rsidRPr="00D13824" w:rsidRDefault="009E10D9" w:rsidP="00D13824">
            <w:pPr>
              <w:pStyle w:val="Tabletext"/>
              <w:cnfStyle w:val="000000000000" w:firstRow="0" w:lastRow="0" w:firstColumn="0" w:lastColumn="0" w:oddVBand="0" w:evenVBand="0" w:oddHBand="0" w:evenHBand="0" w:firstRowFirstColumn="0" w:firstRowLastColumn="0" w:lastRowFirstColumn="0" w:lastRowLastColumn="0"/>
              <w:rPr>
                <w:rStyle w:val="Hyperlink"/>
              </w:rPr>
            </w:pPr>
            <w:hyperlink r:id="rId73" w:history="1">
              <w:r w:rsidRPr="00D13824">
                <w:rPr>
                  <w:rStyle w:val="Hyperlink"/>
                </w:rPr>
                <w:t>https://engage.vic.gov.au/review-of-the-spent-convictions-act-2021</w:t>
              </w:r>
            </w:hyperlink>
          </w:p>
        </w:tc>
      </w:tr>
      <w:tr w:rsidR="009E10D9" w14:paraId="123391D9" w14:textId="77777777" w:rsidTr="00C63A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28E6631E" w14:textId="77777777" w:rsidR="009E10D9" w:rsidRDefault="009E10D9" w:rsidP="00D13824">
            <w:pPr>
              <w:pStyle w:val="Tabletext"/>
            </w:pPr>
            <w:r>
              <w:t>OCPC Legislative Process Handbook</w:t>
            </w:r>
          </w:p>
        </w:tc>
        <w:tc>
          <w:tcPr>
            <w:tcW w:w="6604" w:type="dxa"/>
          </w:tcPr>
          <w:p w14:paraId="29754061" w14:textId="77777777" w:rsidR="009E10D9" w:rsidRPr="00D13824" w:rsidRDefault="009E10D9" w:rsidP="00D13824">
            <w:pPr>
              <w:pStyle w:val="Tabletext"/>
              <w:cnfStyle w:val="000000010000" w:firstRow="0" w:lastRow="0" w:firstColumn="0" w:lastColumn="0" w:oddVBand="0" w:evenVBand="0" w:oddHBand="0" w:evenHBand="1" w:firstRowFirstColumn="0" w:firstRowLastColumn="0" w:lastRowFirstColumn="0" w:lastRowLastColumn="0"/>
              <w:rPr>
                <w:rStyle w:val="Hyperlink"/>
              </w:rPr>
            </w:pPr>
            <w:hyperlink r:id="rId74" w:history="1">
              <w:r w:rsidRPr="00D13824">
                <w:rPr>
                  <w:rStyle w:val="Hyperlink"/>
                </w:rPr>
                <w:t>https://content.vic.gov.au/sites/default/files/2020-06/Legislative Process Handbook June2020.pdf</w:t>
              </w:r>
            </w:hyperlink>
          </w:p>
        </w:tc>
      </w:tr>
      <w:tr w:rsidR="009E10D9" w14:paraId="6B82FC5A" w14:textId="77777777" w:rsidTr="00C63AEE">
        <w:tc>
          <w:tcPr>
            <w:cnfStyle w:val="001000000000" w:firstRow="0" w:lastRow="0" w:firstColumn="1" w:lastColumn="0" w:oddVBand="0" w:evenVBand="0" w:oddHBand="0" w:evenHBand="0" w:firstRowFirstColumn="0" w:firstRowLastColumn="0" w:lastRowFirstColumn="0" w:lastRowLastColumn="0"/>
            <w:tcW w:w="2610" w:type="dxa"/>
          </w:tcPr>
          <w:p w14:paraId="5F6EE5AE" w14:textId="77777777" w:rsidR="009E10D9" w:rsidRDefault="009E10D9" w:rsidP="00D13824">
            <w:pPr>
              <w:pStyle w:val="Tabletext"/>
            </w:pPr>
            <w:r>
              <w:t>Office of the Victorian Information Commissioner’s Guidance on the PDP Act</w:t>
            </w:r>
          </w:p>
        </w:tc>
        <w:tc>
          <w:tcPr>
            <w:tcW w:w="6604" w:type="dxa"/>
          </w:tcPr>
          <w:p w14:paraId="3C6E38BA" w14:textId="77777777" w:rsidR="009E10D9" w:rsidRPr="00D13824" w:rsidRDefault="009E10D9" w:rsidP="00D13824">
            <w:pPr>
              <w:pStyle w:val="Tabletext"/>
              <w:cnfStyle w:val="000000000000" w:firstRow="0" w:lastRow="0" w:firstColumn="0" w:lastColumn="0" w:oddVBand="0" w:evenVBand="0" w:oddHBand="0" w:evenHBand="0" w:firstRowFirstColumn="0" w:firstRowLastColumn="0" w:lastRowFirstColumn="0" w:lastRowLastColumn="0"/>
              <w:rPr>
                <w:rStyle w:val="Hyperlink"/>
              </w:rPr>
            </w:pPr>
            <w:hyperlink r:id="rId75" w:history="1">
              <w:r w:rsidRPr="00D13824">
                <w:rPr>
                  <w:rStyle w:val="Hyperlink"/>
                </w:rPr>
                <w:t>https://ovic.vic.gov.au/privacy/resources-for-organisations/privacy-officer-toolkit/the-pdp-act-a-deep-dive/</w:t>
              </w:r>
            </w:hyperlink>
          </w:p>
        </w:tc>
      </w:tr>
      <w:tr w:rsidR="009E10D9" w14:paraId="7C20718A" w14:textId="77777777" w:rsidTr="00C63A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1B17FF29" w14:textId="77777777" w:rsidR="009E10D9" w:rsidRDefault="009E10D9" w:rsidP="00D13824">
            <w:pPr>
              <w:pStyle w:val="Tabletext"/>
            </w:pPr>
            <w:r>
              <w:t>Service Victoria Identity Verification Standards</w:t>
            </w:r>
          </w:p>
        </w:tc>
        <w:tc>
          <w:tcPr>
            <w:tcW w:w="6604" w:type="dxa"/>
          </w:tcPr>
          <w:p w14:paraId="02A4821E" w14:textId="77777777" w:rsidR="009E10D9" w:rsidRPr="00D13824" w:rsidRDefault="009E10D9" w:rsidP="00D13824">
            <w:pPr>
              <w:pStyle w:val="Tabletext"/>
              <w:cnfStyle w:val="000000010000" w:firstRow="0" w:lastRow="0" w:firstColumn="0" w:lastColumn="0" w:oddVBand="0" w:evenVBand="0" w:oddHBand="0" w:evenHBand="1" w:firstRowFirstColumn="0" w:firstRowLastColumn="0" w:lastRowFirstColumn="0" w:lastRowLastColumn="0"/>
              <w:rPr>
                <w:rStyle w:val="Hyperlink"/>
              </w:rPr>
            </w:pPr>
            <w:hyperlink r:id="rId76" w:history="1">
              <w:r w:rsidRPr="00D13824">
                <w:rPr>
                  <w:rStyle w:val="Hyperlink"/>
                </w:rPr>
                <w:t>https://service.vic.gov.au/about-us/service-victoria-identity-verification-standards</w:t>
              </w:r>
            </w:hyperlink>
          </w:p>
        </w:tc>
      </w:tr>
      <w:tr w:rsidR="009E10D9" w14:paraId="519E6FC3" w14:textId="77777777" w:rsidTr="00C63AEE">
        <w:tc>
          <w:tcPr>
            <w:cnfStyle w:val="001000000000" w:firstRow="0" w:lastRow="0" w:firstColumn="1" w:lastColumn="0" w:oddVBand="0" w:evenVBand="0" w:oddHBand="0" w:evenHBand="0" w:firstRowFirstColumn="0" w:firstRowLastColumn="0" w:lastRowFirstColumn="0" w:lastRowLastColumn="0"/>
            <w:tcW w:w="2610" w:type="dxa"/>
          </w:tcPr>
          <w:p w14:paraId="03B0C7A1" w14:textId="77777777" w:rsidR="009E10D9" w:rsidRDefault="009E10D9" w:rsidP="00D13824">
            <w:pPr>
              <w:pStyle w:val="Tabletext"/>
            </w:pPr>
            <w:r>
              <w:t>Victorian Equal Opportunity and Human Rights Commission’s Guidance</w:t>
            </w:r>
          </w:p>
        </w:tc>
        <w:tc>
          <w:tcPr>
            <w:tcW w:w="6604" w:type="dxa"/>
          </w:tcPr>
          <w:p w14:paraId="2FE725B5" w14:textId="77777777" w:rsidR="009E10D9" w:rsidRPr="00D13824" w:rsidRDefault="009E10D9" w:rsidP="00D13824">
            <w:pPr>
              <w:pStyle w:val="Tabletext"/>
              <w:cnfStyle w:val="000000000000" w:firstRow="0" w:lastRow="0" w:firstColumn="0" w:lastColumn="0" w:oddVBand="0" w:evenVBand="0" w:oddHBand="0" w:evenHBand="0" w:firstRowFirstColumn="0" w:firstRowLastColumn="0" w:lastRowFirstColumn="0" w:lastRowLastColumn="0"/>
              <w:rPr>
                <w:rStyle w:val="Hyperlink"/>
              </w:rPr>
            </w:pPr>
            <w:hyperlink r:id="rId77" w:history="1">
              <w:r w:rsidRPr="00D13824">
                <w:rPr>
                  <w:rStyle w:val="Hyperlink"/>
                </w:rPr>
                <w:t>https://www.humanrights.vic.gov.au/legal-and-policy/victorias-human-rights-laws/the-charter/</w:t>
              </w:r>
            </w:hyperlink>
          </w:p>
        </w:tc>
      </w:tr>
      <w:tr w:rsidR="009E10D9" w14:paraId="1065AE90" w14:textId="77777777" w:rsidTr="00C63A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463271F8" w14:textId="77777777" w:rsidR="009E10D9" w:rsidRDefault="009E10D9" w:rsidP="00D13824">
            <w:pPr>
              <w:pStyle w:val="Tabletext"/>
            </w:pPr>
            <w:r>
              <w:t>Victorian Framework for Fit and Proper Tests</w:t>
            </w:r>
          </w:p>
        </w:tc>
        <w:tc>
          <w:tcPr>
            <w:tcW w:w="6604" w:type="dxa"/>
          </w:tcPr>
          <w:p w14:paraId="184B00AD" w14:textId="77777777" w:rsidR="009E10D9" w:rsidRPr="00D13824" w:rsidRDefault="009E10D9" w:rsidP="00D13824">
            <w:pPr>
              <w:pStyle w:val="Tabletext"/>
              <w:cnfStyle w:val="000000010000" w:firstRow="0" w:lastRow="0" w:firstColumn="0" w:lastColumn="0" w:oddVBand="0" w:evenVBand="0" w:oddHBand="0" w:evenHBand="1" w:firstRowFirstColumn="0" w:firstRowLastColumn="0" w:lastRowFirstColumn="0" w:lastRowLastColumn="0"/>
              <w:rPr>
                <w:rStyle w:val="Hyperlink"/>
              </w:rPr>
            </w:pPr>
            <w:hyperlink r:id="rId78" w:history="1">
              <w:r w:rsidRPr="00D13824">
                <w:rPr>
                  <w:rStyle w:val="Hyperlink"/>
                </w:rPr>
                <w:t>https://www.vic.gov.au/victorian-permissions-framework-guidance</w:t>
              </w:r>
            </w:hyperlink>
          </w:p>
        </w:tc>
      </w:tr>
      <w:tr w:rsidR="009E10D9" w14:paraId="0876BBC0" w14:textId="77777777" w:rsidTr="00C63AEE">
        <w:tc>
          <w:tcPr>
            <w:cnfStyle w:val="001000000000" w:firstRow="0" w:lastRow="0" w:firstColumn="1" w:lastColumn="0" w:oddVBand="0" w:evenVBand="0" w:oddHBand="0" w:evenHBand="0" w:firstRowFirstColumn="0" w:firstRowLastColumn="0" w:lastRowFirstColumn="0" w:lastRowLastColumn="0"/>
            <w:tcW w:w="2610" w:type="dxa"/>
          </w:tcPr>
          <w:p w14:paraId="27E68941" w14:textId="77777777" w:rsidR="009E10D9" w:rsidRDefault="009E10D9" w:rsidP="00D13824">
            <w:pPr>
              <w:pStyle w:val="Tabletext"/>
            </w:pPr>
            <w:r>
              <w:t>Victorian Permissions Framework</w:t>
            </w:r>
          </w:p>
        </w:tc>
        <w:tc>
          <w:tcPr>
            <w:tcW w:w="6604" w:type="dxa"/>
          </w:tcPr>
          <w:p w14:paraId="522C4C44" w14:textId="77777777" w:rsidR="009E10D9" w:rsidRPr="00D13824" w:rsidRDefault="009E10D9" w:rsidP="00D13824">
            <w:pPr>
              <w:pStyle w:val="Tabletext"/>
              <w:cnfStyle w:val="000000000000" w:firstRow="0" w:lastRow="0" w:firstColumn="0" w:lastColumn="0" w:oddVBand="0" w:evenVBand="0" w:oddHBand="0" w:evenHBand="0" w:firstRowFirstColumn="0" w:firstRowLastColumn="0" w:lastRowFirstColumn="0" w:lastRowLastColumn="0"/>
              <w:rPr>
                <w:rStyle w:val="Hyperlink"/>
              </w:rPr>
            </w:pPr>
            <w:hyperlink r:id="rId79" w:history="1">
              <w:r w:rsidRPr="00D13824">
                <w:rPr>
                  <w:rStyle w:val="Hyperlink"/>
                </w:rPr>
                <w:t>https://www.vic.gov.au/victorian-permissions-framework-guidance</w:t>
              </w:r>
            </w:hyperlink>
          </w:p>
        </w:tc>
      </w:tr>
    </w:tbl>
    <w:p w14:paraId="3DDF96D0" w14:textId="77777777" w:rsidR="00B357E6" w:rsidRPr="00B51E4A" w:rsidRDefault="00B357E6" w:rsidP="00B357E6"/>
    <w:p w14:paraId="45A97E4E" w14:textId="77777777" w:rsidR="00B357E6" w:rsidRDefault="00B357E6" w:rsidP="00B357E6"/>
    <w:p w14:paraId="125F60E3" w14:textId="77777777" w:rsidR="00B357E6" w:rsidRDefault="00B357E6" w:rsidP="00B357E6">
      <w:pPr>
        <w:sectPr w:rsidR="00B357E6" w:rsidSect="00AD7A87">
          <w:headerReference w:type="default" r:id="rId80"/>
          <w:footerReference w:type="default" r:id="rId81"/>
          <w:pgSz w:w="11906" w:h="16838" w:code="9"/>
          <w:pgMar w:top="2160" w:right="1440" w:bottom="1584" w:left="1440" w:header="706" w:footer="461" w:gutter="0"/>
          <w:pgNumType w:start="1"/>
          <w:cols w:space="708"/>
          <w:docGrid w:linePitch="360"/>
        </w:sectPr>
      </w:pPr>
    </w:p>
    <w:p w14:paraId="7014A32D" w14:textId="77777777" w:rsidR="00B357E6" w:rsidRPr="00D2312F" w:rsidRDefault="00B357E6" w:rsidP="00B357E6"/>
    <w:p w14:paraId="449CF026" w14:textId="77777777" w:rsidR="00B357E6" w:rsidRPr="00CB64B3" w:rsidRDefault="00B357E6" w:rsidP="00DF20A8"/>
    <w:sectPr w:rsidR="00B357E6" w:rsidRPr="00CB64B3" w:rsidSect="00D13824">
      <w:headerReference w:type="default" r:id="rId82"/>
      <w:footerReference w:type="even" r:id="rId83"/>
      <w:footerReference w:type="default" r:id="rId84"/>
      <w:footerReference w:type="first" r:id="rId85"/>
      <w:pgSz w:w="11906" w:h="16838" w:code="9"/>
      <w:pgMar w:top="2160" w:right="1440" w:bottom="1584" w:left="1440" w:header="706" w:footer="461"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5E60E" w14:textId="77777777" w:rsidR="00AD4C74" w:rsidRDefault="00AD4C74" w:rsidP="00CE3C13">
      <w:pPr>
        <w:spacing w:after="0" w:line="240" w:lineRule="auto"/>
      </w:pPr>
      <w:r>
        <w:separator/>
      </w:r>
    </w:p>
  </w:endnote>
  <w:endnote w:type="continuationSeparator" w:id="0">
    <w:p w14:paraId="2AA9AA43" w14:textId="77777777" w:rsidR="00AD4C74" w:rsidRDefault="00AD4C74" w:rsidP="00CE3C13">
      <w:pPr>
        <w:spacing w:after="0" w:line="240" w:lineRule="auto"/>
      </w:pPr>
      <w:r>
        <w:continuationSeparator/>
      </w:r>
    </w:p>
  </w:endnote>
  <w:endnote w:type="continuationNotice" w:id="1">
    <w:p w14:paraId="6CAACA46" w14:textId="77777777" w:rsidR="00AD4C74" w:rsidRDefault="00AD4C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VIC">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IC SemiBold">
    <w:panose1 w:val="000007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C442" w14:textId="77777777" w:rsidR="00953A15" w:rsidRDefault="00953A15">
    <w:pPr>
      <w:pStyle w:val="Spacer"/>
    </w:pPr>
  </w:p>
  <w:p w14:paraId="00980D18" w14:textId="77777777" w:rsidR="00953A15" w:rsidRDefault="00953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6472D" w14:textId="568AF213" w:rsidR="00953A15" w:rsidRDefault="00953A15">
    <w:pPr>
      <w:pStyle w:val="Spacer"/>
    </w:pPr>
    <w:r>
      <w:rPr>
        <w:noProof/>
      </w:rPr>
      <w:drawing>
        <wp:anchor distT="0" distB="0" distL="114300" distR="114300" simplePos="0" relativeHeight="251658241" behindDoc="0" locked="0" layoutInCell="1" allowOverlap="1" wp14:anchorId="5634E5FA" wp14:editId="22333F3A">
          <wp:simplePos x="0" y="0"/>
          <wp:positionH relativeFrom="page">
            <wp:posOffset>5314820</wp:posOffset>
          </wp:positionH>
          <wp:positionV relativeFrom="page">
            <wp:posOffset>9811910</wp:posOffset>
          </wp:positionV>
          <wp:extent cx="1536192" cy="457200"/>
          <wp:effectExtent l="0" t="0" r="6985" b="0"/>
          <wp:wrapNone/>
          <wp:docPr id="1977315210"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14:sizeRelH relativeFrom="margin">
            <wp14:pctWidth>0</wp14:pctWidth>
          </wp14:sizeRelH>
          <wp14:sizeRelV relativeFrom="margin">
            <wp14:pctHeight>0</wp14:pctHeight>
          </wp14:sizeRelV>
        </wp:anchor>
      </w:drawing>
    </w:r>
  </w:p>
  <w:p w14:paraId="59D551F4" w14:textId="77777777" w:rsidR="00953A15" w:rsidRDefault="00953A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B2A52" w14:textId="77777777" w:rsidR="00953A15" w:rsidRDefault="00953A15">
    <w:pPr>
      <w:pStyle w:val="Spacer"/>
    </w:pPr>
  </w:p>
  <w:p w14:paraId="44233FB7" w14:textId="77777777" w:rsidR="00953A15" w:rsidRPr="00297281" w:rsidRDefault="00953A15">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ii</w:t>
    </w:r>
    <w:r w:rsidRPr="00297281">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8E89B" w14:textId="2615CB29" w:rsidR="00953A15" w:rsidRDefault="00953A15">
    <w:pPr>
      <w:pStyle w:val="Footer"/>
      <w:jc w:val="right"/>
    </w:pPr>
    <w:r>
      <w:fldChar w:fldCharType="begin"/>
    </w:r>
    <w:r>
      <w:instrText xml:space="preserve"> page </w:instrText>
    </w:r>
    <w:r>
      <w:fldChar w:fldCharType="separate"/>
    </w:r>
    <w:r>
      <w:t>i</w:t>
    </w:r>
    <w:r>
      <w:fldChar w:fldCharType="end"/>
    </w:r>
  </w:p>
  <w:p w14:paraId="1D207926" w14:textId="77777777" w:rsidR="00953A15" w:rsidRDefault="00953A1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279BA" w14:textId="11322514" w:rsidR="00B357E6" w:rsidRDefault="00B357E6">
    <w:pPr>
      <w:pStyle w:val="Footer"/>
      <w:tabs>
        <w:tab w:val="clear" w:pos="9026"/>
        <w:tab w:val="right" w:pos="14040"/>
      </w:tabs>
      <w:rPr>
        <w:rStyle w:val="PageNumber"/>
      </w:rPr>
    </w:pPr>
    <w:r w:rsidRPr="0054503A">
      <w:rPr>
        <w:b/>
        <w:bCs/>
        <w:noProof w:val="0"/>
      </w:rPr>
      <w:fldChar w:fldCharType="begin"/>
    </w:r>
    <w:r w:rsidRPr="0054503A">
      <w:rPr>
        <w:b/>
        <w:bCs/>
      </w:rPr>
      <w:instrText xml:space="preserve"> StyleRef “Title” </w:instrText>
    </w:r>
    <w:r w:rsidRPr="0054503A">
      <w:rPr>
        <w:b/>
        <w:bCs/>
        <w:noProof w:val="0"/>
      </w:rPr>
      <w:fldChar w:fldCharType="separate"/>
    </w:r>
    <w:r w:rsidR="00011341">
      <w:rPr>
        <w:b/>
        <w:bCs/>
      </w:rPr>
      <w:t>Guidance on Adopting Model Legislative Provisions</w:t>
    </w:r>
    <w:r w:rsidRPr="0054503A">
      <w:rPr>
        <w:b/>
        <w:bCs/>
      </w:rPr>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p w14:paraId="5B2482CD" w14:textId="77777777" w:rsidR="00B357E6" w:rsidRPr="00C022F9" w:rsidRDefault="00B357E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8E683" w14:textId="6DEE50C3" w:rsidR="00360D61" w:rsidRDefault="00360D6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B2F22" w14:textId="6B5DB8AB" w:rsidR="007A5421" w:rsidRPr="00CE3C13" w:rsidRDefault="0075052E" w:rsidP="00D13824">
    <w:pPr>
      <w:pStyle w:val="Footer"/>
      <w:tabs>
        <w:tab w:val="clear" w:pos="9026"/>
        <w:tab w:val="right" w:pos="14040"/>
      </w:tabs>
    </w:pPr>
    <w:r>
      <w:drawing>
        <wp:anchor distT="0" distB="0" distL="114300" distR="114300" simplePos="0" relativeHeight="251658248" behindDoc="0" locked="0" layoutInCell="1" allowOverlap="1" wp14:anchorId="08DD7E35" wp14:editId="6E762D3D">
          <wp:simplePos x="0" y="0"/>
          <wp:positionH relativeFrom="page">
            <wp:posOffset>5394251</wp:posOffset>
          </wp:positionH>
          <wp:positionV relativeFrom="page">
            <wp:posOffset>9848141</wp:posOffset>
          </wp:positionV>
          <wp:extent cx="1684941" cy="502920"/>
          <wp:effectExtent l="0" t="0" r="0" b="0"/>
          <wp:wrapNone/>
          <wp:docPr id="66"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684941" cy="502920"/>
                  </a:xfrm>
                  <a:prstGeom prst="rect">
                    <a:avLst/>
                  </a:prstGeom>
                </pic:spPr>
              </pic:pic>
            </a:graphicData>
          </a:graphic>
          <wp14:sizeRelH relativeFrom="margin">
            <wp14:pctWidth>0</wp14:pctWidth>
          </wp14:sizeRelH>
          <wp14:sizeRelV relativeFrom="margin">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57888" w14:textId="0F10432D" w:rsidR="00360D61" w:rsidRDefault="00360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E25F3" w14:textId="77777777" w:rsidR="00AD4C74" w:rsidRDefault="00AD4C74" w:rsidP="00CE3C13">
      <w:pPr>
        <w:spacing w:after="0" w:line="240" w:lineRule="auto"/>
      </w:pPr>
      <w:r>
        <w:separator/>
      </w:r>
    </w:p>
  </w:footnote>
  <w:footnote w:type="continuationSeparator" w:id="0">
    <w:p w14:paraId="68AD89DD" w14:textId="77777777" w:rsidR="00AD4C74" w:rsidRDefault="00AD4C74" w:rsidP="00CE3C13">
      <w:pPr>
        <w:spacing w:after="0" w:line="240" w:lineRule="auto"/>
      </w:pPr>
      <w:r>
        <w:continuationSeparator/>
      </w:r>
    </w:p>
  </w:footnote>
  <w:footnote w:type="continuationNotice" w:id="1">
    <w:p w14:paraId="58C8636F" w14:textId="77777777" w:rsidR="00AD4C74" w:rsidRDefault="00AD4C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5007" w14:textId="3E913445" w:rsidR="00953A15" w:rsidRDefault="00836A04">
    <w:pPr>
      <w:pStyle w:val="Header"/>
    </w:pPr>
    <w:r>
      <w:rPr>
        <w:noProof/>
      </w:rPr>
      <mc:AlternateContent>
        <mc:Choice Requires="wps">
          <w:drawing>
            <wp:anchor distT="0" distB="0" distL="114300" distR="114300" simplePos="0" relativeHeight="251658244" behindDoc="1" locked="0" layoutInCell="1" allowOverlap="1" wp14:anchorId="4863DC9C" wp14:editId="6B0C151A">
              <wp:simplePos x="0" y="0"/>
              <wp:positionH relativeFrom="column">
                <wp:posOffset>-938463</wp:posOffset>
              </wp:positionH>
              <wp:positionV relativeFrom="paragraph">
                <wp:posOffset>1633154</wp:posOffset>
              </wp:positionV>
              <wp:extent cx="5158787" cy="5305926"/>
              <wp:effectExtent l="0" t="0" r="3810" b="9525"/>
              <wp:wrapNone/>
              <wp:docPr id="668060490" name="Freeform: Sha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158787" cy="5305926"/>
                      </a:xfrm>
                      <a:custGeom>
                        <a:avLst/>
                        <a:gdLst>
                          <a:gd name="connsiteX0" fmla="*/ 0 w 3861244"/>
                          <a:gd name="connsiteY0" fmla="*/ 0 h 4110894"/>
                          <a:gd name="connsiteX1" fmla="*/ 0 w 3861244"/>
                          <a:gd name="connsiteY1" fmla="*/ 2650712 h 4110894"/>
                          <a:gd name="connsiteX2" fmla="*/ 690182 w 3861244"/>
                          <a:gd name="connsiteY2" fmla="*/ 4110895 h 4110894"/>
                          <a:gd name="connsiteX3" fmla="*/ 3861245 w 3861244"/>
                          <a:gd name="connsiteY3" fmla="*/ 4110895 h 4110894"/>
                          <a:gd name="connsiteX4" fmla="*/ 3861245 w 3861244"/>
                          <a:gd name="connsiteY4" fmla="*/ 0 h 4110894"/>
                          <a:gd name="connsiteX5" fmla="*/ 0 w 3861244"/>
                          <a:gd name="connsiteY5" fmla="*/ 0 h 4110894"/>
                          <a:gd name="connsiteX6" fmla="*/ 3590925 w 3861244"/>
                          <a:gd name="connsiteY6" fmla="*/ 3055144 h 4110894"/>
                          <a:gd name="connsiteX7" fmla="*/ 3038475 w 3861244"/>
                          <a:gd name="connsiteY7" fmla="*/ 3055144 h 4110894"/>
                          <a:gd name="connsiteX8" fmla="*/ 3038475 w 3861244"/>
                          <a:gd name="connsiteY8" fmla="*/ 3026569 h 4110894"/>
                          <a:gd name="connsiteX9" fmla="*/ 3590925 w 3861244"/>
                          <a:gd name="connsiteY9" fmla="*/ 3026569 h 4110894"/>
                          <a:gd name="connsiteX10" fmla="*/ 3590925 w 3861244"/>
                          <a:gd name="connsiteY10" fmla="*/ 3055144 h 41108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861244" h="4110894">
                            <a:moveTo>
                              <a:pt x="0" y="0"/>
                            </a:moveTo>
                            <a:lnTo>
                              <a:pt x="0" y="2650712"/>
                            </a:lnTo>
                            <a:lnTo>
                              <a:pt x="690182" y="4110895"/>
                            </a:lnTo>
                            <a:lnTo>
                              <a:pt x="3861245" y="4110895"/>
                            </a:lnTo>
                            <a:lnTo>
                              <a:pt x="3861245" y="0"/>
                            </a:lnTo>
                            <a:lnTo>
                              <a:pt x="0" y="0"/>
                            </a:lnTo>
                            <a:close/>
                            <a:moveTo>
                              <a:pt x="3590925" y="3055144"/>
                            </a:moveTo>
                            <a:lnTo>
                              <a:pt x="3038475" y="3055144"/>
                            </a:lnTo>
                            <a:lnTo>
                              <a:pt x="3038475" y="3026569"/>
                            </a:lnTo>
                            <a:lnTo>
                              <a:pt x="3590925" y="3026569"/>
                            </a:lnTo>
                            <a:lnTo>
                              <a:pt x="3590925" y="3055144"/>
                            </a:lnTo>
                            <a:close/>
                          </a:path>
                        </a:pathLst>
                      </a:custGeom>
                      <a:solidFill>
                        <a:srgbClr val="FFFFFF"/>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14218D" id="Freeform: Shape 3" o:spid="_x0000_s1026" alt="&quot;&quot;" style="position:absolute;margin-left:-73.9pt;margin-top:128.6pt;width:406.2pt;height:417.8pt;z-index:-2516582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861244,4110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" path="m,l,2650712,690182,4110895r3171063,l3861245,,,xm3590925,3055144r-552450,l3038475,3026569r552450,l3590925,3055144xe" stroked="f">
              <v:stroke joinstyle="miter"/>
              <v:path arrowok="t" o:connecttype="custom" o:connectlocs="0,0;0,3421271;922113,5305927;5158788,5305927;5158788,0;0,0;4797629,3943271;4059532,3943271;4059532,3906389;4797629,3906389;4797629,3943271" o:connectangles="0,0,0,0,0,0,0,0,0,0,0"/>
            </v:shape>
          </w:pict>
        </mc:Fallback>
      </mc:AlternateContent>
    </w:r>
    <w:r>
      <w:rPr>
        <w:noProof/>
      </w:rPr>
      <mc:AlternateContent>
        <mc:Choice Requires="wps">
          <w:drawing>
            <wp:anchor distT="0" distB="0" distL="114300" distR="114300" simplePos="0" relativeHeight="251658242" behindDoc="1" locked="0" layoutInCell="1" allowOverlap="1" wp14:anchorId="13FDEBE1" wp14:editId="49928992">
              <wp:simplePos x="0" y="0"/>
              <wp:positionH relativeFrom="column">
                <wp:posOffset>-925737</wp:posOffset>
              </wp:positionH>
              <wp:positionV relativeFrom="paragraph">
                <wp:posOffset>658595</wp:posOffset>
              </wp:positionV>
              <wp:extent cx="6694665" cy="7287265"/>
              <wp:effectExtent l="0" t="0" r="0" b="8890"/>
              <wp:wrapNone/>
              <wp:docPr id="1884311875" name="Freeform: Shap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94665" cy="7287265"/>
                      </a:xfrm>
                      <a:custGeom>
                        <a:avLst/>
                        <a:gdLst>
                          <a:gd name="connsiteX0" fmla="*/ 5010817 w 5010816"/>
                          <a:gd name="connsiteY0" fmla="*/ 0 h 5445251"/>
                          <a:gd name="connsiteX1" fmla="*/ 943165 w 5010816"/>
                          <a:gd name="connsiteY1" fmla="*/ 0 h 5445251"/>
                          <a:gd name="connsiteX2" fmla="*/ 0 w 5010816"/>
                          <a:gd name="connsiteY2" fmla="*/ 1995297 h 5445251"/>
                          <a:gd name="connsiteX3" fmla="*/ 0 w 5010816"/>
                          <a:gd name="connsiteY3" fmla="*/ 5445252 h 5445251"/>
                          <a:gd name="connsiteX4" fmla="*/ 2436876 w 5010816"/>
                          <a:gd name="connsiteY4" fmla="*/ 5445252 h 54452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10816" h="5445251">
                            <a:moveTo>
                              <a:pt x="5010817" y="0"/>
                            </a:moveTo>
                            <a:lnTo>
                              <a:pt x="943165" y="0"/>
                            </a:lnTo>
                            <a:lnTo>
                              <a:pt x="0" y="1995297"/>
                            </a:lnTo>
                            <a:lnTo>
                              <a:pt x="0" y="5445252"/>
                            </a:lnTo>
                            <a:lnTo>
                              <a:pt x="2436876" y="5445252"/>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9259D3" id="Freeform: Shape 1" o:spid="_x0000_s1026" alt="&quot;&quot;" style="position:absolute;margin-left:-72.9pt;margin-top:51.85pt;width:527.15pt;height:573.8pt;z-index:-251658238;visibility:visible;mso-wrap-style:square;mso-wrap-distance-left:9pt;mso-wrap-distance-top:0;mso-wrap-distance-right:9pt;mso-wrap-distance-bottom:0;mso-position-horizontal:absolute;mso-position-horizontal-relative:text;mso-position-vertical:absolute;mso-position-vertical-relative:text;v-text-anchor:middle" coordsize="5010816,5445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" path="m5010817,l943165,,,1995297,,5445252r2436876,l5010817,xe" fillcolor="#232b39 [3213]" stroked="f">
              <v:stroke joinstyle="miter"/>
              <v:path arrowok="t" o:connecttype="custom" o:connectlocs="6694666,0;1260109,0;0,2670264;0,7287266;3255771,7287266" o:connectangles="0,0,0,0,0"/>
            </v:shape>
          </w:pict>
        </mc:Fallback>
      </mc:AlternateContent>
    </w:r>
    <w:r>
      <w:rPr>
        <w:noProof/>
      </w:rPr>
      <mc:AlternateContent>
        <mc:Choice Requires="wps">
          <w:drawing>
            <wp:anchor distT="0" distB="0" distL="114300" distR="114300" simplePos="0" relativeHeight="251658243" behindDoc="1" locked="0" layoutInCell="1" allowOverlap="1" wp14:anchorId="756980EF" wp14:editId="193A4411">
              <wp:simplePos x="0" y="0"/>
              <wp:positionH relativeFrom="column">
                <wp:posOffset>-925737</wp:posOffset>
              </wp:positionH>
              <wp:positionV relativeFrom="paragraph">
                <wp:posOffset>2308301</wp:posOffset>
              </wp:positionV>
              <wp:extent cx="7064349" cy="5642634"/>
              <wp:effectExtent l="0" t="0" r="3810" b="0"/>
              <wp:wrapNone/>
              <wp:docPr id="1375681448"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64349" cy="5642634"/>
                      </a:xfrm>
                      <a:custGeom>
                        <a:avLst/>
                        <a:gdLst>
                          <a:gd name="connsiteX0" fmla="*/ 5287518 w 5287517"/>
                          <a:gd name="connsiteY0" fmla="*/ 4216337 h 4216336"/>
                          <a:gd name="connsiteX1" fmla="*/ 3294507 w 5287517"/>
                          <a:gd name="connsiteY1" fmla="*/ 0 h 4216336"/>
                          <a:gd name="connsiteX2" fmla="*/ 0 w 5287517"/>
                          <a:gd name="connsiteY2" fmla="*/ 0 h 4216336"/>
                          <a:gd name="connsiteX3" fmla="*/ 0 w 5287517"/>
                          <a:gd name="connsiteY3" fmla="*/ 4216337 h 4216336"/>
                        </a:gdLst>
                        <a:ahLst/>
                        <a:cxnLst>
                          <a:cxn ang="0">
                            <a:pos x="connsiteX0" y="connsiteY0"/>
                          </a:cxn>
                          <a:cxn ang="0">
                            <a:pos x="connsiteX1" y="connsiteY1"/>
                          </a:cxn>
                          <a:cxn ang="0">
                            <a:pos x="connsiteX2" y="connsiteY2"/>
                          </a:cxn>
                          <a:cxn ang="0">
                            <a:pos x="connsiteX3" y="connsiteY3"/>
                          </a:cxn>
                        </a:cxnLst>
                        <a:rect l="l" t="t" r="r" b="b"/>
                        <a:pathLst>
                          <a:path w="5287517" h="4216336">
                            <a:moveTo>
                              <a:pt x="5287518" y="4216337"/>
                            </a:moveTo>
                            <a:lnTo>
                              <a:pt x="3294507" y="0"/>
                            </a:lnTo>
                            <a:lnTo>
                              <a:pt x="0" y="0"/>
                            </a:lnTo>
                            <a:lnTo>
                              <a:pt x="0" y="4216337"/>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D51189" id="Freeform: Shape 2" o:spid="_x0000_s1026" alt="&quot;&quot;" style="position:absolute;margin-left:-72.9pt;margin-top:181.75pt;width:556.25pt;height:444.3pt;z-index:-251658237;visibility:visible;mso-wrap-style:square;mso-wrap-distance-left:9pt;mso-wrap-distance-top:0;mso-wrap-distance-right:9pt;mso-wrap-distance-bottom:0;mso-position-horizontal:absolute;mso-position-horizontal-relative:text;mso-position-vertical:absolute;mso-position-vertical-relative:text;v-text-anchor:middle" coordsize="5287517,4216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" path="m5287518,4216337l3294507,,,,,4216337r5287518,xe" fillcolor="#0072ce [3204]" stroked="f">
              <v:stroke joinstyle="miter"/>
              <v:path arrowok="t" o:connecttype="custom" o:connectlocs="7064350,5642635;4401602,0;0,0;0,5642635" o:connectangles="0,0,0,0"/>
            </v:shape>
          </w:pict>
        </mc:Fallback>
      </mc:AlternateContent>
    </w:r>
    <w:r w:rsidR="00953A15">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7C407" w14:textId="77777777" w:rsidR="00953A15" w:rsidRDefault="00953A15">
    <w:pPr>
      <w:pStyle w:val="Header"/>
    </w:pPr>
    <w:r>
      <w:rPr>
        <w:noProof/>
      </w:rPr>
      <mc:AlternateContent>
        <mc:Choice Requires="wpg">
          <w:drawing>
            <wp:anchor distT="0" distB="0" distL="114300" distR="114300" simplePos="0" relativeHeight="251658240" behindDoc="0" locked="0" layoutInCell="1" allowOverlap="1" wp14:anchorId="63C745A6" wp14:editId="218FBC30">
              <wp:simplePos x="0" y="0"/>
              <wp:positionH relativeFrom="page">
                <wp:posOffset>180340</wp:posOffset>
              </wp:positionH>
              <wp:positionV relativeFrom="page">
                <wp:posOffset>180340</wp:posOffset>
              </wp:positionV>
              <wp:extent cx="7214616" cy="612648"/>
              <wp:effectExtent l="0" t="0" r="5715" b="0"/>
              <wp:wrapNone/>
              <wp:docPr id="1353762003" name="Graphic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14616" cy="612648"/>
                        <a:chOff x="181155" y="181155"/>
                        <a:chExt cx="7214235" cy="612140"/>
                      </a:xfrm>
                    </wpg:grpSpPr>
                    <wps:wsp>
                      <wps:cNvPr id="1924401187" name="Freeform: Shape 1924401187"/>
                      <wps:cNvSpPr/>
                      <wps:spPr>
                        <a:xfrm>
                          <a:off x="181155" y="181155"/>
                          <a:ext cx="7210484" cy="612140"/>
                        </a:xfrm>
                        <a:custGeom>
                          <a:avLst/>
                          <a:gdLst>
                            <a:gd name="connsiteX0" fmla="*/ 0 w 7210484"/>
                            <a:gd name="connsiteY0" fmla="*/ 0 h 612140"/>
                            <a:gd name="connsiteX1" fmla="*/ 7210485 w 7210484"/>
                            <a:gd name="connsiteY1" fmla="*/ 0 h 612140"/>
                            <a:gd name="connsiteX2" fmla="*/ 7210485 w 7210484"/>
                            <a:gd name="connsiteY2" fmla="*/ 612140 h 612140"/>
                            <a:gd name="connsiteX3" fmla="*/ 0 w 7210484"/>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7210484" h="612140">
                              <a:moveTo>
                                <a:pt x="0" y="0"/>
                              </a:moveTo>
                              <a:lnTo>
                                <a:pt x="7210485" y="0"/>
                              </a:lnTo>
                              <a:lnTo>
                                <a:pt x="7210485" y="612140"/>
                              </a:lnTo>
                              <a:lnTo>
                                <a:pt x="0" y="612140"/>
                              </a:lnTo>
                              <a:close/>
                            </a:path>
                          </a:pathLst>
                        </a:custGeom>
                        <a:solidFill>
                          <a:schemeClr val="bg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3895268" name="Freeform: Shape 693895268"/>
                      <wps:cNvSpPr/>
                      <wps:spPr>
                        <a:xfrm>
                          <a:off x="5393408" y="181155"/>
                          <a:ext cx="2001981" cy="612140"/>
                        </a:xfrm>
                        <a:custGeom>
                          <a:avLst/>
                          <a:gdLst>
                            <a:gd name="connsiteX0" fmla="*/ 2001981 w 2001981"/>
                            <a:gd name="connsiteY0" fmla="*/ 0 h 612140"/>
                            <a:gd name="connsiteX1" fmla="*/ 1998231 w 2001981"/>
                            <a:gd name="connsiteY1" fmla="*/ 0 h 612140"/>
                            <a:gd name="connsiteX2" fmla="*/ 289570 w 2001981"/>
                            <a:gd name="connsiteY2" fmla="*/ 0 h 612140"/>
                            <a:gd name="connsiteX3" fmla="*/ 0 w 2001981"/>
                            <a:gd name="connsiteY3" fmla="*/ 612140 h 612140"/>
                            <a:gd name="connsiteX4" fmla="*/ 1752797 w 2001981"/>
                            <a:gd name="connsiteY4" fmla="*/ 612140 h 612140"/>
                            <a:gd name="connsiteX5" fmla="*/ 2001981 w 2001981"/>
                            <a:gd name="connsiteY5" fmla="*/ 85325 h 612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01981" h="612140">
                              <a:moveTo>
                                <a:pt x="2001981" y="0"/>
                              </a:moveTo>
                              <a:lnTo>
                                <a:pt x="1998231" y="0"/>
                              </a:lnTo>
                              <a:lnTo>
                                <a:pt x="289570" y="0"/>
                              </a:lnTo>
                              <a:lnTo>
                                <a:pt x="0" y="612140"/>
                              </a:lnTo>
                              <a:lnTo>
                                <a:pt x="1752797" y="612140"/>
                              </a:lnTo>
                              <a:lnTo>
                                <a:pt x="2001981" y="85325"/>
                              </a:lnTo>
                              <a:close/>
                            </a:path>
                          </a:pathLst>
                        </a:custGeom>
                        <a:solidFill>
                          <a:schemeClr val="accent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8631475" name="Freeform: Shape 1798631475"/>
                      <wps:cNvSpPr/>
                      <wps:spPr>
                        <a:xfrm>
                          <a:off x="6218732" y="181155"/>
                          <a:ext cx="1176657" cy="612140"/>
                        </a:xfrm>
                        <a:custGeom>
                          <a:avLst/>
                          <a:gdLst>
                            <a:gd name="connsiteX0" fmla="*/ 1176658 w 1176657"/>
                            <a:gd name="connsiteY0" fmla="*/ 0 h 612140"/>
                            <a:gd name="connsiteX1" fmla="*/ 289694 w 1176657"/>
                            <a:gd name="connsiteY1" fmla="*/ 0 h 612140"/>
                            <a:gd name="connsiteX2" fmla="*/ 0 w 1176657"/>
                            <a:gd name="connsiteY2" fmla="*/ 612140 h 612140"/>
                            <a:gd name="connsiteX3" fmla="*/ 1176658 w 1176657"/>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1176657" h="612140">
                              <a:moveTo>
                                <a:pt x="1176658" y="0"/>
                              </a:moveTo>
                              <a:lnTo>
                                <a:pt x="289694" y="0"/>
                              </a:lnTo>
                              <a:lnTo>
                                <a:pt x="0" y="612140"/>
                              </a:lnTo>
                              <a:lnTo>
                                <a:pt x="1176658" y="612140"/>
                              </a:lnTo>
                              <a:close/>
                            </a:path>
                          </a:pathLst>
                        </a:custGeom>
                        <a:solidFill>
                          <a:schemeClr val="accent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123652" name="Freeform: Shape 226123652"/>
                      <wps:cNvSpPr/>
                      <wps:spPr>
                        <a:xfrm>
                          <a:off x="6509677" y="181155"/>
                          <a:ext cx="885712" cy="612140"/>
                        </a:xfrm>
                        <a:custGeom>
                          <a:avLst/>
                          <a:gdLst>
                            <a:gd name="connsiteX0" fmla="*/ 885713 w 885712"/>
                            <a:gd name="connsiteY0" fmla="*/ 0 h 612140"/>
                            <a:gd name="connsiteX1" fmla="*/ 0 w 885712"/>
                            <a:gd name="connsiteY1" fmla="*/ 0 h 612140"/>
                            <a:gd name="connsiteX2" fmla="*/ 289570 w 885712"/>
                            <a:gd name="connsiteY2" fmla="*/ 612140 h 612140"/>
                            <a:gd name="connsiteX3" fmla="*/ 885713 w 885712"/>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885712" h="612140">
                              <a:moveTo>
                                <a:pt x="885713" y="0"/>
                              </a:moveTo>
                              <a:lnTo>
                                <a:pt x="0" y="0"/>
                              </a:lnTo>
                              <a:lnTo>
                                <a:pt x="289570" y="612140"/>
                              </a:lnTo>
                              <a:lnTo>
                                <a:pt x="885713" y="612140"/>
                              </a:lnTo>
                              <a:close/>
                            </a:path>
                          </a:pathLst>
                        </a:custGeom>
                        <a:solidFill>
                          <a:schemeClr val="tx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7242516" name="Freeform: Shape 1717242516"/>
                      <wps:cNvSpPr/>
                      <wps:spPr>
                        <a:xfrm>
                          <a:off x="5215740" y="418390"/>
                          <a:ext cx="1001365" cy="374904"/>
                        </a:xfrm>
                        <a:custGeom>
                          <a:avLst/>
                          <a:gdLst>
                            <a:gd name="connsiteX0" fmla="*/ 825198 w 1001365"/>
                            <a:gd name="connsiteY0" fmla="*/ 0 h 374904"/>
                            <a:gd name="connsiteX1" fmla="*/ 0 w 1001365"/>
                            <a:gd name="connsiteY1" fmla="*/ 0 h 374904"/>
                            <a:gd name="connsiteX2" fmla="*/ 176167 w 1001365"/>
                            <a:gd name="connsiteY2" fmla="*/ 374905 h 374904"/>
                            <a:gd name="connsiteX3" fmla="*/ 1001366 w 1001365"/>
                            <a:gd name="connsiteY3" fmla="*/ 374905 h 374904"/>
                          </a:gdLst>
                          <a:ahLst/>
                          <a:cxnLst>
                            <a:cxn ang="0">
                              <a:pos x="connsiteX0" y="connsiteY0"/>
                            </a:cxn>
                            <a:cxn ang="0">
                              <a:pos x="connsiteX1" y="connsiteY1"/>
                            </a:cxn>
                            <a:cxn ang="0">
                              <a:pos x="connsiteX2" y="connsiteY2"/>
                            </a:cxn>
                            <a:cxn ang="0">
                              <a:pos x="connsiteX3" y="connsiteY3"/>
                            </a:cxn>
                          </a:cxnLst>
                          <a:rect l="l" t="t" r="r" b="b"/>
                          <a:pathLst>
                            <a:path w="1001365" h="374904">
                              <a:moveTo>
                                <a:pt x="825198" y="0"/>
                              </a:moveTo>
                              <a:lnTo>
                                <a:pt x="0" y="0"/>
                              </a:lnTo>
                              <a:lnTo>
                                <a:pt x="176167" y="374905"/>
                              </a:lnTo>
                              <a:lnTo>
                                <a:pt x="1001366" y="374905"/>
                              </a:lnTo>
                              <a:close/>
                            </a:path>
                          </a:pathLst>
                        </a:custGeom>
                        <a:solidFill>
                          <a:schemeClr val="bg1">
                            <a:alpha val="40000"/>
                          </a:schemeClr>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A887E9" id="Graphic 49" o:spid="_x0000_s1026" alt="&quot;&quot;" style="position:absolute;margin-left:14.2pt;margin-top:14.2pt;width:568.1pt;height:48.25pt;z-index:251658240;mso-position-horizontal-relative:page;mso-position-vertical-relative:page;mso-width-relative:margin;mso-height-relative:margin" coordorigin="1811,1811" coordsize="72142,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">
              <v:shape id="Freeform: Shape 1924401187" o:spid="_x0000_s1027" style="position:absolute;left:1811;top:1811;width:72105;height:6121;visibility:visible;mso-wrap-style:square;v-text-anchor:middle" coordsize="7210484,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" path="m,l7210485,r,612140l,612140,,xe" fillcolor="#c2ebfa [3214]" stroked="f" strokeweight=".34711mm">
                <v:stroke joinstyle="miter"/>
                <v:path arrowok="t" o:connecttype="custom" o:connectlocs="0,0;7210485,0;7210485,612140;0,612140" o:connectangles="0,0,0,0"/>
              </v:shape>
              <v:shape id="Freeform: Shape 693895268" o:spid="_x0000_s1028" style="position:absolute;left:53934;top:1811;width:20019;height:6121;visibility:visible;mso-wrap-style:square;v-text-anchor:middle" coordsize="2001981,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" path="m2001981,r-3750,l289570,,,612140r1752797,l2001981,85325r,-85325xe" fillcolor="#68cef2 [3205]" stroked="f" strokeweight=".34711mm">
                <v:stroke joinstyle="miter"/>
                <v:path arrowok="t" o:connecttype="custom" o:connectlocs="2001981,0;1998231,0;289570,0;0,612140;1752797,612140;2001981,85325" o:connectangles="0,0,0,0,0,0"/>
              </v:shape>
              <v:shape id="Freeform: Shape 1798631475" o:spid="_x0000_s1029" style="position:absolute;left:62187;top:1811;width:11766;height:6121;visibility:visible;mso-wrap-style:square;v-text-anchor:middle" coordsize="1176657,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" path="m1176658,l289694,,,612140r1176658,l1176658,xe" fillcolor="#0072ce [3204]" stroked="f" strokeweight=".34711mm">
                <v:stroke joinstyle="miter"/>
                <v:path arrowok="t" o:connecttype="custom" o:connectlocs="1176658,0;289694,0;0,612140;1176658,612140" o:connectangles="0,0,0,0"/>
              </v:shape>
              <v:shape id="Freeform: Shape 226123652" o:spid="_x0000_s1030" style="position:absolute;left:65096;top:1811;width:8857;height:6121;visibility:visible;mso-wrap-style:square;v-text-anchor:middle" coordsize="885712,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" path="m885713,l,,289570,612140r596143,l885713,xe" fillcolor="#232b39 [3213]" stroked="f" strokeweight=".34711mm">
                <v:stroke joinstyle="miter"/>
                <v:path arrowok="t" o:connecttype="custom" o:connectlocs="885713,0;0,0;289570,612140;885713,612140" o:connectangles="0,0,0,0"/>
              </v:shape>
              <v:shape id="Freeform: Shape 1717242516" o:spid="_x0000_s1031" style="position:absolute;left:52157;top:4183;width:10014;height:3749;visibility:visible;mso-wrap-style:square;v-text-anchor:middle" coordsize="1001365,37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" path="m825198,l,,176167,374905r825199,l825198,xe" fillcolor="white [3212]" stroked="f" strokeweight=".34711mm">
                <v:fill opacity="26214f"/>
                <v:stroke joinstyle="miter"/>
                <v:path arrowok="t" o:connecttype="custom" o:connectlocs="825198,0;0,0;176167,374905;1001366,374905"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A8DC4" w14:textId="77777777" w:rsidR="00953A15" w:rsidRDefault="00953A15">
    <w:pPr>
      <w:pStyle w:val="Header"/>
    </w:pPr>
    <w:r>
      <w:rPr>
        <w:noProof/>
      </w:rPr>
      <mc:AlternateContent>
        <mc:Choice Requires="wpg">
          <w:drawing>
            <wp:anchor distT="0" distB="0" distL="114300" distR="114300" simplePos="0" relativeHeight="251658245" behindDoc="0" locked="0" layoutInCell="1" allowOverlap="1" wp14:anchorId="044A3648" wp14:editId="2E1113D7">
              <wp:simplePos x="0" y="0"/>
              <wp:positionH relativeFrom="page">
                <wp:align>left</wp:align>
              </wp:positionH>
              <wp:positionV relativeFrom="page">
                <wp:align>top</wp:align>
              </wp:positionV>
              <wp:extent cx="7598664" cy="978408"/>
              <wp:effectExtent l="0" t="0" r="2540" b="0"/>
              <wp:wrapNone/>
              <wp:docPr id="59"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60"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70A4BC" id="Page banner" o:spid="_x0000_s1026" alt="&quot;&quot;" style="position:absolute;margin-left:0;margin-top:0;width:598.3pt;height:77.05pt;z-index:251658245;mso-position-horizontal:left;mso-position-horizontal-relative:page;mso-position-vertical:top;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4F6D2" w14:textId="77777777" w:rsidR="00B357E6" w:rsidRDefault="00B357E6">
    <w:pPr>
      <w:pStyle w:val="Header"/>
    </w:pPr>
    <w:r>
      <w:rPr>
        <w:noProof/>
      </w:rPr>
      <mc:AlternateContent>
        <mc:Choice Requires="wpg">
          <w:drawing>
            <wp:anchor distT="0" distB="0" distL="114300" distR="114300" simplePos="0" relativeHeight="251658246" behindDoc="0" locked="0" layoutInCell="1" allowOverlap="1" wp14:anchorId="73A745F2" wp14:editId="733355A3">
              <wp:simplePos x="0" y="0"/>
              <wp:positionH relativeFrom="margin">
                <wp:align>center</wp:align>
              </wp:positionH>
              <wp:positionV relativeFrom="page">
                <wp:align>top</wp:align>
              </wp:positionV>
              <wp:extent cx="7598664" cy="978408"/>
              <wp:effectExtent l="0" t="0" r="2540" b="0"/>
              <wp:wrapNone/>
              <wp:docPr id="2058043810"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209929576"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9765807"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2235201"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9901801"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248854"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C0B288" id="Page banner" o:spid="_x0000_s1026" alt="&quot;&quot;" style="position:absolute;margin-left:0;margin-top:0;width:598.3pt;height:77.05pt;z-index:251658246;mso-position-horizontal:center;mso-position-horizontal-relative:margin;mso-position-vertical:top;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" path="m,l774573,,952500,376238r-774668,l,xe" stroked="f">
                <v:fill opacity="32896f"/>
                <v:stroke joinstyle="miter"/>
                <v:path arrowok="t" o:connecttype="custom" o:connectlocs="0,0;1038230,0;1276722,501650;238364,501650" o:connectangles="0,0,0,0"/>
              </v:shape>
              <w10:wrap anchorx="margin"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4BE08" w14:textId="77777777" w:rsidR="003229FD" w:rsidRDefault="003229FD" w:rsidP="003229FD">
    <w:pPr>
      <w:pStyle w:val="Header"/>
    </w:pPr>
    <w:r>
      <w:rPr>
        <w:noProof/>
      </w:rPr>
      <mc:AlternateContent>
        <mc:Choice Requires="wpg">
          <w:drawing>
            <wp:anchor distT="0" distB="0" distL="114300" distR="114300" simplePos="0" relativeHeight="251658247" behindDoc="0" locked="0" layoutInCell="1" allowOverlap="1" wp14:anchorId="2B3AFFF1" wp14:editId="11797B86">
              <wp:simplePos x="0" y="0"/>
              <wp:positionH relativeFrom="page">
                <wp:align>left</wp:align>
              </wp:positionH>
              <wp:positionV relativeFrom="page">
                <wp:posOffset>895033</wp:posOffset>
              </wp:positionV>
              <wp:extent cx="7560945" cy="7580312"/>
              <wp:effectExtent l="0" t="0" r="1905" b="1905"/>
              <wp:wrapNone/>
              <wp:docPr id="1380831601" name="Back page graphi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0945" cy="7580312"/>
                        <a:chOff x="914400" y="914400"/>
                        <a:chExt cx="5429250" cy="5438775"/>
                      </a:xfrm>
                    </wpg:grpSpPr>
                    <wps:wsp>
                      <wps:cNvPr id="2005765232" name="Shape 2"/>
                      <wps:cNvSpPr/>
                      <wps:spPr>
                        <a:xfrm>
                          <a:off x="4105941" y="1619250"/>
                          <a:ext cx="2237708" cy="4733925"/>
                        </a:xfrm>
                        <a:custGeom>
                          <a:avLst/>
                          <a:gdLst>
                            <a:gd name="connsiteX0" fmla="*/ 2237708 w 2237708"/>
                            <a:gd name="connsiteY0" fmla="*/ 0 h 4733925"/>
                            <a:gd name="connsiteX1" fmla="*/ 0 w 2237708"/>
                            <a:gd name="connsiteY1" fmla="*/ 4733925 h 4733925"/>
                            <a:gd name="connsiteX2" fmla="*/ 2237708 w 2237708"/>
                            <a:gd name="connsiteY2" fmla="*/ 4733925 h 4733925"/>
                          </a:gdLst>
                          <a:ahLst/>
                          <a:cxnLst>
                            <a:cxn ang="0">
                              <a:pos x="connsiteX0" y="connsiteY0"/>
                            </a:cxn>
                            <a:cxn ang="0">
                              <a:pos x="connsiteX1" y="connsiteY1"/>
                            </a:cxn>
                            <a:cxn ang="0">
                              <a:pos x="connsiteX2" y="connsiteY2"/>
                            </a:cxn>
                          </a:cxnLst>
                          <a:rect l="l" t="t" r="r" b="b"/>
                          <a:pathLst>
                            <a:path w="2237708" h="4733925">
                              <a:moveTo>
                                <a:pt x="2237708" y="0"/>
                              </a:moveTo>
                              <a:lnTo>
                                <a:pt x="0" y="4733925"/>
                              </a:lnTo>
                              <a:lnTo>
                                <a:pt x="2237708" y="4733925"/>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2190795" name="Shape 1"/>
                      <wps:cNvSpPr/>
                      <wps:spPr>
                        <a:xfrm>
                          <a:off x="914400" y="914400"/>
                          <a:ext cx="5429250" cy="5438775"/>
                        </a:xfrm>
                        <a:custGeom>
                          <a:avLst/>
                          <a:gdLst>
                            <a:gd name="connsiteX0" fmla="*/ 4115181 w 5429250"/>
                            <a:gd name="connsiteY0" fmla="*/ 0 h 5438775"/>
                            <a:gd name="connsiteX1" fmla="*/ 0 w 5429250"/>
                            <a:gd name="connsiteY1" fmla="*/ 0 h 5438775"/>
                            <a:gd name="connsiteX2" fmla="*/ 0 w 5429250"/>
                            <a:gd name="connsiteY2" fmla="*/ 2717673 h 5438775"/>
                            <a:gd name="connsiteX3" fmla="*/ 1286256 w 5429250"/>
                            <a:gd name="connsiteY3" fmla="*/ 5438775 h 5438775"/>
                            <a:gd name="connsiteX4" fmla="*/ 5429250 w 5429250"/>
                            <a:gd name="connsiteY4" fmla="*/ 5438775 h 5438775"/>
                            <a:gd name="connsiteX5" fmla="*/ 5429250 w 5429250"/>
                            <a:gd name="connsiteY5" fmla="*/ 2779871 h 54387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429250" h="5438775">
                              <a:moveTo>
                                <a:pt x="4115181" y="0"/>
                              </a:moveTo>
                              <a:lnTo>
                                <a:pt x="0" y="0"/>
                              </a:lnTo>
                              <a:lnTo>
                                <a:pt x="0" y="2717673"/>
                              </a:lnTo>
                              <a:lnTo>
                                <a:pt x="1286256" y="5438775"/>
                              </a:lnTo>
                              <a:lnTo>
                                <a:pt x="5429250" y="5438775"/>
                              </a:lnTo>
                              <a:lnTo>
                                <a:pt x="5429250" y="2779871"/>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E2F348" id="Back page graphic" o:spid="_x0000_s1026" alt="&quot;&quot;" style="position:absolute;margin-left:0;margin-top:70.5pt;width:595.35pt;height:596.85pt;z-index:251658247;mso-position-horizontal:left;mso-position-horizontal-relative:page;mso-position-vertical-relative:page;mso-width-relative:margin;mso-height-relative:margin" coordorigin="9144,9144" coordsize="54292,54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">
              <v:shape id="Shape 2" o:spid="_x0000_s1027" style="position:absolute;left:41059;top:16192;width:22377;height:47339;visibility:visible;mso-wrap-style:square;v-text-anchor:middle" coordsize="2237708,4733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" path="m2237708,l,4733925r2237708,l2237708,xe" fillcolor="#232b39 [3213]" stroked="f">
                <v:stroke joinstyle="miter"/>
                <v:path arrowok="t" o:connecttype="custom" o:connectlocs="2237708,0;0,4733925;2237708,4733925" o:connectangles="0,0,0"/>
              </v:shape>
              <v:shape id="Shape 1" o:spid="_x0000_s1028" style="position:absolute;left:9144;top:9144;width:54292;height:54387;visibility:visible;mso-wrap-style:square;v-text-anchor:middle" coordsize="5429250,5438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" path="m4115181,l,,,2717673,1286256,5438775r4142994,l5429250,2779871,4115181,xe" fillcolor="#0072ce [3204]" stroked="f">
                <v:stroke joinstyle="miter"/>
                <v:path arrowok="t" o:connecttype="custom" o:connectlocs="4115181,0;0,0;0,2717673;1286256,5438775;5429250,5438775;5429250,2779871" o:connectangles="0,0,0,0,0,0"/>
              </v:shape>
              <w10:wrap anchorx="page" anchory="page"/>
            </v:group>
          </w:pict>
        </mc:Fallback>
      </mc:AlternateContent>
    </w:r>
  </w:p>
  <w:p w14:paraId="4B721687" w14:textId="06B4D6D3" w:rsidR="00FF69F8" w:rsidRDefault="00FF69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62D"/>
    <w:multiLevelType w:val="singleLevel"/>
    <w:tmpl w:val="B5FCF24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 w15:restartNumberingAfterBreak="0">
    <w:nsid w:val="01610B8F"/>
    <w:multiLevelType w:val="singleLevel"/>
    <w:tmpl w:val="1AEC2F7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 w15:restartNumberingAfterBreak="0">
    <w:nsid w:val="097501FF"/>
    <w:multiLevelType w:val="singleLevel"/>
    <w:tmpl w:val="77D0D89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 w15:restartNumberingAfterBreak="0">
    <w:nsid w:val="0BC11D6F"/>
    <w:multiLevelType w:val="singleLevel"/>
    <w:tmpl w:val="0C090001"/>
    <w:lvl w:ilvl="0">
      <w:start w:val="1"/>
      <w:numFmt w:val="bullet"/>
      <w:lvlText w:val=""/>
      <w:lvlJc w:val="left"/>
      <w:pPr>
        <w:ind w:left="360" w:hanging="360"/>
      </w:pPr>
      <w:rPr>
        <w:rFonts w:ascii="Symbol" w:hAnsi="Symbol" w:hint="default"/>
        <w:color w:val="auto"/>
        <w:sz w:val="24"/>
      </w:rPr>
    </w:lvl>
  </w:abstractNum>
  <w:abstractNum w:abstractNumId="4" w15:restartNumberingAfterBreak="0">
    <w:nsid w:val="1028EDF8"/>
    <w:multiLevelType w:val="hybridMultilevel"/>
    <w:tmpl w:val="F1C2214C"/>
    <w:lvl w:ilvl="0" w:tplc="C1080798">
      <w:start w:val="1"/>
      <w:numFmt w:val="bullet"/>
      <w:lvlText w:val=""/>
      <w:lvlJc w:val="left"/>
      <w:pPr>
        <w:ind w:left="720" w:hanging="360"/>
      </w:pPr>
      <w:rPr>
        <w:rFonts w:ascii="Symbol" w:hAnsi="Symbol" w:hint="default"/>
      </w:rPr>
    </w:lvl>
    <w:lvl w:ilvl="1" w:tplc="AD3AFF52">
      <w:start w:val="1"/>
      <w:numFmt w:val="bullet"/>
      <w:lvlText w:val="o"/>
      <w:lvlJc w:val="left"/>
      <w:pPr>
        <w:ind w:left="1440" w:hanging="360"/>
      </w:pPr>
      <w:rPr>
        <w:rFonts w:ascii="Courier New" w:hAnsi="Courier New" w:hint="default"/>
      </w:rPr>
    </w:lvl>
    <w:lvl w:ilvl="2" w:tplc="B0122C66">
      <w:start w:val="1"/>
      <w:numFmt w:val="bullet"/>
      <w:lvlText w:val=""/>
      <w:lvlJc w:val="left"/>
      <w:pPr>
        <w:ind w:left="2160" w:hanging="360"/>
      </w:pPr>
      <w:rPr>
        <w:rFonts w:ascii="Wingdings" w:hAnsi="Wingdings" w:hint="default"/>
      </w:rPr>
    </w:lvl>
    <w:lvl w:ilvl="3" w:tplc="8FAE9C9C">
      <w:start w:val="1"/>
      <w:numFmt w:val="bullet"/>
      <w:lvlText w:val=""/>
      <w:lvlJc w:val="left"/>
      <w:pPr>
        <w:ind w:left="2880" w:hanging="360"/>
      </w:pPr>
      <w:rPr>
        <w:rFonts w:ascii="Symbol" w:hAnsi="Symbol" w:hint="default"/>
      </w:rPr>
    </w:lvl>
    <w:lvl w:ilvl="4" w:tplc="ACC8ECB8">
      <w:start w:val="1"/>
      <w:numFmt w:val="bullet"/>
      <w:lvlText w:val="o"/>
      <w:lvlJc w:val="left"/>
      <w:pPr>
        <w:ind w:left="3600" w:hanging="360"/>
      </w:pPr>
      <w:rPr>
        <w:rFonts w:ascii="Courier New" w:hAnsi="Courier New" w:hint="default"/>
      </w:rPr>
    </w:lvl>
    <w:lvl w:ilvl="5" w:tplc="CFA0CB20">
      <w:start w:val="1"/>
      <w:numFmt w:val="bullet"/>
      <w:lvlText w:val=""/>
      <w:lvlJc w:val="left"/>
      <w:pPr>
        <w:ind w:left="4320" w:hanging="360"/>
      </w:pPr>
      <w:rPr>
        <w:rFonts w:ascii="Wingdings" w:hAnsi="Wingdings" w:hint="default"/>
      </w:rPr>
    </w:lvl>
    <w:lvl w:ilvl="6" w:tplc="160874FA">
      <w:start w:val="1"/>
      <w:numFmt w:val="bullet"/>
      <w:lvlText w:val=""/>
      <w:lvlJc w:val="left"/>
      <w:pPr>
        <w:ind w:left="5040" w:hanging="360"/>
      </w:pPr>
      <w:rPr>
        <w:rFonts w:ascii="Symbol" w:hAnsi="Symbol" w:hint="default"/>
      </w:rPr>
    </w:lvl>
    <w:lvl w:ilvl="7" w:tplc="332C810A">
      <w:start w:val="1"/>
      <w:numFmt w:val="bullet"/>
      <w:lvlText w:val="o"/>
      <w:lvlJc w:val="left"/>
      <w:pPr>
        <w:ind w:left="5760" w:hanging="360"/>
      </w:pPr>
      <w:rPr>
        <w:rFonts w:ascii="Courier New" w:hAnsi="Courier New" w:hint="default"/>
      </w:rPr>
    </w:lvl>
    <w:lvl w:ilvl="8" w:tplc="FCBEC38E">
      <w:start w:val="1"/>
      <w:numFmt w:val="bullet"/>
      <w:lvlText w:val=""/>
      <w:lvlJc w:val="left"/>
      <w:pPr>
        <w:ind w:left="6480" w:hanging="360"/>
      </w:pPr>
      <w:rPr>
        <w:rFonts w:ascii="Wingdings" w:hAnsi="Wingdings" w:hint="default"/>
      </w:rPr>
    </w:lvl>
  </w:abstractNum>
  <w:abstractNum w:abstractNumId="5" w15:restartNumberingAfterBreak="0">
    <w:nsid w:val="1049699A"/>
    <w:multiLevelType w:val="hybridMultilevel"/>
    <w:tmpl w:val="4A98FEAA"/>
    <w:lvl w:ilvl="0" w:tplc="8DEE795A">
      <w:start w:val="1"/>
      <w:numFmt w:val="decimal"/>
      <w:pStyle w:val="Numpara2"/>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CF323F"/>
    <w:multiLevelType w:val="multilevel"/>
    <w:tmpl w:val="71600A04"/>
    <w:lvl w:ilvl="0">
      <w:start w:val="1"/>
      <w:numFmt w:val="decimal"/>
      <w:lvlText w:val="(%1)"/>
      <w:lvlJc w:val="left"/>
      <w:pPr>
        <w:tabs>
          <w:tab w:val="num" w:pos="340"/>
        </w:tabs>
        <w:ind w:left="340" w:hanging="340"/>
      </w:pPr>
      <w:rPr>
        <w:rFonts w:hint="default"/>
      </w:rPr>
    </w:lvl>
    <w:lvl w:ilvl="1">
      <w:start w:val="1"/>
      <w:numFmt w:val="lowerLetter"/>
      <w:lvlText w:val="(%2)"/>
      <w:lvlJc w:val="left"/>
      <w:pPr>
        <w:ind w:left="700" w:hanging="360"/>
      </w:pPr>
      <w:rPr>
        <w:rFonts w:hint="default"/>
      </w:rPr>
    </w:lvl>
    <w:lvl w:ilvl="2">
      <w:start w:val="1"/>
      <w:numFmt w:val="lowerRoman"/>
      <w:lvlText w:val="(%3)"/>
      <w:lvlJc w:val="left"/>
      <w:pPr>
        <w:ind w:left="1040" w:hanging="360"/>
      </w:pPr>
      <w:rPr>
        <w:rFonts w:ascii="Arial" w:eastAsia="Times New Roman" w:hAnsi="Arial" w:cs="Arial" w:hint="default"/>
        <w:spacing w:val="-6"/>
        <w:w w:val="99"/>
        <w:sz w:val="20"/>
        <w:szCs w:val="20"/>
        <w:lang w:val="en-AU" w:eastAsia="en-AU" w:bidi="en-AU"/>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7" w15:restartNumberingAfterBreak="0">
    <w:nsid w:val="1862168C"/>
    <w:multiLevelType w:val="singleLevel"/>
    <w:tmpl w:val="927AFAE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8" w15:restartNumberingAfterBreak="0">
    <w:nsid w:val="19D25314"/>
    <w:multiLevelType w:val="singleLevel"/>
    <w:tmpl w:val="27B841F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9" w15:restartNumberingAfterBreak="0">
    <w:nsid w:val="1B402A5A"/>
    <w:multiLevelType w:val="singleLevel"/>
    <w:tmpl w:val="4782C70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0" w15:restartNumberingAfterBreak="0">
    <w:nsid w:val="1B594B41"/>
    <w:multiLevelType w:val="hybridMultilevel"/>
    <w:tmpl w:val="CF1CF6E8"/>
    <w:lvl w:ilvl="0" w:tplc="ABBC0108">
      <w:start w:val="1"/>
      <w:numFmt w:val="bullet"/>
      <w:pStyle w:val="Star2"/>
      <w:lvlText w:val="*"/>
      <w:lvlJc w:val="left"/>
      <w:pPr>
        <w:ind w:left="1584" w:hanging="360"/>
      </w:pPr>
      <w:rPr>
        <w:rFonts w:ascii="VIC" w:hAnsi="VIC" w:hint="default"/>
        <w:color w:val="C00000"/>
        <w:sz w:val="24"/>
      </w:rPr>
    </w:lvl>
    <w:lvl w:ilvl="1" w:tplc="FFFFFFFF" w:tentative="1">
      <w:start w:val="1"/>
      <w:numFmt w:val="bullet"/>
      <w:lvlText w:val="o"/>
      <w:lvlJc w:val="left"/>
      <w:pPr>
        <w:ind w:left="2304" w:hanging="360"/>
      </w:pPr>
      <w:rPr>
        <w:rFonts w:ascii="Courier New" w:hAnsi="Courier New" w:cs="Courier New" w:hint="default"/>
      </w:rPr>
    </w:lvl>
    <w:lvl w:ilvl="2" w:tplc="FFFFFFFF" w:tentative="1">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11" w15:restartNumberingAfterBreak="0">
    <w:nsid w:val="1D462DDC"/>
    <w:multiLevelType w:val="singleLevel"/>
    <w:tmpl w:val="F6AEF91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2" w15:restartNumberingAfterBreak="0">
    <w:nsid w:val="21B31641"/>
    <w:multiLevelType w:val="singleLevel"/>
    <w:tmpl w:val="FD1A886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3" w15:restartNumberingAfterBreak="0">
    <w:nsid w:val="23180292"/>
    <w:multiLevelType w:val="singleLevel"/>
    <w:tmpl w:val="F038235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4"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ED057D"/>
    <w:multiLevelType w:val="multilevel"/>
    <w:tmpl w:val="9C8C15F6"/>
    <w:lvl w:ilvl="0">
      <w:start w:val="1"/>
      <w:numFmt w:val="decimal"/>
      <w:lvlText w:val="(%1)"/>
      <w:lvlJc w:val="left"/>
      <w:pPr>
        <w:tabs>
          <w:tab w:val="num" w:pos="340"/>
        </w:tabs>
        <w:ind w:left="340" w:hanging="340"/>
      </w:pPr>
      <w:rPr>
        <w:rFonts w:hint="default"/>
      </w:rPr>
    </w:lvl>
    <w:lvl w:ilvl="1">
      <w:start w:val="1"/>
      <w:numFmt w:val="lowerLetter"/>
      <w:lvlText w:val="(%2)"/>
      <w:lvlJc w:val="left"/>
      <w:pPr>
        <w:ind w:left="700" w:hanging="360"/>
      </w:pPr>
      <w:rPr>
        <w:rFonts w:hint="default"/>
      </w:rPr>
    </w:lvl>
    <w:lvl w:ilvl="2">
      <w:start w:val="1"/>
      <w:numFmt w:val="lowerRoman"/>
      <w:lvlText w:val="(%3)"/>
      <w:lvlJc w:val="left"/>
      <w:pPr>
        <w:ind w:left="1040" w:hanging="360"/>
      </w:pPr>
      <w:rPr>
        <w:rFonts w:ascii="Arial" w:eastAsia="Times New Roman" w:hAnsi="Arial" w:cs="Arial" w:hint="default"/>
        <w:spacing w:val="-6"/>
        <w:w w:val="99"/>
        <w:sz w:val="20"/>
        <w:szCs w:val="20"/>
        <w:lang w:val="en-AU" w:eastAsia="en-AU" w:bidi="en-AU"/>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6" w15:restartNumberingAfterBreak="0">
    <w:nsid w:val="299B4F80"/>
    <w:multiLevelType w:val="singleLevel"/>
    <w:tmpl w:val="46A45C1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7" w15:restartNumberingAfterBreak="0">
    <w:nsid w:val="311C3757"/>
    <w:multiLevelType w:val="singleLevel"/>
    <w:tmpl w:val="42C6351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8" w15:restartNumberingAfterBreak="0">
    <w:nsid w:val="31CD5015"/>
    <w:multiLevelType w:val="singleLevel"/>
    <w:tmpl w:val="F1DC383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9" w15:restartNumberingAfterBreak="0">
    <w:nsid w:val="32564CA3"/>
    <w:multiLevelType w:val="hybridMultilevel"/>
    <w:tmpl w:val="86AA9B96"/>
    <w:lvl w:ilvl="0" w:tplc="5D3A00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783938"/>
    <w:multiLevelType w:val="multilevel"/>
    <w:tmpl w:val="EED87E90"/>
    <w:lvl w:ilvl="0">
      <w:start w:val="1"/>
      <w:numFmt w:val="decimal"/>
      <w:lvlText w:val="(%1)"/>
      <w:lvlJc w:val="left"/>
      <w:pPr>
        <w:tabs>
          <w:tab w:val="num" w:pos="340"/>
        </w:tabs>
        <w:ind w:left="340" w:hanging="340"/>
      </w:pPr>
      <w:rPr>
        <w:rFonts w:hint="default"/>
      </w:rPr>
    </w:lvl>
    <w:lvl w:ilvl="1">
      <w:start w:val="1"/>
      <w:numFmt w:val="lowerLetter"/>
      <w:lvlText w:val="(%2)"/>
      <w:lvlJc w:val="left"/>
      <w:pPr>
        <w:ind w:left="700" w:hanging="360"/>
      </w:pPr>
      <w:rPr>
        <w:rFonts w:hint="default"/>
        <w:sz w:val="20"/>
        <w:szCs w:val="20"/>
      </w:rPr>
    </w:lvl>
    <w:lvl w:ilvl="2">
      <w:start w:val="1"/>
      <w:numFmt w:val="lowerRoman"/>
      <w:lvlText w:val="(%3)"/>
      <w:lvlJc w:val="left"/>
      <w:pPr>
        <w:ind w:left="1040" w:hanging="360"/>
      </w:pPr>
      <w:rPr>
        <w:rFonts w:ascii="Arial" w:eastAsia="Times New Roman" w:hAnsi="Arial" w:cs="Arial" w:hint="default"/>
        <w:spacing w:val="-6"/>
        <w:w w:val="99"/>
        <w:sz w:val="20"/>
        <w:szCs w:val="20"/>
        <w:lang w:val="en-AU" w:eastAsia="en-AU" w:bidi="en-AU"/>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21" w15:restartNumberingAfterBreak="0">
    <w:nsid w:val="384D1A4F"/>
    <w:multiLevelType w:val="singleLevel"/>
    <w:tmpl w:val="B01EF32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2" w15:restartNumberingAfterBreak="0">
    <w:nsid w:val="42CE23B5"/>
    <w:multiLevelType w:val="hybridMultilevel"/>
    <w:tmpl w:val="B11AB80C"/>
    <w:lvl w:ilvl="0" w:tplc="5D3A0064">
      <w:start w:val="1"/>
      <w:numFmt w:val="lowerLetter"/>
      <w:lvlText w:val="(%1)"/>
      <w:lvlJc w:val="left"/>
      <w:pPr>
        <w:ind w:left="720" w:hanging="360"/>
      </w:pPr>
      <w:rPr>
        <w:rFonts w:hint="default"/>
      </w:rPr>
    </w:lvl>
    <w:lvl w:ilvl="1" w:tplc="244485DA">
      <w:start w:val="1"/>
      <w:numFmt w:val="lowerRoman"/>
      <w:lvlText w:val="(%2)"/>
      <w:lvlJc w:val="left"/>
      <w:pPr>
        <w:ind w:left="1440" w:hanging="360"/>
      </w:pPr>
      <w:rPr>
        <w:rFonts w:ascii="Arial" w:eastAsia="Times New Roman" w:hAnsi="Arial" w:cs="Arial" w:hint="default"/>
        <w:spacing w:val="-6"/>
        <w:w w:val="99"/>
        <w:sz w:val="20"/>
        <w:szCs w:val="20"/>
        <w:lang w:val="en-AU" w:eastAsia="en-AU" w:bidi="en-AU"/>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6D3A6A"/>
    <w:multiLevelType w:val="multilevel"/>
    <w:tmpl w:val="46E8A56A"/>
    <w:lvl w:ilvl="0">
      <w:start w:val="1"/>
      <w:numFmt w:val="bullet"/>
      <w:pStyle w:val="Bullet1"/>
      <w:lvlText w:val=""/>
      <w:lvlJc w:val="left"/>
      <w:pPr>
        <w:tabs>
          <w:tab w:val="num" w:pos="360"/>
        </w:tabs>
        <w:ind w:left="360" w:hanging="360"/>
      </w:pPr>
      <w:rPr>
        <w:rFonts w:ascii="Symbol" w:hAnsi="Symbol" w:hint="default"/>
        <w:b w:val="0"/>
        <w:i w:val="0"/>
        <w:vanish w:val="0"/>
        <w:color w:val="232B39" w:themeColor="text1"/>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4" w15:restartNumberingAfterBreak="0">
    <w:nsid w:val="44D96D99"/>
    <w:multiLevelType w:val="singleLevel"/>
    <w:tmpl w:val="BFE0960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5" w15:restartNumberingAfterBreak="0">
    <w:nsid w:val="457B38E3"/>
    <w:multiLevelType w:val="singleLevel"/>
    <w:tmpl w:val="5002BBC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6" w15:restartNumberingAfterBreak="0">
    <w:nsid w:val="45B8637B"/>
    <w:multiLevelType w:val="singleLevel"/>
    <w:tmpl w:val="4C56F0C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7" w15:restartNumberingAfterBreak="0">
    <w:nsid w:val="4AB25EDE"/>
    <w:multiLevelType w:val="hybridMultilevel"/>
    <w:tmpl w:val="8B2A5650"/>
    <w:lvl w:ilvl="0" w:tplc="0C090001">
      <w:start w:val="1"/>
      <w:numFmt w:val="bullet"/>
      <w:lvlText w:val=""/>
      <w:lvlJc w:val="left"/>
      <w:pPr>
        <w:ind w:left="1584" w:hanging="360"/>
      </w:pPr>
      <w:rPr>
        <w:rFonts w:ascii="Symbol" w:hAnsi="Symbol" w:hint="default"/>
      </w:rPr>
    </w:lvl>
    <w:lvl w:ilvl="1" w:tplc="0C090003" w:tentative="1">
      <w:start w:val="1"/>
      <w:numFmt w:val="bullet"/>
      <w:lvlText w:val="o"/>
      <w:lvlJc w:val="left"/>
      <w:pPr>
        <w:ind w:left="2304" w:hanging="360"/>
      </w:pPr>
      <w:rPr>
        <w:rFonts w:ascii="Courier New" w:hAnsi="Courier New" w:cs="Courier New" w:hint="default"/>
      </w:rPr>
    </w:lvl>
    <w:lvl w:ilvl="2" w:tplc="0C090005" w:tentative="1">
      <w:start w:val="1"/>
      <w:numFmt w:val="bullet"/>
      <w:lvlText w:val=""/>
      <w:lvlJc w:val="left"/>
      <w:pPr>
        <w:ind w:left="3024" w:hanging="360"/>
      </w:pPr>
      <w:rPr>
        <w:rFonts w:ascii="Wingdings" w:hAnsi="Wingdings" w:hint="default"/>
      </w:rPr>
    </w:lvl>
    <w:lvl w:ilvl="3" w:tplc="0C090001" w:tentative="1">
      <w:start w:val="1"/>
      <w:numFmt w:val="bullet"/>
      <w:lvlText w:val=""/>
      <w:lvlJc w:val="left"/>
      <w:pPr>
        <w:ind w:left="3744" w:hanging="360"/>
      </w:pPr>
      <w:rPr>
        <w:rFonts w:ascii="Symbol" w:hAnsi="Symbol" w:hint="default"/>
      </w:rPr>
    </w:lvl>
    <w:lvl w:ilvl="4" w:tplc="0C090003" w:tentative="1">
      <w:start w:val="1"/>
      <w:numFmt w:val="bullet"/>
      <w:lvlText w:val="o"/>
      <w:lvlJc w:val="left"/>
      <w:pPr>
        <w:ind w:left="4464" w:hanging="360"/>
      </w:pPr>
      <w:rPr>
        <w:rFonts w:ascii="Courier New" w:hAnsi="Courier New" w:cs="Courier New" w:hint="default"/>
      </w:rPr>
    </w:lvl>
    <w:lvl w:ilvl="5" w:tplc="0C090005" w:tentative="1">
      <w:start w:val="1"/>
      <w:numFmt w:val="bullet"/>
      <w:lvlText w:val=""/>
      <w:lvlJc w:val="left"/>
      <w:pPr>
        <w:ind w:left="5184" w:hanging="360"/>
      </w:pPr>
      <w:rPr>
        <w:rFonts w:ascii="Wingdings" w:hAnsi="Wingdings" w:hint="default"/>
      </w:rPr>
    </w:lvl>
    <w:lvl w:ilvl="6" w:tplc="0C090001" w:tentative="1">
      <w:start w:val="1"/>
      <w:numFmt w:val="bullet"/>
      <w:lvlText w:val=""/>
      <w:lvlJc w:val="left"/>
      <w:pPr>
        <w:ind w:left="5904" w:hanging="360"/>
      </w:pPr>
      <w:rPr>
        <w:rFonts w:ascii="Symbol" w:hAnsi="Symbol" w:hint="default"/>
      </w:rPr>
    </w:lvl>
    <w:lvl w:ilvl="7" w:tplc="0C090003" w:tentative="1">
      <w:start w:val="1"/>
      <w:numFmt w:val="bullet"/>
      <w:lvlText w:val="o"/>
      <w:lvlJc w:val="left"/>
      <w:pPr>
        <w:ind w:left="6624" w:hanging="360"/>
      </w:pPr>
      <w:rPr>
        <w:rFonts w:ascii="Courier New" w:hAnsi="Courier New" w:cs="Courier New" w:hint="default"/>
      </w:rPr>
    </w:lvl>
    <w:lvl w:ilvl="8" w:tplc="0C090005" w:tentative="1">
      <w:start w:val="1"/>
      <w:numFmt w:val="bullet"/>
      <w:lvlText w:val=""/>
      <w:lvlJc w:val="left"/>
      <w:pPr>
        <w:ind w:left="7344" w:hanging="360"/>
      </w:pPr>
      <w:rPr>
        <w:rFonts w:ascii="Wingdings" w:hAnsi="Wingdings" w:hint="default"/>
      </w:rPr>
    </w:lvl>
  </w:abstractNum>
  <w:abstractNum w:abstractNumId="28" w15:restartNumberingAfterBreak="0">
    <w:nsid w:val="4E0852D8"/>
    <w:multiLevelType w:val="singleLevel"/>
    <w:tmpl w:val="22EACD5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9" w15:restartNumberingAfterBreak="0">
    <w:nsid w:val="51154F25"/>
    <w:multiLevelType w:val="singleLevel"/>
    <w:tmpl w:val="DA7C5B1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0" w15:restartNumberingAfterBreak="0">
    <w:nsid w:val="516145F1"/>
    <w:multiLevelType w:val="hybridMultilevel"/>
    <w:tmpl w:val="E93C492C"/>
    <w:lvl w:ilvl="0" w:tplc="98069A02">
      <w:start w:val="1"/>
      <w:numFmt w:val="decimal"/>
      <w:lvlText w:val="(%1)"/>
      <w:lvlJc w:val="left"/>
      <w:pPr>
        <w:ind w:left="982" w:hanging="423"/>
      </w:pPr>
      <w:rPr>
        <w:rFonts w:ascii="Arial" w:eastAsia="Times New Roman" w:hAnsi="Arial" w:cs="Arial" w:hint="default"/>
        <w:spacing w:val="-4"/>
        <w:w w:val="99"/>
        <w:sz w:val="20"/>
        <w:szCs w:val="20"/>
        <w:lang w:val="en-AU" w:eastAsia="en-AU" w:bidi="en-AU"/>
      </w:rPr>
    </w:lvl>
    <w:lvl w:ilvl="1" w:tplc="25848714">
      <w:start w:val="1"/>
      <w:numFmt w:val="lowerLetter"/>
      <w:lvlText w:val="(%2)"/>
      <w:lvlJc w:val="left"/>
      <w:pPr>
        <w:ind w:left="1406" w:hanging="408"/>
      </w:pPr>
      <w:rPr>
        <w:rFonts w:ascii="Arial" w:eastAsia="Times New Roman" w:hAnsi="Arial" w:cs="Arial" w:hint="default"/>
        <w:spacing w:val="-6"/>
        <w:w w:val="99"/>
        <w:sz w:val="20"/>
        <w:szCs w:val="20"/>
        <w:lang w:val="en-AU" w:eastAsia="en-AU" w:bidi="en-AU"/>
      </w:rPr>
    </w:lvl>
    <w:lvl w:ilvl="2" w:tplc="04F478D6">
      <w:numFmt w:val="bullet"/>
      <w:lvlText w:val="•"/>
      <w:lvlJc w:val="left"/>
      <w:pPr>
        <w:ind w:left="2329" w:hanging="408"/>
      </w:pPr>
      <w:rPr>
        <w:rFonts w:hint="default"/>
        <w:lang w:val="en-AU" w:eastAsia="en-AU" w:bidi="en-AU"/>
      </w:rPr>
    </w:lvl>
    <w:lvl w:ilvl="3" w:tplc="3A402B8E">
      <w:numFmt w:val="bullet"/>
      <w:lvlText w:val="•"/>
      <w:lvlJc w:val="left"/>
      <w:pPr>
        <w:ind w:left="3259" w:hanging="408"/>
      </w:pPr>
      <w:rPr>
        <w:rFonts w:hint="default"/>
        <w:lang w:val="en-AU" w:eastAsia="en-AU" w:bidi="en-AU"/>
      </w:rPr>
    </w:lvl>
    <w:lvl w:ilvl="4" w:tplc="44A24C42">
      <w:numFmt w:val="bullet"/>
      <w:lvlText w:val="•"/>
      <w:lvlJc w:val="left"/>
      <w:pPr>
        <w:ind w:left="4188" w:hanging="408"/>
      </w:pPr>
      <w:rPr>
        <w:rFonts w:hint="default"/>
        <w:lang w:val="en-AU" w:eastAsia="en-AU" w:bidi="en-AU"/>
      </w:rPr>
    </w:lvl>
    <w:lvl w:ilvl="5" w:tplc="E4D66548">
      <w:numFmt w:val="bullet"/>
      <w:lvlText w:val="•"/>
      <w:lvlJc w:val="left"/>
      <w:pPr>
        <w:ind w:left="5118" w:hanging="408"/>
      </w:pPr>
      <w:rPr>
        <w:rFonts w:hint="default"/>
        <w:lang w:val="en-AU" w:eastAsia="en-AU" w:bidi="en-AU"/>
      </w:rPr>
    </w:lvl>
    <w:lvl w:ilvl="6" w:tplc="1172A608">
      <w:numFmt w:val="bullet"/>
      <w:lvlText w:val="•"/>
      <w:lvlJc w:val="left"/>
      <w:pPr>
        <w:ind w:left="6048" w:hanging="408"/>
      </w:pPr>
      <w:rPr>
        <w:rFonts w:hint="default"/>
        <w:lang w:val="en-AU" w:eastAsia="en-AU" w:bidi="en-AU"/>
      </w:rPr>
    </w:lvl>
    <w:lvl w:ilvl="7" w:tplc="0E0C48E0">
      <w:numFmt w:val="bullet"/>
      <w:lvlText w:val="•"/>
      <w:lvlJc w:val="left"/>
      <w:pPr>
        <w:ind w:left="6977" w:hanging="408"/>
      </w:pPr>
      <w:rPr>
        <w:rFonts w:hint="default"/>
        <w:lang w:val="en-AU" w:eastAsia="en-AU" w:bidi="en-AU"/>
      </w:rPr>
    </w:lvl>
    <w:lvl w:ilvl="8" w:tplc="391E83F2">
      <w:numFmt w:val="bullet"/>
      <w:lvlText w:val="•"/>
      <w:lvlJc w:val="left"/>
      <w:pPr>
        <w:ind w:left="7907" w:hanging="408"/>
      </w:pPr>
      <w:rPr>
        <w:rFonts w:hint="default"/>
        <w:lang w:val="en-AU" w:eastAsia="en-AU" w:bidi="en-AU"/>
      </w:rPr>
    </w:lvl>
  </w:abstractNum>
  <w:abstractNum w:abstractNumId="31" w15:restartNumberingAfterBreak="0">
    <w:nsid w:val="52443434"/>
    <w:multiLevelType w:val="singleLevel"/>
    <w:tmpl w:val="848C871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2" w15:restartNumberingAfterBreak="0">
    <w:nsid w:val="52460268"/>
    <w:multiLevelType w:val="hybridMultilevel"/>
    <w:tmpl w:val="1DF83046"/>
    <w:lvl w:ilvl="0" w:tplc="5D3A0064">
      <w:start w:val="1"/>
      <w:numFmt w:val="lowerLetter"/>
      <w:lvlText w:val="(%1)"/>
      <w:lvlJc w:val="left"/>
      <w:pPr>
        <w:ind w:left="773" w:hanging="360"/>
      </w:pPr>
      <w:rPr>
        <w:rFonts w:hint="default"/>
      </w:r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33" w15:restartNumberingAfterBreak="0">
    <w:nsid w:val="5466029A"/>
    <w:multiLevelType w:val="singleLevel"/>
    <w:tmpl w:val="CD5CBA9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4" w15:restartNumberingAfterBreak="0">
    <w:nsid w:val="54DE0D8B"/>
    <w:multiLevelType w:val="hybridMultilevel"/>
    <w:tmpl w:val="8DEC361C"/>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5380B81"/>
    <w:multiLevelType w:val="multilevel"/>
    <w:tmpl w:val="EED87E90"/>
    <w:lvl w:ilvl="0">
      <w:start w:val="1"/>
      <w:numFmt w:val="decimal"/>
      <w:lvlText w:val="(%1)"/>
      <w:lvlJc w:val="left"/>
      <w:pPr>
        <w:tabs>
          <w:tab w:val="num" w:pos="340"/>
        </w:tabs>
        <w:ind w:left="340" w:hanging="340"/>
      </w:pPr>
      <w:rPr>
        <w:rFonts w:hint="default"/>
      </w:rPr>
    </w:lvl>
    <w:lvl w:ilvl="1">
      <w:start w:val="1"/>
      <w:numFmt w:val="lowerLetter"/>
      <w:lvlText w:val="(%2)"/>
      <w:lvlJc w:val="left"/>
      <w:pPr>
        <w:ind w:left="700" w:hanging="360"/>
      </w:pPr>
      <w:rPr>
        <w:rFonts w:hint="default"/>
        <w:sz w:val="20"/>
        <w:szCs w:val="20"/>
      </w:rPr>
    </w:lvl>
    <w:lvl w:ilvl="2">
      <w:start w:val="1"/>
      <w:numFmt w:val="lowerRoman"/>
      <w:lvlText w:val="(%3)"/>
      <w:lvlJc w:val="left"/>
      <w:pPr>
        <w:ind w:left="1040" w:hanging="360"/>
      </w:pPr>
      <w:rPr>
        <w:rFonts w:ascii="Arial" w:eastAsia="Times New Roman" w:hAnsi="Arial" w:cs="Arial" w:hint="default"/>
        <w:spacing w:val="-6"/>
        <w:w w:val="99"/>
        <w:sz w:val="20"/>
        <w:szCs w:val="20"/>
        <w:lang w:val="en-AU" w:eastAsia="en-AU" w:bidi="en-AU"/>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36" w15:restartNumberingAfterBreak="0">
    <w:nsid w:val="5D170BBA"/>
    <w:multiLevelType w:val="multilevel"/>
    <w:tmpl w:val="54E67788"/>
    <w:lvl w:ilvl="0">
      <w:start w:val="1"/>
      <w:numFmt w:val="decimal"/>
      <w:lvlText w:val="%1"/>
      <w:lvlJc w:val="left"/>
      <w:pPr>
        <w:ind w:left="535" w:hanging="262"/>
      </w:pPr>
      <w:rPr>
        <w:rFonts w:ascii="Times New Roman" w:eastAsia="Times New Roman" w:hAnsi="Times New Roman" w:cs="Times New Roman" w:hint="default"/>
        <w:b/>
        <w:bCs/>
        <w:spacing w:val="-4"/>
        <w:w w:val="99"/>
        <w:sz w:val="24"/>
        <w:szCs w:val="24"/>
        <w:lang w:val="en-AU" w:eastAsia="en-AU" w:bidi="en-AU"/>
      </w:rPr>
    </w:lvl>
    <w:lvl w:ilvl="1">
      <w:start w:val="1"/>
      <w:numFmt w:val="decimal"/>
      <w:lvlText w:val="(%2)"/>
      <w:lvlJc w:val="left"/>
      <w:pPr>
        <w:ind w:left="1558" w:hanging="423"/>
      </w:pPr>
      <w:rPr>
        <w:rFonts w:ascii="Arial" w:eastAsia="Times New Roman" w:hAnsi="Arial" w:cs="Arial" w:hint="default"/>
        <w:b w:val="0"/>
        <w:bCs w:val="0"/>
        <w:spacing w:val="-5"/>
        <w:w w:val="99"/>
        <w:sz w:val="20"/>
        <w:szCs w:val="20"/>
        <w:lang w:val="en-AU" w:eastAsia="en-AU" w:bidi="en-AU"/>
      </w:rPr>
    </w:lvl>
    <w:lvl w:ilvl="2">
      <w:start w:val="1"/>
      <w:numFmt w:val="lowerLetter"/>
      <w:lvlText w:val="(%3)"/>
      <w:lvlJc w:val="left"/>
      <w:pPr>
        <w:ind w:left="1385" w:hanging="408"/>
      </w:pPr>
      <w:rPr>
        <w:rFonts w:ascii="Arial" w:eastAsia="Times New Roman" w:hAnsi="Arial" w:cs="Arial" w:hint="default"/>
        <w:spacing w:val="-5"/>
        <w:w w:val="99"/>
        <w:sz w:val="20"/>
        <w:szCs w:val="20"/>
        <w:lang w:val="en-AU" w:eastAsia="en-AU" w:bidi="en-AU"/>
      </w:rPr>
    </w:lvl>
    <w:lvl w:ilvl="3">
      <w:numFmt w:val="bullet"/>
      <w:lvlText w:val="•"/>
      <w:lvlJc w:val="left"/>
      <w:pPr>
        <w:ind w:left="1380" w:hanging="408"/>
      </w:pPr>
      <w:rPr>
        <w:rFonts w:hint="default"/>
        <w:lang w:val="en-AU" w:eastAsia="en-AU" w:bidi="en-AU"/>
      </w:rPr>
    </w:lvl>
    <w:lvl w:ilvl="4">
      <w:numFmt w:val="bullet"/>
      <w:lvlText w:val="•"/>
      <w:lvlJc w:val="left"/>
      <w:pPr>
        <w:ind w:left="1400" w:hanging="408"/>
      </w:pPr>
      <w:rPr>
        <w:rFonts w:hint="default"/>
        <w:lang w:val="en-AU" w:eastAsia="en-AU" w:bidi="en-AU"/>
      </w:rPr>
    </w:lvl>
    <w:lvl w:ilvl="5">
      <w:numFmt w:val="bullet"/>
      <w:lvlText w:val="•"/>
      <w:lvlJc w:val="left"/>
      <w:pPr>
        <w:ind w:left="1157" w:hanging="408"/>
      </w:pPr>
      <w:rPr>
        <w:rFonts w:hint="default"/>
        <w:lang w:val="en-AU" w:eastAsia="en-AU" w:bidi="en-AU"/>
      </w:rPr>
    </w:lvl>
    <w:lvl w:ilvl="6">
      <w:numFmt w:val="bullet"/>
      <w:lvlText w:val="•"/>
      <w:lvlJc w:val="left"/>
      <w:pPr>
        <w:ind w:left="914" w:hanging="408"/>
      </w:pPr>
      <w:rPr>
        <w:rFonts w:hint="default"/>
        <w:lang w:val="en-AU" w:eastAsia="en-AU" w:bidi="en-AU"/>
      </w:rPr>
    </w:lvl>
    <w:lvl w:ilvl="7">
      <w:numFmt w:val="bullet"/>
      <w:lvlText w:val="•"/>
      <w:lvlJc w:val="left"/>
      <w:pPr>
        <w:ind w:left="671" w:hanging="408"/>
      </w:pPr>
      <w:rPr>
        <w:rFonts w:hint="default"/>
        <w:lang w:val="en-AU" w:eastAsia="en-AU" w:bidi="en-AU"/>
      </w:rPr>
    </w:lvl>
    <w:lvl w:ilvl="8">
      <w:numFmt w:val="bullet"/>
      <w:lvlText w:val="•"/>
      <w:lvlJc w:val="left"/>
      <w:pPr>
        <w:ind w:left="428" w:hanging="408"/>
      </w:pPr>
      <w:rPr>
        <w:rFonts w:hint="default"/>
        <w:lang w:val="en-AU" w:eastAsia="en-AU" w:bidi="en-AU"/>
      </w:rPr>
    </w:lvl>
  </w:abstractNum>
  <w:abstractNum w:abstractNumId="37" w15:restartNumberingAfterBreak="0">
    <w:nsid w:val="5D252287"/>
    <w:multiLevelType w:val="singleLevel"/>
    <w:tmpl w:val="EAC2C0A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8" w15:restartNumberingAfterBreak="0">
    <w:nsid w:val="5E0120E6"/>
    <w:multiLevelType w:val="multilevel"/>
    <w:tmpl w:val="71600A04"/>
    <w:lvl w:ilvl="0">
      <w:start w:val="1"/>
      <w:numFmt w:val="decimal"/>
      <w:lvlText w:val="(%1)"/>
      <w:lvlJc w:val="left"/>
      <w:pPr>
        <w:tabs>
          <w:tab w:val="num" w:pos="340"/>
        </w:tabs>
        <w:ind w:left="340" w:hanging="340"/>
      </w:pPr>
      <w:rPr>
        <w:rFonts w:hint="default"/>
      </w:rPr>
    </w:lvl>
    <w:lvl w:ilvl="1">
      <w:start w:val="1"/>
      <w:numFmt w:val="lowerLetter"/>
      <w:lvlText w:val="(%2)"/>
      <w:lvlJc w:val="left"/>
      <w:pPr>
        <w:ind w:left="700" w:hanging="360"/>
      </w:pPr>
      <w:rPr>
        <w:rFonts w:hint="default"/>
      </w:rPr>
    </w:lvl>
    <w:lvl w:ilvl="2">
      <w:start w:val="1"/>
      <w:numFmt w:val="lowerRoman"/>
      <w:lvlText w:val="(%3)"/>
      <w:lvlJc w:val="left"/>
      <w:pPr>
        <w:ind w:left="1040" w:hanging="360"/>
      </w:pPr>
      <w:rPr>
        <w:rFonts w:ascii="Arial" w:eastAsia="Times New Roman" w:hAnsi="Arial" w:cs="Arial" w:hint="default"/>
        <w:spacing w:val="-6"/>
        <w:w w:val="99"/>
        <w:sz w:val="20"/>
        <w:szCs w:val="20"/>
        <w:lang w:val="en-AU" w:eastAsia="en-AU" w:bidi="en-AU"/>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39" w15:restartNumberingAfterBreak="0">
    <w:nsid w:val="64281CC4"/>
    <w:multiLevelType w:val="singleLevel"/>
    <w:tmpl w:val="EBE662A0"/>
    <w:lvl w:ilvl="0">
      <w:start w:val="1"/>
      <w:numFmt w:val="decimal"/>
      <w:lvlText w:val="%1."/>
      <w:lvlJc w:val="left"/>
      <w:pPr>
        <w:tabs>
          <w:tab w:val="num" w:pos="340"/>
        </w:tabs>
        <w:ind w:left="340" w:hanging="340"/>
      </w:pPr>
      <w:rPr>
        <w:rFonts w:ascii="Arial" w:eastAsiaTheme="minorHAnsi" w:hAnsi="Arial" w:cs="Arial"/>
        <w:color w:val="auto"/>
        <w:sz w:val="20"/>
        <w:szCs w:val="20"/>
      </w:rPr>
    </w:lvl>
  </w:abstractNum>
  <w:abstractNum w:abstractNumId="40" w15:restartNumberingAfterBreak="0">
    <w:nsid w:val="64450609"/>
    <w:multiLevelType w:val="multilevel"/>
    <w:tmpl w:val="EED87E90"/>
    <w:lvl w:ilvl="0">
      <w:start w:val="1"/>
      <w:numFmt w:val="decimal"/>
      <w:lvlText w:val="(%1)"/>
      <w:lvlJc w:val="left"/>
      <w:pPr>
        <w:tabs>
          <w:tab w:val="num" w:pos="340"/>
        </w:tabs>
        <w:ind w:left="340" w:hanging="340"/>
      </w:pPr>
      <w:rPr>
        <w:rFonts w:hint="default"/>
      </w:rPr>
    </w:lvl>
    <w:lvl w:ilvl="1">
      <w:start w:val="1"/>
      <w:numFmt w:val="lowerLetter"/>
      <w:lvlText w:val="(%2)"/>
      <w:lvlJc w:val="left"/>
      <w:pPr>
        <w:ind w:left="700" w:hanging="360"/>
      </w:pPr>
      <w:rPr>
        <w:rFonts w:hint="default"/>
        <w:sz w:val="20"/>
        <w:szCs w:val="20"/>
      </w:rPr>
    </w:lvl>
    <w:lvl w:ilvl="2">
      <w:start w:val="1"/>
      <w:numFmt w:val="lowerRoman"/>
      <w:lvlText w:val="(%3)"/>
      <w:lvlJc w:val="left"/>
      <w:pPr>
        <w:ind w:left="1040" w:hanging="360"/>
      </w:pPr>
      <w:rPr>
        <w:rFonts w:ascii="Arial" w:eastAsia="Times New Roman" w:hAnsi="Arial" w:cs="Arial" w:hint="default"/>
        <w:spacing w:val="-6"/>
        <w:w w:val="99"/>
        <w:sz w:val="20"/>
        <w:szCs w:val="20"/>
        <w:lang w:val="en-AU" w:eastAsia="en-AU" w:bidi="en-AU"/>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41" w15:restartNumberingAfterBreak="0">
    <w:nsid w:val="682E689F"/>
    <w:multiLevelType w:val="singleLevel"/>
    <w:tmpl w:val="6B727B2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2" w15:restartNumberingAfterBreak="0">
    <w:nsid w:val="78437D37"/>
    <w:multiLevelType w:val="hybridMultilevel"/>
    <w:tmpl w:val="DD50C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7E12E5"/>
    <w:multiLevelType w:val="hybridMultilevel"/>
    <w:tmpl w:val="F536B924"/>
    <w:lvl w:ilvl="0" w:tplc="9EF6EC60">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B095C4E"/>
    <w:multiLevelType w:val="singleLevel"/>
    <w:tmpl w:val="6548E87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5" w15:restartNumberingAfterBreak="0">
    <w:nsid w:val="7FD44514"/>
    <w:multiLevelType w:val="multilevel"/>
    <w:tmpl w:val="34FAA83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046492451">
    <w:abstractNumId w:val="4"/>
  </w:num>
  <w:num w:numId="2" w16cid:durableId="1860198679">
    <w:abstractNumId w:val="41"/>
  </w:num>
  <w:num w:numId="3" w16cid:durableId="218398250">
    <w:abstractNumId w:val="39"/>
  </w:num>
  <w:num w:numId="4" w16cid:durableId="837576345">
    <w:abstractNumId w:val="29"/>
  </w:num>
  <w:num w:numId="5" w16cid:durableId="1556424858">
    <w:abstractNumId w:val="33"/>
  </w:num>
  <w:num w:numId="6" w16cid:durableId="1288241258">
    <w:abstractNumId w:val="2"/>
  </w:num>
  <w:num w:numId="7" w16cid:durableId="2090885699">
    <w:abstractNumId w:val="30"/>
  </w:num>
  <w:num w:numId="8" w16cid:durableId="1397515462">
    <w:abstractNumId w:val="36"/>
  </w:num>
  <w:num w:numId="9" w16cid:durableId="1962613485">
    <w:abstractNumId w:val="15"/>
  </w:num>
  <w:num w:numId="10" w16cid:durableId="405108121">
    <w:abstractNumId w:val="32"/>
  </w:num>
  <w:num w:numId="11" w16cid:durableId="721636682">
    <w:abstractNumId w:val="38"/>
  </w:num>
  <w:num w:numId="12" w16cid:durableId="636380778">
    <w:abstractNumId w:val="22"/>
  </w:num>
  <w:num w:numId="13" w16cid:durableId="2056616802">
    <w:abstractNumId w:val="19"/>
  </w:num>
  <w:num w:numId="14" w16cid:durableId="744301813">
    <w:abstractNumId w:val="35"/>
  </w:num>
  <w:num w:numId="15" w16cid:durableId="1191988922">
    <w:abstractNumId w:val="37"/>
  </w:num>
  <w:num w:numId="16" w16cid:durableId="961152848">
    <w:abstractNumId w:val="11"/>
  </w:num>
  <w:num w:numId="17" w16cid:durableId="448939717">
    <w:abstractNumId w:val="21"/>
  </w:num>
  <w:num w:numId="18" w16cid:durableId="322975331">
    <w:abstractNumId w:val="12"/>
  </w:num>
  <w:num w:numId="19" w16cid:durableId="764224699">
    <w:abstractNumId w:val="28"/>
  </w:num>
  <w:num w:numId="20" w16cid:durableId="2036996900">
    <w:abstractNumId w:val="25"/>
  </w:num>
  <w:num w:numId="21" w16cid:durableId="1541824830">
    <w:abstractNumId w:val="3"/>
  </w:num>
  <w:num w:numId="22" w16cid:durableId="2123183003">
    <w:abstractNumId w:val="8"/>
  </w:num>
  <w:num w:numId="23" w16cid:durableId="966089593">
    <w:abstractNumId w:val="16"/>
  </w:num>
  <w:num w:numId="24" w16cid:durableId="1747649287">
    <w:abstractNumId w:val="9"/>
  </w:num>
  <w:num w:numId="25" w16cid:durableId="15274708">
    <w:abstractNumId w:val="1"/>
  </w:num>
  <w:num w:numId="26" w16cid:durableId="946277472">
    <w:abstractNumId w:val="0"/>
  </w:num>
  <w:num w:numId="27" w16cid:durableId="1336961001">
    <w:abstractNumId w:val="7"/>
  </w:num>
  <w:num w:numId="28" w16cid:durableId="2093618370">
    <w:abstractNumId w:val="44"/>
  </w:num>
  <w:num w:numId="29" w16cid:durableId="1385833352">
    <w:abstractNumId w:val="34"/>
  </w:num>
  <w:num w:numId="30" w16cid:durableId="477307850">
    <w:abstractNumId w:val="17"/>
  </w:num>
  <w:num w:numId="31" w16cid:durableId="133566469">
    <w:abstractNumId w:val="18"/>
  </w:num>
  <w:num w:numId="32" w16cid:durableId="78791965">
    <w:abstractNumId w:val="13"/>
  </w:num>
  <w:num w:numId="33" w16cid:durableId="61567191">
    <w:abstractNumId w:val="26"/>
  </w:num>
  <w:num w:numId="34" w16cid:durableId="2107532573">
    <w:abstractNumId w:val="31"/>
  </w:num>
  <w:num w:numId="35" w16cid:durableId="583105962">
    <w:abstractNumId w:val="20"/>
  </w:num>
  <w:num w:numId="36" w16cid:durableId="47069613">
    <w:abstractNumId w:val="40"/>
  </w:num>
  <w:num w:numId="37" w16cid:durableId="1366564406">
    <w:abstractNumId w:val="24"/>
  </w:num>
  <w:num w:numId="38" w16cid:durableId="48844771">
    <w:abstractNumId w:val="42"/>
  </w:num>
  <w:num w:numId="39" w16cid:durableId="686717041">
    <w:abstractNumId w:val="23"/>
  </w:num>
  <w:num w:numId="40" w16cid:durableId="823276140">
    <w:abstractNumId w:val="45"/>
  </w:num>
  <w:num w:numId="41" w16cid:durableId="542331289">
    <w:abstractNumId w:val="14"/>
  </w:num>
  <w:num w:numId="42" w16cid:durableId="313142188">
    <w:abstractNumId w:val="43"/>
  </w:num>
  <w:num w:numId="43" w16cid:durableId="198843537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619594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498120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7431372">
    <w:abstractNumId w:val="27"/>
  </w:num>
  <w:num w:numId="47" w16cid:durableId="1025403045">
    <w:abstractNumId w:val="10"/>
  </w:num>
  <w:num w:numId="48" w16cid:durableId="28576604">
    <w:abstractNumId w:val="43"/>
    <w:lvlOverride w:ilvl="0">
      <w:startOverride w:val="1"/>
    </w:lvlOverride>
  </w:num>
  <w:num w:numId="49" w16cid:durableId="206525514">
    <w:abstractNumId w:val="43"/>
    <w:lvlOverride w:ilvl="0">
      <w:startOverride w:val="1"/>
    </w:lvlOverride>
  </w:num>
  <w:num w:numId="50" w16cid:durableId="17455653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113425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88305259">
    <w:abstractNumId w:val="45"/>
  </w:num>
  <w:num w:numId="53" w16cid:durableId="1810781258">
    <w:abstractNumId w:val="45"/>
  </w:num>
  <w:num w:numId="54" w16cid:durableId="1707606452">
    <w:abstractNumId w:val="6"/>
  </w:num>
  <w:num w:numId="55" w16cid:durableId="19776380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4006317">
    <w:abstractNumId w:val="5"/>
  </w:num>
  <w:num w:numId="57" w16cid:durableId="1010253677">
    <w:abstractNumId w:val="43"/>
    <w:lvlOverride w:ilvl="0">
      <w:startOverride w:val="1"/>
    </w:lvlOverride>
  </w:num>
  <w:num w:numId="58" w16cid:durableId="2011834432">
    <w:abstractNumId w:val="43"/>
    <w:lvlOverride w:ilvl="0">
      <w:startOverride w:val="1"/>
    </w:lvlOverride>
  </w:num>
  <w:num w:numId="59" w16cid:durableId="89439109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442102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16326908">
    <w:abstractNumId w:val="43"/>
    <w:lvlOverride w:ilvl="0">
      <w:startOverride w:val="1"/>
    </w:lvlOverride>
  </w:num>
  <w:num w:numId="62" w16cid:durableId="18337183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19385525">
    <w:abstractNumId w:val="43"/>
    <w:lvlOverride w:ilvl="0">
      <w:startOverride w:val="1"/>
    </w:lvlOverride>
  </w:num>
  <w:num w:numId="64" w16cid:durableId="13472909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59451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68141162">
    <w:abstractNumId w:val="45"/>
  </w:num>
  <w:num w:numId="67" w16cid:durableId="10506147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5402709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792649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3579709">
    <w:abstractNumId w:val="43"/>
    <w:lvlOverride w:ilvl="0">
      <w:startOverride w:val="1"/>
    </w:lvlOverride>
  </w:num>
  <w:num w:numId="71" w16cid:durableId="907960490">
    <w:abstractNumId w:val="45"/>
  </w:num>
  <w:num w:numId="72" w16cid:durableId="311449577">
    <w:abstractNumId w:val="10"/>
  </w:num>
  <w:num w:numId="73" w16cid:durableId="2005694734">
    <w:abstractNumId w:val="43"/>
    <w:lvlOverride w:ilvl="0">
      <w:startOverride w:val="1"/>
    </w:lvlOverride>
  </w:num>
  <w:num w:numId="74" w16cid:durableId="651981129">
    <w:abstractNumId w:val="45"/>
  </w:num>
  <w:num w:numId="75" w16cid:durableId="89856954">
    <w:abstractNumId w:val="4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99"/>
    <w:rsid w:val="00000232"/>
    <w:rsid w:val="0000033C"/>
    <w:rsid w:val="000005C4"/>
    <w:rsid w:val="00000692"/>
    <w:rsid w:val="0000072C"/>
    <w:rsid w:val="00000B41"/>
    <w:rsid w:val="00001E6F"/>
    <w:rsid w:val="000030EB"/>
    <w:rsid w:val="000034CD"/>
    <w:rsid w:val="0000467C"/>
    <w:rsid w:val="0000510C"/>
    <w:rsid w:val="000055AE"/>
    <w:rsid w:val="00005EDE"/>
    <w:rsid w:val="00006560"/>
    <w:rsid w:val="00006B29"/>
    <w:rsid w:val="00006FA5"/>
    <w:rsid w:val="00007092"/>
    <w:rsid w:val="00007553"/>
    <w:rsid w:val="00010853"/>
    <w:rsid w:val="00010870"/>
    <w:rsid w:val="000108AF"/>
    <w:rsid w:val="000111FB"/>
    <w:rsid w:val="0001125E"/>
    <w:rsid w:val="00011341"/>
    <w:rsid w:val="00011429"/>
    <w:rsid w:val="000124EC"/>
    <w:rsid w:val="000127ED"/>
    <w:rsid w:val="00012A72"/>
    <w:rsid w:val="00013272"/>
    <w:rsid w:val="000132BA"/>
    <w:rsid w:val="000132DE"/>
    <w:rsid w:val="000138BD"/>
    <w:rsid w:val="00013ADF"/>
    <w:rsid w:val="0001427D"/>
    <w:rsid w:val="00014E74"/>
    <w:rsid w:val="000151E7"/>
    <w:rsid w:val="00015D07"/>
    <w:rsid w:val="00015E5E"/>
    <w:rsid w:val="00015ECB"/>
    <w:rsid w:val="000167AA"/>
    <w:rsid w:val="00017192"/>
    <w:rsid w:val="00017745"/>
    <w:rsid w:val="000200DE"/>
    <w:rsid w:val="00020951"/>
    <w:rsid w:val="00020EEF"/>
    <w:rsid w:val="00021E2D"/>
    <w:rsid w:val="00021FE8"/>
    <w:rsid w:val="00022402"/>
    <w:rsid w:val="00022420"/>
    <w:rsid w:val="000233C6"/>
    <w:rsid w:val="00023D49"/>
    <w:rsid w:val="00023DEF"/>
    <w:rsid w:val="00024277"/>
    <w:rsid w:val="000243EA"/>
    <w:rsid w:val="00024B20"/>
    <w:rsid w:val="00024EA2"/>
    <w:rsid w:val="00024EAD"/>
    <w:rsid w:val="00025CCA"/>
    <w:rsid w:val="00026032"/>
    <w:rsid w:val="000260D9"/>
    <w:rsid w:val="00026B7D"/>
    <w:rsid w:val="00026C86"/>
    <w:rsid w:val="00027C94"/>
    <w:rsid w:val="00027DB7"/>
    <w:rsid w:val="00030569"/>
    <w:rsid w:val="000305A0"/>
    <w:rsid w:val="00031516"/>
    <w:rsid w:val="00031759"/>
    <w:rsid w:val="00033B90"/>
    <w:rsid w:val="000346A0"/>
    <w:rsid w:val="00034880"/>
    <w:rsid w:val="00034A6B"/>
    <w:rsid w:val="00034AC5"/>
    <w:rsid w:val="00034C2E"/>
    <w:rsid w:val="000350CB"/>
    <w:rsid w:val="0003556B"/>
    <w:rsid w:val="000357EF"/>
    <w:rsid w:val="000359AC"/>
    <w:rsid w:val="00035B04"/>
    <w:rsid w:val="0003633C"/>
    <w:rsid w:val="00036474"/>
    <w:rsid w:val="00036603"/>
    <w:rsid w:val="0003663F"/>
    <w:rsid w:val="00036DB4"/>
    <w:rsid w:val="000372A5"/>
    <w:rsid w:val="00037727"/>
    <w:rsid w:val="00037AFC"/>
    <w:rsid w:val="00040C9A"/>
    <w:rsid w:val="00040E02"/>
    <w:rsid w:val="000417A1"/>
    <w:rsid w:val="000419A2"/>
    <w:rsid w:val="00041BC5"/>
    <w:rsid w:val="00041BF1"/>
    <w:rsid w:val="0004297E"/>
    <w:rsid w:val="0004311C"/>
    <w:rsid w:val="000431C6"/>
    <w:rsid w:val="00043F2B"/>
    <w:rsid w:val="000440DB"/>
    <w:rsid w:val="0004420D"/>
    <w:rsid w:val="00044502"/>
    <w:rsid w:val="00044D48"/>
    <w:rsid w:val="00045A7F"/>
    <w:rsid w:val="00045C41"/>
    <w:rsid w:val="0004648F"/>
    <w:rsid w:val="00046920"/>
    <w:rsid w:val="00046DB0"/>
    <w:rsid w:val="000472B6"/>
    <w:rsid w:val="00047775"/>
    <w:rsid w:val="0005118C"/>
    <w:rsid w:val="00051193"/>
    <w:rsid w:val="00051C1D"/>
    <w:rsid w:val="00052033"/>
    <w:rsid w:val="000524DF"/>
    <w:rsid w:val="00052917"/>
    <w:rsid w:val="00053C4B"/>
    <w:rsid w:val="000541AD"/>
    <w:rsid w:val="00054205"/>
    <w:rsid w:val="0005556A"/>
    <w:rsid w:val="000558CD"/>
    <w:rsid w:val="00056AE1"/>
    <w:rsid w:val="00056BDE"/>
    <w:rsid w:val="00057303"/>
    <w:rsid w:val="00057322"/>
    <w:rsid w:val="00057452"/>
    <w:rsid w:val="0005775C"/>
    <w:rsid w:val="00057EB9"/>
    <w:rsid w:val="00057F0E"/>
    <w:rsid w:val="00060279"/>
    <w:rsid w:val="00060428"/>
    <w:rsid w:val="000613C0"/>
    <w:rsid w:val="000614A1"/>
    <w:rsid w:val="00061961"/>
    <w:rsid w:val="000620C3"/>
    <w:rsid w:val="00062378"/>
    <w:rsid w:val="00062710"/>
    <w:rsid w:val="00064012"/>
    <w:rsid w:val="000641B2"/>
    <w:rsid w:val="00064495"/>
    <w:rsid w:val="0006471B"/>
    <w:rsid w:val="0006485E"/>
    <w:rsid w:val="00064A72"/>
    <w:rsid w:val="000657C7"/>
    <w:rsid w:val="000657F4"/>
    <w:rsid w:val="00065A49"/>
    <w:rsid w:val="00065F67"/>
    <w:rsid w:val="00066190"/>
    <w:rsid w:val="00066336"/>
    <w:rsid w:val="00066511"/>
    <w:rsid w:val="00066684"/>
    <w:rsid w:val="00066FDF"/>
    <w:rsid w:val="00067171"/>
    <w:rsid w:val="00067212"/>
    <w:rsid w:val="00067489"/>
    <w:rsid w:val="000676D6"/>
    <w:rsid w:val="00070448"/>
    <w:rsid w:val="00070F57"/>
    <w:rsid w:val="0007144B"/>
    <w:rsid w:val="00071556"/>
    <w:rsid w:val="00071A79"/>
    <w:rsid w:val="00071B80"/>
    <w:rsid w:val="000727FC"/>
    <w:rsid w:val="00072A3D"/>
    <w:rsid w:val="00073096"/>
    <w:rsid w:val="0007329F"/>
    <w:rsid w:val="000735FD"/>
    <w:rsid w:val="00073A0E"/>
    <w:rsid w:val="00073B39"/>
    <w:rsid w:val="00073E9A"/>
    <w:rsid w:val="0007447B"/>
    <w:rsid w:val="00074608"/>
    <w:rsid w:val="00074962"/>
    <w:rsid w:val="00074BA8"/>
    <w:rsid w:val="00075FA7"/>
    <w:rsid w:val="0007629D"/>
    <w:rsid w:val="00077B60"/>
    <w:rsid w:val="00077D72"/>
    <w:rsid w:val="00080211"/>
    <w:rsid w:val="00080D02"/>
    <w:rsid w:val="000812D3"/>
    <w:rsid w:val="00081C75"/>
    <w:rsid w:val="0008251E"/>
    <w:rsid w:val="00082BBB"/>
    <w:rsid w:val="00082DB7"/>
    <w:rsid w:val="00082FDA"/>
    <w:rsid w:val="00083227"/>
    <w:rsid w:val="00083CA8"/>
    <w:rsid w:val="00083FCD"/>
    <w:rsid w:val="000848A0"/>
    <w:rsid w:val="0008495A"/>
    <w:rsid w:val="000849A9"/>
    <w:rsid w:val="00084EE6"/>
    <w:rsid w:val="00085156"/>
    <w:rsid w:val="000851E6"/>
    <w:rsid w:val="00085431"/>
    <w:rsid w:val="00085726"/>
    <w:rsid w:val="00085C80"/>
    <w:rsid w:val="00085E5B"/>
    <w:rsid w:val="0008604D"/>
    <w:rsid w:val="00086E9B"/>
    <w:rsid w:val="00087659"/>
    <w:rsid w:val="00087855"/>
    <w:rsid w:val="00087FB1"/>
    <w:rsid w:val="0009063F"/>
    <w:rsid w:val="00091408"/>
    <w:rsid w:val="0009153D"/>
    <w:rsid w:val="00091E39"/>
    <w:rsid w:val="000924CF"/>
    <w:rsid w:val="00092930"/>
    <w:rsid w:val="00092AC2"/>
    <w:rsid w:val="00092B96"/>
    <w:rsid w:val="00093309"/>
    <w:rsid w:val="00093A17"/>
    <w:rsid w:val="00094612"/>
    <w:rsid w:val="000946E0"/>
    <w:rsid w:val="000947D5"/>
    <w:rsid w:val="00094BA6"/>
    <w:rsid w:val="000950B1"/>
    <w:rsid w:val="00095178"/>
    <w:rsid w:val="000951F6"/>
    <w:rsid w:val="0009571B"/>
    <w:rsid w:val="0009583D"/>
    <w:rsid w:val="00095B3F"/>
    <w:rsid w:val="000964FD"/>
    <w:rsid w:val="000968FF"/>
    <w:rsid w:val="00096ED3"/>
    <w:rsid w:val="00097B3E"/>
    <w:rsid w:val="00097CEF"/>
    <w:rsid w:val="00097E97"/>
    <w:rsid w:val="000A0BEB"/>
    <w:rsid w:val="000A0C1C"/>
    <w:rsid w:val="000A2B03"/>
    <w:rsid w:val="000A2F90"/>
    <w:rsid w:val="000A3386"/>
    <w:rsid w:val="000A3A25"/>
    <w:rsid w:val="000A3A85"/>
    <w:rsid w:val="000A457D"/>
    <w:rsid w:val="000A4969"/>
    <w:rsid w:val="000A50DD"/>
    <w:rsid w:val="000A68F5"/>
    <w:rsid w:val="000A6B5A"/>
    <w:rsid w:val="000A7338"/>
    <w:rsid w:val="000A7E18"/>
    <w:rsid w:val="000A7F88"/>
    <w:rsid w:val="000B09A0"/>
    <w:rsid w:val="000B0B6C"/>
    <w:rsid w:val="000B1042"/>
    <w:rsid w:val="000B18F7"/>
    <w:rsid w:val="000B1ACC"/>
    <w:rsid w:val="000B216E"/>
    <w:rsid w:val="000B2547"/>
    <w:rsid w:val="000B2950"/>
    <w:rsid w:val="000B2B09"/>
    <w:rsid w:val="000B2C54"/>
    <w:rsid w:val="000B3435"/>
    <w:rsid w:val="000B36C8"/>
    <w:rsid w:val="000B3761"/>
    <w:rsid w:val="000B45C2"/>
    <w:rsid w:val="000B4E1E"/>
    <w:rsid w:val="000B4F43"/>
    <w:rsid w:val="000B527D"/>
    <w:rsid w:val="000B6893"/>
    <w:rsid w:val="000B7A4F"/>
    <w:rsid w:val="000B7FDB"/>
    <w:rsid w:val="000C008B"/>
    <w:rsid w:val="000C047F"/>
    <w:rsid w:val="000C06FD"/>
    <w:rsid w:val="000C1AE1"/>
    <w:rsid w:val="000C1AF1"/>
    <w:rsid w:val="000C1C91"/>
    <w:rsid w:val="000C335F"/>
    <w:rsid w:val="000C37D8"/>
    <w:rsid w:val="000C3B91"/>
    <w:rsid w:val="000C414E"/>
    <w:rsid w:val="000C602B"/>
    <w:rsid w:val="000C6194"/>
    <w:rsid w:val="000C6E3D"/>
    <w:rsid w:val="000C723D"/>
    <w:rsid w:val="000C7789"/>
    <w:rsid w:val="000C7798"/>
    <w:rsid w:val="000C7962"/>
    <w:rsid w:val="000D064A"/>
    <w:rsid w:val="000D075C"/>
    <w:rsid w:val="000D0848"/>
    <w:rsid w:val="000D0DB5"/>
    <w:rsid w:val="000D1551"/>
    <w:rsid w:val="000D15FB"/>
    <w:rsid w:val="000D1BAF"/>
    <w:rsid w:val="000D1BFE"/>
    <w:rsid w:val="000D27A7"/>
    <w:rsid w:val="000D2A25"/>
    <w:rsid w:val="000D2A77"/>
    <w:rsid w:val="000D2AD7"/>
    <w:rsid w:val="000D3260"/>
    <w:rsid w:val="000D3D99"/>
    <w:rsid w:val="000D40FD"/>
    <w:rsid w:val="000D41F7"/>
    <w:rsid w:val="000D4224"/>
    <w:rsid w:val="000D45B9"/>
    <w:rsid w:val="000D4D3B"/>
    <w:rsid w:val="000D51C2"/>
    <w:rsid w:val="000D54F2"/>
    <w:rsid w:val="000D57DE"/>
    <w:rsid w:val="000D5C58"/>
    <w:rsid w:val="000D5CBA"/>
    <w:rsid w:val="000D6459"/>
    <w:rsid w:val="000D68AE"/>
    <w:rsid w:val="000D6BE6"/>
    <w:rsid w:val="000D798A"/>
    <w:rsid w:val="000D7A71"/>
    <w:rsid w:val="000D7C30"/>
    <w:rsid w:val="000E0307"/>
    <w:rsid w:val="000E1898"/>
    <w:rsid w:val="000E33E9"/>
    <w:rsid w:val="000E3608"/>
    <w:rsid w:val="000E4086"/>
    <w:rsid w:val="000E42B9"/>
    <w:rsid w:val="000E4515"/>
    <w:rsid w:val="000E4EEB"/>
    <w:rsid w:val="000E585B"/>
    <w:rsid w:val="000E5C7D"/>
    <w:rsid w:val="000E5EC1"/>
    <w:rsid w:val="000E6293"/>
    <w:rsid w:val="000E6393"/>
    <w:rsid w:val="000E664B"/>
    <w:rsid w:val="000E68F5"/>
    <w:rsid w:val="000E6963"/>
    <w:rsid w:val="000E7627"/>
    <w:rsid w:val="000F05B1"/>
    <w:rsid w:val="000F133F"/>
    <w:rsid w:val="000F17A4"/>
    <w:rsid w:val="000F20E8"/>
    <w:rsid w:val="000F2167"/>
    <w:rsid w:val="000F216C"/>
    <w:rsid w:val="000F2AA9"/>
    <w:rsid w:val="000F2BC3"/>
    <w:rsid w:val="000F2C60"/>
    <w:rsid w:val="000F2EDB"/>
    <w:rsid w:val="000F3464"/>
    <w:rsid w:val="000F3906"/>
    <w:rsid w:val="000F3A5A"/>
    <w:rsid w:val="000F43BC"/>
    <w:rsid w:val="000F4731"/>
    <w:rsid w:val="000F5062"/>
    <w:rsid w:val="000F51FE"/>
    <w:rsid w:val="000F5892"/>
    <w:rsid w:val="000F60E6"/>
    <w:rsid w:val="000F6784"/>
    <w:rsid w:val="000F6C7B"/>
    <w:rsid w:val="000F71F9"/>
    <w:rsid w:val="000F737A"/>
    <w:rsid w:val="000F776F"/>
    <w:rsid w:val="000F7A77"/>
    <w:rsid w:val="000F7BF5"/>
    <w:rsid w:val="001005BE"/>
    <w:rsid w:val="00100F51"/>
    <w:rsid w:val="00101848"/>
    <w:rsid w:val="00101B2F"/>
    <w:rsid w:val="001021EE"/>
    <w:rsid w:val="001022D3"/>
    <w:rsid w:val="00102460"/>
    <w:rsid w:val="00102EFE"/>
    <w:rsid w:val="00102F27"/>
    <w:rsid w:val="001037D0"/>
    <w:rsid w:val="00103D30"/>
    <w:rsid w:val="001045B3"/>
    <w:rsid w:val="0010468C"/>
    <w:rsid w:val="00104742"/>
    <w:rsid w:val="00104A5F"/>
    <w:rsid w:val="001062F1"/>
    <w:rsid w:val="00106FC0"/>
    <w:rsid w:val="0010706B"/>
    <w:rsid w:val="00107712"/>
    <w:rsid w:val="00107C2C"/>
    <w:rsid w:val="001108D4"/>
    <w:rsid w:val="0011099D"/>
    <w:rsid w:val="00111437"/>
    <w:rsid w:val="00111CBA"/>
    <w:rsid w:val="0011220C"/>
    <w:rsid w:val="001126AB"/>
    <w:rsid w:val="00113276"/>
    <w:rsid w:val="001133C4"/>
    <w:rsid w:val="00113490"/>
    <w:rsid w:val="001138A6"/>
    <w:rsid w:val="001138E9"/>
    <w:rsid w:val="00113B9E"/>
    <w:rsid w:val="00113EA0"/>
    <w:rsid w:val="0011406E"/>
    <w:rsid w:val="0011465D"/>
    <w:rsid w:val="001148B1"/>
    <w:rsid w:val="001149D7"/>
    <w:rsid w:val="001154E8"/>
    <w:rsid w:val="00115733"/>
    <w:rsid w:val="001158E0"/>
    <w:rsid w:val="00115AF7"/>
    <w:rsid w:val="00115F28"/>
    <w:rsid w:val="001166D5"/>
    <w:rsid w:val="001170C3"/>
    <w:rsid w:val="001176C1"/>
    <w:rsid w:val="001176F1"/>
    <w:rsid w:val="00117C8A"/>
    <w:rsid w:val="0011F30E"/>
    <w:rsid w:val="00120686"/>
    <w:rsid w:val="00120762"/>
    <w:rsid w:val="001209E9"/>
    <w:rsid w:val="00120F65"/>
    <w:rsid w:val="001210AD"/>
    <w:rsid w:val="00121145"/>
    <w:rsid w:val="00121712"/>
    <w:rsid w:val="00122A3B"/>
    <w:rsid w:val="00122B0D"/>
    <w:rsid w:val="00122CF9"/>
    <w:rsid w:val="00122D36"/>
    <w:rsid w:val="00123867"/>
    <w:rsid w:val="00123AD2"/>
    <w:rsid w:val="001243F6"/>
    <w:rsid w:val="00124E5E"/>
    <w:rsid w:val="00125446"/>
    <w:rsid w:val="001255A9"/>
    <w:rsid w:val="00125B28"/>
    <w:rsid w:val="00125EFD"/>
    <w:rsid w:val="001264F7"/>
    <w:rsid w:val="0012659F"/>
    <w:rsid w:val="00126A43"/>
    <w:rsid w:val="00127116"/>
    <w:rsid w:val="001271FF"/>
    <w:rsid w:val="00127809"/>
    <w:rsid w:val="00131560"/>
    <w:rsid w:val="00131778"/>
    <w:rsid w:val="00131F28"/>
    <w:rsid w:val="00131FFA"/>
    <w:rsid w:val="00132152"/>
    <w:rsid w:val="00132635"/>
    <w:rsid w:val="00132C9D"/>
    <w:rsid w:val="001331C8"/>
    <w:rsid w:val="00133463"/>
    <w:rsid w:val="0013353A"/>
    <w:rsid w:val="00133CB6"/>
    <w:rsid w:val="00134049"/>
    <w:rsid w:val="001349E3"/>
    <w:rsid w:val="00134A99"/>
    <w:rsid w:val="00135235"/>
    <w:rsid w:val="00135ACC"/>
    <w:rsid w:val="00136475"/>
    <w:rsid w:val="001367F0"/>
    <w:rsid w:val="00136C31"/>
    <w:rsid w:val="00136D0D"/>
    <w:rsid w:val="0013713C"/>
    <w:rsid w:val="00137A05"/>
    <w:rsid w:val="00137DE0"/>
    <w:rsid w:val="00137EEB"/>
    <w:rsid w:val="0014031D"/>
    <w:rsid w:val="00141383"/>
    <w:rsid w:val="001414A7"/>
    <w:rsid w:val="001418F8"/>
    <w:rsid w:val="00141EAC"/>
    <w:rsid w:val="00142035"/>
    <w:rsid w:val="00142780"/>
    <w:rsid w:val="001427A3"/>
    <w:rsid w:val="00142ADA"/>
    <w:rsid w:val="00142B73"/>
    <w:rsid w:val="00143392"/>
    <w:rsid w:val="00143487"/>
    <w:rsid w:val="00143581"/>
    <w:rsid w:val="00143584"/>
    <w:rsid w:val="001436F4"/>
    <w:rsid w:val="00143D67"/>
    <w:rsid w:val="0014433F"/>
    <w:rsid w:val="00144A5A"/>
    <w:rsid w:val="00144D5C"/>
    <w:rsid w:val="00144D68"/>
    <w:rsid w:val="00146192"/>
    <w:rsid w:val="00146377"/>
    <w:rsid w:val="001467BA"/>
    <w:rsid w:val="00147557"/>
    <w:rsid w:val="00147916"/>
    <w:rsid w:val="00150A0B"/>
    <w:rsid w:val="00150F34"/>
    <w:rsid w:val="00151369"/>
    <w:rsid w:val="0015163A"/>
    <w:rsid w:val="001517EF"/>
    <w:rsid w:val="00151F90"/>
    <w:rsid w:val="0015268F"/>
    <w:rsid w:val="0015297F"/>
    <w:rsid w:val="00152C9C"/>
    <w:rsid w:val="001535C5"/>
    <w:rsid w:val="001535C9"/>
    <w:rsid w:val="00153717"/>
    <w:rsid w:val="00153AFF"/>
    <w:rsid w:val="00153D91"/>
    <w:rsid w:val="00154759"/>
    <w:rsid w:val="001548C8"/>
    <w:rsid w:val="00154A2E"/>
    <w:rsid w:val="00154FDA"/>
    <w:rsid w:val="001554C7"/>
    <w:rsid w:val="001557F8"/>
    <w:rsid w:val="001558B6"/>
    <w:rsid w:val="001561DC"/>
    <w:rsid w:val="00156E9F"/>
    <w:rsid w:val="00156F9B"/>
    <w:rsid w:val="0015751D"/>
    <w:rsid w:val="00157A59"/>
    <w:rsid w:val="001603A3"/>
    <w:rsid w:val="00161973"/>
    <w:rsid w:val="001619B8"/>
    <w:rsid w:val="0016389A"/>
    <w:rsid w:val="0016401E"/>
    <w:rsid w:val="0016423B"/>
    <w:rsid w:val="001651D4"/>
    <w:rsid w:val="001654E4"/>
    <w:rsid w:val="0016562F"/>
    <w:rsid w:val="001657B8"/>
    <w:rsid w:val="001657D9"/>
    <w:rsid w:val="00166356"/>
    <w:rsid w:val="00166444"/>
    <w:rsid w:val="001676E3"/>
    <w:rsid w:val="00167B97"/>
    <w:rsid w:val="00167BFE"/>
    <w:rsid w:val="00170551"/>
    <w:rsid w:val="001708AB"/>
    <w:rsid w:val="00170A4D"/>
    <w:rsid w:val="0017134E"/>
    <w:rsid w:val="001717F4"/>
    <w:rsid w:val="00172232"/>
    <w:rsid w:val="001727A3"/>
    <w:rsid w:val="00172A65"/>
    <w:rsid w:val="00173974"/>
    <w:rsid w:val="001742A3"/>
    <w:rsid w:val="00174B5E"/>
    <w:rsid w:val="0017502B"/>
    <w:rsid w:val="00175228"/>
    <w:rsid w:val="00175711"/>
    <w:rsid w:val="00175741"/>
    <w:rsid w:val="00175889"/>
    <w:rsid w:val="00175C7E"/>
    <w:rsid w:val="00175F52"/>
    <w:rsid w:val="00177031"/>
    <w:rsid w:val="00177826"/>
    <w:rsid w:val="001802DA"/>
    <w:rsid w:val="00180F71"/>
    <w:rsid w:val="001813B4"/>
    <w:rsid w:val="001821C5"/>
    <w:rsid w:val="00182A94"/>
    <w:rsid w:val="00183B38"/>
    <w:rsid w:val="001842A3"/>
    <w:rsid w:val="00184510"/>
    <w:rsid w:val="00184721"/>
    <w:rsid w:val="00184B61"/>
    <w:rsid w:val="0018526C"/>
    <w:rsid w:val="001857F5"/>
    <w:rsid w:val="0018583D"/>
    <w:rsid w:val="00185AAE"/>
    <w:rsid w:val="0018609A"/>
    <w:rsid w:val="00186810"/>
    <w:rsid w:val="001868CC"/>
    <w:rsid w:val="0018701B"/>
    <w:rsid w:val="00187416"/>
    <w:rsid w:val="00187818"/>
    <w:rsid w:val="001900F0"/>
    <w:rsid w:val="001901E9"/>
    <w:rsid w:val="0019039B"/>
    <w:rsid w:val="001904B6"/>
    <w:rsid w:val="001904DE"/>
    <w:rsid w:val="001909A7"/>
    <w:rsid w:val="0019141C"/>
    <w:rsid w:val="0019144C"/>
    <w:rsid w:val="00191AC0"/>
    <w:rsid w:val="00192136"/>
    <w:rsid w:val="00192273"/>
    <w:rsid w:val="0019239E"/>
    <w:rsid w:val="00192E90"/>
    <w:rsid w:val="0019421E"/>
    <w:rsid w:val="001943A1"/>
    <w:rsid w:val="00194517"/>
    <w:rsid w:val="00194FA7"/>
    <w:rsid w:val="00195459"/>
    <w:rsid w:val="00195839"/>
    <w:rsid w:val="00195EA6"/>
    <w:rsid w:val="0019684E"/>
    <w:rsid w:val="00197775"/>
    <w:rsid w:val="001A0593"/>
    <w:rsid w:val="001A0F26"/>
    <w:rsid w:val="001A117B"/>
    <w:rsid w:val="001A140D"/>
    <w:rsid w:val="001A2513"/>
    <w:rsid w:val="001A2D8F"/>
    <w:rsid w:val="001A33D3"/>
    <w:rsid w:val="001A3A8A"/>
    <w:rsid w:val="001A3BA7"/>
    <w:rsid w:val="001A3CA5"/>
    <w:rsid w:val="001A3F5B"/>
    <w:rsid w:val="001A45C2"/>
    <w:rsid w:val="001A5511"/>
    <w:rsid w:val="001A5EA3"/>
    <w:rsid w:val="001A6652"/>
    <w:rsid w:val="001A6A09"/>
    <w:rsid w:val="001A6CD0"/>
    <w:rsid w:val="001A70A8"/>
    <w:rsid w:val="001A7F2B"/>
    <w:rsid w:val="001B0D48"/>
    <w:rsid w:val="001B1526"/>
    <w:rsid w:val="001B1902"/>
    <w:rsid w:val="001B19F8"/>
    <w:rsid w:val="001B20F6"/>
    <w:rsid w:val="001B214C"/>
    <w:rsid w:val="001B2EFD"/>
    <w:rsid w:val="001B3255"/>
    <w:rsid w:val="001B3760"/>
    <w:rsid w:val="001B399B"/>
    <w:rsid w:val="001B44BD"/>
    <w:rsid w:val="001B5125"/>
    <w:rsid w:val="001B5C7B"/>
    <w:rsid w:val="001B5E80"/>
    <w:rsid w:val="001B61CB"/>
    <w:rsid w:val="001B62C6"/>
    <w:rsid w:val="001B63D0"/>
    <w:rsid w:val="001B663F"/>
    <w:rsid w:val="001B6A49"/>
    <w:rsid w:val="001B6E48"/>
    <w:rsid w:val="001B7333"/>
    <w:rsid w:val="001B773C"/>
    <w:rsid w:val="001B7969"/>
    <w:rsid w:val="001B7C1A"/>
    <w:rsid w:val="001C0412"/>
    <w:rsid w:val="001C0DA9"/>
    <w:rsid w:val="001C10BE"/>
    <w:rsid w:val="001C12B8"/>
    <w:rsid w:val="001C1D56"/>
    <w:rsid w:val="001C1EDA"/>
    <w:rsid w:val="001C2486"/>
    <w:rsid w:val="001C279E"/>
    <w:rsid w:val="001C3084"/>
    <w:rsid w:val="001C3F4F"/>
    <w:rsid w:val="001C406E"/>
    <w:rsid w:val="001C43B8"/>
    <w:rsid w:val="001C4904"/>
    <w:rsid w:val="001C496B"/>
    <w:rsid w:val="001C4BC7"/>
    <w:rsid w:val="001C5522"/>
    <w:rsid w:val="001C5E47"/>
    <w:rsid w:val="001C6562"/>
    <w:rsid w:val="001C6BCF"/>
    <w:rsid w:val="001C6CEE"/>
    <w:rsid w:val="001C7431"/>
    <w:rsid w:val="001D01EB"/>
    <w:rsid w:val="001D03CE"/>
    <w:rsid w:val="001D0CE4"/>
    <w:rsid w:val="001D0F75"/>
    <w:rsid w:val="001D237C"/>
    <w:rsid w:val="001D2744"/>
    <w:rsid w:val="001D2A15"/>
    <w:rsid w:val="001D3163"/>
    <w:rsid w:val="001D3219"/>
    <w:rsid w:val="001D36C9"/>
    <w:rsid w:val="001D41CE"/>
    <w:rsid w:val="001D4415"/>
    <w:rsid w:val="001D4663"/>
    <w:rsid w:val="001D4689"/>
    <w:rsid w:val="001D5733"/>
    <w:rsid w:val="001D5FF1"/>
    <w:rsid w:val="001D6094"/>
    <w:rsid w:val="001D60BA"/>
    <w:rsid w:val="001D616C"/>
    <w:rsid w:val="001D6784"/>
    <w:rsid w:val="001D6918"/>
    <w:rsid w:val="001D6944"/>
    <w:rsid w:val="001D6E23"/>
    <w:rsid w:val="001D6E7C"/>
    <w:rsid w:val="001D7307"/>
    <w:rsid w:val="001D7F3B"/>
    <w:rsid w:val="001E000B"/>
    <w:rsid w:val="001E00E2"/>
    <w:rsid w:val="001E04D2"/>
    <w:rsid w:val="001E0564"/>
    <w:rsid w:val="001E15E3"/>
    <w:rsid w:val="001E1CDB"/>
    <w:rsid w:val="001E1D2B"/>
    <w:rsid w:val="001E224D"/>
    <w:rsid w:val="001E2250"/>
    <w:rsid w:val="001E25DF"/>
    <w:rsid w:val="001E2D8F"/>
    <w:rsid w:val="001E345E"/>
    <w:rsid w:val="001E4C20"/>
    <w:rsid w:val="001E4D57"/>
    <w:rsid w:val="001E57B6"/>
    <w:rsid w:val="001E5B3E"/>
    <w:rsid w:val="001E5FB2"/>
    <w:rsid w:val="001E6244"/>
    <w:rsid w:val="001E62C7"/>
    <w:rsid w:val="001E6359"/>
    <w:rsid w:val="001E63A3"/>
    <w:rsid w:val="001E7424"/>
    <w:rsid w:val="001F01DD"/>
    <w:rsid w:val="001F06C9"/>
    <w:rsid w:val="001F0B78"/>
    <w:rsid w:val="001F106D"/>
    <w:rsid w:val="001F202F"/>
    <w:rsid w:val="001F2389"/>
    <w:rsid w:val="001F247D"/>
    <w:rsid w:val="001F2776"/>
    <w:rsid w:val="001F2BA7"/>
    <w:rsid w:val="001F2BB3"/>
    <w:rsid w:val="001F3441"/>
    <w:rsid w:val="001F347D"/>
    <w:rsid w:val="001F3BED"/>
    <w:rsid w:val="001F3D43"/>
    <w:rsid w:val="001F3DCB"/>
    <w:rsid w:val="001F4044"/>
    <w:rsid w:val="001F42E8"/>
    <w:rsid w:val="001F4598"/>
    <w:rsid w:val="001F4881"/>
    <w:rsid w:val="001F5760"/>
    <w:rsid w:val="001F6D43"/>
    <w:rsid w:val="00200339"/>
    <w:rsid w:val="0020084F"/>
    <w:rsid w:val="00200C0C"/>
    <w:rsid w:val="00200C2F"/>
    <w:rsid w:val="00200E38"/>
    <w:rsid w:val="0020130B"/>
    <w:rsid w:val="00201AD1"/>
    <w:rsid w:val="002020FC"/>
    <w:rsid w:val="002031B6"/>
    <w:rsid w:val="00203527"/>
    <w:rsid w:val="00203AFE"/>
    <w:rsid w:val="00204094"/>
    <w:rsid w:val="002045A5"/>
    <w:rsid w:val="00204C80"/>
    <w:rsid w:val="00204EC9"/>
    <w:rsid w:val="002051D0"/>
    <w:rsid w:val="00207A54"/>
    <w:rsid w:val="00207E36"/>
    <w:rsid w:val="00207E8D"/>
    <w:rsid w:val="00207FE8"/>
    <w:rsid w:val="00210252"/>
    <w:rsid w:val="00210F5A"/>
    <w:rsid w:val="0021108A"/>
    <w:rsid w:val="002110BE"/>
    <w:rsid w:val="0021170D"/>
    <w:rsid w:val="002119AB"/>
    <w:rsid w:val="00211CD8"/>
    <w:rsid w:val="00211EE9"/>
    <w:rsid w:val="002124A9"/>
    <w:rsid w:val="00212506"/>
    <w:rsid w:val="00212F32"/>
    <w:rsid w:val="002132F9"/>
    <w:rsid w:val="0021352A"/>
    <w:rsid w:val="00213596"/>
    <w:rsid w:val="002138E4"/>
    <w:rsid w:val="0021393B"/>
    <w:rsid w:val="002147C5"/>
    <w:rsid w:val="002149F6"/>
    <w:rsid w:val="00214A16"/>
    <w:rsid w:val="00214D6E"/>
    <w:rsid w:val="00215052"/>
    <w:rsid w:val="00215437"/>
    <w:rsid w:val="002163F1"/>
    <w:rsid w:val="00216407"/>
    <w:rsid w:val="002164F0"/>
    <w:rsid w:val="002166B9"/>
    <w:rsid w:val="00216F78"/>
    <w:rsid w:val="0021771E"/>
    <w:rsid w:val="0021788F"/>
    <w:rsid w:val="00220E30"/>
    <w:rsid w:val="00220F79"/>
    <w:rsid w:val="002210FB"/>
    <w:rsid w:val="00221ABA"/>
    <w:rsid w:val="00221CEE"/>
    <w:rsid w:val="002220E7"/>
    <w:rsid w:val="00222549"/>
    <w:rsid w:val="00222E57"/>
    <w:rsid w:val="0022389D"/>
    <w:rsid w:val="00223F1D"/>
    <w:rsid w:val="0022400E"/>
    <w:rsid w:val="002241D9"/>
    <w:rsid w:val="00224298"/>
    <w:rsid w:val="00224AA3"/>
    <w:rsid w:val="0022540C"/>
    <w:rsid w:val="00225E2C"/>
    <w:rsid w:val="00225EF7"/>
    <w:rsid w:val="00225FE2"/>
    <w:rsid w:val="00226F3A"/>
    <w:rsid w:val="00227030"/>
    <w:rsid w:val="00227B5A"/>
    <w:rsid w:val="00227EEE"/>
    <w:rsid w:val="002306B7"/>
    <w:rsid w:val="00231D0C"/>
    <w:rsid w:val="00232ABF"/>
    <w:rsid w:val="00233C43"/>
    <w:rsid w:val="00233CC6"/>
    <w:rsid w:val="002341EC"/>
    <w:rsid w:val="00234BD4"/>
    <w:rsid w:val="0023508E"/>
    <w:rsid w:val="0023655B"/>
    <w:rsid w:val="002365E8"/>
    <w:rsid w:val="002366B1"/>
    <w:rsid w:val="00240AAD"/>
    <w:rsid w:val="0024168F"/>
    <w:rsid w:val="002418AD"/>
    <w:rsid w:val="00241E30"/>
    <w:rsid w:val="00241F73"/>
    <w:rsid w:val="0024222D"/>
    <w:rsid w:val="00242619"/>
    <w:rsid w:val="00242959"/>
    <w:rsid w:val="00242B21"/>
    <w:rsid w:val="00242D7B"/>
    <w:rsid w:val="00243846"/>
    <w:rsid w:val="00243E92"/>
    <w:rsid w:val="002446F6"/>
    <w:rsid w:val="00244CC4"/>
    <w:rsid w:val="0024544F"/>
    <w:rsid w:val="002454DE"/>
    <w:rsid w:val="00245E80"/>
    <w:rsid w:val="0024627B"/>
    <w:rsid w:val="002469E9"/>
    <w:rsid w:val="002471D1"/>
    <w:rsid w:val="002474E6"/>
    <w:rsid w:val="002475EB"/>
    <w:rsid w:val="002477D4"/>
    <w:rsid w:val="00247A45"/>
    <w:rsid w:val="002501DC"/>
    <w:rsid w:val="00250554"/>
    <w:rsid w:val="00250BCB"/>
    <w:rsid w:val="002514B0"/>
    <w:rsid w:val="00251FAD"/>
    <w:rsid w:val="00252063"/>
    <w:rsid w:val="0025225D"/>
    <w:rsid w:val="002524C1"/>
    <w:rsid w:val="0025256D"/>
    <w:rsid w:val="00253ABE"/>
    <w:rsid w:val="00253C4D"/>
    <w:rsid w:val="00254539"/>
    <w:rsid w:val="002549D1"/>
    <w:rsid w:val="00254EB9"/>
    <w:rsid w:val="00255AA6"/>
    <w:rsid w:val="00255BDA"/>
    <w:rsid w:val="00255EAC"/>
    <w:rsid w:val="002564EB"/>
    <w:rsid w:val="00256893"/>
    <w:rsid w:val="0025697F"/>
    <w:rsid w:val="00257290"/>
    <w:rsid w:val="002572C6"/>
    <w:rsid w:val="002576FE"/>
    <w:rsid w:val="002602D9"/>
    <w:rsid w:val="0026049D"/>
    <w:rsid w:val="00261363"/>
    <w:rsid w:val="00261386"/>
    <w:rsid w:val="00261818"/>
    <w:rsid w:val="00261E9B"/>
    <w:rsid w:val="0026276A"/>
    <w:rsid w:val="002629B4"/>
    <w:rsid w:val="00262E89"/>
    <w:rsid w:val="0026346D"/>
    <w:rsid w:val="002634AE"/>
    <w:rsid w:val="002639FD"/>
    <w:rsid w:val="0026413D"/>
    <w:rsid w:val="002646BA"/>
    <w:rsid w:val="0026473E"/>
    <w:rsid w:val="0026480E"/>
    <w:rsid w:val="002655EB"/>
    <w:rsid w:val="0026579F"/>
    <w:rsid w:val="00265B38"/>
    <w:rsid w:val="00265E1C"/>
    <w:rsid w:val="00265F2A"/>
    <w:rsid w:val="00266252"/>
    <w:rsid w:val="002668CB"/>
    <w:rsid w:val="00267151"/>
    <w:rsid w:val="00267216"/>
    <w:rsid w:val="00267344"/>
    <w:rsid w:val="00270236"/>
    <w:rsid w:val="0027033E"/>
    <w:rsid w:val="0027060B"/>
    <w:rsid w:val="0027081A"/>
    <w:rsid w:val="00270869"/>
    <w:rsid w:val="00270B40"/>
    <w:rsid w:val="00270FC8"/>
    <w:rsid w:val="00271609"/>
    <w:rsid w:val="00272D2F"/>
    <w:rsid w:val="00272FAF"/>
    <w:rsid w:val="0027314E"/>
    <w:rsid w:val="0027390F"/>
    <w:rsid w:val="00273973"/>
    <w:rsid w:val="00273E0F"/>
    <w:rsid w:val="0027402C"/>
    <w:rsid w:val="002750AD"/>
    <w:rsid w:val="002757F1"/>
    <w:rsid w:val="00275C20"/>
    <w:rsid w:val="0027661E"/>
    <w:rsid w:val="002766E8"/>
    <w:rsid w:val="00276BA5"/>
    <w:rsid w:val="00276BF8"/>
    <w:rsid w:val="002778B8"/>
    <w:rsid w:val="00277CA4"/>
    <w:rsid w:val="0028009E"/>
    <w:rsid w:val="00280198"/>
    <w:rsid w:val="0028036B"/>
    <w:rsid w:val="0028048B"/>
    <w:rsid w:val="0028056A"/>
    <w:rsid w:val="00280869"/>
    <w:rsid w:val="00280A4D"/>
    <w:rsid w:val="00280FCB"/>
    <w:rsid w:val="0028101B"/>
    <w:rsid w:val="00281039"/>
    <w:rsid w:val="0028116F"/>
    <w:rsid w:val="002811B1"/>
    <w:rsid w:val="00281BF2"/>
    <w:rsid w:val="00282686"/>
    <w:rsid w:val="002829BD"/>
    <w:rsid w:val="00282A14"/>
    <w:rsid w:val="00282D87"/>
    <w:rsid w:val="0028300E"/>
    <w:rsid w:val="002833F3"/>
    <w:rsid w:val="0028352B"/>
    <w:rsid w:val="002839EF"/>
    <w:rsid w:val="00283E0A"/>
    <w:rsid w:val="00284E86"/>
    <w:rsid w:val="00285196"/>
    <w:rsid w:val="0028542B"/>
    <w:rsid w:val="00285C68"/>
    <w:rsid w:val="0028658E"/>
    <w:rsid w:val="00286EA6"/>
    <w:rsid w:val="002873D8"/>
    <w:rsid w:val="0028752A"/>
    <w:rsid w:val="00287752"/>
    <w:rsid w:val="002878E1"/>
    <w:rsid w:val="00287EAB"/>
    <w:rsid w:val="00287FD9"/>
    <w:rsid w:val="00290817"/>
    <w:rsid w:val="00291067"/>
    <w:rsid w:val="00291569"/>
    <w:rsid w:val="00291579"/>
    <w:rsid w:val="00291630"/>
    <w:rsid w:val="00291DA1"/>
    <w:rsid w:val="00291EE0"/>
    <w:rsid w:val="0029219E"/>
    <w:rsid w:val="002921CE"/>
    <w:rsid w:val="0029257E"/>
    <w:rsid w:val="0029270B"/>
    <w:rsid w:val="00292C31"/>
    <w:rsid w:val="00293703"/>
    <w:rsid w:val="00293B3B"/>
    <w:rsid w:val="00293F95"/>
    <w:rsid w:val="002940B3"/>
    <w:rsid w:val="0029441E"/>
    <w:rsid w:val="0029463E"/>
    <w:rsid w:val="00294687"/>
    <w:rsid w:val="00294737"/>
    <w:rsid w:val="00294904"/>
    <w:rsid w:val="00295133"/>
    <w:rsid w:val="00295B00"/>
    <w:rsid w:val="00295CE1"/>
    <w:rsid w:val="002968B8"/>
    <w:rsid w:val="00296939"/>
    <w:rsid w:val="00296A7F"/>
    <w:rsid w:val="002977CE"/>
    <w:rsid w:val="002A13A0"/>
    <w:rsid w:val="002A2929"/>
    <w:rsid w:val="002A3832"/>
    <w:rsid w:val="002A3AC3"/>
    <w:rsid w:val="002A3CB9"/>
    <w:rsid w:val="002A4576"/>
    <w:rsid w:val="002A4717"/>
    <w:rsid w:val="002A4820"/>
    <w:rsid w:val="002A48A0"/>
    <w:rsid w:val="002A5257"/>
    <w:rsid w:val="002A5B9F"/>
    <w:rsid w:val="002A5D9D"/>
    <w:rsid w:val="002A606C"/>
    <w:rsid w:val="002A60B0"/>
    <w:rsid w:val="002A61F7"/>
    <w:rsid w:val="002A6315"/>
    <w:rsid w:val="002A65C2"/>
    <w:rsid w:val="002A6F5C"/>
    <w:rsid w:val="002A7242"/>
    <w:rsid w:val="002B0271"/>
    <w:rsid w:val="002B0326"/>
    <w:rsid w:val="002B061B"/>
    <w:rsid w:val="002B09B8"/>
    <w:rsid w:val="002B0D0A"/>
    <w:rsid w:val="002B1140"/>
    <w:rsid w:val="002B11F9"/>
    <w:rsid w:val="002B126C"/>
    <w:rsid w:val="002B16BA"/>
    <w:rsid w:val="002B178B"/>
    <w:rsid w:val="002B27A4"/>
    <w:rsid w:val="002B30AD"/>
    <w:rsid w:val="002B3940"/>
    <w:rsid w:val="002B3CF8"/>
    <w:rsid w:val="002B43E5"/>
    <w:rsid w:val="002B4581"/>
    <w:rsid w:val="002B4624"/>
    <w:rsid w:val="002B5C34"/>
    <w:rsid w:val="002B6878"/>
    <w:rsid w:val="002B70A3"/>
    <w:rsid w:val="002B748A"/>
    <w:rsid w:val="002B757C"/>
    <w:rsid w:val="002B7872"/>
    <w:rsid w:val="002B79CE"/>
    <w:rsid w:val="002B7AF9"/>
    <w:rsid w:val="002C0031"/>
    <w:rsid w:val="002C042F"/>
    <w:rsid w:val="002C05F9"/>
    <w:rsid w:val="002C0714"/>
    <w:rsid w:val="002C0762"/>
    <w:rsid w:val="002C0A17"/>
    <w:rsid w:val="002C1ABB"/>
    <w:rsid w:val="002C2755"/>
    <w:rsid w:val="002C2B00"/>
    <w:rsid w:val="002C2B0F"/>
    <w:rsid w:val="002C36BC"/>
    <w:rsid w:val="002C4071"/>
    <w:rsid w:val="002C5019"/>
    <w:rsid w:val="002C534E"/>
    <w:rsid w:val="002C5631"/>
    <w:rsid w:val="002C57F2"/>
    <w:rsid w:val="002C5855"/>
    <w:rsid w:val="002C597F"/>
    <w:rsid w:val="002C6491"/>
    <w:rsid w:val="002C68CE"/>
    <w:rsid w:val="002C7CBE"/>
    <w:rsid w:val="002C7CFE"/>
    <w:rsid w:val="002C7D11"/>
    <w:rsid w:val="002C7D67"/>
    <w:rsid w:val="002D010A"/>
    <w:rsid w:val="002D1334"/>
    <w:rsid w:val="002D178E"/>
    <w:rsid w:val="002D1B29"/>
    <w:rsid w:val="002D264D"/>
    <w:rsid w:val="002D2A21"/>
    <w:rsid w:val="002D2C2D"/>
    <w:rsid w:val="002D2D42"/>
    <w:rsid w:val="002D2F20"/>
    <w:rsid w:val="002D34C5"/>
    <w:rsid w:val="002D35FB"/>
    <w:rsid w:val="002D37AF"/>
    <w:rsid w:val="002D3A2E"/>
    <w:rsid w:val="002D3C12"/>
    <w:rsid w:val="002D5E0F"/>
    <w:rsid w:val="002D6138"/>
    <w:rsid w:val="002D614E"/>
    <w:rsid w:val="002D63B1"/>
    <w:rsid w:val="002D656A"/>
    <w:rsid w:val="002D6780"/>
    <w:rsid w:val="002D6C8F"/>
    <w:rsid w:val="002D7CC2"/>
    <w:rsid w:val="002E023D"/>
    <w:rsid w:val="002E1951"/>
    <w:rsid w:val="002E1E6A"/>
    <w:rsid w:val="002E2718"/>
    <w:rsid w:val="002E2B3B"/>
    <w:rsid w:val="002E2E1E"/>
    <w:rsid w:val="002E2EF0"/>
    <w:rsid w:val="002E3088"/>
    <w:rsid w:val="002E36EF"/>
    <w:rsid w:val="002E3B82"/>
    <w:rsid w:val="002E3C22"/>
    <w:rsid w:val="002E43F7"/>
    <w:rsid w:val="002E4B9C"/>
    <w:rsid w:val="002E6E25"/>
    <w:rsid w:val="002E6E43"/>
    <w:rsid w:val="002E71CB"/>
    <w:rsid w:val="002E721F"/>
    <w:rsid w:val="002E72AD"/>
    <w:rsid w:val="002E7B3C"/>
    <w:rsid w:val="002E7BB6"/>
    <w:rsid w:val="002E7C63"/>
    <w:rsid w:val="002E7D80"/>
    <w:rsid w:val="002F0BE5"/>
    <w:rsid w:val="002F0E94"/>
    <w:rsid w:val="002F155A"/>
    <w:rsid w:val="002F15FE"/>
    <w:rsid w:val="002F189E"/>
    <w:rsid w:val="002F2184"/>
    <w:rsid w:val="002F23F4"/>
    <w:rsid w:val="002F2EBF"/>
    <w:rsid w:val="002F3609"/>
    <w:rsid w:val="002F39D6"/>
    <w:rsid w:val="002F41C9"/>
    <w:rsid w:val="002F47EE"/>
    <w:rsid w:val="002F4F53"/>
    <w:rsid w:val="002F560C"/>
    <w:rsid w:val="002F57A3"/>
    <w:rsid w:val="002F57EB"/>
    <w:rsid w:val="002F5DC8"/>
    <w:rsid w:val="002F5E3F"/>
    <w:rsid w:val="002F78C7"/>
    <w:rsid w:val="002F7D28"/>
    <w:rsid w:val="002F7EEB"/>
    <w:rsid w:val="0030007F"/>
    <w:rsid w:val="003005AE"/>
    <w:rsid w:val="0030064D"/>
    <w:rsid w:val="00300B90"/>
    <w:rsid w:val="00300F2B"/>
    <w:rsid w:val="003010AA"/>
    <w:rsid w:val="003013D6"/>
    <w:rsid w:val="00301453"/>
    <w:rsid w:val="00301642"/>
    <w:rsid w:val="00301AE3"/>
    <w:rsid w:val="00302673"/>
    <w:rsid w:val="00302B65"/>
    <w:rsid w:val="00303C81"/>
    <w:rsid w:val="00303E64"/>
    <w:rsid w:val="003042EF"/>
    <w:rsid w:val="00304A33"/>
    <w:rsid w:val="00304BB8"/>
    <w:rsid w:val="00304D07"/>
    <w:rsid w:val="00304E39"/>
    <w:rsid w:val="00305181"/>
    <w:rsid w:val="00306135"/>
    <w:rsid w:val="0030657B"/>
    <w:rsid w:val="003067CD"/>
    <w:rsid w:val="00306EE2"/>
    <w:rsid w:val="0030764C"/>
    <w:rsid w:val="0030796F"/>
    <w:rsid w:val="00307C4E"/>
    <w:rsid w:val="00310160"/>
    <w:rsid w:val="00310655"/>
    <w:rsid w:val="00310DA0"/>
    <w:rsid w:val="0031107C"/>
    <w:rsid w:val="003115FC"/>
    <w:rsid w:val="00311632"/>
    <w:rsid w:val="003116F0"/>
    <w:rsid w:val="00311B44"/>
    <w:rsid w:val="00312669"/>
    <w:rsid w:val="00312808"/>
    <w:rsid w:val="00312B68"/>
    <w:rsid w:val="003132A1"/>
    <w:rsid w:val="0031371B"/>
    <w:rsid w:val="0031397E"/>
    <w:rsid w:val="003142BA"/>
    <w:rsid w:val="00314557"/>
    <w:rsid w:val="003157C5"/>
    <w:rsid w:val="00315841"/>
    <w:rsid w:val="003159CD"/>
    <w:rsid w:val="00315E36"/>
    <w:rsid w:val="00315ED5"/>
    <w:rsid w:val="0031626F"/>
    <w:rsid w:val="00317219"/>
    <w:rsid w:val="0032062C"/>
    <w:rsid w:val="003209A6"/>
    <w:rsid w:val="00320EEB"/>
    <w:rsid w:val="0032131A"/>
    <w:rsid w:val="003217F6"/>
    <w:rsid w:val="00321B1A"/>
    <w:rsid w:val="003223D8"/>
    <w:rsid w:val="0032275D"/>
    <w:rsid w:val="0032284C"/>
    <w:rsid w:val="003229FD"/>
    <w:rsid w:val="00322AF5"/>
    <w:rsid w:val="00322BBC"/>
    <w:rsid w:val="00323B0C"/>
    <w:rsid w:val="00323B93"/>
    <w:rsid w:val="003240E2"/>
    <w:rsid w:val="0032439A"/>
    <w:rsid w:val="0032557F"/>
    <w:rsid w:val="003256CC"/>
    <w:rsid w:val="003256F2"/>
    <w:rsid w:val="00326012"/>
    <w:rsid w:val="003260FD"/>
    <w:rsid w:val="0032697A"/>
    <w:rsid w:val="00326B5B"/>
    <w:rsid w:val="00326DE0"/>
    <w:rsid w:val="00327366"/>
    <w:rsid w:val="0033091C"/>
    <w:rsid w:val="00330B40"/>
    <w:rsid w:val="00330CC6"/>
    <w:rsid w:val="00330D1C"/>
    <w:rsid w:val="0033133C"/>
    <w:rsid w:val="003315A7"/>
    <w:rsid w:val="003316A2"/>
    <w:rsid w:val="00333793"/>
    <w:rsid w:val="003337BB"/>
    <w:rsid w:val="00333D90"/>
    <w:rsid w:val="003342CB"/>
    <w:rsid w:val="00334D8D"/>
    <w:rsid w:val="00334E7F"/>
    <w:rsid w:val="003353B5"/>
    <w:rsid w:val="00335AE4"/>
    <w:rsid w:val="00335B5B"/>
    <w:rsid w:val="00335CA1"/>
    <w:rsid w:val="00336237"/>
    <w:rsid w:val="00336558"/>
    <w:rsid w:val="003369C6"/>
    <w:rsid w:val="00337276"/>
    <w:rsid w:val="00337ADE"/>
    <w:rsid w:val="00340521"/>
    <w:rsid w:val="0034097C"/>
    <w:rsid w:val="00340DD1"/>
    <w:rsid w:val="0034130A"/>
    <w:rsid w:val="00342D7C"/>
    <w:rsid w:val="0034307D"/>
    <w:rsid w:val="003431CC"/>
    <w:rsid w:val="0034366D"/>
    <w:rsid w:val="00343863"/>
    <w:rsid w:val="003442CD"/>
    <w:rsid w:val="00344A78"/>
    <w:rsid w:val="0034598A"/>
    <w:rsid w:val="00345B4E"/>
    <w:rsid w:val="00345E2E"/>
    <w:rsid w:val="00346052"/>
    <w:rsid w:val="0034607D"/>
    <w:rsid w:val="00346601"/>
    <w:rsid w:val="00346FBE"/>
    <w:rsid w:val="00347518"/>
    <w:rsid w:val="00350284"/>
    <w:rsid w:val="00350335"/>
    <w:rsid w:val="0035067D"/>
    <w:rsid w:val="00351078"/>
    <w:rsid w:val="003512BF"/>
    <w:rsid w:val="003517CE"/>
    <w:rsid w:val="00351BE6"/>
    <w:rsid w:val="00352213"/>
    <w:rsid w:val="00352419"/>
    <w:rsid w:val="003525C7"/>
    <w:rsid w:val="003525E4"/>
    <w:rsid w:val="003529F0"/>
    <w:rsid w:val="00352C8F"/>
    <w:rsid w:val="0035333F"/>
    <w:rsid w:val="00353592"/>
    <w:rsid w:val="003538B5"/>
    <w:rsid w:val="00353E95"/>
    <w:rsid w:val="00354925"/>
    <w:rsid w:val="00354EAC"/>
    <w:rsid w:val="003559E9"/>
    <w:rsid w:val="00355D98"/>
    <w:rsid w:val="00355E03"/>
    <w:rsid w:val="00356609"/>
    <w:rsid w:val="0035693D"/>
    <w:rsid w:val="00356D68"/>
    <w:rsid w:val="00356FC3"/>
    <w:rsid w:val="003575E3"/>
    <w:rsid w:val="00357A31"/>
    <w:rsid w:val="00357BD8"/>
    <w:rsid w:val="0036043A"/>
    <w:rsid w:val="0036052B"/>
    <w:rsid w:val="0036098F"/>
    <w:rsid w:val="00360AD4"/>
    <w:rsid w:val="00360D61"/>
    <w:rsid w:val="00360DD4"/>
    <w:rsid w:val="0036297B"/>
    <w:rsid w:val="00363089"/>
    <w:rsid w:val="00363184"/>
    <w:rsid w:val="003632A8"/>
    <w:rsid w:val="003636DE"/>
    <w:rsid w:val="00363902"/>
    <w:rsid w:val="00363C49"/>
    <w:rsid w:val="00363D64"/>
    <w:rsid w:val="00363FE9"/>
    <w:rsid w:val="00364A2A"/>
    <w:rsid w:val="00364DA4"/>
    <w:rsid w:val="003656CE"/>
    <w:rsid w:val="00365854"/>
    <w:rsid w:val="00365DD1"/>
    <w:rsid w:val="00366704"/>
    <w:rsid w:val="00366D85"/>
    <w:rsid w:val="00366ED0"/>
    <w:rsid w:val="00367367"/>
    <w:rsid w:val="003673BC"/>
    <w:rsid w:val="0036758B"/>
    <w:rsid w:val="0036774B"/>
    <w:rsid w:val="003679F6"/>
    <w:rsid w:val="0037006D"/>
    <w:rsid w:val="003704AF"/>
    <w:rsid w:val="00370E26"/>
    <w:rsid w:val="0037175B"/>
    <w:rsid w:val="0037198F"/>
    <w:rsid w:val="00372331"/>
    <w:rsid w:val="003725E5"/>
    <w:rsid w:val="003727F6"/>
    <w:rsid w:val="00372B4D"/>
    <w:rsid w:val="003741D8"/>
    <w:rsid w:val="0037422F"/>
    <w:rsid w:val="003744A8"/>
    <w:rsid w:val="003744BA"/>
    <w:rsid w:val="003747A6"/>
    <w:rsid w:val="00374C3F"/>
    <w:rsid w:val="00374DB0"/>
    <w:rsid w:val="00374E27"/>
    <w:rsid w:val="0037504A"/>
    <w:rsid w:val="00375311"/>
    <w:rsid w:val="00375BF6"/>
    <w:rsid w:val="00375D0C"/>
    <w:rsid w:val="00375D64"/>
    <w:rsid w:val="00376F39"/>
    <w:rsid w:val="00377B35"/>
    <w:rsid w:val="00381790"/>
    <w:rsid w:val="0038183F"/>
    <w:rsid w:val="00381C5B"/>
    <w:rsid w:val="003820CC"/>
    <w:rsid w:val="00382780"/>
    <w:rsid w:val="00382D15"/>
    <w:rsid w:val="00382F94"/>
    <w:rsid w:val="003831E3"/>
    <w:rsid w:val="00384DAF"/>
    <w:rsid w:val="003851E0"/>
    <w:rsid w:val="0038527F"/>
    <w:rsid w:val="0038531C"/>
    <w:rsid w:val="0038596B"/>
    <w:rsid w:val="003863E9"/>
    <w:rsid w:val="00386733"/>
    <w:rsid w:val="003868F7"/>
    <w:rsid w:val="003872E4"/>
    <w:rsid w:val="00387389"/>
    <w:rsid w:val="0038759A"/>
    <w:rsid w:val="00387ACA"/>
    <w:rsid w:val="00387C6E"/>
    <w:rsid w:val="00390208"/>
    <w:rsid w:val="0039038D"/>
    <w:rsid w:val="003915E7"/>
    <w:rsid w:val="003918A9"/>
    <w:rsid w:val="003918F8"/>
    <w:rsid w:val="00391B6C"/>
    <w:rsid w:val="00391CE1"/>
    <w:rsid w:val="0039230C"/>
    <w:rsid w:val="00392642"/>
    <w:rsid w:val="0039277C"/>
    <w:rsid w:val="00392B49"/>
    <w:rsid w:val="0039323D"/>
    <w:rsid w:val="0039377A"/>
    <w:rsid w:val="00393972"/>
    <w:rsid w:val="00394910"/>
    <w:rsid w:val="003953E2"/>
    <w:rsid w:val="003957DB"/>
    <w:rsid w:val="00395BCE"/>
    <w:rsid w:val="00395E70"/>
    <w:rsid w:val="003975DD"/>
    <w:rsid w:val="003977A3"/>
    <w:rsid w:val="00397ACF"/>
    <w:rsid w:val="00397EAC"/>
    <w:rsid w:val="003A0713"/>
    <w:rsid w:val="003A099B"/>
    <w:rsid w:val="003A0B2D"/>
    <w:rsid w:val="003A1515"/>
    <w:rsid w:val="003A178E"/>
    <w:rsid w:val="003A19E9"/>
    <w:rsid w:val="003A1B9F"/>
    <w:rsid w:val="003A1F52"/>
    <w:rsid w:val="003A26B6"/>
    <w:rsid w:val="003A2F23"/>
    <w:rsid w:val="003A3BBE"/>
    <w:rsid w:val="003A3DCD"/>
    <w:rsid w:val="003A4697"/>
    <w:rsid w:val="003A46D5"/>
    <w:rsid w:val="003A4E55"/>
    <w:rsid w:val="003A4EF2"/>
    <w:rsid w:val="003A4FE8"/>
    <w:rsid w:val="003A52D0"/>
    <w:rsid w:val="003A5980"/>
    <w:rsid w:val="003A68BA"/>
    <w:rsid w:val="003A6BDC"/>
    <w:rsid w:val="003A722D"/>
    <w:rsid w:val="003A7280"/>
    <w:rsid w:val="003A778C"/>
    <w:rsid w:val="003A7941"/>
    <w:rsid w:val="003B044C"/>
    <w:rsid w:val="003B049E"/>
    <w:rsid w:val="003B0674"/>
    <w:rsid w:val="003B06EB"/>
    <w:rsid w:val="003B0B20"/>
    <w:rsid w:val="003B0BC1"/>
    <w:rsid w:val="003B133C"/>
    <w:rsid w:val="003B185D"/>
    <w:rsid w:val="003B2B57"/>
    <w:rsid w:val="003B3E41"/>
    <w:rsid w:val="003B3F3B"/>
    <w:rsid w:val="003B4492"/>
    <w:rsid w:val="003B449C"/>
    <w:rsid w:val="003B4C20"/>
    <w:rsid w:val="003B52BC"/>
    <w:rsid w:val="003B596A"/>
    <w:rsid w:val="003B5A31"/>
    <w:rsid w:val="003B5C7A"/>
    <w:rsid w:val="003B65A2"/>
    <w:rsid w:val="003B6C55"/>
    <w:rsid w:val="003B6C7F"/>
    <w:rsid w:val="003B6EA0"/>
    <w:rsid w:val="003B6F52"/>
    <w:rsid w:val="003B70DE"/>
    <w:rsid w:val="003B7218"/>
    <w:rsid w:val="003B7928"/>
    <w:rsid w:val="003B7CA4"/>
    <w:rsid w:val="003C00E6"/>
    <w:rsid w:val="003C05FC"/>
    <w:rsid w:val="003C1BF3"/>
    <w:rsid w:val="003C1D9D"/>
    <w:rsid w:val="003C212B"/>
    <w:rsid w:val="003C3111"/>
    <w:rsid w:val="003C3926"/>
    <w:rsid w:val="003C3E57"/>
    <w:rsid w:val="003C4A92"/>
    <w:rsid w:val="003C56AF"/>
    <w:rsid w:val="003C6110"/>
    <w:rsid w:val="003C663E"/>
    <w:rsid w:val="003C67CF"/>
    <w:rsid w:val="003C6DD1"/>
    <w:rsid w:val="003C75F6"/>
    <w:rsid w:val="003D0AB6"/>
    <w:rsid w:val="003D0DF5"/>
    <w:rsid w:val="003D229A"/>
    <w:rsid w:val="003D2340"/>
    <w:rsid w:val="003D289D"/>
    <w:rsid w:val="003D2EB0"/>
    <w:rsid w:val="003D307F"/>
    <w:rsid w:val="003D3836"/>
    <w:rsid w:val="003D384A"/>
    <w:rsid w:val="003D4E43"/>
    <w:rsid w:val="003D537A"/>
    <w:rsid w:val="003D5641"/>
    <w:rsid w:val="003D5762"/>
    <w:rsid w:val="003D639E"/>
    <w:rsid w:val="003E055D"/>
    <w:rsid w:val="003E0617"/>
    <w:rsid w:val="003E067B"/>
    <w:rsid w:val="003E0847"/>
    <w:rsid w:val="003E09CB"/>
    <w:rsid w:val="003E0E4E"/>
    <w:rsid w:val="003E1670"/>
    <w:rsid w:val="003E1B9B"/>
    <w:rsid w:val="003E260A"/>
    <w:rsid w:val="003E29C7"/>
    <w:rsid w:val="003E2B56"/>
    <w:rsid w:val="003E2D64"/>
    <w:rsid w:val="003E3250"/>
    <w:rsid w:val="003E340E"/>
    <w:rsid w:val="003E3929"/>
    <w:rsid w:val="003E4292"/>
    <w:rsid w:val="003E463F"/>
    <w:rsid w:val="003E53A4"/>
    <w:rsid w:val="003E55A2"/>
    <w:rsid w:val="003E5B5B"/>
    <w:rsid w:val="003E5BF5"/>
    <w:rsid w:val="003E7152"/>
    <w:rsid w:val="003E78E6"/>
    <w:rsid w:val="003E7A0A"/>
    <w:rsid w:val="003E7C16"/>
    <w:rsid w:val="003E7DE8"/>
    <w:rsid w:val="003F0B59"/>
    <w:rsid w:val="003F0D46"/>
    <w:rsid w:val="003F13EA"/>
    <w:rsid w:val="003F184F"/>
    <w:rsid w:val="003F198A"/>
    <w:rsid w:val="003F1EBC"/>
    <w:rsid w:val="003F27DC"/>
    <w:rsid w:val="003F28A2"/>
    <w:rsid w:val="003F29B8"/>
    <w:rsid w:val="003F2DA6"/>
    <w:rsid w:val="003F3533"/>
    <w:rsid w:val="003F366A"/>
    <w:rsid w:val="003F39D8"/>
    <w:rsid w:val="003F402A"/>
    <w:rsid w:val="003F5A9C"/>
    <w:rsid w:val="003F5C9E"/>
    <w:rsid w:val="003F5EBB"/>
    <w:rsid w:val="003F6163"/>
    <w:rsid w:val="003F6200"/>
    <w:rsid w:val="003F6878"/>
    <w:rsid w:val="003F7086"/>
    <w:rsid w:val="003F7B8B"/>
    <w:rsid w:val="00400217"/>
    <w:rsid w:val="00400D9F"/>
    <w:rsid w:val="00400DC3"/>
    <w:rsid w:val="0040153B"/>
    <w:rsid w:val="0040162B"/>
    <w:rsid w:val="0040178E"/>
    <w:rsid w:val="00401D55"/>
    <w:rsid w:val="004023CF"/>
    <w:rsid w:val="00402FCC"/>
    <w:rsid w:val="0040311B"/>
    <w:rsid w:val="0040322B"/>
    <w:rsid w:val="00403656"/>
    <w:rsid w:val="00403882"/>
    <w:rsid w:val="004038C2"/>
    <w:rsid w:val="00403DAF"/>
    <w:rsid w:val="00404099"/>
    <w:rsid w:val="00404832"/>
    <w:rsid w:val="00404860"/>
    <w:rsid w:val="00404E39"/>
    <w:rsid w:val="00405348"/>
    <w:rsid w:val="004057E0"/>
    <w:rsid w:val="00405A70"/>
    <w:rsid w:val="00405BF8"/>
    <w:rsid w:val="00405FCD"/>
    <w:rsid w:val="004066BC"/>
    <w:rsid w:val="004066E7"/>
    <w:rsid w:val="00406DB0"/>
    <w:rsid w:val="00406F8E"/>
    <w:rsid w:val="00407656"/>
    <w:rsid w:val="004077D8"/>
    <w:rsid w:val="004105F8"/>
    <w:rsid w:val="004113D9"/>
    <w:rsid w:val="0041161D"/>
    <w:rsid w:val="00411A02"/>
    <w:rsid w:val="00411B83"/>
    <w:rsid w:val="00411D4D"/>
    <w:rsid w:val="00411D4E"/>
    <w:rsid w:val="0041300D"/>
    <w:rsid w:val="00413328"/>
    <w:rsid w:val="004133A0"/>
    <w:rsid w:val="004138AA"/>
    <w:rsid w:val="00414373"/>
    <w:rsid w:val="00414538"/>
    <w:rsid w:val="004148C8"/>
    <w:rsid w:val="00415766"/>
    <w:rsid w:val="00415A5A"/>
    <w:rsid w:val="00415A97"/>
    <w:rsid w:val="00415EE5"/>
    <w:rsid w:val="00416182"/>
    <w:rsid w:val="004162D5"/>
    <w:rsid w:val="00416493"/>
    <w:rsid w:val="004171EB"/>
    <w:rsid w:val="00417534"/>
    <w:rsid w:val="004175C6"/>
    <w:rsid w:val="0041787E"/>
    <w:rsid w:val="00417A97"/>
    <w:rsid w:val="00417BA0"/>
    <w:rsid w:val="00422C5B"/>
    <w:rsid w:val="0042369E"/>
    <w:rsid w:val="0042385C"/>
    <w:rsid w:val="00424C82"/>
    <w:rsid w:val="00425007"/>
    <w:rsid w:val="004253B6"/>
    <w:rsid w:val="00425931"/>
    <w:rsid w:val="00425E4B"/>
    <w:rsid w:val="00426641"/>
    <w:rsid w:val="00426B28"/>
    <w:rsid w:val="00430531"/>
    <w:rsid w:val="00430671"/>
    <w:rsid w:val="00430AA2"/>
    <w:rsid w:val="00431880"/>
    <w:rsid w:val="00431B35"/>
    <w:rsid w:val="00432299"/>
    <w:rsid w:val="0043232D"/>
    <w:rsid w:val="00432880"/>
    <w:rsid w:val="00433247"/>
    <w:rsid w:val="00433555"/>
    <w:rsid w:val="00433592"/>
    <w:rsid w:val="00433A66"/>
    <w:rsid w:val="004342F6"/>
    <w:rsid w:val="0043449D"/>
    <w:rsid w:val="0043476D"/>
    <w:rsid w:val="004357B1"/>
    <w:rsid w:val="00435D6B"/>
    <w:rsid w:val="004362B1"/>
    <w:rsid w:val="00436F17"/>
    <w:rsid w:val="00436FC8"/>
    <w:rsid w:val="00437B4F"/>
    <w:rsid w:val="00437F82"/>
    <w:rsid w:val="00440214"/>
    <w:rsid w:val="00440A38"/>
    <w:rsid w:val="00441626"/>
    <w:rsid w:val="00441F05"/>
    <w:rsid w:val="0044214F"/>
    <w:rsid w:val="004424E1"/>
    <w:rsid w:val="00442759"/>
    <w:rsid w:val="00443262"/>
    <w:rsid w:val="004436FA"/>
    <w:rsid w:val="00444703"/>
    <w:rsid w:val="0044480B"/>
    <w:rsid w:val="00444D85"/>
    <w:rsid w:val="00444F65"/>
    <w:rsid w:val="00444FFC"/>
    <w:rsid w:val="00445166"/>
    <w:rsid w:val="00445C29"/>
    <w:rsid w:val="004465E1"/>
    <w:rsid w:val="00446BFA"/>
    <w:rsid w:val="00446E57"/>
    <w:rsid w:val="00446E5F"/>
    <w:rsid w:val="004502E3"/>
    <w:rsid w:val="0045032F"/>
    <w:rsid w:val="00450FDF"/>
    <w:rsid w:val="00451115"/>
    <w:rsid w:val="0045154E"/>
    <w:rsid w:val="004519DC"/>
    <w:rsid w:val="00451D91"/>
    <w:rsid w:val="0045274D"/>
    <w:rsid w:val="0045290E"/>
    <w:rsid w:val="00452CAE"/>
    <w:rsid w:val="00452CEC"/>
    <w:rsid w:val="00453079"/>
    <w:rsid w:val="004533D6"/>
    <w:rsid w:val="00453597"/>
    <w:rsid w:val="00453C76"/>
    <w:rsid w:val="00453EF7"/>
    <w:rsid w:val="0045417A"/>
    <w:rsid w:val="00454529"/>
    <w:rsid w:val="00454D42"/>
    <w:rsid w:val="00455055"/>
    <w:rsid w:val="004556DD"/>
    <w:rsid w:val="004556EA"/>
    <w:rsid w:val="00455C82"/>
    <w:rsid w:val="00455CE5"/>
    <w:rsid w:val="004569A6"/>
    <w:rsid w:val="00456AB4"/>
    <w:rsid w:val="00456B29"/>
    <w:rsid w:val="00456BE3"/>
    <w:rsid w:val="00456C72"/>
    <w:rsid w:val="004571DA"/>
    <w:rsid w:val="004573B0"/>
    <w:rsid w:val="00460AFC"/>
    <w:rsid w:val="004612EB"/>
    <w:rsid w:val="004617D1"/>
    <w:rsid w:val="004619F0"/>
    <w:rsid w:val="004624A1"/>
    <w:rsid w:val="00462789"/>
    <w:rsid w:val="00463BB1"/>
    <w:rsid w:val="00463BF8"/>
    <w:rsid w:val="00463E97"/>
    <w:rsid w:val="00463EE6"/>
    <w:rsid w:val="00464144"/>
    <w:rsid w:val="00464697"/>
    <w:rsid w:val="004648A4"/>
    <w:rsid w:val="00464D26"/>
    <w:rsid w:val="00465042"/>
    <w:rsid w:val="0046509F"/>
    <w:rsid w:val="004653E4"/>
    <w:rsid w:val="00465D87"/>
    <w:rsid w:val="00466388"/>
    <w:rsid w:val="00466416"/>
    <w:rsid w:val="00466714"/>
    <w:rsid w:val="0046723B"/>
    <w:rsid w:val="004673EA"/>
    <w:rsid w:val="00467EF9"/>
    <w:rsid w:val="004700E6"/>
    <w:rsid w:val="0047051E"/>
    <w:rsid w:val="00470978"/>
    <w:rsid w:val="00470D7F"/>
    <w:rsid w:val="004713AE"/>
    <w:rsid w:val="00471E9B"/>
    <w:rsid w:val="004722A7"/>
    <w:rsid w:val="00472896"/>
    <w:rsid w:val="00472BCB"/>
    <w:rsid w:val="00472D8B"/>
    <w:rsid w:val="00472E24"/>
    <w:rsid w:val="00472EE0"/>
    <w:rsid w:val="0047302B"/>
    <w:rsid w:val="00473A3D"/>
    <w:rsid w:val="00474187"/>
    <w:rsid w:val="0047463A"/>
    <w:rsid w:val="00474885"/>
    <w:rsid w:val="004750F3"/>
    <w:rsid w:val="00475A54"/>
    <w:rsid w:val="00475B5C"/>
    <w:rsid w:val="00476941"/>
    <w:rsid w:val="0047706D"/>
    <w:rsid w:val="00477A61"/>
    <w:rsid w:val="00477A98"/>
    <w:rsid w:val="00477E11"/>
    <w:rsid w:val="00480411"/>
    <w:rsid w:val="0048117C"/>
    <w:rsid w:val="00481B0B"/>
    <w:rsid w:val="00482217"/>
    <w:rsid w:val="00482940"/>
    <w:rsid w:val="0048308B"/>
    <w:rsid w:val="004835CD"/>
    <w:rsid w:val="00483F88"/>
    <w:rsid w:val="00483FCF"/>
    <w:rsid w:val="0048455B"/>
    <w:rsid w:val="0048469B"/>
    <w:rsid w:val="00484E9C"/>
    <w:rsid w:val="004857FE"/>
    <w:rsid w:val="004859AC"/>
    <w:rsid w:val="00485BAB"/>
    <w:rsid w:val="00486643"/>
    <w:rsid w:val="00486BD9"/>
    <w:rsid w:val="00486C9E"/>
    <w:rsid w:val="00486FFF"/>
    <w:rsid w:val="0048704B"/>
    <w:rsid w:val="004874DB"/>
    <w:rsid w:val="00487565"/>
    <w:rsid w:val="00487783"/>
    <w:rsid w:val="00487959"/>
    <w:rsid w:val="00487A99"/>
    <w:rsid w:val="00490EC9"/>
    <w:rsid w:val="0049127C"/>
    <w:rsid w:val="004914C8"/>
    <w:rsid w:val="004915E9"/>
    <w:rsid w:val="00491E31"/>
    <w:rsid w:val="00492021"/>
    <w:rsid w:val="00492443"/>
    <w:rsid w:val="00493396"/>
    <w:rsid w:val="004933AA"/>
    <w:rsid w:val="004934E1"/>
    <w:rsid w:val="00493751"/>
    <w:rsid w:val="004939EF"/>
    <w:rsid w:val="0049409A"/>
    <w:rsid w:val="004942CD"/>
    <w:rsid w:val="00494C5F"/>
    <w:rsid w:val="00494D60"/>
    <w:rsid w:val="00495D6D"/>
    <w:rsid w:val="004966CF"/>
    <w:rsid w:val="00497484"/>
    <w:rsid w:val="00497D33"/>
    <w:rsid w:val="004A1432"/>
    <w:rsid w:val="004A15EC"/>
    <w:rsid w:val="004A2232"/>
    <w:rsid w:val="004A24CF"/>
    <w:rsid w:val="004A2D11"/>
    <w:rsid w:val="004A3893"/>
    <w:rsid w:val="004A4B9E"/>
    <w:rsid w:val="004A5604"/>
    <w:rsid w:val="004A5F2B"/>
    <w:rsid w:val="004A6225"/>
    <w:rsid w:val="004A66B9"/>
    <w:rsid w:val="004A6E5C"/>
    <w:rsid w:val="004A7876"/>
    <w:rsid w:val="004A7BC7"/>
    <w:rsid w:val="004A7C58"/>
    <w:rsid w:val="004B0BF3"/>
    <w:rsid w:val="004B0CD6"/>
    <w:rsid w:val="004B116D"/>
    <w:rsid w:val="004B16F4"/>
    <w:rsid w:val="004B2352"/>
    <w:rsid w:val="004B2387"/>
    <w:rsid w:val="004B29AF"/>
    <w:rsid w:val="004B2E27"/>
    <w:rsid w:val="004B3140"/>
    <w:rsid w:val="004B3D1E"/>
    <w:rsid w:val="004B4160"/>
    <w:rsid w:val="004B46E2"/>
    <w:rsid w:val="004B4F3F"/>
    <w:rsid w:val="004B4FE5"/>
    <w:rsid w:val="004B57F6"/>
    <w:rsid w:val="004B5D8B"/>
    <w:rsid w:val="004B5DF0"/>
    <w:rsid w:val="004B61CC"/>
    <w:rsid w:val="004B63E6"/>
    <w:rsid w:val="004B68DD"/>
    <w:rsid w:val="004B6CE1"/>
    <w:rsid w:val="004B7847"/>
    <w:rsid w:val="004B7960"/>
    <w:rsid w:val="004B7FA7"/>
    <w:rsid w:val="004C0ACA"/>
    <w:rsid w:val="004C168A"/>
    <w:rsid w:val="004C1739"/>
    <w:rsid w:val="004C1AF0"/>
    <w:rsid w:val="004C1BAC"/>
    <w:rsid w:val="004C1CF8"/>
    <w:rsid w:val="004C20F1"/>
    <w:rsid w:val="004C2771"/>
    <w:rsid w:val="004C2AB8"/>
    <w:rsid w:val="004C35A1"/>
    <w:rsid w:val="004C35CD"/>
    <w:rsid w:val="004C3BBD"/>
    <w:rsid w:val="004C3C79"/>
    <w:rsid w:val="004C4116"/>
    <w:rsid w:val="004C423A"/>
    <w:rsid w:val="004C42FA"/>
    <w:rsid w:val="004C43A9"/>
    <w:rsid w:val="004C4A3D"/>
    <w:rsid w:val="004C5529"/>
    <w:rsid w:val="004C574C"/>
    <w:rsid w:val="004C6695"/>
    <w:rsid w:val="004C78E0"/>
    <w:rsid w:val="004C7AA8"/>
    <w:rsid w:val="004D02A6"/>
    <w:rsid w:val="004D02DD"/>
    <w:rsid w:val="004D1013"/>
    <w:rsid w:val="004D10C4"/>
    <w:rsid w:val="004D1412"/>
    <w:rsid w:val="004D2617"/>
    <w:rsid w:val="004D26A2"/>
    <w:rsid w:val="004D2AFF"/>
    <w:rsid w:val="004D2B7C"/>
    <w:rsid w:val="004D35FE"/>
    <w:rsid w:val="004D36D0"/>
    <w:rsid w:val="004D3D01"/>
    <w:rsid w:val="004D4030"/>
    <w:rsid w:val="004D40A8"/>
    <w:rsid w:val="004D42A7"/>
    <w:rsid w:val="004D53E7"/>
    <w:rsid w:val="004D5A79"/>
    <w:rsid w:val="004D6254"/>
    <w:rsid w:val="004D6CD7"/>
    <w:rsid w:val="004D7231"/>
    <w:rsid w:val="004D7496"/>
    <w:rsid w:val="004D755B"/>
    <w:rsid w:val="004D78B0"/>
    <w:rsid w:val="004E05B6"/>
    <w:rsid w:val="004E0AD6"/>
    <w:rsid w:val="004E0BA5"/>
    <w:rsid w:val="004E0D46"/>
    <w:rsid w:val="004E1352"/>
    <w:rsid w:val="004E13FE"/>
    <w:rsid w:val="004E260E"/>
    <w:rsid w:val="004E2A54"/>
    <w:rsid w:val="004E2E40"/>
    <w:rsid w:val="004E33F8"/>
    <w:rsid w:val="004E35F0"/>
    <w:rsid w:val="004E367D"/>
    <w:rsid w:val="004E38DD"/>
    <w:rsid w:val="004E3945"/>
    <w:rsid w:val="004E4091"/>
    <w:rsid w:val="004E40CE"/>
    <w:rsid w:val="004E483D"/>
    <w:rsid w:val="004E4FFE"/>
    <w:rsid w:val="004E508C"/>
    <w:rsid w:val="004E52F5"/>
    <w:rsid w:val="004E59BB"/>
    <w:rsid w:val="004E5B9A"/>
    <w:rsid w:val="004E64EB"/>
    <w:rsid w:val="004E665B"/>
    <w:rsid w:val="004E6A75"/>
    <w:rsid w:val="004E6B24"/>
    <w:rsid w:val="004E756C"/>
    <w:rsid w:val="004F0478"/>
    <w:rsid w:val="004F0643"/>
    <w:rsid w:val="004F0960"/>
    <w:rsid w:val="004F1133"/>
    <w:rsid w:val="004F11A1"/>
    <w:rsid w:val="004F163B"/>
    <w:rsid w:val="004F1AFE"/>
    <w:rsid w:val="004F1C61"/>
    <w:rsid w:val="004F1EF2"/>
    <w:rsid w:val="004F21BF"/>
    <w:rsid w:val="004F2AC7"/>
    <w:rsid w:val="004F2F39"/>
    <w:rsid w:val="004F328C"/>
    <w:rsid w:val="004F355A"/>
    <w:rsid w:val="004F3B97"/>
    <w:rsid w:val="004F3D35"/>
    <w:rsid w:val="004F3F52"/>
    <w:rsid w:val="004F470F"/>
    <w:rsid w:val="004F58ED"/>
    <w:rsid w:val="004F5FA3"/>
    <w:rsid w:val="004F6200"/>
    <w:rsid w:val="004F6E61"/>
    <w:rsid w:val="004F6F7B"/>
    <w:rsid w:val="004F757E"/>
    <w:rsid w:val="004F7707"/>
    <w:rsid w:val="004F79BB"/>
    <w:rsid w:val="004F7F22"/>
    <w:rsid w:val="00500819"/>
    <w:rsid w:val="00500B09"/>
    <w:rsid w:val="00501AA9"/>
    <w:rsid w:val="0050209A"/>
    <w:rsid w:val="00502240"/>
    <w:rsid w:val="00502B79"/>
    <w:rsid w:val="00502D41"/>
    <w:rsid w:val="00502F88"/>
    <w:rsid w:val="00503A27"/>
    <w:rsid w:val="00503FD7"/>
    <w:rsid w:val="0050406E"/>
    <w:rsid w:val="0050429A"/>
    <w:rsid w:val="00504A84"/>
    <w:rsid w:val="00505515"/>
    <w:rsid w:val="0050678F"/>
    <w:rsid w:val="005069CC"/>
    <w:rsid w:val="005070C7"/>
    <w:rsid w:val="00507848"/>
    <w:rsid w:val="00507DD0"/>
    <w:rsid w:val="005101C4"/>
    <w:rsid w:val="00510E66"/>
    <w:rsid w:val="00510F5A"/>
    <w:rsid w:val="00511394"/>
    <w:rsid w:val="005114BB"/>
    <w:rsid w:val="00511830"/>
    <w:rsid w:val="0051260E"/>
    <w:rsid w:val="005126E3"/>
    <w:rsid w:val="00512851"/>
    <w:rsid w:val="00512A05"/>
    <w:rsid w:val="00512A2B"/>
    <w:rsid w:val="00512CAE"/>
    <w:rsid w:val="00512D8A"/>
    <w:rsid w:val="00512EED"/>
    <w:rsid w:val="0051337C"/>
    <w:rsid w:val="005135D5"/>
    <w:rsid w:val="00513FDC"/>
    <w:rsid w:val="0051463F"/>
    <w:rsid w:val="00514E59"/>
    <w:rsid w:val="00515390"/>
    <w:rsid w:val="00515791"/>
    <w:rsid w:val="005159C9"/>
    <w:rsid w:val="0051605D"/>
    <w:rsid w:val="005168C5"/>
    <w:rsid w:val="0051720F"/>
    <w:rsid w:val="00517863"/>
    <w:rsid w:val="005179E0"/>
    <w:rsid w:val="00517E87"/>
    <w:rsid w:val="005203B6"/>
    <w:rsid w:val="00520950"/>
    <w:rsid w:val="005211C8"/>
    <w:rsid w:val="005213CE"/>
    <w:rsid w:val="005214AA"/>
    <w:rsid w:val="0052193A"/>
    <w:rsid w:val="005220B2"/>
    <w:rsid w:val="00522887"/>
    <w:rsid w:val="0052296F"/>
    <w:rsid w:val="005231EC"/>
    <w:rsid w:val="00523398"/>
    <w:rsid w:val="005237D4"/>
    <w:rsid w:val="00524068"/>
    <w:rsid w:val="005246CC"/>
    <w:rsid w:val="00524A9F"/>
    <w:rsid w:val="00524F58"/>
    <w:rsid w:val="00525221"/>
    <w:rsid w:val="00525D0C"/>
    <w:rsid w:val="00525DA0"/>
    <w:rsid w:val="0052600C"/>
    <w:rsid w:val="0052608A"/>
    <w:rsid w:val="00526497"/>
    <w:rsid w:val="00527667"/>
    <w:rsid w:val="0052792D"/>
    <w:rsid w:val="00527B73"/>
    <w:rsid w:val="00527D77"/>
    <w:rsid w:val="005303CC"/>
    <w:rsid w:val="005304DB"/>
    <w:rsid w:val="00530770"/>
    <w:rsid w:val="00531373"/>
    <w:rsid w:val="00531496"/>
    <w:rsid w:val="005314FF"/>
    <w:rsid w:val="005316FD"/>
    <w:rsid w:val="005317EB"/>
    <w:rsid w:val="005317F4"/>
    <w:rsid w:val="00531CDA"/>
    <w:rsid w:val="00531E90"/>
    <w:rsid w:val="00532758"/>
    <w:rsid w:val="005327D5"/>
    <w:rsid w:val="0053283D"/>
    <w:rsid w:val="00533070"/>
    <w:rsid w:val="00533907"/>
    <w:rsid w:val="00533B87"/>
    <w:rsid w:val="00533C13"/>
    <w:rsid w:val="00534425"/>
    <w:rsid w:val="005347CA"/>
    <w:rsid w:val="00534D82"/>
    <w:rsid w:val="005352B7"/>
    <w:rsid w:val="0053571D"/>
    <w:rsid w:val="00536070"/>
    <w:rsid w:val="00536130"/>
    <w:rsid w:val="00536345"/>
    <w:rsid w:val="005363E7"/>
    <w:rsid w:val="00536496"/>
    <w:rsid w:val="00536A8A"/>
    <w:rsid w:val="005370BA"/>
    <w:rsid w:val="0053746B"/>
    <w:rsid w:val="005379D8"/>
    <w:rsid w:val="00537D62"/>
    <w:rsid w:val="00537DC6"/>
    <w:rsid w:val="00537FE0"/>
    <w:rsid w:val="00540CE4"/>
    <w:rsid w:val="00540FD9"/>
    <w:rsid w:val="00542772"/>
    <w:rsid w:val="00542D30"/>
    <w:rsid w:val="00542E44"/>
    <w:rsid w:val="00543390"/>
    <w:rsid w:val="00543F84"/>
    <w:rsid w:val="00544039"/>
    <w:rsid w:val="00544D3A"/>
    <w:rsid w:val="00544DA5"/>
    <w:rsid w:val="00544DD6"/>
    <w:rsid w:val="0054545B"/>
    <w:rsid w:val="005459C5"/>
    <w:rsid w:val="00545D35"/>
    <w:rsid w:val="00545F4E"/>
    <w:rsid w:val="0054607A"/>
    <w:rsid w:val="00546148"/>
    <w:rsid w:val="00546640"/>
    <w:rsid w:val="00546CC7"/>
    <w:rsid w:val="005474AE"/>
    <w:rsid w:val="00547A22"/>
    <w:rsid w:val="00547A75"/>
    <w:rsid w:val="00547C9D"/>
    <w:rsid w:val="00547E5F"/>
    <w:rsid w:val="005503D1"/>
    <w:rsid w:val="0055044B"/>
    <w:rsid w:val="005507D1"/>
    <w:rsid w:val="005509A5"/>
    <w:rsid w:val="00550B49"/>
    <w:rsid w:val="00550D52"/>
    <w:rsid w:val="00551352"/>
    <w:rsid w:val="00551843"/>
    <w:rsid w:val="00551E93"/>
    <w:rsid w:val="005520FB"/>
    <w:rsid w:val="00552197"/>
    <w:rsid w:val="005521F4"/>
    <w:rsid w:val="0055253C"/>
    <w:rsid w:val="00552642"/>
    <w:rsid w:val="00553079"/>
    <w:rsid w:val="00554448"/>
    <w:rsid w:val="005549CE"/>
    <w:rsid w:val="0055543A"/>
    <w:rsid w:val="005555D8"/>
    <w:rsid w:val="00555D7F"/>
    <w:rsid w:val="00555D93"/>
    <w:rsid w:val="00555F5D"/>
    <w:rsid w:val="00555FFD"/>
    <w:rsid w:val="0055618A"/>
    <w:rsid w:val="0055656F"/>
    <w:rsid w:val="005568CD"/>
    <w:rsid w:val="00556D13"/>
    <w:rsid w:val="00557265"/>
    <w:rsid w:val="00557344"/>
    <w:rsid w:val="00557A0D"/>
    <w:rsid w:val="005600D6"/>
    <w:rsid w:val="00560606"/>
    <w:rsid w:val="005609BC"/>
    <w:rsid w:val="00560AC4"/>
    <w:rsid w:val="00561202"/>
    <w:rsid w:val="00561590"/>
    <w:rsid w:val="00561BD5"/>
    <w:rsid w:val="00562441"/>
    <w:rsid w:val="00563739"/>
    <w:rsid w:val="0056386B"/>
    <w:rsid w:val="00563885"/>
    <w:rsid w:val="00563A89"/>
    <w:rsid w:val="00563E69"/>
    <w:rsid w:val="005643B2"/>
    <w:rsid w:val="00564811"/>
    <w:rsid w:val="0056481C"/>
    <w:rsid w:val="00564DBC"/>
    <w:rsid w:val="00564F91"/>
    <w:rsid w:val="0056560E"/>
    <w:rsid w:val="00565911"/>
    <w:rsid w:val="00565971"/>
    <w:rsid w:val="00565C0A"/>
    <w:rsid w:val="00567233"/>
    <w:rsid w:val="005672D2"/>
    <w:rsid w:val="00567C31"/>
    <w:rsid w:val="00567C59"/>
    <w:rsid w:val="00567D0C"/>
    <w:rsid w:val="005704B3"/>
    <w:rsid w:val="0057057F"/>
    <w:rsid w:val="00570C9A"/>
    <w:rsid w:val="0057128D"/>
    <w:rsid w:val="005715E2"/>
    <w:rsid w:val="005718BD"/>
    <w:rsid w:val="00571973"/>
    <w:rsid w:val="00571A74"/>
    <w:rsid w:val="00571F44"/>
    <w:rsid w:val="005724AE"/>
    <w:rsid w:val="0057289E"/>
    <w:rsid w:val="005729D9"/>
    <w:rsid w:val="00572B6A"/>
    <w:rsid w:val="00572DC8"/>
    <w:rsid w:val="0057343D"/>
    <w:rsid w:val="00573D9B"/>
    <w:rsid w:val="00574648"/>
    <w:rsid w:val="0057497B"/>
    <w:rsid w:val="00575136"/>
    <w:rsid w:val="005756C3"/>
    <w:rsid w:val="0057573D"/>
    <w:rsid w:val="005759D1"/>
    <w:rsid w:val="00575B87"/>
    <w:rsid w:val="00575C72"/>
    <w:rsid w:val="00575CE9"/>
    <w:rsid w:val="00576C3A"/>
    <w:rsid w:val="00576D05"/>
    <w:rsid w:val="005779F5"/>
    <w:rsid w:val="0058133E"/>
    <w:rsid w:val="005814C8"/>
    <w:rsid w:val="00581676"/>
    <w:rsid w:val="00581B71"/>
    <w:rsid w:val="00581C56"/>
    <w:rsid w:val="00581ED1"/>
    <w:rsid w:val="005822E2"/>
    <w:rsid w:val="0058236B"/>
    <w:rsid w:val="005824C5"/>
    <w:rsid w:val="00582A76"/>
    <w:rsid w:val="005835BC"/>
    <w:rsid w:val="005846E9"/>
    <w:rsid w:val="00585674"/>
    <w:rsid w:val="005858CD"/>
    <w:rsid w:val="005859F7"/>
    <w:rsid w:val="00585D82"/>
    <w:rsid w:val="00586002"/>
    <w:rsid w:val="00586401"/>
    <w:rsid w:val="00586536"/>
    <w:rsid w:val="0058667A"/>
    <w:rsid w:val="00586CF9"/>
    <w:rsid w:val="005877B7"/>
    <w:rsid w:val="0058784A"/>
    <w:rsid w:val="005878C3"/>
    <w:rsid w:val="00587EF7"/>
    <w:rsid w:val="00590578"/>
    <w:rsid w:val="005905C7"/>
    <w:rsid w:val="00590B14"/>
    <w:rsid w:val="00590CC7"/>
    <w:rsid w:val="00591050"/>
    <w:rsid w:val="00591285"/>
    <w:rsid w:val="005914FD"/>
    <w:rsid w:val="00591547"/>
    <w:rsid w:val="00591C27"/>
    <w:rsid w:val="00591F9D"/>
    <w:rsid w:val="0059289B"/>
    <w:rsid w:val="00593424"/>
    <w:rsid w:val="005938D3"/>
    <w:rsid w:val="00594273"/>
    <w:rsid w:val="005952F2"/>
    <w:rsid w:val="00595384"/>
    <w:rsid w:val="00595628"/>
    <w:rsid w:val="00595E91"/>
    <w:rsid w:val="00596044"/>
    <w:rsid w:val="005962E8"/>
    <w:rsid w:val="005975A5"/>
    <w:rsid w:val="00597E86"/>
    <w:rsid w:val="005A009C"/>
    <w:rsid w:val="005A089A"/>
    <w:rsid w:val="005A09B0"/>
    <w:rsid w:val="005A0A81"/>
    <w:rsid w:val="005A0B80"/>
    <w:rsid w:val="005A1495"/>
    <w:rsid w:val="005A1927"/>
    <w:rsid w:val="005A229B"/>
    <w:rsid w:val="005A240B"/>
    <w:rsid w:val="005A28F2"/>
    <w:rsid w:val="005A2A3C"/>
    <w:rsid w:val="005A3416"/>
    <w:rsid w:val="005A3758"/>
    <w:rsid w:val="005A3FD7"/>
    <w:rsid w:val="005A4C8D"/>
    <w:rsid w:val="005A56DA"/>
    <w:rsid w:val="005A59EA"/>
    <w:rsid w:val="005A6216"/>
    <w:rsid w:val="005A6481"/>
    <w:rsid w:val="005A68CC"/>
    <w:rsid w:val="005A7F28"/>
    <w:rsid w:val="005B03FD"/>
    <w:rsid w:val="005B04C7"/>
    <w:rsid w:val="005B0643"/>
    <w:rsid w:val="005B0E14"/>
    <w:rsid w:val="005B131F"/>
    <w:rsid w:val="005B155E"/>
    <w:rsid w:val="005B191E"/>
    <w:rsid w:val="005B2226"/>
    <w:rsid w:val="005B22DE"/>
    <w:rsid w:val="005B27B0"/>
    <w:rsid w:val="005B2CD3"/>
    <w:rsid w:val="005B31A3"/>
    <w:rsid w:val="005B3209"/>
    <w:rsid w:val="005B3585"/>
    <w:rsid w:val="005B35B0"/>
    <w:rsid w:val="005B3C56"/>
    <w:rsid w:val="005B3F3C"/>
    <w:rsid w:val="005B4359"/>
    <w:rsid w:val="005B485E"/>
    <w:rsid w:val="005B4898"/>
    <w:rsid w:val="005B581C"/>
    <w:rsid w:val="005B61C8"/>
    <w:rsid w:val="005B6376"/>
    <w:rsid w:val="005B6851"/>
    <w:rsid w:val="005B690E"/>
    <w:rsid w:val="005B6C1F"/>
    <w:rsid w:val="005B6EF8"/>
    <w:rsid w:val="005B72A4"/>
    <w:rsid w:val="005B7376"/>
    <w:rsid w:val="005B7469"/>
    <w:rsid w:val="005B7CAA"/>
    <w:rsid w:val="005B7D26"/>
    <w:rsid w:val="005B7F80"/>
    <w:rsid w:val="005C012D"/>
    <w:rsid w:val="005C04BE"/>
    <w:rsid w:val="005C1FAB"/>
    <w:rsid w:val="005C235C"/>
    <w:rsid w:val="005C29E9"/>
    <w:rsid w:val="005C33FD"/>
    <w:rsid w:val="005C37FD"/>
    <w:rsid w:val="005C3D48"/>
    <w:rsid w:val="005C4A02"/>
    <w:rsid w:val="005C4E33"/>
    <w:rsid w:val="005C4F49"/>
    <w:rsid w:val="005C557B"/>
    <w:rsid w:val="005C5720"/>
    <w:rsid w:val="005C5750"/>
    <w:rsid w:val="005C6399"/>
    <w:rsid w:val="005C68AC"/>
    <w:rsid w:val="005C6E4D"/>
    <w:rsid w:val="005C7154"/>
    <w:rsid w:val="005D0376"/>
    <w:rsid w:val="005D06C2"/>
    <w:rsid w:val="005D0B99"/>
    <w:rsid w:val="005D10FE"/>
    <w:rsid w:val="005D14C6"/>
    <w:rsid w:val="005D1706"/>
    <w:rsid w:val="005D21F4"/>
    <w:rsid w:val="005D2CCF"/>
    <w:rsid w:val="005D335A"/>
    <w:rsid w:val="005D3603"/>
    <w:rsid w:val="005D463A"/>
    <w:rsid w:val="005D52AE"/>
    <w:rsid w:val="005D53A1"/>
    <w:rsid w:val="005D54BE"/>
    <w:rsid w:val="005D5CE7"/>
    <w:rsid w:val="005D64C9"/>
    <w:rsid w:val="005D70AF"/>
    <w:rsid w:val="005D71C1"/>
    <w:rsid w:val="005D72CB"/>
    <w:rsid w:val="005D780A"/>
    <w:rsid w:val="005D7ADC"/>
    <w:rsid w:val="005D7C4E"/>
    <w:rsid w:val="005E04D4"/>
    <w:rsid w:val="005E0A10"/>
    <w:rsid w:val="005E0A94"/>
    <w:rsid w:val="005E0ECE"/>
    <w:rsid w:val="005E0EFD"/>
    <w:rsid w:val="005E1B64"/>
    <w:rsid w:val="005E1C97"/>
    <w:rsid w:val="005E1D06"/>
    <w:rsid w:val="005E1D20"/>
    <w:rsid w:val="005E200A"/>
    <w:rsid w:val="005E241D"/>
    <w:rsid w:val="005E2923"/>
    <w:rsid w:val="005E2C8B"/>
    <w:rsid w:val="005E34B7"/>
    <w:rsid w:val="005E3600"/>
    <w:rsid w:val="005E42A4"/>
    <w:rsid w:val="005E5E17"/>
    <w:rsid w:val="005E6263"/>
    <w:rsid w:val="005E62A8"/>
    <w:rsid w:val="005E752E"/>
    <w:rsid w:val="005E76A3"/>
    <w:rsid w:val="005E7FC2"/>
    <w:rsid w:val="005F0A1E"/>
    <w:rsid w:val="005F177B"/>
    <w:rsid w:val="005F1DF8"/>
    <w:rsid w:val="005F1E7D"/>
    <w:rsid w:val="005F27E4"/>
    <w:rsid w:val="005F284B"/>
    <w:rsid w:val="005F2A6D"/>
    <w:rsid w:val="005F3517"/>
    <w:rsid w:val="005F35C7"/>
    <w:rsid w:val="005F3923"/>
    <w:rsid w:val="005F4679"/>
    <w:rsid w:val="005F50EA"/>
    <w:rsid w:val="005F5201"/>
    <w:rsid w:val="005F5820"/>
    <w:rsid w:val="005F58B6"/>
    <w:rsid w:val="005F5ADF"/>
    <w:rsid w:val="005F5BB2"/>
    <w:rsid w:val="005F5DE2"/>
    <w:rsid w:val="005F6A0C"/>
    <w:rsid w:val="005F6AEC"/>
    <w:rsid w:val="005F6E7D"/>
    <w:rsid w:val="005F7EA9"/>
    <w:rsid w:val="005F7EAA"/>
    <w:rsid w:val="006002B0"/>
    <w:rsid w:val="006005DB"/>
    <w:rsid w:val="00600DAA"/>
    <w:rsid w:val="00601099"/>
    <w:rsid w:val="00601D53"/>
    <w:rsid w:val="0060254B"/>
    <w:rsid w:val="00602FE4"/>
    <w:rsid w:val="006035B1"/>
    <w:rsid w:val="006036C8"/>
    <w:rsid w:val="00603734"/>
    <w:rsid w:val="00603FDC"/>
    <w:rsid w:val="006040A8"/>
    <w:rsid w:val="00604223"/>
    <w:rsid w:val="00604A2C"/>
    <w:rsid w:val="00604F22"/>
    <w:rsid w:val="00605A65"/>
    <w:rsid w:val="00606533"/>
    <w:rsid w:val="00606ACB"/>
    <w:rsid w:val="0060710B"/>
    <w:rsid w:val="00607111"/>
    <w:rsid w:val="0060754C"/>
    <w:rsid w:val="00607C26"/>
    <w:rsid w:val="00610471"/>
    <w:rsid w:val="00610534"/>
    <w:rsid w:val="006112F8"/>
    <w:rsid w:val="00611392"/>
    <w:rsid w:val="00611CE3"/>
    <w:rsid w:val="00611DEF"/>
    <w:rsid w:val="0061289F"/>
    <w:rsid w:val="006138FF"/>
    <w:rsid w:val="00613C12"/>
    <w:rsid w:val="00614156"/>
    <w:rsid w:val="006141E3"/>
    <w:rsid w:val="006145DD"/>
    <w:rsid w:val="006146E4"/>
    <w:rsid w:val="00614AAF"/>
    <w:rsid w:val="00615252"/>
    <w:rsid w:val="00615334"/>
    <w:rsid w:val="00615454"/>
    <w:rsid w:val="0061597B"/>
    <w:rsid w:val="006159FC"/>
    <w:rsid w:val="00615FB2"/>
    <w:rsid w:val="00616251"/>
    <w:rsid w:val="00616A0C"/>
    <w:rsid w:val="00617A49"/>
    <w:rsid w:val="006208D8"/>
    <w:rsid w:val="006211B5"/>
    <w:rsid w:val="006221B8"/>
    <w:rsid w:val="00622359"/>
    <w:rsid w:val="006223C2"/>
    <w:rsid w:val="006224EF"/>
    <w:rsid w:val="00622511"/>
    <w:rsid w:val="00622D27"/>
    <w:rsid w:val="00623420"/>
    <w:rsid w:val="00623610"/>
    <w:rsid w:val="006236E3"/>
    <w:rsid w:val="00624347"/>
    <w:rsid w:val="00624821"/>
    <w:rsid w:val="00624CD6"/>
    <w:rsid w:val="00624EFD"/>
    <w:rsid w:val="00625313"/>
    <w:rsid w:val="00625629"/>
    <w:rsid w:val="00625739"/>
    <w:rsid w:val="00625779"/>
    <w:rsid w:val="00625BBB"/>
    <w:rsid w:val="00625BFA"/>
    <w:rsid w:val="006263EE"/>
    <w:rsid w:val="00626548"/>
    <w:rsid w:val="006267E1"/>
    <w:rsid w:val="00626C7D"/>
    <w:rsid w:val="006271A7"/>
    <w:rsid w:val="00627A49"/>
    <w:rsid w:val="0063017E"/>
    <w:rsid w:val="00630337"/>
    <w:rsid w:val="00630F1F"/>
    <w:rsid w:val="006318EB"/>
    <w:rsid w:val="00632659"/>
    <w:rsid w:val="00632AF9"/>
    <w:rsid w:val="00634A4A"/>
    <w:rsid w:val="00635420"/>
    <w:rsid w:val="0063556F"/>
    <w:rsid w:val="006355FC"/>
    <w:rsid w:val="00635BA7"/>
    <w:rsid w:val="00636252"/>
    <w:rsid w:val="00637327"/>
    <w:rsid w:val="00637504"/>
    <w:rsid w:val="006406E2"/>
    <w:rsid w:val="00640A7D"/>
    <w:rsid w:val="00640C2F"/>
    <w:rsid w:val="00640CEB"/>
    <w:rsid w:val="00640F10"/>
    <w:rsid w:val="00641647"/>
    <w:rsid w:val="006421A4"/>
    <w:rsid w:val="006425B0"/>
    <w:rsid w:val="00642C4B"/>
    <w:rsid w:val="006433DE"/>
    <w:rsid w:val="006441FB"/>
    <w:rsid w:val="00644588"/>
    <w:rsid w:val="006446BE"/>
    <w:rsid w:val="00644835"/>
    <w:rsid w:val="006451FB"/>
    <w:rsid w:val="0064555F"/>
    <w:rsid w:val="006456A5"/>
    <w:rsid w:val="006462B6"/>
    <w:rsid w:val="006468BA"/>
    <w:rsid w:val="00646C52"/>
    <w:rsid w:val="00646ED8"/>
    <w:rsid w:val="006471DB"/>
    <w:rsid w:val="0064779E"/>
    <w:rsid w:val="00647BFD"/>
    <w:rsid w:val="00647C6E"/>
    <w:rsid w:val="00647DB9"/>
    <w:rsid w:val="0065206B"/>
    <w:rsid w:val="00652D20"/>
    <w:rsid w:val="0065312D"/>
    <w:rsid w:val="006531E7"/>
    <w:rsid w:val="00653658"/>
    <w:rsid w:val="006536D7"/>
    <w:rsid w:val="00653A3E"/>
    <w:rsid w:val="00654181"/>
    <w:rsid w:val="006541D7"/>
    <w:rsid w:val="00654F08"/>
    <w:rsid w:val="006553FF"/>
    <w:rsid w:val="00655DF2"/>
    <w:rsid w:val="00655F67"/>
    <w:rsid w:val="00656091"/>
    <w:rsid w:val="00656CA4"/>
    <w:rsid w:val="00656E1B"/>
    <w:rsid w:val="006574EE"/>
    <w:rsid w:val="00657576"/>
    <w:rsid w:val="00657C5F"/>
    <w:rsid w:val="006612AE"/>
    <w:rsid w:val="0066182B"/>
    <w:rsid w:val="00661E32"/>
    <w:rsid w:val="00662530"/>
    <w:rsid w:val="006631EF"/>
    <w:rsid w:val="00663301"/>
    <w:rsid w:val="00663466"/>
    <w:rsid w:val="00663900"/>
    <w:rsid w:val="00663A5C"/>
    <w:rsid w:val="0066411B"/>
    <w:rsid w:val="006646AB"/>
    <w:rsid w:val="00664735"/>
    <w:rsid w:val="0066498E"/>
    <w:rsid w:val="00664E8D"/>
    <w:rsid w:val="00664F2B"/>
    <w:rsid w:val="00665400"/>
    <w:rsid w:val="00665CCA"/>
    <w:rsid w:val="00666BED"/>
    <w:rsid w:val="00666C1D"/>
    <w:rsid w:val="006674DB"/>
    <w:rsid w:val="006676F4"/>
    <w:rsid w:val="0066774C"/>
    <w:rsid w:val="00670587"/>
    <w:rsid w:val="006716FB"/>
    <w:rsid w:val="00671D18"/>
    <w:rsid w:val="00671DC7"/>
    <w:rsid w:val="00672375"/>
    <w:rsid w:val="00672C6A"/>
    <w:rsid w:val="00673348"/>
    <w:rsid w:val="006735EC"/>
    <w:rsid w:val="00673767"/>
    <w:rsid w:val="00673A13"/>
    <w:rsid w:val="00673B71"/>
    <w:rsid w:val="00673F79"/>
    <w:rsid w:val="00674F4D"/>
    <w:rsid w:val="006751E1"/>
    <w:rsid w:val="00675BC0"/>
    <w:rsid w:val="00675DA9"/>
    <w:rsid w:val="006765C6"/>
    <w:rsid w:val="006767FD"/>
    <w:rsid w:val="0067690D"/>
    <w:rsid w:val="006772A9"/>
    <w:rsid w:val="00677E29"/>
    <w:rsid w:val="0068078D"/>
    <w:rsid w:val="00680C96"/>
    <w:rsid w:val="006816CC"/>
    <w:rsid w:val="006816CD"/>
    <w:rsid w:val="0068193F"/>
    <w:rsid w:val="00681BD5"/>
    <w:rsid w:val="00681D76"/>
    <w:rsid w:val="00681D85"/>
    <w:rsid w:val="0068232D"/>
    <w:rsid w:val="00682876"/>
    <w:rsid w:val="00683A3C"/>
    <w:rsid w:val="006841D8"/>
    <w:rsid w:val="00684263"/>
    <w:rsid w:val="006844EA"/>
    <w:rsid w:val="0068472B"/>
    <w:rsid w:val="00685864"/>
    <w:rsid w:val="00686293"/>
    <w:rsid w:val="006863CA"/>
    <w:rsid w:val="006864FD"/>
    <w:rsid w:val="00686793"/>
    <w:rsid w:val="00686A7B"/>
    <w:rsid w:val="00687107"/>
    <w:rsid w:val="006900F2"/>
    <w:rsid w:val="00691D90"/>
    <w:rsid w:val="00691F78"/>
    <w:rsid w:val="00692004"/>
    <w:rsid w:val="00692328"/>
    <w:rsid w:val="0069238F"/>
    <w:rsid w:val="0069242A"/>
    <w:rsid w:val="006924F9"/>
    <w:rsid w:val="0069401F"/>
    <w:rsid w:val="00694D0B"/>
    <w:rsid w:val="00695067"/>
    <w:rsid w:val="0069519A"/>
    <w:rsid w:val="006960A1"/>
    <w:rsid w:val="0069617D"/>
    <w:rsid w:val="00696681"/>
    <w:rsid w:val="00696695"/>
    <w:rsid w:val="00696876"/>
    <w:rsid w:val="00697000"/>
    <w:rsid w:val="00697103"/>
    <w:rsid w:val="006971B6"/>
    <w:rsid w:val="00697838"/>
    <w:rsid w:val="00697B9A"/>
    <w:rsid w:val="006A06BE"/>
    <w:rsid w:val="006A06DB"/>
    <w:rsid w:val="006A0962"/>
    <w:rsid w:val="006A0BF9"/>
    <w:rsid w:val="006A0FB0"/>
    <w:rsid w:val="006A1388"/>
    <w:rsid w:val="006A14AB"/>
    <w:rsid w:val="006A19E8"/>
    <w:rsid w:val="006A1C86"/>
    <w:rsid w:val="006A232B"/>
    <w:rsid w:val="006A2705"/>
    <w:rsid w:val="006A39B1"/>
    <w:rsid w:val="006A3DC1"/>
    <w:rsid w:val="006A3DEF"/>
    <w:rsid w:val="006A467F"/>
    <w:rsid w:val="006A46A3"/>
    <w:rsid w:val="006A46E6"/>
    <w:rsid w:val="006A493C"/>
    <w:rsid w:val="006A4961"/>
    <w:rsid w:val="006A5907"/>
    <w:rsid w:val="006A5B55"/>
    <w:rsid w:val="006A5E14"/>
    <w:rsid w:val="006A6234"/>
    <w:rsid w:val="006A63B3"/>
    <w:rsid w:val="006A669E"/>
    <w:rsid w:val="006A6BFE"/>
    <w:rsid w:val="006A70F3"/>
    <w:rsid w:val="006A744F"/>
    <w:rsid w:val="006A7B23"/>
    <w:rsid w:val="006B04EC"/>
    <w:rsid w:val="006B061E"/>
    <w:rsid w:val="006B0936"/>
    <w:rsid w:val="006B1199"/>
    <w:rsid w:val="006B11D1"/>
    <w:rsid w:val="006B15CD"/>
    <w:rsid w:val="006B1776"/>
    <w:rsid w:val="006B17C9"/>
    <w:rsid w:val="006B18DD"/>
    <w:rsid w:val="006B1B11"/>
    <w:rsid w:val="006B1B90"/>
    <w:rsid w:val="006B2B8C"/>
    <w:rsid w:val="006B31EB"/>
    <w:rsid w:val="006B32DA"/>
    <w:rsid w:val="006B374F"/>
    <w:rsid w:val="006B381B"/>
    <w:rsid w:val="006B3B79"/>
    <w:rsid w:val="006B3C89"/>
    <w:rsid w:val="006B405B"/>
    <w:rsid w:val="006B433E"/>
    <w:rsid w:val="006B43D8"/>
    <w:rsid w:val="006B5960"/>
    <w:rsid w:val="006B65D7"/>
    <w:rsid w:val="006B7151"/>
    <w:rsid w:val="006B71F0"/>
    <w:rsid w:val="006B7395"/>
    <w:rsid w:val="006B7581"/>
    <w:rsid w:val="006C0BE2"/>
    <w:rsid w:val="006C1A40"/>
    <w:rsid w:val="006C2175"/>
    <w:rsid w:val="006C33F3"/>
    <w:rsid w:val="006C3BB5"/>
    <w:rsid w:val="006C4634"/>
    <w:rsid w:val="006C4636"/>
    <w:rsid w:val="006C4CD8"/>
    <w:rsid w:val="006C501B"/>
    <w:rsid w:val="006C5223"/>
    <w:rsid w:val="006C533E"/>
    <w:rsid w:val="006C5606"/>
    <w:rsid w:val="006C57AD"/>
    <w:rsid w:val="006C5C10"/>
    <w:rsid w:val="006C615C"/>
    <w:rsid w:val="006C6A4A"/>
    <w:rsid w:val="006C6B3F"/>
    <w:rsid w:val="006C73BB"/>
    <w:rsid w:val="006C7420"/>
    <w:rsid w:val="006C7A16"/>
    <w:rsid w:val="006C7BB7"/>
    <w:rsid w:val="006C7FCD"/>
    <w:rsid w:val="006C7FF5"/>
    <w:rsid w:val="006D0506"/>
    <w:rsid w:val="006D0F5C"/>
    <w:rsid w:val="006D11F8"/>
    <w:rsid w:val="006D172F"/>
    <w:rsid w:val="006D1952"/>
    <w:rsid w:val="006D197E"/>
    <w:rsid w:val="006D19B1"/>
    <w:rsid w:val="006D1BB0"/>
    <w:rsid w:val="006D1F5E"/>
    <w:rsid w:val="006D245A"/>
    <w:rsid w:val="006D2BCD"/>
    <w:rsid w:val="006D381E"/>
    <w:rsid w:val="006D3CCF"/>
    <w:rsid w:val="006D45B9"/>
    <w:rsid w:val="006D47F5"/>
    <w:rsid w:val="006D4B8B"/>
    <w:rsid w:val="006D50FC"/>
    <w:rsid w:val="006D510B"/>
    <w:rsid w:val="006D64DA"/>
    <w:rsid w:val="006D68D0"/>
    <w:rsid w:val="006D6C90"/>
    <w:rsid w:val="006D6D61"/>
    <w:rsid w:val="006D6F0F"/>
    <w:rsid w:val="006D745C"/>
    <w:rsid w:val="006D74AC"/>
    <w:rsid w:val="006E0274"/>
    <w:rsid w:val="006E0327"/>
    <w:rsid w:val="006E0E30"/>
    <w:rsid w:val="006E0ECB"/>
    <w:rsid w:val="006E108B"/>
    <w:rsid w:val="006E1D53"/>
    <w:rsid w:val="006E2863"/>
    <w:rsid w:val="006E289C"/>
    <w:rsid w:val="006E2996"/>
    <w:rsid w:val="006E2C3D"/>
    <w:rsid w:val="006E2DB7"/>
    <w:rsid w:val="006E34CE"/>
    <w:rsid w:val="006E39E4"/>
    <w:rsid w:val="006E39E5"/>
    <w:rsid w:val="006E39F6"/>
    <w:rsid w:val="006E3B16"/>
    <w:rsid w:val="006E3D04"/>
    <w:rsid w:val="006E3E40"/>
    <w:rsid w:val="006E4142"/>
    <w:rsid w:val="006E4CE9"/>
    <w:rsid w:val="006E4D98"/>
    <w:rsid w:val="006E5B7B"/>
    <w:rsid w:val="006E5BB4"/>
    <w:rsid w:val="006E5D74"/>
    <w:rsid w:val="006E5F5B"/>
    <w:rsid w:val="006E7850"/>
    <w:rsid w:val="006F0C6C"/>
    <w:rsid w:val="006F15C6"/>
    <w:rsid w:val="006F1739"/>
    <w:rsid w:val="006F1AEA"/>
    <w:rsid w:val="006F2152"/>
    <w:rsid w:val="006F222A"/>
    <w:rsid w:val="006F232D"/>
    <w:rsid w:val="006F28FD"/>
    <w:rsid w:val="006F2F4F"/>
    <w:rsid w:val="006F376C"/>
    <w:rsid w:val="006F39AE"/>
    <w:rsid w:val="006F3C2E"/>
    <w:rsid w:val="006F427A"/>
    <w:rsid w:val="006F48BF"/>
    <w:rsid w:val="006F547B"/>
    <w:rsid w:val="006F6264"/>
    <w:rsid w:val="006F689A"/>
    <w:rsid w:val="006F7548"/>
    <w:rsid w:val="006F7CFD"/>
    <w:rsid w:val="0070053E"/>
    <w:rsid w:val="00701430"/>
    <w:rsid w:val="0070160E"/>
    <w:rsid w:val="007016E0"/>
    <w:rsid w:val="0070196F"/>
    <w:rsid w:val="00702054"/>
    <w:rsid w:val="007020EE"/>
    <w:rsid w:val="0070234B"/>
    <w:rsid w:val="0070276E"/>
    <w:rsid w:val="007027CA"/>
    <w:rsid w:val="00702E5F"/>
    <w:rsid w:val="00702E87"/>
    <w:rsid w:val="00703A48"/>
    <w:rsid w:val="00703AAF"/>
    <w:rsid w:val="00703E5A"/>
    <w:rsid w:val="00703EBB"/>
    <w:rsid w:val="007047A3"/>
    <w:rsid w:val="00704D32"/>
    <w:rsid w:val="00704DF7"/>
    <w:rsid w:val="00704F28"/>
    <w:rsid w:val="00705452"/>
    <w:rsid w:val="00705DAF"/>
    <w:rsid w:val="00706729"/>
    <w:rsid w:val="00706ABB"/>
    <w:rsid w:val="00706DB7"/>
    <w:rsid w:val="00706EB3"/>
    <w:rsid w:val="007070C6"/>
    <w:rsid w:val="00707922"/>
    <w:rsid w:val="00710E01"/>
    <w:rsid w:val="00711985"/>
    <w:rsid w:val="007122FD"/>
    <w:rsid w:val="0071243A"/>
    <w:rsid w:val="0071274F"/>
    <w:rsid w:val="00712764"/>
    <w:rsid w:val="00713516"/>
    <w:rsid w:val="00713941"/>
    <w:rsid w:val="00713D5F"/>
    <w:rsid w:val="00713D9F"/>
    <w:rsid w:val="007153A6"/>
    <w:rsid w:val="007159CA"/>
    <w:rsid w:val="00715BE0"/>
    <w:rsid w:val="00715C2E"/>
    <w:rsid w:val="00715D81"/>
    <w:rsid w:val="00715E4B"/>
    <w:rsid w:val="007162AC"/>
    <w:rsid w:val="007162BB"/>
    <w:rsid w:val="00716A53"/>
    <w:rsid w:val="00716F67"/>
    <w:rsid w:val="00716FD8"/>
    <w:rsid w:val="007174FD"/>
    <w:rsid w:val="00717739"/>
    <w:rsid w:val="0072009A"/>
    <w:rsid w:val="007201D0"/>
    <w:rsid w:val="007206D8"/>
    <w:rsid w:val="00720733"/>
    <w:rsid w:val="00720BD8"/>
    <w:rsid w:val="00721426"/>
    <w:rsid w:val="00723110"/>
    <w:rsid w:val="007233F0"/>
    <w:rsid w:val="00723B67"/>
    <w:rsid w:val="00723BBF"/>
    <w:rsid w:val="00724555"/>
    <w:rsid w:val="007247DB"/>
    <w:rsid w:val="00724C5C"/>
    <w:rsid w:val="007255C9"/>
    <w:rsid w:val="00725EDC"/>
    <w:rsid w:val="0072623C"/>
    <w:rsid w:val="0072651D"/>
    <w:rsid w:val="00726786"/>
    <w:rsid w:val="0072678A"/>
    <w:rsid w:val="00726B60"/>
    <w:rsid w:val="00726FAF"/>
    <w:rsid w:val="007273D7"/>
    <w:rsid w:val="00727489"/>
    <w:rsid w:val="007300A1"/>
    <w:rsid w:val="007302FC"/>
    <w:rsid w:val="0073031F"/>
    <w:rsid w:val="00730641"/>
    <w:rsid w:val="00730A03"/>
    <w:rsid w:val="00730A64"/>
    <w:rsid w:val="00730E2D"/>
    <w:rsid w:val="00731438"/>
    <w:rsid w:val="007315ED"/>
    <w:rsid w:val="00731FB3"/>
    <w:rsid w:val="007329F5"/>
    <w:rsid w:val="00732ADF"/>
    <w:rsid w:val="00733C40"/>
    <w:rsid w:val="00733D24"/>
    <w:rsid w:val="0073458B"/>
    <w:rsid w:val="00735122"/>
    <w:rsid w:val="007353A7"/>
    <w:rsid w:val="00735783"/>
    <w:rsid w:val="007359F2"/>
    <w:rsid w:val="00735D6D"/>
    <w:rsid w:val="007366ED"/>
    <w:rsid w:val="0073685D"/>
    <w:rsid w:val="00736B1B"/>
    <w:rsid w:val="00736C6E"/>
    <w:rsid w:val="007373BA"/>
    <w:rsid w:val="00737917"/>
    <w:rsid w:val="007379DC"/>
    <w:rsid w:val="00740333"/>
    <w:rsid w:val="00740A66"/>
    <w:rsid w:val="00740EF5"/>
    <w:rsid w:val="0074117E"/>
    <w:rsid w:val="007416F6"/>
    <w:rsid w:val="007418DE"/>
    <w:rsid w:val="00741A71"/>
    <w:rsid w:val="00741EE0"/>
    <w:rsid w:val="00742F97"/>
    <w:rsid w:val="00743046"/>
    <w:rsid w:val="007433F6"/>
    <w:rsid w:val="007434C2"/>
    <w:rsid w:val="00743A75"/>
    <w:rsid w:val="00743C9E"/>
    <w:rsid w:val="00743EEB"/>
    <w:rsid w:val="00744743"/>
    <w:rsid w:val="00744876"/>
    <w:rsid w:val="00744912"/>
    <w:rsid w:val="00744A27"/>
    <w:rsid w:val="00744BF4"/>
    <w:rsid w:val="00744DF5"/>
    <w:rsid w:val="00744F01"/>
    <w:rsid w:val="00745C0C"/>
    <w:rsid w:val="00746194"/>
    <w:rsid w:val="00746D5D"/>
    <w:rsid w:val="00746E3F"/>
    <w:rsid w:val="00746F50"/>
    <w:rsid w:val="00746F83"/>
    <w:rsid w:val="007474C5"/>
    <w:rsid w:val="00747797"/>
    <w:rsid w:val="00747DA4"/>
    <w:rsid w:val="0075052E"/>
    <w:rsid w:val="007506AE"/>
    <w:rsid w:val="00750938"/>
    <w:rsid w:val="00751EA0"/>
    <w:rsid w:val="00751EEB"/>
    <w:rsid w:val="00751FDA"/>
    <w:rsid w:val="007520E7"/>
    <w:rsid w:val="007528F5"/>
    <w:rsid w:val="0075377D"/>
    <w:rsid w:val="00753E51"/>
    <w:rsid w:val="00753FFA"/>
    <w:rsid w:val="00754558"/>
    <w:rsid w:val="00754707"/>
    <w:rsid w:val="00754B8C"/>
    <w:rsid w:val="0075534F"/>
    <w:rsid w:val="00755892"/>
    <w:rsid w:val="0075655D"/>
    <w:rsid w:val="00756692"/>
    <w:rsid w:val="007566DA"/>
    <w:rsid w:val="00756A5A"/>
    <w:rsid w:val="00756E8A"/>
    <w:rsid w:val="007570D1"/>
    <w:rsid w:val="00757766"/>
    <w:rsid w:val="00757B9F"/>
    <w:rsid w:val="00757F4E"/>
    <w:rsid w:val="00760176"/>
    <w:rsid w:val="00760B4A"/>
    <w:rsid w:val="00760BA9"/>
    <w:rsid w:val="00761A46"/>
    <w:rsid w:val="00762B06"/>
    <w:rsid w:val="00763877"/>
    <w:rsid w:val="00763EBC"/>
    <w:rsid w:val="00763FAE"/>
    <w:rsid w:val="00764484"/>
    <w:rsid w:val="00764E87"/>
    <w:rsid w:val="00765434"/>
    <w:rsid w:val="00765747"/>
    <w:rsid w:val="00765AF0"/>
    <w:rsid w:val="00765B3D"/>
    <w:rsid w:val="007665A9"/>
    <w:rsid w:val="0076693D"/>
    <w:rsid w:val="00766A7D"/>
    <w:rsid w:val="00766D66"/>
    <w:rsid w:val="00766E68"/>
    <w:rsid w:val="00767B57"/>
    <w:rsid w:val="00770463"/>
    <w:rsid w:val="00770B92"/>
    <w:rsid w:val="00770EFA"/>
    <w:rsid w:val="0077158A"/>
    <w:rsid w:val="0077169C"/>
    <w:rsid w:val="00771B6F"/>
    <w:rsid w:val="007723F2"/>
    <w:rsid w:val="0077275A"/>
    <w:rsid w:val="00772863"/>
    <w:rsid w:val="007733E4"/>
    <w:rsid w:val="00773565"/>
    <w:rsid w:val="00773C5B"/>
    <w:rsid w:val="00774240"/>
    <w:rsid w:val="00774917"/>
    <w:rsid w:val="00774E47"/>
    <w:rsid w:val="0077541A"/>
    <w:rsid w:val="00775496"/>
    <w:rsid w:val="00776090"/>
    <w:rsid w:val="0077614C"/>
    <w:rsid w:val="00776818"/>
    <w:rsid w:val="00776D92"/>
    <w:rsid w:val="007775E3"/>
    <w:rsid w:val="0078055E"/>
    <w:rsid w:val="00780A63"/>
    <w:rsid w:val="007817ED"/>
    <w:rsid w:val="00781A67"/>
    <w:rsid w:val="007823FC"/>
    <w:rsid w:val="007828F5"/>
    <w:rsid w:val="0078291E"/>
    <w:rsid w:val="007829B5"/>
    <w:rsid w:val="00782A0B"/>
    <w:rsid w:val="00783EF3"/>
    <w:rsid w:val="0078435E"/>
    <w:rsid w:val="0078455A"/>
    <w:rsid w:val="007845BD"/>
    <w:rsid w:val="00784FAA"/>
    <w:rsid w:val="00785E76"/>
    <w:rsid w:val="00786061"/>
    <w:rsid w:val="00786327"/>
    <w:rsid w:val="00786640"/>
    <w:rsid w:val="00787BA3"/>
    <w:rsid w:val="00787CBF"/>
    <w:rsid w:val="00787F31"/>
    <w:rsid w:val="0079122B"/>
    <w:rsid w:val="007917B2"/>
    <w:rsid w:val="007919C5"/>
    <w:rsid w:val="007927D7"/>
    <w:rsid w:val="007929D2"/>
    <w:rsid w:val="00792B09"/>
    <w:rsid w:val="00792BA5"/>
    <w:rsid w:val="00793F80"/>
    <w:rsid w:val="007943E4"/>
    <w:rsid w:val="007946AF"/>
    <w:rsid w:val="00794962"/>
    <w:rsid w:val="00794FC7"/>
    <w:rsid w:val="0079548D"/>
    <w:rsid w:val="00795AB5"/>
    <w:rsid w:val="00795B1D"/>
    <w:rsid w:val="00796244"/>
    <w:rsid w:val="007968D3"/>
    <w:rsid w:val="00796B2C"/>
    <w:rsid w:val="00796B7C"/>
    <w:rsid w:val="00796D80"/>
    <w:rsid w:val="00797360"/>
    <w:rsid w:val="00797B7F"/>
    <w:rsid w:val="007A06A3"/>
    <w:rsid w:val="007A09FD"/>
    <w:rsid w:val="007A0D16"/>
    <w:rsid w:val="007A0F20"/>
    <w:rsid w:val="007A12FE"/>
    <w:rsid w:val="007A14DC"/>
    <w:rsid w:val="007A1A5D"/>
    <w:rsid w:val="007A1DBB"/>
    <w:rsid w:val="007A1F1A"/>
    <w:rsid w:val="007A2F6D"/>
    <w:rsid w:val="007A3082"/>
    <w:rsid w:val="007A3DB0"/>
    <w:rsid w:val="007A3F6A"/>
    <w:rsid w:val="007A431C"/>
    <w:rsid w:val="007A5278"/>
    <w:rsid w:val="007A52E0"/>
    <w:rsid w:val="007A5402"/>
    <w:rsid w:val="007A5421"/>
    <w:rsid w:val="007A55A5"/>
    <w:rsid w:val="007A5C31"/>
    <w:rsid w:val="007A5F0F"/>
    <w:rsid w:val="007A61D1"/>
    <w:rsid w:val="007A6899"/>
    <w:rsid w:val="007A6DC6"/>
    <w:rsid w:val="007A7090"/>
    <w:rsid w:val="007A77F9"/>
    <w:rsid w:val="007A7873"/>
    <w:rsid w:val="007A7CC2"/>
    <w:rsid w:val="007A7E4E"/>
    <w:rsid w:val="007A7FDB"/>
    <w:rsid w:val="007A7FEE"/>
    <w:rsid w:val="007B1061"/>
    <w:rsid w:val="007B116E"/>
    <w:rsid w:val="007B16F0"/>
    <w:rsid w:val="007B1956"/>
    <w:rsid w:val="007B2306"/>
    <w:rsid w:val="007B2A4A"/>
    <w:rsid w:val="007B3491"/>
    <w:rsid w:val="007B3624"/>
    <w:rsid w:val="007B4015"/>
    <w:rsid w:val="007B43C2"/>
    <w:rsid w:val="007B4D5C"/>
    <w:rsid w:val="007B4FD2"/>
    <w:rsid w:val="007B51CD"/>
    <w:rsid w:val="007B58DF"/>
    <w:rsid w:val="007B5AA9"/>
    <w:rsid w:val="007B7EEA"/>
    <w:rsid w:val="007B7F34"/>
    <w:rsid w:val="007C0458"/>
    <w:rsid w:val="007C075C"/>
    <w:rsid w:val="007C089D"/>
    <w:rsid w:val="007C0F14"/>
    <w:rsid w:val="007C1627"/>
    <w:rsid w:val="007C1A6D"/>
    <w:rsid w:val="007C1F74"/>
    <w:rsid w:val="007C2786"/>
    <w:rsid w:val="007C3CCD"/>
    <w:rsid w:val="007C3DD4"/>
    <w:rsid w:val="007C3F05"/>
    <w:rsid w:val="007C409B"/>
    <w:rsid w:val="007C43A2"/>
    <w:rsid w:val="007C588C"/>
    <w:rsid w:val="007C58F7"/>
    <w:rsid w:val="007C59BC"/>
    <w:rsid w:val="007C5ACA"/>
    <w:rsid w:val="007C6227"/>
    <w:rsid w:val="007C63EA"/>
    <w:rsid w:val="007C67A1"/>
    <w:rsid w:val="007C6CAE"/>
    <w:rsid w:val="007C6F98"/>
    <w:rsid w:val="007C7407"/>
    <w:rsid w:val="007C753E"/>
    <w:rsid w:val="007C75D7"/>
    <w:rsid w:val="007D02E5"/>
    <w:rsid w:val="007D0F3F"/>
    <w:rsid w:val="007D0FD9"/>
    <w:rsid w:val="007D147E"/>
    <w:rsid w:val="007D17BF"/>
    <w:rsid w:val="007D19AB"/>
    <w:rsid w:val="007D1B22"/>
    <w:rsid w:val="007D2006"/>
    <w:rsid w:val="007D329B"/>
    <w:rsid w:val="007D3319"/>
    <w:rsid w:val="007D3603"/>
    <w:rsid w:val="007D386F"/>
    <w:rsid w:val="007D4640"/>
    <w:rsid w:val="007D4931"/>
    <w:rsid w:val="007D4A83"/>
    <w:rsid w:val="007D4B3F"/>
    <w:rsid w:val="007D4B5F"/>
    <w:rsid w:val="007D4B63"/>
    <w:rsid w:val="007D5253"/>
    <w:rsid w:val="007D53F5"/>
    <w:rsid w:val="007D6206"/>
    <w:rsid w:val="007D63D4"/>
    <w:rsid w:val="007D663E"/>
    <w:rsid w:val="007D68F8"/>
    <w:rsid w:val="007D71FE"/>
    <w:rsid w:val="007D7405"/>
    <w:rsid w:val="007D7A85"/>
    <w:rsid w:val="007D7D11"/>
    <w:rsid w:val="007D7E87"/>
    <w:rsid w:val="007E03F7"/>
    <w:rsid w:val="007E0A00"/>
    <w:rsid w:val="007E0AB5"/>
    <w:rsid w:val="007E0DE4"/>
    <w:rsid w:val="007E0E85"/>
    <w:rsid w:val="007E17A8"/>
    <w:rsid w:val="007E19C4"/>
    <w:rsid w:val="007E1EBD"/>
    <w:rsid w:val="007E2C59"/>
    <w:rsid w:val="007E3403"/>
    <w:rsid w:val="007E3D3F"/>
    <w:rsid w:val="007E3E10"/>
    <w:rsid w:val="007E4572"/>
    <w:rsid w:val="007E4AC4"/>
    <w:rsid w:val="007E4B32"/>
    <w:rsid w:val="007E521F"/>
    <w:rsid w:val="007E5379"/>
    <w:rsid w:val="007E53B5"/>
    <w:rsid w:val="007E57E1"/>
    <w:rsid w:val="007E6DAE"/>
    <w:rsid w:val="007E6E6D"/>
    <w:rsid w:val="007E6F51"/>
    <w:rsid w:val="007E756B"/>
    <w:rsid w:val="007E7A75"/>
    <w:rsid w:val="007F0618"/>
    <w:rsid w:val="007F07E3"/>
    <w:rsid w:val="007F0EC1"/>
    <w:rsid w:val="007F10BD"/>
    <w:rsid w:val="007F1254"/>
    <w:rsid w:val="007F153D"/>
    <w:rsid w:val="007F1F88"/>
    <w:rsid w:val="007F22DC"/>
    <w:rsid w:val="007F2597"/>
    <w:rsid w:val="007F2951"/>
    <w:rsid w:val="007F2A77"/>
    <w:rsid w:val="007F2E3C"/>
    <w:rsid w:val="007F2F28"/>
    <w:rsid w:val="007F373B"/>
    <w:rsid w:val="007F38F7"/>
    <w:rsid w:val="007F3A67"/>
    <w:rsid w:val="007F3B21"/>
    <w:rsid w:val="007F3B2E"/>
    <w:rsid w:val="007F4049"/>
    <w:rsid w:val="007F450E"/>
    <w:rsid w:val="007F453D"/>
    <w:rsid w:val="007F459A"/>
    <w:rsid w:val="007F468F"/>
    <w:rsid w:val="007F48CB"/>
    <w:rsid w:val="007F4EB1"/>
    <w:rsid w:val="007F5533"/>
    <w:rsid w:val="007F5DC4"/>
    <w:rsid w:val="007F5FB0"/>
    <w:rsid w:val="007F6554"/>
    <w:rsid w:val="007F6B56"/>
    <w:rsid w:val="007F78D4"/>
    <w:rsid w:val="007F79DE"/>
    <w:rsid w:val="007F7E68"/>
    <w:rsid w:val="007F7EE3"/>
    <w:rsid w:val="00800416"/>
    <w:rsid w:val="00800F09"/>
    <w:rsid w:val="008010F1"/>
    <w:rsid w:val="0080152D"/>
    <w:rsid w:val="00801F0C"/>
    <w:rsid w:val="00801F5A"/>
    <w:rsid w:val="00801FC3"/>
    <w:rsid w:val="00802237"/>
    <w:rsid w:val="00802603"/>
    <w:rsid w:val="00802658"/>
    <w:rsid w:val="008026CB"/>
    <w:rsid w:val="008026E0"/>
    <w:rsid w:val="008027A2"/>
    <w:rsid w:val="00804172"/>
    <w:rsid w:val="00804C2F"/>
    <w:rsid w:val="00806B52"/>
    <w:rsid w:val="00806B90"/>
    <w:rsid w:val="00806C85"/>
    <w:rsid w:val="00806F66"/>
    <w:rsid w:val="00806F68"/>
    <w:rsid w:val="00807BD5"/>
    <w:rsid w:val="00810698"/>
    <w:rsid w:val="00810D42"/>
    <w:rsid w:val="008123F8"/>
    <w:rsid w:val="008134F4"/>
    <w:rsid w:val="0081380D"/>
    <w:rsid w:val="00813B24"/>
    <w:rsid w:val="00813D3F"/>
    <w:rsid w:val="00813D9B"/>
    <w:rsid w:val="00815274"/>
    <w:rsid w:val="00815D94"/>
    <w:rsid w:val="008163CF"/>
    <w:rsid w:val="00816831"/>
    <w:rsid w:val="008175D1"/>
    <w:rsid w:val="00817C8A"/>
    <w:rsid w:val="00820373"/>
    <w:rsid w:val="008214AD"/>
    <w:rsid w:val="008218C3"/>
    <w:rsid w:val="0082233D"/>
    <w:rsid w:val="008223AD"/>
    <w:rsid w:val="00822910"/>
    <w:rsid w:val="00822B58"/>
    <w:rsid w:val="00822B77"/>
    <w:rsid w:val="00822C31"/>
    <w:rsid w:val="008238D5"/>
    <w:rsid w:val="008239D9"/>
    <w:rsid w:val="00824E74"/>
    <w:rsid w:val="00824EED"/>
    <w:rsid w:val="00825021"/>
    <w:rsid w:val="008253DA"/>
    <w:rsid w:val="00825AED"/>
    <w:rsid w:val="008262DB"/>
    <w:rsid w:val="00827260"/>
    <w:rsid w:val="0082729E"/>
    <w:rsid w:val="00827C8B"/>
    <w:rsid w:val="00830AFD"/>
    <w:rsid w:val="00830F9C"/>
    <w:rsid w:val="00831E28"/>
    <w:rsid w:val="00832B71"/>
    <w:rsid w:val="00832BD0"/>
    <w:rsid w:val="00832D1A"/>
    <w:rsid w:val="0083306B"/>
    <w:rsid w:val="00833243"/>
    <w:rsid w:val="0083337A"/>
    <w:rsid w:val="0083347A"/>
    <w:rsid w:val="0083360C"/>
    <w:rsid w:val="00833BEA"/>
    <w:rsid w:val="008340FB"/>
    <w:rsid w:val="00834420"/>
    <w:rsid w:val="00834C8E"/>
    <w:rsid w:val="008354CE"/>
    <w:rsid w:val="00835509"/>
    <w:rsid w:val="008360A5"/>
    <w:rsid w:val="008365B1"/>
    <w:rsid w:val="008368F5"/>
    <w:rsid w:val="00836A04"/>
    <w:rsid w:val="00837258"/>
    <w:rsid w:val="00837356"/>
    <w:rsid w:val="00837B42"/>
    <w:rsid w:val="00837E2E"/>
    <w:rsid w:val="00840080"/>
    <w:rsid w:val="0084029D"/>
    <w:rsid w:val="008406D9"/>
    <w:rsid w:val="008408A2"/>
    <w:rsid w:val="0084098F"/>
    <w:rsid w:val="00840BC6"/>
    <w:rsid w:val="00841C4C"/>
    <w:rsid w:val="00841E39"/>
    <w:rsid w:val="00842031"/>
    <w:rsid w:val="00842F53"/>
    <w:rsid w:val="00843515"/>
    <w:rsid w:val="0084352E"/>
    <w:rsid w:val="008438FA"/>
    <w:rsid w:val="00843A28"/>
    <w:rsid w:val="00843A9F"/>
    <w:rsid w:val="00843B3A"/>
    <w:rsid w:val="008445AC"/>
    <w:rsid w:val="00844661"/>
    <w:rsid w:val="00844829"/>
    <w:rsid w:val="00845585"/>
    <w:rsid w:val="00845675"/>
    <w:rsid w:val="008459F3"/>
    <w:rsid w:val="00845EE1"/>
    <w:rsid w:val="008461A8"/>
    <w:rsid w:val="00846453"/>
    <w:rsid w:val="00846C61"/>
    <w:rsid w:val="00846E6A"/>
    <w:rsid w:val="00846FC3"/>
    <w:rsid w:val="00847695"/>
    <w:rsid w:val="00847A49"/>
    <w:rsid w:val="00850032"/>
    <w:rsid w:val="00850821"/>
    <w:rsid w:val="00850A9E"/>
    <w:rsid w:val="008519BF"/>
    <w:rsid w:val="00852099"/>
    <w:rsid w:val="00852413"/>
    <w:rsid w:val="00853706"/>
    <w:rsid w:val="00853E58"/>
    <w:rsid w:val="00854235"/>
    <w:rsid w:val="00854484"/>
    <w:rsid w:val="00854DA3"/>
    <w:rsid w:val="00855028"/>
    <w:rsid w:val="00856992"/>
    <w:rsid w:val="00856B23"/>
    <w:rsid w:val="0085708B"/>
    <w:rsid w:val="008608BD"/>
    <w:rsid w:val="00860ABD"/>
    <w:rsid w:val="00860BF8"/>
    <w:rsid w:val="00860D9C"/>
    <w:rsid w:val="00861E73"/>
    <w:rsid w:val="00862056"/>
    <w:rsid w:val="008620AE"/>
    <w:rsid w:val="008620AF"/>
    <w:rsid w:val="0086225F"/>
    <w:rsid w:val="008624E8"/>
    <w:rsid w:val="008625F9"/>
    <w:rsid w:val="00862D3F"/>
    <w:rsid w:val="0086375B"/>
    <w:rsid w:val="00863762"/>
    <w:rsid w:val="00865FD2"/>
    <w:rsid w:val="00866780"/>
    <w:rsid w:val="00866C3D"/>
    <w:rsid w:val="008670EB"/>
    <w:rsid w:val="008671B0"/>
    <w:rsid w:val="0086754F"/>
    <w:rsid w:val="0086774A"/>
    <w:rsid w:val="00870445"/>
    <w:rsid w:val="00870482"/>
    <w:rsid w:val="00870A26"/>
    <w:rsid w:val="0087101D"/>
    <w:rsid w:val="00871274"/>
    <w:rsid w:val="00871441"/>
    <w:rsid w:val="0087194D"/>
    <w:rsid w:val="00872214"/>
    <w:rsid w:val="00872388"/>
    <w:rsid w:val="00872808"/>
    <w:rsid w:val="00872847"/>
    <w:rsid w:val="00872C5A"/>
    <w:rsid w:val="008733D2"/>
    <w:rsid w:val="0087360B"/>
    <w:rsid w:val="0087405D"/>
    <w:rsid w:val="00874531"/>
    <w:rsid w:val="00874A16"/>
    <w:rsid w:val="00874BB8"/>
    <w:rsid w:val="00874C20"/>
    <w:rsid w:val="008760AB"/>
    <w:rsid w:val="00876982"/>
    <w:rsid w:val="00877762"/>
    <w:rsid w:val="00877A15"/>
    <w:rsid w:val="008803B5"/>
    <w:rsid w:val="0088048E"/>
    <w:rsid w:val="0088094E"/>
    <w:rsid w:val="00881990"/>
    <w:rsid w:val="00881CAA"/>
    <w:rsid w:val="0088227C"/>
    <w:rsid w:val="0088234E"/>
    <w:rsid w:val="008832A7"/>
    <w:rsid w:val="00883BE5"/>
    <w:rsid w:val="00883E65"/>
    <w:rsid w:val="0088441A"/>
    <w:rsid w:val="00884B63"/>
    <w:rsid w:val="00884D62"/>
    <w:rsid w:val="00885D8E"/>
    <w:rsid w:val="008865D3"/>
    <w:rsid w:val="008867A2"/>
    <w:rsid w:val="00886991"/>
    <w:rsid w:val="00887FA6"/>
    <w:rsid w:val="00890340"/>
    <w:rsid w:val="00890617"/>
    <w:rsid w:val="00891242"/>
    <w:rsid w:val="00891360"/>
    <w:rsid w:val="008913A4"/>
    <w:rsid w:val="0089150C"/>
    <w:rsid w:val="00891890"/>
    <w:rsid w:val="008919A6"/>
    <w:rsid w:val="00892DA9"/>
    <w:rsid w:val="00893584"/>
    <w:rsid w:val="008938A0"/>
    <w:rsid w:val="00893A47"/>
    <w:rsid w:val="00893E5E"/>
    <w:rsid w:val="00894E74"/>
    <w:rsid w:val="00895193"/>
    <w:rsid w:val="0089546C"/>
    <w:rsid w:val="00895B79"/>
    <w:rsid w:val="00896547"/>
    <w:rsid w:val="00896587"/>
    <w:rsid w:val="00896FCD"/>
    <w:rsid w:val="008A0118"/>
    <w:rsid w:val="008A0353"/>
    <w:rsid w:val="008A054D"/>
    <w:rsid w:val="008A09E4"/>
    <w:rsid w:val="008A0DE6"/>
    <w:rsid w:val="008A0F1F"/>
    <w:rsid w:val="008A12E9"/>
    <w:rsid w:val="008A26BE"/>
    <w:rsid w:val="008A2BA3"/>
    <w:rsid w:val="008A2EA2"/>
    <w:rsid w:val="008A3256"/>
    <w:rsid w:val="008A35FD"/>
    <w:rsid w:val="008A4D66"/>
    <w:rsid w:val="008A4EDB"/>
    <w:rsid w:val="008A5542"/>
    <w:rsid w:val="008A5BCF"/>
    <w:rsid w:val="008A5F4D"/>
    <w:rsid w:val="008A7318"/>
    <w:rsid w:val="008A7721"/>
    <w:rsid w:val="008B056B"/>
    <w:rsid w:val="008B0FEB"/>
    <w:rsid w:val="008B1366"/>
    <w:rsid w:val="008B1696"/>
    <w:rsid w:val="008B18FB"/>
    <w:rsid w:val="008B2021"/>
    <w:rsid w:val="008B211A"/>
    <w:rsid w:val="008B30A8"/>
    <w:rsid w:val="008B338D"/>
    <w:rsid w:val="008B35D2"/>
    <w:rsid w:val="008B3E3A"/>
    <w:rsid w:val="008B3F50"/>
    <w:rsid w:val="008B4603"/>
    <w:rsid w:val="008B4B8C"/>
    <w:rsid w:val="008B5085"/>
    <w:rsid w:val="008B518E"/>
    <w:rsid w:val="008B5410"/>
    <w:rsid w:val="008B5500"/>
    <w:rsid w:val="008B5A69"/>
    <w:rsid w:val="008B60CD"/>
    <w:rsid w:val="008B61EF"/>
    <w:rsid w:val="008B7151"/>
    <w:rsid w:val="008B7860"/>
    <w:rsid w:val="008B7A57"/>
    <w:rsid w:val="008B7EB3"/>
    <w:rsid w:val="008C0112"/>
    <w:rsid w:val="008C04D9"/>
    <w:rsid w:val="008C05F2"/>
    <w:rsid w:val="008C0B92"/>
    <w:rsid w:val="008C0DC5"/>
    <w:rsid w:val="008C0EBC"/>
    <w:rsid w:val="008C1478"/>
    <w:rsid w:val="008C1C03"/>
    <w:rsid w:val="008C1E66"/>
    <w:rsid w:val="008C2045"/>
    <w:rsid w:val="008C2728"/>
    <w:rsid w:val="008C31A3"/>
    <w:rsid w:val="008C35F3"/>
    <w:rsid w:val="008C36C1"/>
    <w:rsid w:val="008C39F7"/>
    <w:rsid w:val="008C3D7E"/>
    <w:rsid w:val="008C3EF0"/>
    <w:rsid w:val="008C41C3"/>
    <w:rsid w:val="008C42D4"/>
    <w:rsid w:val="008C48AF"/>
    <w:rsid w:val="008C4A88"/>
    <w:rsid w:val="008C4B6B"/>
    <w:rsid w:val="008C5D70"/>
    <w:rsid w:val="008C65C3"/>
    <w:rsid w:val="008C6E75"/>
    <w:rsid w:val="008C750D"/>
    <w:rsid w:val="008C7F6C"/>
    <w:rsid w:val="008C7F9B"/>
    <w:rsid w:val="008D06B8"/>
    <w:rsid w:val="008D09A3"/>
    <w:rsid w:val="008D0C8A"/>
    <w:rsid w:val="008D18EB"/>
    <w:rsid w:val="008D1F46"/>
    <w:rsid w:val="008D2F05"/>
    <w:rsid w:val="008D30C1"/>
    <w:rsid w:val="008D36C9"/>
    <w:rsid w:val="008D3B28"/>
    <w:rsid w:val="008D42D6"/>
    <w:rsid w:val="008D464F"/>
    <w:rsid w:val="008D4A60"/>
    <w:rsid w:val="008D5372"/>
    <w:rsid w:val="008D59E8"/>
    <w:rsid w:val="008D5E7F"/>
    <w:rsid w:val="008D61A3"/>
    <w:rsid w:val="008D6445"/>
    <w:rsid w:val="008D65BA"/>
    <w:rsid w:val="008D6653"/>
    <w:rsid w:val="008D6A77"/>
    <w:rsid w:val="008D6AB9"/>
    <w:rsid w:val="008D70FA"/>
    <w:rsid w:val="008D73DF"/>
    <w:rsid w:val="008D78A6"/>
    <w:rsid w:val="008D7EEE"/>
    <w:rsid w:val="008E032F"/>
    <w:rsid w:val="008E0714"/>
    <w:rsid w:val="008E0AAC"/>
    <w:rsid w:val="008E0C0B"/>
    <w:rsid w:val="008E0F0F"/>
    <w:rsid w:val="008E1591"/>
    <w:rsid w:val="008E2C23"/>
    <w:rsid w:val="008E3167"/>
    <w:rsid w:val="008E3781"/>
    <w:rsid w:val="008E570D"/>
    <w:rsid w:val="008E579E"/>
    <w:rsid w:val="008E5D3E"/>
    <w:rsid w:val="008E5E33"/>
    <w:rsid w:val="008E6661"/>
    <w:rsid w:val="008E6737"/>
    <w:rsid w:val="008E6788"/>
    <w:rsid w:val="008E6942"/>
    <w:rsid w:val="008E75F2"/>
    <w:rsid w:val="008E77D8"/>
    <w:rsid w:val="008F037B"/>
    <w:rsid w:val="008F077D"/>
    <w:rsid w:val="008F0AC5"/>
    <w:rsid w:val="008F21AE"/>
    <w:rsid w:val="008F222E"/>
    <w:rsid w:val="008F35CD"/>
    <w:rsid w:val="008F383F"/>
    <w:rsid w:val="008F41B0"/>
    <w:rsid w:val="008F41EA"/>
    <w:rsid w:val="008F4458"/>
    <w:rsid w:val="008F4D33"/>
    <w:rsid w:val="008F55C5"/>
    <w:rsid w:val="008F5845"/>
    <w:rsid w:val="008F67DA"/>
    <w:rsid w:val="008F6A07"/>
    <w:rsid w:val="008F6CEA"/>
    <w:rsid w:val="008F7048"/>
    <w:rsid w:val="008F7157"/>
    <w:rsid w:val="008F7732"/>
    <w:rsid w:val="008F7CF3"/>
    <w:rsid w:val="008F7EA9"/>
    <w:rsid w:val="00900275"/>
    <w:rsid w:val="009003EF"/>
    <w:rsid w:val="00900C99"/>
    <w:rsid w:val="00900EFD"/>
    <w:rsid w:val="0090119D"/>
    <w:rsid w:val="00902485"/>
    <w:rsid w:val="00902790"/>
    <w:rsid w:val="009029BB"/>
    <w:rsid w:val="00902BAE"/>
    <w:rsid w:val="00902C07"/>
    <w:rsid w:val="00903AC8"/>
    <w:rsid w:val="00903DC1"/>
    <w:rsid w:val="00904040"/>
    <w:rsid w:val="00904C81"/>
    <w:rsid w:val="00905A54"/>
    <w:rsid w:val="00905A9E"/>
    <w:rsid w:val="00905BA0"/>
    <w:rsid w:val="00905CCE"/>
    <w:rsid w:val="00906029"/>
    <w:rsid w:val="00906461"/>
    <w:rsid w:val="009065E9"/>
    <w:rsid w:val="009066AE"/>
    <w:rsid w:val="0090699E"/>
    <w:rsid w:val="00906BBD"/>
    <w:rsid w:val="009074A1"/>
    <w:rsid w:val="00907757"/>
    <w:rsid w:val="009115C6"/>
    <w:rsid w:val="009120B8"/>
    <w:rsid w:val="009121FB"/>
    <w:rsid w:val="00912370"/>
    <w:rsid w:val="009128D9"/>
    <w:rsid w:val="00912F3F"/>
    <w:rsid w:val="009131B8"/>
    <w:rsid w:val="009137A8"/>
    <w:rsid w:val="009148AE"/>
    <w:rsid w:val="00915087"/>
    <w:rsid w:val="0091585C"/>
    <w:rsid w:val="00915AB3"/>
    <w:rsid w:val="00915B9A"/>
    <w:rsid w:val="00916618"/>
    <w:rsid w:val="009172B2"/>
    <w:rsid w:val="009173CE"/>
    <w:rsid w:val="009175AE"/>
    <w:rsid w:val="00917C27"/>
    <w:rsid w:val="00920405"/>
    <w:rsid w:val="009210BE"/>
    <w:rsid w:val="0092180A"/>
    <w:rsid w:val="00921F63"/>
    <w:rsid w:val="0092213A"/>
    <w:rsid w:val="00922423"/>
    <w:rsid w:val="00922A09"/>
    <w:rsid w:val="0092308A"/>
    <w:rsid w:val="009231F5"/>
    <w:rsid w:val="0092379F"/>
    <w:rsid w:val="00923B2D"/>
    <w:rsid w:val="00923E84"/>
    <w:rsid w:val="009246FB"/>
    <w:rsid w:val="0092536C"/>
    <w:rsid w:val="009254C1"/>
    <w:rsid w:val="00925C17"/>
    <w:rsid w:val="00926ABA"/>
    <w:rsid w:val="00926F72"/>
    <w:rsid w:val="00927231"/>
    <w:rsid w:val="009279AE"/>
    <w:rsid w:val="0093025E"/>
    <w:rsid w:val="00930454"/>
    <w:rsid w:val="00931220"/>
    <w:rsid w:val="00931B92"/>
    <w:rsid w:val="00931C12"/>
    <w:rsid w:val="00932132"/>
    <w:rsid w:val="009323FC"/>
    <w:rsid w:val="00932630"/>
    <w:rsid w:val="00932694"/>
    <w:rsid w:val="00932BC5"/>
    <w:rsid w:val="00932F18"/>
    <w:rsid w:val="009333F1"/>
    <w:rsid w:val="00933C7F"/>
    <w:rsid w:val="009347D9"/>
    <w:rsid w:val="00935335"/>
    <w:rsid w:val="009358BA"/>
    <w:rsid w:val="009369E9"/>
    <w:rsid w:val="00936D25"/>
    <w:rsid w:val="00937536"/>
    <w:rsid w:val="00937915"/>
    <w:rsid w:val="00937A98"/>
    <w:rsid w:val="009401A6"/>
    <w:rsid w:val="009401D3"/>
    <w:rsid w:val="00940490"/>
    <w:rsid w:val="009405AA"/>
    <w:rsid w:val="009406FF"/>
    <w:rsid w:val="00940786"/>
    <w:rsid w:val="00940893"/>
    <w:rsid w:val="00940BCD"/>
    <w:rsid w:val="00940C09"/>
    <w:rsid w:val="00940F9B"/>
    <w:rsid w:val="00942006"/>
    <w:rsid w:val="00943141"/>
    <w:rsid w:val="0094319C"/>
    <w:rsid w:val="00943B05"/>
    <w:rsid w:val="00943BCE"/>
    <w:rsid w:val="00943DB0"/>
    <w:rsid w:val="00944788"/>
    <w:rsid w:val="0094612A"/>
    <w:rsid w:val="009466AD"/>
    <w:rsid w:val="0094694C"/>
    <w:rsid w:val="009472B2"/>
    <w:rsid w:val="00947317"/>
    <w:rsid w:val="0094748D"/>
    <w:rsid w:val="009475BF"/>
    <w:rsid w:val="00947E22"/>
    <w:rsid w:val="00947FED"/>
    <w:rsid w:val="00950749"/>
    <w:rsid w:val="009508E0"/>
    <w:rsid w:val="00950983"/>
    <w:rsid w:val="00950DF0"/>
    <w:rsid w:val="009514C3"/>
    <w:rsid w:val="00951CB3"/>
    <w:rsid w:val="00951D51"/>
    <w:rsid w:val="00951EB0"/>
    <w:rsid w:val="0095260F"/>
    <w:rsid w:val="00952A10"/>
    <w:rsid w:val="00952B47"/>
    <w:rsid w:val="00952E9E"/>
    <w:rsid w:val="00953A15"/>
    <w:rsid w:val="00954017"/>
    <w:rsid w:val="009553DC"/>
    <w:rsid w:val="0095569F"/>
    <w:rsid w:val="0095636D"/>
    <w:rsid w:val="0095640D"/>
    <w:rsid w:val="0095682A"/>
    <w:rsid w:val="00956E8D"/>
    <w:rsid w:val="009600C1"/>
    <w:rsid w:val="009601C8"/>
    <w:rsid w:val="00960AB4"/>
    <w:rsid w:val="00960C63"/>
    <w:rsid w:val="00962462"/>
    <w:rsid w:val="0096340B"/>
    <w:rsid w:val="009639F3"/>
    <w:rsid w:val="0096400D"/>
    <w:rsid w:val="00964DE3"/>
    <w:rsid w:val="00964E30"/>
    <w:rsid w:val="009651B0"/>
    <w:rsid w:val="00965364"/>
    <w:rsid w:val="00965725"/>
    <w:rsid w:val="00965A59"/>
    <w:rsid w:val="00965B31"/>
    <w:rsid w:val="00965F13"/>
    <w:rsid w:val="00965FD5"/>
    <w:rsid w:val="0096607F"/>
    <w:rsid w:val="009660C4"/>
    <w:rsid w:val="009664B0"/>
    <w:rsid w:val="00966945"/>
    <w:rsid w:val="00970D76"/>
    <w:rsid w:val="00971360"/>
    <w:rsid w:val="00971B40"/>
    <w:rsid w:val="0097201F"/>
    <w:rsid w:val="00972655"/>
    <w:rsid w:val="00972BB6"/>
    <w:rsid w:val="00972BBC"/>
    <w:rsid w:val="0097334E"/>
    <w:rsid w:val="0097349F"/>
    <w:rsid w:val="0097374A"/>
    <w:rsid w:val="0097408C"/>
    <w:rsid w:val="009747A9"/>
    <w:rsid w:val="00974F44"/>
    <w:rsid w:val="00975A84"/>
    <w:rsid w:val="00975B38"/>
    <w:rsid w:val="0097616C"/>
    <w:rsid w:val="00976EBC"/>
    <w:rsid w:val="00976FDE"/>
    <w:rsid w:val="009776CD"/>
    <w:rsid w:val="00980004"/>
    <w:rsid w:val="00980074"/>
    <w:rsid w:val="00980262"/>
    <w:rsid w:val="009803C9"/>
    <w:rsid w:val="00980BD1"/>
    <w:rsid w:val="00980C28"/>
    <w:rsid w:val="00980E27"/>
    <w:rsid w:val="00982365"/>
    <w:rsid w:val="00982654"/>
    <w:rsid w:val="00982819"/>
    <w:rsid w:val="00982B92"/>
    <w:rsid w:val="00982F58"/>
    <w:rsid w:val="00983019"/>
    <w:rsid w:val="009837F5"/>
    <w:rsid w:val="00983F5A"/>
    <w:rsid w:val="00984139"/>
    <w:rsid w:val="009845AB"/>
    <w:rsid w:val="009846DC"/>
    <w:rsid w:val="00984B9C"/>
    <w:rsid w:val="00984DF9"/>
    <w:rsid w:val="00984F55"/>
    <w:rsid w:val="00985187"/>
    <w:rsid w:val="00985F91"/>
    <w:rsid w:val="009861E8"/>
    <w:rsid w:val="009864E7"/>
    <w:rsid w:val="009867C1"/>
    <w:rsid w:val="0098688D"/>
    <w:rsid w:val="0098697A"/>
    <w:rsid w:val="00986A1E"/>
    <w:rsid w:val="0098737F"/>
    <w:rsid w:val="00987C08"/>
    <w:rsid w:val="00990613"/>
    <w:rsid w:val="00990CA2"/>
    <w:rsid w:val="00990EA5"/>
    <w:rsid w:val="00991196"/>
    <w:rsid w:val="009913C2"/>
    <w:rsid w:val="009917AD"/>
    <w:rsid w:val="00991FC1"/>
    <w:rsid w:val="0099248B"/>
    <w:rsid w:val="00992CE9"/>
    <w:rsid w:val="00993BDB"/>
    <w:rsid w:val="00994619"/>
    <w:rsid w:val="009947BB"/>
    <w:rsid w:val="00994A84"/>
    <w:rsid w:val="00994D1E"/>
    <w:rsid w:val="0099551F"/>
    <w:rsid w:val="00995680"/>
    <w:rsid w:val="009959A6"/>
    <w:rsid w:val="00996837"/>
    <w:rsid w:val="00996EE6"/>
    <w:rsid w:val="00996F85"/>
    <w:rsid w:val="0099768E"/>
    <w:rsid w:val="009A0564"/>
    <w:rsid w:val="009A065E"/>
    <w:rsid w:val="009A0836"/>
    <w:rsid w:val="009A0CAF"/>
    <w:rsid w:val="009A0CF2"/>
    <w:rsid w:val="009A116E"/>
    <w:rsid w:val="009A12F3"/>
    <w:rsid w:val="009A1832"/>
    <w:rsid w:val="009A22CD"/>
    <w:rsid w:val="009A24F7"/>
    <w:rsid w:val="009A2B3E"/>
    <w:rsid w:val="009A30A5"/>
    <w:rsid w:val="009A3556"/>
    <w:rsid w:val="009A3D89"/>
    <w:rsid w:val="009A409C"/>
    <w:rsid w:val="009A426C"/>
    <w:rsid w:val="009A458C"/>
    <w:rsid w:val="009A4707"/>
    <w:rsid w:val="009A4A62"/>
    <w:rsid w:val="009A4DD7"/>
    <w:rsid w:val="009A54DA"/>
    <w:rsid w:val="009A5782"/>
    <w:rsid w:val="009A61B2"/>
    <w:rsid w:val="009A63E4"/>
    <w:rsid w:val="009A655D"/>
    <w:rsid w:val="009A683C"/>
    <w:rsid w:val="009A6959"/>
    <w:rsid w:val="009A6F99"/>
    <w:rsid w:val="009A6FE9"/>
    <w:rsid w:val="009A7207"/>
    <w:rsid w:val="009A76C2"/>
    <w:rsid w:val="009A7A6D"/>
    <w:rsid w:val="009B0F64"/>
    <w:rsid w:val="009B14CC"/>
    <w:rsid w:val="009B1DA6"/>
    <w:rsid w:val="009B1F5A"/>
    <w:rsid w:val="009B2791"/>
    <w:rsid w:val="009B2C57"/>
    <w:rsid w:val="009B2DC8"/>
    <w:rsid w:val="009B317D"/>
    <w:rsid w:val="009B3496"/>
    <w:rsid w:val="009B36A4"/>
    <w:rsid w:val="009B3BCF"/>
    <w:rsid w:val="009B5DCD"/>
    <w:rsid w:val="009B6BD5"/>
    <w:rsid w:val="009B772D"/>
    <w:rsid w:val="009B7792"/>
    <w:rsid w:val="009B7AA7"/>
    <w:rsid w:val="009C06E4"/>
    <w:rsid w:val="009C0C1C"/>
    <w:rsid w:val="009C1AA9"/>
    <w:rsid w:val="009C4878"/>
    <w:rsid w:val="009C5122"/>
    <w:rsid w:val="009C52F9"/>
    <w:rsid w:val="009C535B"/>
    <w:rsid w:val="009C5E19"/>
    <w:rsid w:val="009C5EB3"/>
    <w:rsid w:val="009C6B60"/>
    <w:rsid w:val="009C7ED8"/>
    <w:rsid w:val="009D0165"/>
    <w:rsid w:val="009D053B"/>
    <w:rsid w:val="009D07AA"/>
    <w:rsid w:val="009D0908"/>
    <w:rsid w:val="009D0FDE"/>
    <w:rsid w:val="009D12B2"/>
    <w:rsid w:val="009D1405"/>
    <w:rsid w:val="009D1C1E"/>
    <w:rsid w:val="009D2120"/>
    <w:rsid w:val="009D23F1"/>
    <w:rsid w:val="009D2B39"/>
    <w:rsid w:val="009D3924"/>
    <w:rsid w:val="009D3E2B"/>
    <w:rsid w:val="009D414E"/>
    <w:rsid w:val="009D478C"/>
    <w:rsid w:val="009D4D52"/>
    <w:rsid w:val="009D4E58"/>
    <w:rsid w:val="009D525E"/>
    <w:rsid w:val="009D52D7"/>
    <w:rsid w:val="009D5574"/>
    <w:rsid w:val="009D5B3D"/>
    <w:rsid w:val="009D6199"/>
    <w:rsid w:val="009D6956"/>
    <w:rsid w:val="009D76DB"/>
    <w:rsid w:val="009D7838"/>
    <w:rsid w:val="009D79C0"/>
    <w:rsid w:val="009E011C"/>
    <w:rsid w:val="009E0ED6"/>
    <w:rsid w:val="009E10D9"/>
    <w:rsid w:val="009E2076"/>
    <w:rsid w:val="009E27A3"/>
    <w:rsid w:val="009E2AC4"/>
    <w:rsid w:val="009E2E7E"/>
    <w:rsid w:val="009E3245"/>
    <w:rsid w:val="009E4111"/>
    <w:rsid w:val="009E4343"/>
    <w:rsid w:val="009E4BC3"/>
    <w:rsid w:val="009E523A"/>
    <w:rsid w:val="009E5B14"/>
    <w:rsid w:val="009E6E9E"/>
    <w:rsid w:val="009E7240"/>
    <w:rsid w:val="009F02A6"/>
    <w:rsid w:val="009F08BB"/>
    <w:rsid w:val="009F0A0C"/>
    <w:rsid w:val="009F11B6"/>
    <w:rsid w:val="009F126B"/>
    <w:rsid w:val="009F141A"/>
    <w:rsid w:val="009F1D73"/>
    <w:rsid w:val="009F1FE7"/>
    <w:rsid w:val="009F287C"/>
    <w:rsid w:val="009F2BB9"/>
    <w:rsid w:val="009F2EF5"/>
    <w:rsid w:val="009F354C"/>
    <w:rsid w:val="009F3738"/>
    <w:rsid w:val="009F3ADC"/>
    <w:rsid w:val="009F3F6F"/>
    <w:rsid w:val="009F4782"/>
    <w:rsid w:val="009F47BA"/>
    <w:rsid w:val="009F5127"/>
    <w:rsid w:val="009F54D2"/>
    <w:rsid w:val="009F587D"/>
    <w:rsid w:val="009F62FA"/>
    <w:rsid w:val="009F64DB"/>
    <w:rsid w:val="009F6736"/>
    <w:rsid w:val="009F7877"/>
    <w:rsid w:val="009F797D"/>
    <w:rsid w:val="009F79CF"/>
    <w:rsid w:val="009F7BA7"/>
    <w:rsid w:val="009F7FF5"/>
    <w:rsid w:val="00A0054D"/>
    <w:rsid w:val="00A00913"/>
    <w:rsid w:val="00A01D49"/>
    <w:rsid w:val="00A02323"/>
    <w:rsid w:val="00A02EAD"/>
    <w:rsid w:val="00A0397F"/>
    <w:rsid w:val="00A03BA7"/>
    <w:rsid w:val="00A03D37"/>
    <w:rsid w:val="00A03F55"/>
    <w:rsid w:val="00A04268"/>
    <w:rsid w:val="00A04712"/>
    <w:rsid w:val="00A049E3"/>
    <w:rsid w:val="00A06159"/>
    <w:rsid w:val="00A0637B"/>
    <w:rsid w:val="00A064BE"/>
    <w:rsid w:val="00A11A6D"/>
    <w:rsid w:val="00A12738"/>
    <w:rsid w:val="00A12934"/>
    <w:rsid w:val="00A12A41"/>
    <w:rsid w:val="00A133AC"/>
    <w:rsid w:val="00A1371A"/>
    <w:rsid w:val="00A14537"/>
    <w:rsid w:val="00A15050"/>
    <w:rsid w:val="00A1515A"/>
    <w:rsid w:val="00A1594A"/>
    <w:rsid w:val="00A15CF2"/>
    <w:rsid w:val="00A16249"/>
    <w:rsid w:val="00A16E15"/>
    <w:rsid w:val="00A170C8"/>
    <w:rsid w:val="00A1745C"/>
    <w:rsid w:val="00A174FC"/>
    <w:rsid w:val="00A17997"/>
    <w:rsid w:val="00A17C70"/>
    <w:rsid w:val="00A17D8C"/>
    <w:rsid w:val="00A17FF5"/>
    <w:rsid w:val="00A20092"/>
    <w:rsid w:val="00A20B79"/>
    <w:rsid w:val="00A21229"/>
    <w:rsid w:val="00A21342"/>
    <w:rsid w:val="00A21F8B"/>
    <w:rsid w:val="00A225F2"/>
    <w:rsid w:val="00A22A81"/>
    <w:rsid w:val="00A22AEA"/>
    <w:rsid w:val="00A24262"/>
    <w:rsid w:val="00A2465A"/>
    <w:rsid w:val="00A24BF0"/>
    <w:rsid w:val="00A24C3D"/>
    <w:rsid w:val="00A25B14"/>
    <w:rsid w:val="00A2677C"/>
    <w:rsid w:val="00A2684E"/>
    <w:rsid w:val="00A27177"/>
    <w:rsid w:val="00A271CE"/>
    <w:rsid w:val="00A27955"/>
    <w:rsid w:val="00A27CB9"/>
    <w:rsid w:val="00A30447"/>
    <w:rsid w:val="00A30D7D"/>
    <w:rsid w:val="00A314C9"/>
    <w:rsid w:val="00A323D8"/>
    <w:rsid w:val="00A32497"/>
    <w:rsid w:val="00A329B1"/>
    <w:rsid w:val="00A35053"/>
    <w:rsid w:val="00A35B6A"/>
    <w:rsid w:val="00A35EA1"/>
    <w:rsid w:val="00A36246"/>
    <w:rsid w:val="00A3694A"/>
    <w:rsid w:val="00A376DF"/>
    <w:rsid w:val="00A37853"/>
    <w:rsid w:val="00A379FB"/>
    <w:rsid w:val="00A40250"/>
    <w:rsid w:val="00A4037E"/>
    <w:rsid w:val="00A405C5"/>
    <w:rsid w:val="00A40932"/>
    <w:rsid w:val="00A40F08"/>
    <w:rsid w:val="00A411B3"/>
    <w:rsid w:val="00A417D9"/>
    <w:rsid w:val="00A41D8E"/>
    <w:rsid w:val="00A4203B"/>
    <w:rsid w:val="00A4258B"/>
    <w:rsid w:val="00A42A80"/>
    <w:rsid w:val="00A42C0C"/>
    <w:rsid w:val="00A42E5E"/>
    <w:rsid w:val="00A43036"/>
    <w:rsid w:val="00A4314F"/>
    <w:rsid w:val="00A43232"/>
    <w:rsid w:val="00A43728"/>
    <w:rsid w:val="00A4378C"/>
    <w:rsid w:val="00A43B86"/>
    <w:rsid w:val="00A44151"/>
    <w:rsid w:val="00A44627"/>
    <w:rsid w:val="00A44945"/>
    <w:rsid w:val="00A44AE6"/>
    <w:rsid w:val="00A44E00"/>
    <w:rsid w:val="00A45457"/>
    <w:rsid w:val="00A45731"/>
    <w:rsid w:val="00A458AC"/>
    <w:rsid w:val="00A45EA0"/>
    <w:rsid w:val="00A469EE"/>
    <w:rsid w:val="00A46AFB"/>
    <w:rsid w:val="00A46DDA"/>
    <w:rsid w:val="00A470C9"/>
    <w:rsid w:val="00A471E8"/>
    <w:rsid w:val="00A4777F"/>
    <w:rsid w:val="00A478E2"/>
    <w:rsid w:val="00A502C2"/>
    <w:rsid w:val="00A50635"/>
    <w:rsid w:val="00A50731"/>
    <w:rsid w:val="00A51D40"/>
    <w:rsid w:val="00A51D43"/>
    <w:rsid w:val="00A52C22"/>
    <w:rsid w:val="00A52E3E"/>
    <w:rsid w:val="00A53692"/>
    <w:rsid w:val="00A53A90"/>
    <w:rsid w:val="00A5406A"/>
    <w:rsid w:val="00A54987"/>
    <w:rsid w:val="00A559CD"/>
    <w:rsid w:val="00A56AF2"/>
    <w:rsid w:val="00A56F49"/>
    <w:rsid w:val="00A573AD"/>
    <w:rsid w:val="00A57715"/>
    <w:rsid w:val="00A57EB5"/>
    <w:rsid w:val="00A60B10"/>
    <w:rsid w:val="00A61603"/>
    <w:rsid w:val="00A618C9"/>
    <w:rsid w:val="00A618D4"/>
    <w:rsid w:val="00A61BA3"/>
    <w:rsid w:val="00A61C05"/>
    <w:rsid w:val="00A62009"/>
    <w:rsid w:val="00A621FD"/>
    <w:rsid w:val="00A63118"/>
    <w:rsid w:val="00A639F7"/>
    <w:rsid w:val="00A6424D"/>
    <w:rsid w:val="00A642F6"/>
    <w:rsid w:val="00A64728"/>
    <w:rsid w:val="00A64A2C"/>
    <w:rsid w:val="00A64F23"/>
    <w:rsid w:val="00A650D0"/>
    <w:rsid w:val="00A65310"/>
    <w:rsid w:val="00A6538E"/>
    <w:rsid w:val="00A65601"/>
    <w:rsid w:val="00A65AEB"/>
    <w:rsid w:val="00A65C41"/>
    <w:rsid w:val="00A65C93"/>
    <w:rsid w:val="00A65D9F"/>
    <w:rsid w:val="00A66C1D"/>
    <w:rsid w:val="00A66CA2"/>
    <w:rsid w:val="00A6764A"/>
    <w:rsid w:val="00A67777"/>
    <w:rsid w:val="00A678E2"/>
    <w:rsid w:val="00A679C6"/>
    <w:rsid w:val="00A70288"/>
    <w:rsid w:val="00A708C1"/>
    <w:rsid w:val="00A70EDD"/>
    <w:rsid w:val="00A712CB"/>
    <w:rsid w:val="00A71C9B"/>
    <w:rsid w:val="00A72A70"/>
    <w:rsid w:val="00A74328"/>
    <w:rsid w:val="00A74512"/>
    <w:rsid w:val="00A74598"/>
    <w:rsid w:val="00A74691"/>
    <w:rsid w:val="00A74E05"/>
    <w:rsid w:val="00A75500"/>
    <w:rsid w:val="00A75E40"/>
    <w:rsid w:val="00A75E7E"/>
    <w:rsid w:val="00A7630C"/>
    <w:rsid w:val="00A7741F"/>
    <w:rsid w:val="00A77D6C"/>
    <w:rsid w:val="00A77DB2"/>
    <w:rsid w:val="00A80BB9"/>
    <w:rsid w:val="00A80D6F"/>
    <w:rsid w:val="00A80EBA"/>
    <w:rsid w:val="00A81048"/>
    <w:rsid w:val="00A824A2"/>
    <w:rsid w:val="00A826E2"/>
    <w:rsid w:val="00A82BF6"/>
    <w:rsid w:val="00A830C8"/>
    <w:rsid w:val="00A83936"/>
    <w:rsid w:val="00A84169"/>
    <w:rsid w:val="00A84E4A"/>
    <w:rsid w:val="00A85C4F"/>
    <w:rsid w:val="00A87D8E"/>
    <w:rsid w:val="00A90063"/>
    <w:rsid w:val="00A90A6B"/>
    <w:rsid w:val="00A90C44"/>
    <w:rsid w:val="00A91681"/>
    <w:rsid w:val="00A91AF4"/>
    <w:rsid w:val="00A91DBF"/>
    <w:rsid w:val="00A924B5"/>
    <w:rsid w:val="00A9257B"/>
    <w:rsid w:val="00A928DD"/>
    <w:rsid w:val="00A92C35"/>
    <w:rsid w:val="00A930C1"/>
    <w:rsid w:val="00A93310"/>
    <w:rsid w:val="00A93359"/>
    <w:rsid w:val="00A933E2"/>
    <w:rsid w:val="00A93729"/>
    <w:rsid w:val="00A93899"/>
    <w:rsid w:val="00A939A7"/>
    <w:rsid w:val="00A93B4E"/>
    <w:rsid w:val="00A94ECC"/>
    <w:rsid w:val="00A95CA8"/>
    <w:rsid w:val="00A95DCE"/>
    <w:rsid w:val="00A9602B"/>
    <w:rsid w:val="00A96B3F"/>
    <w:rsid w:val="00A976F9"/>
    <w:rsid w:val="00A97F3B"/>
    <w:rsid w:val="00AA0070"/>
    <w:rsid w:val="00AA0561"/>
    <w:rsid w:val="00AA0E3F"/>
    <w:rsid w:val="00AA200F"/>
    <w:rsid w:val="00AA2394"/>
    <w:rsid w:val="00AA2427"/>
    <w:rsid w:val="00AA2591"/>
    <w:rsid w:val="00AA2C08"/>
    <w:rsid w:val="00AA2E17"/>
    <w:rsid w:val="00AA2E35"/>
    <w:rsid w:val="00AA2FFB"/>
    <w:rsid w:val="00AA3102"/>
    <w:rsid w:val="00AA362A"/>
    <w:rsid w:val="00AA39AE"/>
    <w:rsid w:val="00AA39DD"/>
    <w:rsid w:val="00AA5529"/>
    <w:rsid w:val="00AA575C"/>
    <w:rsid w:val="00AA5BFC"/>
    <w:rsid w:val="00AA62BB"/>
    <w:rsid w:val="00AA6EA4"/>
    <w:rsid w:val="00AA7013"/>
    <w:rsid w:val="00AA73C9"/>
    <w:rsid w:val="00AA7430"/>
    <w:rsid w:val="00AA7687"/>
    <w:rsid w:val="00AA7A53"/>
    <w:rsid w:val="00AA7B33"/>
    <w:rsid w:val="00AA7F2A"/>
    <w:rsid w:val="00AB0B4C"/>
    <w:rsid w:val="00AB0BC8"/>
    <w:rsid w:val="00AB0FA7"/>
    <w:rsid w:val="00AB1365"/>
    <w:rsid w:val="00AB19A4"/>
    <w:rsid w:val="00AB1D82"/>
    <w:rsid w:val="00AB1E82"/>
    <w:rsid w:val="00AB27E5"/>
    <w:rsid w:val="00AB2ABD"/>
    <w:rsid w:val="00AB2B39"/>
    <w:rsid w:val="00AB2C3C"/>
    <w:rsid w:val="00AB2C4A"/>
    <w:rsid w:val="00AB33A3"/>
    <w:rsid w:val="00AB35A0"/>
    <w:rsid w:val="00AB45DA"/>
    <w:rsid w:val="00AB4EB6"/>
    <w:rsid w:val="00AB543E"/>
    <w:rsid w:val="00AB5C3A"/>
    <w:rsid w:val="00AB5D23"/>
    <w:rsid w:val="00AB5D6B"/>
    <w:rsid w:val="00AB5FAE"/>
    <w:rsid w:val="00AB649D"/>
    <w:rsid w:val="00AB6685"/>
    <w:rsid w:val="00AB6792"/>
    <w:rsid w:val="00AB7843"/>
    <w:rsid w:val="00AB78DB"/>
    <w:rsid w:val="00AB791B"/>
    <w:rsid w:val="00AB7A1C"/>
    <w:rsid w:val="00AC0A26"/>
    <w:rsid w:val="00AC0CB2"/>
    <w:rsid w:val="00AC0DB0"/>
    <w:rsid w:val="00AC1012"/>
    <w:rsid w:val="00AC109E"/>
    <w:rsid w:val="00AC165A"/>
    <w:rsid w:val="00AC16B1"/>
    <w:rsid w:val="00AC194C"/>
    <w:rsid w:val="00AC19A3"/>
    <w:rsid w:val="00AC1C62"/>
    <w:rsid w:val="00AC1EF5"/>
    <w:rsid w:val="00AC231B"/>
    <w:rsid w:val="00AC25CD"/>
    <w:rsid w:val="00AC2A65"/>
    <w:rsid w:val="00AC2BF3"/>
    <w:rsid w:val="00AC2FC8"/>
    <w:rsid w:val="00AC3215"/>
    <w:rsid w:val="00AC3C59"/>
    <w:rsid w:val="00AC3F53"/>
    <w:rsid w:val="00AC4DE3"/>
    <w:rsid w:val="00AC5218"/>
    <w:rsid w:val="00AC5C0A"/>
    <w:rsid w:val="00AC5CD9"/>
    <w:rsid w:val="00AC5E47"/>
    <w:rsid w:val="00AC6CEB"/>
    <w:rsid w:val="00AC70A9"/>
    <w:rsid w:val="00AC735D"/>
    <w:rsid w:val="00AC7594"/>
    <w:rsid w:val="00AC7AF4"/>
    <w:rsid w:val="00AD04FA"/>
    <w:rsid w:val="00AD0F04"/>
    <w:rsid w:val="00AD16CA"/>
    <w:rsid w:val="00AD2465"/>
    <w:rsid w:val="00AD25AB"/>
    <w:rsid w:val="00AD2BB7"/>
    <w:rsid w:val="00AD3CE3"/>
    <w:rsid w:val="00AD3D10"/>
    <w:rsid w:val="00AD447A"/>
    <w:rsid w:val="00AD4C74"/>
    <w:rsid w:val="00AD549E"/>
    <w:rsid w:val="00AD5680"/>
    <w:rsid w:val="00AD576A"/>
    <w:rsid w:val="00AD5ECA"/>
    <w:rsid w:val="00AD65CB"/>
    <w:rsid w:val="00AD6BDC"/>
    <w:rsid w:val="00AD7505"/>
    <w:rsid w:val="00AD7572"/>
    <w:rsid w:val="00AD7A87"/>
    <w:rsid w:val="00AE00BC"/>
    <w:rsid w:val="00AE0398"/>
    <w:rsid w:val="00AE053E"/>
    <w:rsid w:val="00AE0640"/>
    <w:rsid w:val="00AE08B6"/>
    <w:rsid w:val="00AE0BCD"/>
    <w:rsid w:val="00AE0C38"/>
    <w:rsid w:val="00AE13F8"/>
    <w:rsid w:val="00AE1AFA"/>
    <w:rsid w:val="00AE1C4B"/>
    <w:rsid w:val="00AE1CE1"/>
    <w:rsid w:val="00AE1CED"/>
    <w:rsid w:val="00AE2F0A"/>
    <w:rsid w:val="00AE3035"/>
    <w:rsid w:val="00AE3B83"/>
    <w:rsid w:val="00AE3E76"/>
    <w:rsid w:val="00AE497E"/>
    <w:rsid w:val="00AE4C28"/>
    <w:rsid w:val="00AE551D"/>
    <w:rsid w:val="00AE5675"/>
    <w:rsid w:val="00AE58F0"/>
    <w:rsid w:val="00AE5A33"/>
    <w:rsid w:val="00AE604C"/>
    <w:rsid w:val="00AE6114"/>
    <w:rsid w:val="00AE64B5"/>
    <w:rsid w:val="00AE68C0"/>
    <w:rsid w:val="00AE6BE5"/>
    <w:rsid w:val="00AE733D"/>
    <w:rsid w:val="00AE7856"/>
    <w:rsid w:val="00AE7B22"/>
    <w:rsid w:val="00AE7FE7"/>
    <w:rsid w:val="00AF00B4"/>
    <w:rsid w:val="00AF133D"/>
    <w:rsid w:val="00AF1D6A"/>
    <w:rsid w:val="00AF1DD9"/>
    <w:rsid w:val="00AF2C3B"/>
    <w:rsid w:val="00AF3690"/>
    <w:rsid w:val="00AF3C26"/>
    <w:rsid w:val="00AF3E2D"/>
    <w:rsid w:val="00AF4836"/>
    <w:rsid w:val="00AF4ED8"/>
    <w:rsid w:val="00AF5720"/>
    <w:rsid w:val="00AF5DDE"/>
    <w:rsid w:val="00AF64E7"/>
    <w:rsid w:val="00AF66A6"/>
    <w:rsid w:val="00AF67B5"/>
    <w:rsid w:val="00AF6C80"/>
    <w:rsid w:val="00AF6E0D"/>
    <w:rsid w:val="00AF79DA"/>
    <w:rsid w:val="00B00146"/>
    <w:rsid w:val="00B0020D"/>
    <w:rsid w:val="00B0085B"/>
    <w:rsid w:val="00B009B9"/>
    <w:rsid w:val="00B0160B"/>
    <w:rsid w:val="00B016DF"/>
    <w:rsid w:val="00B017E1"/>
    <w:rsid w:val="00B01FEE"/>
    <w:rsid w:val="00B02A17"/>
    <w:rsid w:val="00B04147"/>
    <w:rsid w:val="00B04399"/>
    <w:rsid w:val="00B047D4"/>
    <w:rsid w:val="00B04BA2"/>
    <w:rsid w:val="00B04BAB"/>
    <w:rsid w:val="00B04DB9"/>
    <w:rsid w:val="00B054A1"/>
    <w:rsid w:val="00B05A3E"/>
    <w:rsid w:val="00B06035"/>
    <w:rsid w:val="00B062AC"/>
    <w:rsid w:val="00B062EC"/>
    <w:rsid w:val="00B06D32"/>
    <w:rsid w:val="00B07310"/>
    <w:rsid w:val="00B07526"/>
    <w:rsid w:val="00B0787B"/>
    <w:rsid w:val="00B10050"/>
    <w:rsid w:val="00B104F1"/>
    <w:rsid w:val="00B11467"/>
    <w:rsid w:val="00B1157A"/>
    <w:rsid w:val="00B116DA"/>
    <w:rsid w:val="00B118DB"/>
    <w:rsid w:val="00B11A66"/>
    <w:rsid w:val="00B12162"/>
    <w:rsid w:val="00B124C0"/>
    <w:rsid w:val="00B125BD"/>
    <w:rsid w:val="00B12BB3"/>
    <w:rsid w:val="00B135B1"/>
    <w:rsid w:val="00B14344"/>
    <w:rsid w:val="00B14427"/>
    <w:rsid w:val="00B14506"/>
    <w:rsid w:val="00B15278"/>
    <w:rsid w:val="00B1572C"/>
    <w:rsid w:val="00B16619"/>
    <w:rsid w:val="00B168A7"/>
    <w:rsid w:val="00B16CC9"/>
    <w:rsid w:val="00B16CF5"/>
    <w:rsid w:val="00B16E8A"/>
    <w:rsid w:val="00B17CDE"/>
    <w:rsid w:val="00B20C11"/>
    <w:rsid w:val="00B21162"/>
    <w:rsid w:val="00B217C8"/>
    <w:rsid w:val="00B21D8A"/>
    <w:rsid w:val="00B22033"/>
    <w:rsid w:val="00B228CD"/>
    <w:rsid w:val="00B22D9E"/>
    <w:rsid w:val="00B23CE9"/>
    <w:rsid w:val="00B23D88"/>
    <w:rsid w:val="00B23DA2"/>
    <w:rsid w:val="00B24008"/>
    <w:rsid w:val="00B242EE"/>
    <w:rsid w:val="00B24C40"/>
    <w:rsid w:val="00B2549E"/>
    <w:rsid w:val="00B25BC2"/>
    <w:rsid w:val="00B25C7B"/>
    <w:rsid w:val="00B25F00"/>
    <w:rsid w:val="00B260D6"/>
    <w:rsid w:val="00B2641C"/>
    <w:rsid w:val="00B27476"/>
    <w:rsid w:val="00B27792"/>
    <w:rsid w:val="00B278D9"/>
    <w:rsid w:val="00B307E3"/>
    <w:rsid w:val="00B3081D"/>
    <w:rsid w:val="00B30C3F"/>
    <w:rsid w:val="00B30D0A"/>
    <w:rsid w:val="00B3110E"/>
    <w:rsid w:val="00B317EA"/>
    <w:rsid w:val="00B318C7"/>
    <w:rsid w:val="00B31DDC"/>
    <w:rsid w:val="00B324D2"/>
    <w:rsid w:val="00B33041"/>
    <w:rsid w:val="00B334A7"/>
    <w:rsid w:val="00B33FBB"/>
    <w:rsid w:val="00B33FD7"/>
    <w:rsid w:val="00B3453D"/>
    <w:rsid w:val="00B34A42"/>
    <w:rsid w:val="00B35599"/>
    <w:rsid w:val="00B357E6"/>
    <w:rsid w:val="00B3591E"/>
    <w:rsid w:val="00B359C9"/>
    <w:rsid w:val="00B363D8"/>
    <w:rsid w:val="00B3647C"/>
    <w:rsid w:val="00B37629"/>
    <w:rsid w:val="00B37A00"/>
    <w:rsid w:val="00B37BAC"/>
    <w:rsid w:val="00B37D46"/>
    <w:rsid w:val="00B40125"/>
    <w:rsid w:val="00B40CC2"/>
    <w:rsid w:val="00B411CD"/>
    <w:rsid w:val="00B41263"/>
    <w:rsid w:val="00B41A77"/>
    <w:rsid w:val="00B42BF5"/>
    <w:rsid w:val="00B42E90"/>
    <w:rsid w:val="00B42E98"/>
    <w:rsid w:val="00B431A6"/>
    <w:rsid w:val="00B439BF"/>
    <w:rsid w:val="00B43A8C"/>
    <w:rsid w:val="00B44013"/>
    <w:rsid w:val="00B44176"/>
    <w:rsid w:val="00B4441A"/>
    <w:rsid w:val="00B45516"/>
    <w:rsid w:val="00B455DB"/>
    <w:rsid w:val="00B466F5"/>
    <w:rsid w:val="00B47417"/>
    <w:rsid w:val="00B474CE"/>
    <w:rsid w:val="00B47A07"/>
    <w:rsid w:val="00B507B0"/>
    <w:rsid w:val="00B50AC1"/>
    <w:rsid w:val="00B50B69"/>
    <w:rsid w:val="00B50FFA"/>
    <w:rsid w:val="00B51D60"/>
    <w:rsid w:val="00B51DFE"/>
    <w:rsid w:val="00B520B2"/>
    <w:rsid w:val="00B52806"/>
    <w:rsid w:val="00B530E4"/>
    <w:rsid w:val="00B5348F"/>
    <w:rsid w:val="00B54217"/>
    <w:rsid w:val="00B547AA"/>
    <w:rsid w:val="00B55F2D"/>
    <w:rsid w:val="00B56957"/>
    <w:rsid w:val="00B56A3B"/>
    <w:rsid w:val="00B56DE6"/>
    <w:rsid w:val="00B5764F"/>
    <w:rsid w:val="00B576CD"/>
    <w:rsid w:val="00B6002B"/>
    <w:rsid w:val="00B605EF"/>
    <w:rsid w:val="00B6067B"/>
    <w:rsid w:val="00B60CD6"/>
    <w:rsid w:val="00B60F6F"/>
    <w:rsid w:val="00B61F4A"/>
    <w:rsid w:val="00B62645"/>
    <w:rsid w:val="00B6280B"/>
    <w:rsid w:val="00B6293E"/>
    <w:rsid w:val="00B63813"/>
    <w:rsid w:val="00B63EA3"/>
    <w:rsid w:val="00B6451E"/>
    <w:rsid w:val="00B64BC9"/>
    <w:rsid w:val="00B64FF9"/>
    <w:rsid w:val="00B657D6"/>
    <w:rsid w:val="00B65859"/>
    <w:rsid w:val="00B65F08"/>
    <w:rsid w:val="00B66C2D"/>
    <w:rsid w:val="00B6720A"/>
    <w:rsid w:val="00B67393"/>
    <w:rsid w:val="00B67669"/>
    <w:rsid w:val="00B678D3"/>
    <w:rsid w:val="00B67A89"/>
    <w:rsid w:val="00B709DC"/>
    <w:rsid w:val="00B7128B"/>
    <w:rsid w:val="00B71D0F"/>
    <w:rsid w:val="00B71EA4"/>
    <w:rsid w:val="00B721B2"/>
    <w:rsid w:val="00B7220E"/>
    <w:rsid w:val="00B729A5"/>
    <w:rsid w:val="00B72CF6"/>
    <w:rsid w:val="00B7307C"/>
    <w:rsid w:val="00B731AC"/>
    <w:rsid w:val="00B737C1"/>
    <w:rsid w:val="00B73A18"/>
    <w:rsid w:val="00B73D4A"/>
    <w:rsid w:val="00B73D63"/>
    <w:rsid w:val="00B741A7"/>
    <w:rsid w:val="00B74413"/>
    <w:rsid w:val="00B74B6C"/>
    <w:rsid w:val="00B7530A"/>
    <w:rsid w:val="00B7596C"/>
    <w:rsid w:val="00B7603B"/>
    <w:rsid w:val="00B762AC"/>
    <w:rsid w:val="00B77511"/>
    <w:rsid w:val="00B777F6"/>
    <w:rsid w:val="00B77B86"/>
    <w:rsid w:val="00B80F5D"/>
    <w:rsid w:val="00B8146F"/>
    <w:rsid w:val="00B8177F"/>
    <w:rsid w:val="00B81B39"/>
    <w:rsid w:val="00B81BDC"/>
    <w:rsid w:val="00B81E22"/>
    <w:rsid w:val="00B83E07"/>
    <w:rsid w:val="00B83F3F"/>
    <w:rsid w:val="00B848E1"/>
    <w:rsid w:val="00B849FB"/>
    <w:rsid w:val="00B84A56"/>
    <w:rsid w:val="00B84DA1"/>
    <w:rsid w:val="00B853AA"/>
    <w:rsid w:val="00B8577A"/>
    <w:rsid w:val="00B86A68"/>
    <w:rsid w:val="00B86EC0"/>
    <w:rsid w:val="00B877B7"/>
    <w:rsid w:val="00B87900"/>
    <w:rsid w:val="00B9071E"/>
    <w:rsid w:val="00B908D5"/>
    <w:rsid w:val="00B90A15"/>
    <w:rsid w:val="00B90A6B"/>
    <w:rsid w:val="00B90B6B"/>
    <w:rsid w:val="00B91236"/>
    <w:rsid w:val="00B913D6"/>
    <w:rsid w:val="00B91C12"/>
    <w:rsid w:val="00B91C67"/>
    <w:rsid w:val="00B9225C"/>
    <w:rsid w:val="00B9249C"/>
    <w:rsid w:val="00B924AA"/>
    <w:rsid w:val="00B92A01"/>
    <w:rsid w:val="00B93613"/>
    <w:rsid w:val="00B9415D"/>
    <w:rsid w:val="00B94E1C"/>
    <w:rsid w:val="00B95147"/>
    <w:rsid w:val="00B95730"/>
    <w:rsid w:val="00B964AD"/>
    <w:rsid w:val="00B96598"/>
    <w:rsid w:val="00B9682F"/>
    <w:rsid w:val="00B968E1"/>
    <w:rsid w:val="00B96A3E"/>
    <w:rsid w:val="00B96D61"/>
    <w:rsid w:val="00B972BE"/>
    <w:rsid w:val="00B974AA"/>
    <w:rsid w:val="00B976B7"/>
    <w:rsid w:val="00BA0462"/>
    <w:rsid w:val="00BA04F5"/>
    <w:rsid w:val="00BA0A3F"/>
    <w:rsid w:val="00BA176D"/>
    <w:rsid w:val="00BA1924"/>
    <w:rsid w:val="00BA1D87"/>
    <w:rsid w:val="00BA25A0"/>
    <w:rsid w:val="00BA26D2"/>
    <w:rsid w:val="00BA35CB"/>
    <w:rsid w:val="00BA3CF9"/>
    <w:rsid w:val="00BA4E7C"/>
    <w:rsid w:val="00BA5100"/>
    <w:rsid w:val="00BA521A"/>
    <w:rsid w:val="00BA5D2B"/>
    <w:rsid w:val="00BA5D9A"/>
    <w:rsid w:val="00BA5FE7"/>
    <w:rsid w:val="00BA64C6"/>
    <w:rsid w:val="00BA68B3"/>
    <w:rsid w:val="00BA6A61"/>
    <w:rsid w:val="00BA6FB0"/>
    <w:rsid w:val="00BA71D2"/>
    <w:rsid w:val="00BB02DE"/>
    <w:rsid w:val="00BB02DF"/>
    <w:rsid w:val="00BB05B3"/>
    <w:rsid w:val="00BB0793"/>
    <w:rsid w:val="00BB2165"/>
    <w:rsid w:val="00BB25B6"/>
    <w:rsid w:val="00BB2604"/>
    <w:rsid w:val="00BB290F"/>
    <w:rsid w:val="00BB2D12"/>
    <w:rsid w:val="00BB37E7"/>
    <w:rsid w:val="00BB498C"/>
    <w:rsid w:val="00BB50C5"/>
    <w:rsid w:val="00BB6793"/>
    <w:rsid w:val="00BB69E3"/>
    <w:rsid w:val="00BB71A0"/>
    <w:rsid w:val="00BB7654"/>
    <w:rsid w:val="00BC0303"/>
    <w:rsid w:val="00BC10C0"/>
    <w:rsid w:val="00BC1A04"/>
    <w:rsid w:val="00BC1CCA"/>
    <w:rsid w:val="00BC1E5B"/>
    <w:rsid w:val="00BC1FE2"/>
    <w:rsid w:val="00BC272A"/>
    <w:rsid w:val="00BC2A24"/>
    <w:rsid w:val="00BC2C06"/>
    <w:rsid w:val="00BC2D82"/>
    <w:rsid w:val="00BC3C61"/>
    <w:rsid w:val="00BC3CA9"/>
    <w:rsid w:val="00BC3D0F"/>
    <w:rsid w:val="00BC3FB6"/>
    <w:rsid w:val="00BC44E4"/>
    <w:rsid w:val="00BC4945"/>
    <w:rsid w:val="00BC4A1B"/>
    <w:rsid w:val="00BC5095"/>
    <w:rsid w:val="00BC50DC"/>
    <w:rsid w:val="00BC51B0"/>
    <w:rsid w:val="00BC5467"/>
    <w:rsid w:val="00BC55D8"/>
    <w:rsid w:val="00BC5E85"/>
    <w:rsid w:val="00BC6292"/>
    <w:rsid w:val="00BC6655"/>
    <w:rsid w:val="00BC6858"/>
    <w:rsid w:val="00BC6926"/>
    <w:rsid w:val="00BC6BF3"/>
    <w:rsid w:val="00BC7064"/>
    <w:rsid w:val="00BC70D1"/>
    <w:rsid w:val="00BC75FA"/>
    <w:rsid w:val="00BC7671"/>
    <w:rsid w:val="00BC76CD"/>
    <w:rsid w:val="00BC7D40"/>
    <w:rsid w:val="00BC7D56"/>
    <w:rsid w:val="00BD00B8"/>
    <w:rsid w:val="00BD024F"/>
    <w:rsid w:val="00BD05E0"/>
    <w:rsid w:val="00BD08FB"/>
    <w:rsid w:val="00BD160A"/>
    <w:rsid w:val="00BD1AE4"/>
    <w:rsid w:val="00BD20C6"/>
    <w:rsid w:val="00BD22D5"/>
    <w:rsid w:val="00BD27C2"/>
    <w:rsid w:val="00BD2B84"/>
    <w:rsid w:val="00BD2C59"/>
    <w:rsid w:val="00BD2D85"/>
    <w:rsid w:val="00BD305F"/>
    <w:rsid w:val="00BD311D"/>
    <w:rsid w:val="00BD3225"/>
    <w:rsid w:val="00BD37D1"/>
    <w:rsid w:val="00BD3C86"/>
    <w:rsid w:val="00BD3E21"/>
    <w:rsid w:val="00BD443C"/>
    <w:rsid w:val="00BD4C4D"/>
    <w:rsid w:val="00BD533E"/>
    <w:rsid w:val="00BD540A"/>
    <w:rsid w:val="00BD5983"/>
    <w:rsid w:val="00BD6157"/>
    <w:rsid w:val="00BD668C"/>
    <w:rsid w:val="00BD6C1A"/>
    <w:rsid w:val="00BD6E51"/>
    <w:rsid w:val="00BD79BF"/>
    <w:rsid w:val="00BD7C84"/>
    <w:rsid w:val="00BD7D79"/>
    <w:rsid w:val="00BE0569"/>
    <w:rsid w:val="00BE0A1C"/>
    <w:rsid w:val="00BE0D65"/>
    <w:rsid w:val="00BE167F"/>
    <w:rsid w:val="00BE2546"/>
    <w:rsid w:val="00BE2AD1"/>
    <w:rsid w:val="00BE2B5B"/>
    <w:rsid w:val="00BE2C78"/>
    <w:rsid w:val="00BE396F"/>
    <w:rsid w:val="00BE3D35"/>
    <w:rsid w:val="00BE46F1"/>
    <w:rsid w:val="00BE4843"/>
    <w:rsid w:val="00BE51A6"/>
    <w:rsid w:val="00BE556D"/>
    <w:rsid w:val="00BE5C6B"/>
    <w:rsid w:val="00BE5F99"/>
    <w:rsid w:val="00BE63A1"/>
    <w:rsid w:val="00BE65CE"/>
    <w:rsid w:val="00BE68AF"/>
    <w:rsid w:val="00BE6CA4"/>
    <w:rsid w:val="00BE7448"/>
    <w:rsid w:val="00BE7E20"/>
    <w:rsid w:val="00BE7EE3"/>
    <w:rsid w:val="00BF08EC"/>
    <w:rsid w:val="00BF14F3"/>
    <w:rsid w:val="00BF2515"/>
    <w:rsid w:val="00BF26BB"/>
    <w:rsid w:val="00BF26C3"/>
    <w:rsid w:val="00BF338E"/>
    <w:rsid w:val="00BF3547"/>
    <w:rsid w:val="00BF37BA"/>
    <w:rsid w:val="00BF3E09"/>
    <w:rsid w:val="00BF4660"/>
    <w:rsid w:val="00BF4A8D"/>
    <w:rsid w:val="00BF4BD5"/>
    <w:rsid w:val="00BF5204"/>
    <w:rsid w:val="00BF52FB"/>
    <w:rsid w:val="00BF54A3"/>
    <w:rsid w:val="00BF58F6"/>
    <w:rsid w:val="00BF5C35"/>
    <w:rsid w:val="00BF5F71"/>
    <w:rsid w:val="00BF6F27"/>
    <w:rsid w:val="00BF778E"/>
    <w:rsid w:val="00BF7D66"/>
    <w:rsid w:val="00C0036A"/>
    <w:rsid w:val="00C00551"/>
    <w:rsid w:val="00C00D31"/>
    <w:rsid w:val="00C00F85"/>
    <w:rsid w:val="00C0193F"/>
    <w:rsid w:val="00C01D83"/>
    <w:rsid w:val="00C01FCC"/>
    <w:rsid w:val="00C021E7"/>
    <w:rsid w:val="00C0256D"/>
    <w:rsid w:val="00C02E02"/>
    <w:rsid w:val="00C0306E"/>
    <w:rsid w:val="00C039C2"/>
    <w:rsid w:val="00C0414B"/>
    <w:rsid w:val="00C042FE"/>
    <w:rsid w:val="00C050AA"/>
    <w:rsid w:val="00C057B4"/>
    <w:rsid w:val="00C05C95"/>
    <w:rsid w:val="00C05D96"/>
    <w:rsid w:val="00C060CF"/>
    <w:rsid w:val="00C06263"/>
    <w:rsid w:val="00C06350"/>
    <w:rsid w:val="00C06495"/>
    <w:rsid w:val="00C06622"/>
    <w:rsid w:val="00C0683C"/>
    <w:rsid w:val="00C06A3E"/>
    <w:rsid w:val="00C06B50"/>
    <w:rsid w:val="00C06DD8"/>
    <w:rsid w:val="00C070CA"/>
    <w:rsid w:val="00C07326"/>
    <w:rsid w:val="00C074C6"/>
    <w:rsid w:val="00C101EF"/>
    <w:rsid w:val="00C10752"/>
    <w:rsid w:val="00C10DED"/>
    <w:rsid w:val="00C11036"/>
    <w:rsid w:val="00C11BDB"/>
    <w:rsid w:val="00C12285"/>
    <w:rsid w:val="00C127C1"/>
    <w:rsid w:val="00C1294A"/>
    <w:rsid w:val="00C12A27"/>
    <w:rsid w:val="00C12D71"/>
    <w:rsid w:val="00C12F53"/>
    <w:rsid w:val="00C13484"/>
    <w:rsid w:val="00C13CF9"/>
    <w:rsid w:val="00C14416"/>
    <w:rsid w:val="00C14CF2"/>
    <w:rsid w:val="00C14D97"/>
    <w:rsid w:val="00C14E0E"/>
    <w:rsid w:val="00C15406"/>
    <w:rsid w:val="00C15B83"/>
    <w:rsid w:val="00C15D4E"/>
    <w:rsid w:val="00C16072"/>
    <w:rsid w:val="00C16A67"/>
    <w:rsid w:val="00C17336"/>
    <w:rsid w:val="00C1764B"/>
    <w:rsid w:val="00C17725"/>
    <w:rsid w:val="00C17D15"/>
    <w:rsid w:val="00C20203"/>
    <w:rsid w:val="00C20AD8"/>
    <w:rsid w:val="00C213EB"/>
    <w:rsid w:val="00C21832"/>
    <w:rsid w:val="00C21B35"/>
    <w:rsid w:val="00C21D7F"/>
    <w:rsid w:val="00C22003"/>
    <w:rsid w:val="00C222D1"/>
    <w:rsid w:val="00C2248A"/>
    <w:rsid w:val="00C22541"/>
    <w:rsid w:val="00C22DAF"/>
    <w:rsid w:val="00C23114"/>
    <w:rsid w:val="00C234E6"/>
    <w:rsid w:val="00C23540"/>
    <w:rsid w:val="00C2414D"/>
    <w:rsid w:val="00C246E7"/>
    <w:rsid w:val="00C24DB2"/>
    <w:rsid w:val="00C25099"/>
    <w:rsid w:val="00C269F1"/>
    <w:rsid w:val="00C26C8C"/>
    <w:rsid w:val="00C26F9A"/>
    <w:rsid w:val="00C274CA"/>
    <w:rsid w:val="00C27A59"/>
    <w:rsid w:val="00C27AF9"/>
    <w:rsid w:val="00C27F98"/>
    <w:rsid w:val="00C30811"/>
    <w:rsid w:val="00C30D49"/>
    <w:rsid w:val="00C30EFA"/>
    <w:rsid w:val="00C31DF3"/>
    <w:rsid w:val="00C31E88"/>
    <w:rsid w:val="00C31EC5"/>
    <w:rsid w:val="00C32545"/>
    <w:rsid w:val="00C32FA9"/>
    <w:rsid w:val="00C332B3"/>
    <w:rsid w:val="00C337F7"/>
    <w:rsid w:val="00C338E9"/>
    <w:rsid w:val="00C35371"/>
    <w:rsid w:val="00C355B4"/>
    <w:rsid w:val="00C356EB"/>
    <w:rsid w:val="00C35913"/>
    <w:rsid w:val="00C35F92"/>
    <w:rsid w:val="00C35FAE"/>
    <w:rsid w:val="00C3689E"/>
    <w:rsid w:val="00C36B41"/>
    <w:rsid w:val="00C36C54"/>
    <w:rsid w:val="00C372DF"/>
    <w:rsid w:val="00C37507"/>
    <w:rsid w:val="00C377B8"/>
    <w:rsid w:val="00C406C0"/>
    <w:rsid w:val="00C4083A"/>
    <w:rsid w:val="00C4093D"/>
    <w:rsid w:val="00C41461"/>
    <w:rsid w:val="00C41BE7"/>
    <w:rsid w:val="00C41D19"/>
    <w:rsid w:val="00C42323"/>
    <w:rsid w:val="00C42584"/>
    <w:rsid w:val="00C42B48"/>
    <w:rsid w:val="00C4358A"/>
    <w:rsid w:val="00C4458E"/>
    <w:rsid w:val="00C44D84"/>
    <w:rsid w:val="00C45E98"/>
    <w:rsid w:val="00C468FC"/>
    <w:rsid w:val="00C46B86"/>
    <w:rsid w:val="00C47084"/>
    <w:rsid w:val="00C479F2"/>
    <w:rsid w:val="00C47D5B"/>
    <w:rsid w:val="00C47DE0"/>
    <w:rsid w:val="00C50C67"/>
    <w:rsid w:val="00C50CE3"/>
    <w:rsid w:val="00C50EEA"/>
    <w:rsid w:val="00C5163B"/>
    <w:rsid w:val="00C51E45"/>
    <w:rsid w:val="00C51FCB"/>
    <w:rsid w:val="00C52862"/>
    <w:rsid w:val="00C52CDD"/>
    <w:rsid w:val="00C53086"/>
    <w:rsid w:val="00C531F4"/>
    <w:rsid w:val="00C540CB"/>
    <w:rsid w:val="00C5411F"/>
    <w:rsid w:val="00C54723"/>
    <w:rsid w:val="00C55660"/>
    <w:rsid w:val="00C55FBE"/>
    <w:rsid w:val="00C5616F"/>
    <w:rsid w:val="00C565AC"/>
    <w:rsid w:val="00C567C1"/>
    <w:rsid w:val="00C569E4"/>
    <w:rsid w:val="00C56C87"/>
    <w:rsid w:val="00C56CA3"/>
    <w:rsid w:val="00C574DC"/>
    <w:rsid w:val="00C57587"/>
    <w:rsid w:val="00C576CE"/>
    <w:rsid w:val="00C602F8"/>
    <w:rsid w:val="00C60F53"/>
    <w:rsid w:val="00C61A81"/>
    <w:rsid w:val="00C61F93"/>
    <w:rsid w:val="00C63286"/>
    <w:rsid w:val="00C6360B"/>
    <w:rsid w:val="00C638D5"/>
    <w:rsid w:val="00C63952"/>
    <w:rsid w:val="00C63AEE"/>
    <w:rsid w:val="00C63F30"/>
    <w:rsid w:val="00C640FC"/>
    <w:rsid w:val="00C64607"/>
    <w:rsid w:val="00C65BCB"/>
    <w:rsid w:val="00C65C87"/>
    <w:rsid w:val="00C65E2D"/>
    <w:rsid w:val="00C65FBB"/>
    <w:rsid w:val="00C66006"/>
    <w:rsid w:val="00C66093"/>
    <w:rsid w:val="00C67D81"/>
    <w:rsid w:val="00C67F66"/>
    <w:rsid w:val="00C709AE"/>
    <w:rsid w:val="00C70E6E"/>
    <w:rsid w:val="00C71A1E"/>
    <w:rsid w:val="00C71D91"/>
    <w:rsid w:val="00C71E9F"/>
    <w:rsid w:val="00C7239E"/>
    <w:rsid w:val="00C72E0F"/>
    <w:rsid w:val="00C72F7E"/>
    <w:rsid w:val="00C731C9"/>
    <w:rsid w:val="00C73217"/>
    <w:rsid w:val="00C73934"/>
    <w:rsid w:val="00C73CE1"/>
    <w:rsid w:val="00C73E3D"/>
    <w:rsid w:val="00C74021"/>
    <w:rsid w:val="00C74078"/>
    <w:rsid w:val="00C74EC8"/>
    <w:rsid w:val="00C7505A"/>
    <w:rsid w:val="00C75BE0"/>
    <w:rsid w:val="00C76143"/>
    <w:rsid w:val="00C76679"/>
    <w:rsid w:val="00C773F9"/>
    <w:rsid w:val="00C77EB9"/>
    <w:rsid w:val="00C800DB"/>
    <w:rsid w:val="00C80139"/>
    <w:rsid w:val="00C80674"/>
    <w:rsid w:val="00C80C90"/>
    <w:rsid w:val="00C80D79"/>
    <w:rsid w:val="00C80DD9"/>
    <w:rsid w:val="00C81783"/>
    <w:rsid w:val="00C8183A"/>
    <w:rsid w:val="00C8198B"/>
    <w:rsid w:val="00C81A5C"/>
    <w:rsid w:val="00C822E7"/>
    <w:rsid w:val="00C822FD"/>
    <w:rsid w:val="00C824D9"/>
    <w:rsid w:val="00C82CB7"/>
    <w:rsid w:val="00C82CFE"/>
    <w:rsid w:val="00C82E00"/>
    <w:rsid w:val="00C83948"/>
    <w:rsid w:val="00C83DD6"/>
    <w:rsid w:val="00C844C7"/>
    <w:rsid w:val="00C84705"/>
    <w:rsid w:val="00C8470E"/>
    <w:rsid w:val="00C8493B"/>
    <w:rsid w:val="00C853C0"/>
    <w:rsid w:val="00C85C28"/>
    <w:rsid w:val="00C85E57"/>
    <w:rsid w:val="00C8609D"/>
    <w:rsid w:val="00C8696B"/>
    <w:rsid w:val="00C86D1E"/>
    <w:rsid w:val="00C871C5"/>
    <w:rsid w:val="00C8728A"/>
    <w:rsid w:val="00C8735C"/>
    <w:rsid w:val="00C87FDE"/>
    <w:rsid w:val="00C90021"/>
    <w:rsid w:val="00C90057"/>
    <w:rsid w:val="00C9034A"/>
    <w:rsid w:val="00C9071E"/>
    <w:rsid w:val="00C90B8C"/>
    <w:rsid w:val="00C90F36"/>
    <w:rsid w:val="00C919DF"/>
    <w:rsid w:val="00C91A88"/>
    <w:rsid w:val="00C92159"/>
    <w:rsid w:val="00C92181"/>
    <w:rsid w:val="00C9343E"/>
    <w:rsid w:val="00C93C41"/>
    <w:rsid w:val="00C93D04"/>
    <w:rsid w:val="00C943E2"/>
    <w:rsid w:val="00C94871"/>
    <w:rsid w:val="00C9584A"/>
    <w:rsid w:val="00C95B16"/>
    <w:rsid w:val="00C96848"/>
    <w:rsid w:val="00C96DF8"/>
    <w:rsid w:val="00C976B0"/>
    <w:rsid w:val="00CA0029"/>
    <w:rsid w:val="00CA07AB"/>
    <w:rsid w:val="00CA0BC3"/>
    <w:rsid w:val="00CA111C"/>
    <w:rsid w:val="00CA195E"/>
    <w:rsid w:val="00CA1A94"/>
    <w:rsid w:val="00CA1E10"/>
    <w:rsid w:val="00CA22F0"/>
    <w:rsid w:val="00CA2777"/>
    <w:rsid w:val="00CA29AC"/>
    <w:rsid w:val="00CA2BE3"/>
    <w:rsid w:val="00CA2FE1"/>
    <w:rsid w:val="00CA3263"/>
    <w:rsid w:val="00CA3652"/>
    <w:rsid w:val="00CA3B24"/>
    <w:rsid w:val="00CA4F0E"/>
    <w:rsid w:val="00CA4F3D"/>
    <w:rsid w:val="00CA5065"/>
    <w:rsid w:val="00CA5197"/>
    <w:rsid w:val="00CA5A34"/>
    <w:rsid w:val="00CA619D"/>
    <w:rsid w:val="00CA637F"/>
    <w:rsid w:val="00CA659F"/>
    <w:rsid w:val="00CA664B"/>
    <w:rsid w:val="00CA68A2"/>
    <w:rsid w:val="00CA69B2"/>
    <w:rsid w:val="00CA6EE5"/>
    <w:rsid w:val="00CA77FB"/>
    <w:rsid w:val="00CA783E"/>
    <w:rsid w:val="00CA79A3"/>
    <w:rsid w:val="00CB00D2"/>
    <w:rsid w:val="00CB08AB"/>
    <w:rsid w:val="00CB0E5A"/>
    <w:rsid w:val="00CB0EE7"/>
    <w:rsid w:val="00CB1106"/>
    <w:rsid w:val="00CB21BB"/>
    <w:rsid w:val="00CB2AA1"/>
    <w:rsid w:val="00CB2E72"/>
    <w:rsid w:val="00CB2F7A"/>
    <w:rsid w:val="00CB370D"/>
    <w:rsid w:val="00CB371F"/>
    <w:rsid w:val="00CB4500"/>
    <w:rsid w:val="00CB46EF"/>
    <w:rsid w:val="00CB4C3B"/>
    <w:rsid w:val="00CB4E9D"/>
    <w:rsid w:val="00CB526F"/>
    <w:rsid w:val="00CB55FF"/>
    <w:rsid w:val="00CB6024"/>
    <w:rsid w:val="00CB606F"/>
    <w:rsid w:val="00CB6082"/>
    <w:rsid w:val="00CB64B3"/>
    <w:rsid w:val="00CB700F"/>
    <w:rsid w:val="00CB72B1"/>
    <w:rsid w:val="00CB7A46"/>
    <w:rsid w:val="00CB7C7F"/>
    <w:rsid w:val="00CC000A"/>
    <w:rsid w:val="00CC0225"/>
    <w:rsid w:val="00CC0877"/>
    <w:rsid w:val="00CC0B1E"/>
    <w:rsid w:val="00CC10A6"/>
    <w:rsid w:val="00CC20B0"/>
    <w:rsid w:val="00CC2598"/>
    <w:rsid w:val="00CC2851"/>
    <w:rsid w:val="00CC450C"/>
    <w:rsid w:val="00CC4AC6"/>
    <w:rsid w:val="00CC4B27"/>
    <w:rsid w:val="00CC659E"/>
    <w:rsid w:val="00CC6F74"/>
    <w:rsid w:val="00CC7723"/>
    <w:rsid w:val="00CD0011"/>
    <w:rsid w:val="00CD0065"/>
    <w:rsid w:val="00CD066E"/>
    <w:rsid w:val="00CD0BDB"/>
    <w:rsid w:val="00CD0D1E"/>
    <w:rsid w:val="00CD1EC4"/>
    <w:rsid w:val="00CD2761"/>
    <w:rsid w:val="00CD2ABB"/>
    <w:rsid w:val="00CD3BCD"/>
    <w:rsid w:val="00CD3E91"/>
    <w:rsid w:val="00CD485D"/>
    <w:rsid w:val="00CD4E8F"/>
    <w:rsid w:val="00CD5B0D"/>
    <w:rsid w:val="00CD7655"/>
    <w:rsid w:val="00CE06A9"/>
    <w:rsid w:val="00CE0767"/>
    <w:rsid w:val="00CE08FA"/>
    <w:rsid w:val="00CE0D98"/>
    <w:rsid w:val="00CE1343"/>
    <w:rsid w:val="00CE27AF"/>
    <w:rsid w:val="00CE288D"/>
    <w:rsid w:val="00CE289F"/>
    <w:rsid w:val="00CE2910"/>
    <w:rsid w:val="00CE2E5E"/>
    <w:rsid w:val="00CE2F69"/>
    <w:rsid w:val="00CE3175"/>
    <w:rsid w:val="00CE318F"/>
    <w:rsid w:val="00CE347F"/>
    <w:rsid w:val="00CE3714"/>
    <w:rsid w:val="00CE3B4E"/>
    <w:rsid w:val="00CE3C13"/>
    <w:rsid w:val="00CE4666"/>
    <w:rsid w:val="00CE4B42"/>
    <w:rsid w:val="00CE4DCD"/>
    <w:rsid w:val="00CE62A2"/>
    <w:rsid w:val="00CE67CE"/>
    <w:rsid w:val="00CE77AC"/>
    <w:rsid w:val="00CE7AA3"/>
    <w:rsid w:val="00CF0018"/>
    <w:rsid w:val="00CF06AF"/>
    <w:rsid w:val="00CF1093"/>
    <w:rsid w:val="00CF1179"/>
    <w:rsid w:val="00CF1E48"/>
    <w:rsid w:val="00CF20B4"/>
    <w:rsid w:val="00CF26B8"/>
    <w:rsid w:val="00CF29D8"/>
    <w:rsid w:val="00CF2AC2"/>
    <w:rsid w:val="00CF2BAB"/>
    <w:rsid w:val="00CF2CD3"/>
    <w:rsid w:val="00CF31B9"/>
    <w:rsid w:val="00CF428A"/>
    <w:rsid w:val="00CF4325"/>
    <w:rsid w:val="00CF434C"/>
    <w:rsid w:val="00CF47FC"/>
    <w:rsid w:val="00CF5754"/>
    <w:rsid w:val="00CF58F6"/>
    <w:rsid w:val="00CF5E62"/>
    <w:rsid w:val="00CF6C6B"/>
    <w:rsid w:val="00CF71DA"/>
    <w:rsid w:val="00CF7D80"/>
    <w:rsid w:val="00CF7D8D"/>
    <w:rsid w:val="00CF7F85"/>
    <w:rsid w:val="00D00002"/>
    <w:rsid w:val="00D00234"/>
    <w:rsid w:val="00D00547"/>
    <w:rsid w:val="00D00980"/>
    <w:rsid w:val="00D009A3"/>
    <w:rsid w:val="00D00C3A"/>
    <w:rsid w:val="00D01045"/>
    <w:rsid w:val="00D01FB6"/>
    <w:rsid w:val="00D0251D"/>
    <w:rsid w:val="00D02E77"/>
    <w:rsid w:val="00D031A9"/>
    <w:rsid w:val="00D035C9"/>
    <w:rsid w:val="00D03A14"/>
    <w:rsid w:val="00D03F3B"/>
    <w:rsid w:val="00D05445"/>
    <w:rsid w:val="00D0689A"/>
    <w:rsid w:val="00D0773A"/>
    <w:rsid w:val="00D07962"/>
    <w:rsid w:val="00D07BB3"/>
    <w:rsid w:val="00D10055"/>
    <w:rsid w:val="00D10409"/>
    <w:rsid w:val="00D10A33"/>
    <w:rsid w:val="00D10D74"/>
    <w:rsid w:val="00D110EA"/>
    <w:rsid w:val="00D11E5A"/>
    <w:rsid w:val="00D12578"/>
    <w:rsid w:val="00D12687"/>
    <w:rsid w:val="00D12834"/>
    <w:rsid w:val="00D13617"/>
    <w:rsid w:val="00D13703"/>
    <w:rsid w:val="00D13824"/>
    <w:rsid w:val="00D1438B"/>
    <w:rsid w:val="00D145F5"/>
    <w:rsid w:val="00D15749"/>
    <w:rsid w:val="00D17046"/>
    <w:rsid w:val="00D17AC1"/>
    <w:rsid w:val="00D17AC2"/>
    <w:rsid w:val="00D201FD"/>
    <w:rsid w:val="00D20F84"/>
    <w:rsid w:val="00D2147F"/>
    <w:rsid w:val="00D21581"/>
    <w:rsid w:val="00D21B76"/>
    <w:rsid w:val="00D220E0"/>
    <w:rsid w:val="00D22332"/>
    <w:rsid w:val="00D2240C"/>
    <w:rsid w:val="00D22B7F"/>
    <w:rsid w:val="00D22D2B"/>
    <w:rsid w:val="00D2316A"/>
    <w:rsid w:val="00D24058"/>
    <w:rsid w:val="00D241BB"/>
    <w:rsid w:val="00D24FCE"/>
    <w:rsid w:val="00D25112"/>
    <w:rsid w:val="00D26095"/>
    <w:rsid w:val="00D26186"/>
    <w:rsid w:val="00D265C2"/>
    <w:rsid w:val="00D26620"/>
    <w:rsid w:val="00D26716"/>
    <w:rsid w:val="00D26A69"/>
    <w:rsid w:val="00D27D7F"/>
    <w:rsid w:val="00D306FD"/>
    <w:rsid w:val="00D30735"/>
    <w:rsid w:val="00D30F29"/>
    <w:rsid w:val="00D31412"/>
    <w:rsid w:val="00D314D6"/>
    <w:rsid w:val="00D3180B"/>
    <w:rsid w:val="00D31948"/>
    <w:rsid w:val="00D321E1"/>
    <w:rsid w:val="00D32326"/>
    <w:rsid w:val="00D326DF"/>
    <w:rsid w:val="00D32B54"/>
    <w:rsid w:val="00D33709"/>
    <w:rsid w:val="00D3393A"/>
    <w:rsid w:val="00D33E79"/>
    <w:rsid w:val="00D34379"/>
    <w:rsid w:val="00D34496"/>
    <w:rsid w:val="00D3452D"/>
    <w:rsid w:val="00D34904"/>
    <w:rsid w:val="00D353C9"/>
    <w:rsid w:val="00D3578F"/>
    <w:rsid w:val="00D36402"/>
    <w:rsid w:val="00D36941"/>
    <w:rsid w:val="00D371C2"/>
    <w:rsid w:val="00D372EA"/>
    <w:rsid w:val="00D3750B"/>
    <w:rsid w:val="00D37A43"/>
    <w:rsid w:val="00D408DC"/>
    <w:rsid w:val="00D41182"/>
    <w:rsid w:val="00D413D0"/>
    <w:rsid w:val="00D41690"/>
    <w:rsid w:val="00D41FEA"/>
    <w:rsid w:val="00D42758"/>
    <w:rsid w:val="00D42DF5"/>
    <w:rsid w:val="00D42FB7"/>
    <w:rsid w:val="00D434EE"/>
    <w:rsid w:val="00D43715"/>
    <w:rsid w:val="00D44055"/>
    <w:rsid w:val="00D440CF"/>
    <w:rsid w:val="00D44482"/>
    <w:rsid w:val="00D4454F"/>
    <w:rsid w:val="00D44C51"/>
    <w:rsid w:val="00D44C82"/>
    <w:rsid w:val="00D44F9B"/>
    <w:rsid w:val="00D4553F"/>
    <w:rsid w:val="00D455CE"/>
    <w:rsid w:val="00D457DE"/>
    <w:rsid w:val="00D45896"/>
    <w:rsid w:val="00D45D2F"/>
    <w:rsid w:val="00D45DBA"/>
    <w:rsid w:val="00D46277"/>
    <w:rsid w:val="00D47353"/>
    <w:rsid w:val="00D47A70"/>
    <w:rsid w:val="00D47C16"/>
    <w:rsid w:val="00D503F9"/>
    <w:rsid w:val="00D50A15"/>
    <w:rsid w:val="00D50A7C"/>
    <w:rsid w:val="00D50ED3"/>
    <w:rsid w:val="00D515F4"/>
    <w:rsid w:val="00D517E3"/>
    <w:rsid w:val="00D51888"/>
    <w:rsid w:val="00D51AB4"/>
    <w:rsid w:val="00D51BF0"/>
    <w:rsid w:val="00D520D7"/>
    <w:rsid w:val="00D52215"/>
    <w:rsid w:val="00D5232F"/>
    <w:rsid w:val="00D5268C"/>
    <w:rsid w:val="00D52C4A"/>
    <w:rsid w:val="00D5357A"/>
    <w:rsid w:val="00D5397B"/>
    <w:rsid w:val="00D5443F"/>
    <w:rsid w:val="00D54638"/>
    <w:rsid w:val="00D54668"/>
    <w:rsid w:val="00D5473D"/>
    <w:rsid w:val="00D54E5D"/>
    <w:rsid w:val="00D5534F"/>
    <w:rsid w:val="00D5572E"/>
    <w:rsid w:val="00D55849"/>
    <w:rsid w:val="00D55B8A"/>
    <w:rsid w:val="00D569F7"/>
    <w:rsid w:val="00D56B38"/>
    <w:rsid w:val="00D57000"/>
    <w:rsid w:val="00D57102"/>
    <w:rsid w:val="00D5736E"/>
    <w:rsid w:val="00D576E9"/>
    <w:rsid w:val="00D57831"/>
    <w:rsid w:val="00D57D3B"/>
    <w:rsid w:val="00D6037A"/>
    <w:rsid w:val="00D6067C"/>
    <w:rsid w:val="00D606B4"/>
    <w:rsid w:val="00D6100D"/>
    <w:rsid w:val="00D61023"/>
    <w:rsid w:val="00D613BE"/>
    <w:rsid w:val="00D613EF"/>
    <w:rsid w:val="00D61931"/>
    <w:rsid w:val="00D61CC3"/>
    <w:rsid w:val="00D61CD7"/>
    <w:rsid w:val="00D62E63"/>
    <w:rsid w:val="00D62E9A"/>
    <w:rsid w:val="00D638DA"/>
    <w:rsid w:val="00D63EFF"/>
    <w:rsid w:val="00D63FF1"/>
    <w:rsid w:val="00D6418E"/>
    <w:rsid w:val="00D64484"/>
    <w:rsid w:val="00D64617"/>
    <w:rsid w:val="00D65BE2"/>
    <w:rsid w:val="00D65D33"/>
    <w:rsid w:val="00D65EA9"/>
    <w:rsid w:val="00D661C2"/>
    <w:rsid w:val="00D6635D"/>
    <w:rsid w:val="00D66C30"/>
    <w:rsid w:val="00D66D56"/>
    <w:rsid w:val="00D67113"/>
    <w:rsid w:val="00D67AB8"/>
    <w:rsid w:val="00D67CC6"/>
    <w:rsid w:val="00D70945"/>
    <w:rsid w:val="00D70CEC"/>
    <w:rsid w:val="00D7116D"/>
    <w:rsid w:val="00D71234"/>
    <w:rsid w:val="00D72179"/>
    <w:rsid w:val="00D72221"/>
    <w:rsid w:val="00D724D8"/>
    <w:rsid w:val="00D7250C"/>
    <w:rsid w:val="00D727F4"/>
    <w:rsid w:val="00D72811"/>
    <w:rsid w:val="00D72C9E"/>
    <w:rsid w:val="00D72F2E"/>
    <w:rsid w:val="00D73591"/>
    <w:rsid w:val="00D735B3"/>
    <w:rsid w:val="00D737EB"/>
    <w:rsid w:val="00D74B42"/>
    <w:rsid w:val="00D74DE5"/>
    <w:rsid w:val="00D75400"/>
    <w:rsid w:val="00D756AF"/>
    <w:rsid w:val="00D75C06"/>
    <w:rsid w:val="00D75F59"/>
    <w:rsid w:val="00D760BD"/>
    <w:rsid w:val="00D7640B"/>
    <w:rsid w:val="00D76A0B"/>
    <w:rsid w:val="00D76E07"/>
    <w:rsid w:val="00D802DB"/>
    <w:rsid w:val="00D80B34"/>
    <w:rsid w:val="00D8102F"/>
    <w:rsid w:val="00D81B4E"/>
    <w:rsid w:val="00D81EF9"/>
    <w:rsid w:val="00D82127"/>
    <w:rsid w:val="00D825A1"/>
    <w:rsid w:val="00D837F0"/>
    <w:rsid w:val="00D8399A"/>
    <w:rsid w:val="00D83B97"/>
    <w:rsid w:val="00D84097"/>
    <w:rsid w:val="00D8435F"/>
    <w:rsid w:val="00D84820"/>
    <w:rsid w:val="00D84BF1"/>
    <w:rsid w:val="00D84D0F"/>
    <w:rsid w:val="00D8549D"/>
    <w:rsid w:val="00D85E0D"/>
    <w:rsid w:val="00D8666F"/>
    <w:rsid w:val="00D866D1"/>
    <w:rsid w:val="00D8678B"/>
    <w:rsid w:val="00D86969"/>
    <w:rsid w:val="00D8719D"/>
    <w:rsid w:val="00D87368"/>
    <w:rsid w:val="00D90096"/>
    <w:rsid w:val="00D900B2"/>
    <w:rsid w:val="00D9098A"/>
    <w:rsid w:val="00D90C18"/>
    <w:rsid w:val="00D9126D"/>
    <w:rsid w:val="00D913E6"/>
    <w:rsid w:val="00D9150A"/>
    <w:rsid w:val="00D919D2"/>
    <w:rsid w:val="00D91C66"/>
    <w:rsid w:val="00D92422"/>
    <w:rsid w:val="00D93767"/>
    <w:rsid w:val="00D94050"/>
    <w:rsid w:val="00D94FD9"/>
    <w:rsid w:val="00D95672"/>
    <w:rsid w:val="00D963B0"/>
    <w:rsid w:val="00D96951"/>
    <w:rsid w:val="00D96BF0"/>
    <w:rsid w:val="00D96C0C"/>
    <w:rsid w:val="00D970FD"/>
    <w:rsid w:val="00D975F9"/>
    <w:rsid w:val="00D97992"/>
    <w:rsid w:val="00DA0376"/>
    <w:rsid w:val="00DA0A01"/>
    <w:rsid w:val="00DA12A8"/>
    <w:rsid w:val="00DA1DFA"/>
    <w:rsid w:val="00DA1E5D"/>
    <w:rsid w:val="00DA1E8D"/>
    <w:rsid w:val="00DA279E"/>
    <w:rsid w:val="00DA2D66"/>
    <w:rsid w:val="00DA2E90"/>
    <w:rsid w:val="00DA330F"/>
    <w:rsid w:val="00DA367E"/>
    <w:rsid w:val="00DA421A"/>
    <w:rsid w:val="00DA4F3E"/>
    <w:rsid w:val="00DA52A0"/>
    <w:rsid w:val="00DA5B6E"/>
    <w:rsid w:val="00DA6C23"/>
    <w:rsid w:val="00DA704B"/>
    <w:rsid w:val="00DA73A4"/>
    <w:rsid w:val="00DA7408"/>
    <w:rsid w:val="00DB09ED"/>
    <w:rsid w:val="00DB0A68"/>
    <w:rsid w:val="00DB0B12"/>
    <w:rsid w:val="00DB0BA1"/>
    <w:rsid w:val="00DB10DB"/>
    <w:rsid w:val="00DB1750"/>
    <w:rsid w:val="00DB187C"/>
    <w:rsid w:val="00DB1988"/>
    <w:rsid w:val="00DB1B29"/>
    <w:rsid w:val="00DB1DFB"/>
    <w:rsid w:val="00DB27FD"/>
    <w:rsid w:val="00DB2802"/>
    <w:rsid w:val="00DB3159"/>
    <w:rsid w:val="00DB37DA"/>
    <w:rsid w:val="00DB3E54"/>
    <w:rsid w:val="00DB4060"/>
    <w:rsid w:val="00DB43DF"/>
    <w:rsid w:val="00DB43EF"/>
    <w:rsid w:val="00DB44F0"/>
    <w:rsid w:val="00DB6627"/>
    <w:rsid w:val="00DB665D"/>
    <w:rsid w:val="00DB68A3"/>
    <w:rsid w:val="00DB6AED"/>
    <w:rsid w:val="00DB6D24"/>
    <w:rsid w:val="00DB75DE"/>
    <w:rsid w:val="00DB77B8"/>
    <w:rsid w:val="00DB7BF3"/>
    <w:rsid w:val="00DC00F0"/>
    <w:rsid w:val="00DC1353"/>
    <w:rsid w:val="00DC2234"/>
    <w:rsid w:val="00DC244E"/>
    <w:rsid w:val="00DC2BE2"/>
    <w:rsid w:val="00DC333C"/>
    <w:rsid w:val="00DC3414"/>
    <w:rsid w:val="00DC3491"/>
    <w:rsid w:val="00DC35E9"/>
    <w:rsid w:val="00DC369A"/>
    <w:rsid w:val="00DC4050"/>
    <w:rsid w:val="00DC411C"/>
    <w:rsid w:val="00DC4557"/>
    <w:rsid w:val="00DC488B"/>
    <w:rsid w:val="00DC4B56"/>
    <w:rsid w:val="00DC575C"/>
    <w:rsid w:val="00DC5A1A"/>
    <w:rsid w:val="00DC5A3D"/>
    <w:rsid w:val="00DC5F14"/>
    <w:rsid w:val="00DC639B"/>
    <w:rsid w:val="00DC676B"/>
    <w:rsid w:val="00DC6902"/>
    <w:rsid w:val="00DC6D03"/>
    <w:rsid w:val="00DC7F6A"/>
    <w:rsid w:val="00DD0239"/>
    <w:rsid w:val="00DD0A89"/>
    <w:rsid w:val="00DD0AD2"/>
    <w:rsid w:val="00DD0C8F"/>
    <w:rsid w:val="00DD0D04"/>
    <w:rsid w:val="00DD128E"/>
    <w:rsid w:val="00DD1700"/>
    <w:rsid w:val="00DD1ACC"/>
    <w:rsid w:val="00DD1CD4"/>
    <w:rsid w:val="00DD1D87"/>
    <w:rsid w:val="00DD24DF"/>
    <w:rsid w:val="00DD2725"/>
    <w:rsid w:val="00DD299E"/>
    <w:rsid w:val="00DD470A"/>
    <w:rsid w:val="00DD48B4"/>
    <w:rsid w:val="00DD52ED"/>
    <w:rsid w:val="00DD54A4"/>
    <w:rsid w:val="00DD5672"/>
    <w:rsid w:val="00DD5FAF"/>
    <w:rsid w:val="00DD6131"/>
    <w:rsid w:val="00DD6368"/>
    <w:rsid w:val="00DD6968"/>
    <w:rsid w:val="00DD6EE9"/>
    <w:rsid w:val="00DD7363"/>
    <w:rsid w:val="00DD77DD"/>
    <w:rsid w:val="00DD7FFD"/>
    <w:rsid w:val="00DE016F"/>
    <w:rsid w:val="00DE0E0A"/>
    <w:rsid w:val="00DE10B8"/>
    <w:rsid w:val="00DE10D7"/>
    <w:rsid w:val="00DE11D2"/>
    <w:rsid w:val="00DE28FD"/>
    <w:rsid w:val="00DE2B55"/>
    <w:rsid w:val="00DE2C24"/>
    <w:rsid w:val="00DE30E7"/>
    <w:rsid w:val="00DE311F"/>
    <w:rsid w:val="00DE334C"/>
    <w:rsid w:val="00DE3360"/>
    <w:rsid w:val="00DE339A"/>
    <w:rsid w:val="00DE342E"/>
    <w:rsid w:val="00DE3C4F"/>
    <w:rsid w:val="00DE44DE"/>
    <w:rsid w:val="00DE4D0A"/>
    <w:rsid w:val="00DE50AD"/>
    <w:rsid w:val="00DE5173"/>
    <w:rsid w:val="00DE682C"/>
    <w:rsid w:val="00DE6F8E"/>
    <w:rsid w:val="00DE70F6"/>
    <w:rsid w:val="00DE70FB"/>
    <w:rsid w:val="00DE772D"/>
    <w:rsid w:val="00DE77AA"/>
    <w:rsid w:val="00DE79A4"/>
    <w:rsid w:val="00DE7E35"/>
    <w:rsid w:val="00DE7ED1"/>
    <w:rsid w:val="00DF002C"/>
    <w:rsid w:val="00DF0B7E"/>
    <w:rsid w:val="00DF149B"/>
    <w:rsid w:val="00DF1BD9"/>
    <w:rsid w:val="00DF1FA2"/>
    <w:rsid w:val="00DF2015"/>
    <w:rsid w:val="00DF20A8"/>
    <w:rsid w:val="00DF2CA7"/>
    <w:rsid w:val="00DF3550"/>
    <w:rsid w:val="00DF3912"/>
    <w:rsid w:val="00DF41CE"/>
    <w:rsid w:val="00DF491E"/>
    <w:rsid w:val="00DF4E53"/>
    <w:rsid w:val="00DF56B0"/>
    <w:rsid w:val="00DF57B5"/>
    <w:rsid w:val="00DF5AF2"/>
    <w:rsid w:val="00DF6081"/>
    <w:rsid w:val="00DF6454"/>
    <w:rsid w:val="00DF6B40"/>
    <w:rsid w:val="00DF6C8E"/>
    <w:rsid w:val="00DF759B"/>
    <w:rsid w:val="00DF781A"/>
    <w:rsid w:val="00DF7944"/>
    <w:rsid w:val="00DF7C3E"/>
    <w:rsid w:val="00DF7CEF"/>
    <w:rsid w:val="00DF7F4C"/>
    <w:rsid w:val="00E00557"/>
    <w:rsid w:val="00E01D98"/>
    <w:rsid w:val="00E022C2"/>
    <w:rsid w:val="00E02A0F"/>
    <w:rsid w:val="00E038EF"/>
    <w:rsid w:val="00E03B82"/>
    <w:rsid w:val="00E0432E"/>
    <w:rsid w:val="00E04731"/>
    <w:rsid w:val="00E04812"/>
    <w:rsid w:val="00E05548"/>
    <w:rsid w:val="00E0562A"/>
    <w:rsid w:val="00E066EE"/>
    <w:rsid w:val="00E07278"/>
    <w:rsid w:val="00E07712"/>
    <w:rsid w:val="00E10C8B"/>
    <w:rsid w:val="00E11154"/>
    <w:rsid w:val="00E112A4"/>
    <w:rsid w:val="00E11B93"/>
    <w:rsid w:val="00E11C21"/>
    <w:rsid w:val="00E11C29"/>
    <w:rsid w:val="00E11D6E"/>
    <w:rsid w:val="00E120AE"/>
    <w:rsid w:val="00E1271C"/>
    <w:rsid w:val="00E127B5"/>
    <w:rsid w:val="00E132A7"/>
    <w:rsid w:val="00E13987"/>
    <w:rsid w:val="00E145F4"/>
    <w:rsid w:val="00E14D89"/>
    <w:rsid w:val="00E15292"/>
    <w:rsid w:val="00E154AB"/>
    <w:rsid w:val="00E1606E"/>
    <w:rsid w:val="00E16738"/>
    <w:rsid w:val="00E16B73"/>
    <w:rsid w:val="00E16BBD"/>
    <w:rsid w:val="00E16BD0"/>
    <w:rsid w:val="00E170E6"/>
    <w:rsid w:val="00E17752"/>
    <w:rsid w:val="00E17B88"/>
    <w:rsid w:val="00E17D9E"/>
    <w:rsid w:val="00E17E3D"/>
    <w:rsid w:val="00E20259"/>
    <w:rsid w:val="00E20FEE"/>
    <w:rsid w:val="00E22891"/>
    <w:rsid w:val="00E22CEE"/>
    <w:rsid w:val="00E23012"/>
    <w:rsid w:val="00E2336A"/>
    <w:rsid w:val="00E234C1"/>
    <w:rsid w:val="00E23687"/>
    <w:rsid w:val="00E243B4"/>
    <w:rsid w:val="00E244BF"/>
    <w:rsid w:val="00E24CBD"/>
    <w:rsid w:val="00E24E7A"/>
    <w:rsid w:val="00E2550D"/>
    <w:rsid w:val="00E25AF9"/>
    <w:rsid w:val="00E2642B"/>
    <w:rsid w:val="00E264F3"/>
    <w:rsid w:val="00E26FB5"/>
    <w:rsid w:val="00E27033"/>
    <w:rsid w:val="00E27E64"/>
    <w:rsid w:val="00E3007F"/>
    <w:rsid w:val="00E307FB"/>
    <w:rsid w:val="00E31112"/>
    <w:rsid w:val="00E31C25"/>
    <w:rsid w:val="00E31E25"/>
    <w:rsid w:val="00E33623"/>
    <w:rsid w:val="00E33FCB"/>
    <w:rsid w:val="00E34561"/>
    <w:rsid w:val="00E34863"/>
    <w:rsid w:val="00E34AF7"/>
    <w:rsid w:val="00E34CE9"/>
    <w:rsid w:val="00E34DD3"/>
    <w:rsid w:val="00E34F66"/>
    <w:rsid w:val="00E3506A"/>
    <w:rsid w:val="00E35152"/>
    <w:rsid w:val="00E36080"/>
    <w:rsid w:val="00E3611D"/>
    <w:rsid w:val="00E36801"/>
    <w:rsid w:val="00E368DC"/>
    <w:rsid w:val="00E36955"/>
    <w:rsid w:val="00E36B0F"/>
    <w:rsid w:val="00E37781"/>
    <w:rsid w:val="00E37B4A"/>
    <w:rsid w:val="00E37E9B"/>
    <w:rsid w:val="00E4025B"/>
    <w:rsid w:val="00E41232"/>
    <w:rsid w:val="00E4150C"/>
    <w:rsid w:val="00E41D13"/>
    <w:rsid w:val="00E422FC"/>
    <w:rsid w:val="00E42ADE"/>
    <w:rsid w:val="00E42B5D"/>
    <w:rsid w:val="00E43636"/>
    <w:rsid w:val="00E445BD"/>
    <w:rsid w:val="00E44C3F"/>
    <w:rsid w:val="00E44D41"/>
    <w:rsid w:val="00E45843"/>
    <w:rsid w:val="00E45C87"/>
    <w:rsid w:val="00E45E1F"/>
    <w:rsid w:val="00E463B2"/>
    <w:rsid w:val="00E4713D"/>
    <w:rsid w:val="00E47403"/>
    <w:rsid w:val="00E501A2"/>
    <w:rsid w:val="00E5075E"/>
    <w:rsid w:val="00E509E5"/>
    <w:rsid w:val="00E515CA"/>
    <w:rsid w:val="00E51630"/>
    <w:rsid w:val="00E5322D"/>
    <w:rsid w:val="00E538B2"/>
    <w:rsid w:val="00E5421E"/>
    <w:rsid w:val="00E5496F"/>
    <w:rsid w:val="00E54D2E"/>
    <w:rsid w:val="00E55B47"/>
    <w:rsid w:val="00E562BF"/>
    <w:rsid w:val="00E564B6"/>
    <w:rsid w:val="00E566AB"/>
    <w:rsid w:val="00E56899"/>
    <w:rsid w:val="00E57322"/>
    <w:rsid w:val="00E57343"/>
    <w:rsid w:val="00E6033C"/>
    <w:rsid w:val="00E608C0"/>
    <w:rsid w:val="00E60EBC"/>
    <w:rsid w:val="00E6104D"/>
    <w:rsid w:val="00E6128E"/>
    <w:rsid w:val="00E61854"/>
    <w:rsid w:val="00E61D44"/>
    <w:rsid w:val="00E62E0F"/>
    <w:rsid w:val="00E63756"/>
    <w:rsid w:val="00E63AFC"/>
    <w:rsid w:val="00E63C76"/>
    <w:rsid w:val="00E63DC5"/>
    <w:rsid w:val="00E64022"/>
    <w:rsid w:val="00E64506"/>
    <w:rsid w:val="00E64CE1"/>
    <w:rsid w:val="00E64DC6"/>
    <w:rsid w:val="00E64DD0"/>
    <w:rsid w:val="00E65000"/>
    <w:rsid w:val="00E653CC"/>
    <w:rsid w:val="00E6555B"/>
    <w:rsid w:val="00E658C8"/>
    <w:rsid w:val="00E660E0"/>
    <w:rsid w:val="00E661FE"/>
    <w:rsid w:val="00E662A6"/>
    <w:rsid w:val="00E66396"/>
    <w:rsid w:val="00E664AF"/>
    <w:rsid w:val="00E67379"/>
    <w:rsid w:val="00E67D59"/>
    <w:rsid w:val="00E7004C"/>
    <w:rsid w:val="00E710D9"/>
    <w:rsid w:val="00E71714"/>
    <w:rsid w:val="00E717EF"/>
    <w:rsid w:val="00E7213F"/>
    <w:rsid w:val="00E72E10"/>
    <w:rsid w:val="00E739ED"/>
    <w:rsid w:val="00E74519"/>
    <w:rsid w:val="00E74EA1"/>
    <w:rsid w:val="00E751E0"/>
    <w:rsid w:val="00E760D2"/>
    <w:rsid w:val="00E7616E"/>
    <w:rsid w:val="00E76305"/>
    <w:rsid w:val="00E76567"/>
    <w:rsid w:val="00E76603"/>
    <w:rsid w:val="00E800C1"/>
    <w:rsid w:val="00E80A17"/>
    <w:rsid w:val="00E80A6E"/>
    <w:rsid w:val="00E80B16"/>
    <w:rsid w:val="00E80F76"/>
    <w:rsid w:val="00E81028"/>
    <w:rsid w:val="00E81052"/>
    <w:rsid w:val="00E810B5"/>
    <w:rsid w:val="00E817FB"/>
    <w:rsid w:val="00E81CF8"/>
    <w:rsid w:val="00E81D9D"/>
    <w:rsid w:val="00E823DB"/>
    <w:rsid w:val="00E82580"/>
    <w:rsid w:val="00E8367C"/>
    <w:rsid w:val="00E83FC4"/>
    <w:rsid w:val="00E84223"/>
    <w:rsid w:val="00E85063"/>
    <w:rsid w:val="00E8590C"/>
    <w:rsid w:val="00E85EF2"/>
    <w:rsid w:val="00E863C4"/>
    <w:rsid w:val="00E872E1"/>
    <w:rsid w:val="00E87BF3"/>
    <w:rsid w:val="00E87D59"/>
    <w:rsid w:val="00E90766"/>
    <w:rsid w:val="00E909B6"/>
    <w:rsid w:val="00E90D94"/>
    <w:rsid w:val="00E90FD4"/>
    <w:rsid w:val="00E91CB5"/>
    <w:rsid w:val="00E92BD8"/>
    <w:rsid w:val="00E92EB4"/>
    <w:rsid w:val="00E93758"/>
    <w:rsid w:val="00E94245"/>
    <w:rsid w:val="00E944C1"/>
    <w:rsid w:val="00E94590"/>
    <w:rsid w:val="00E95374"/>
    <w:rsid w:val="00E9576C"/>
    <w:rsid w:val="00E95CA2"/>
    <w:rsid w:val="00E96099"/>
    <w:rsid w:val="00E96CE0"/>
    <w:rsid w:val="00E96F41"/>
    <w:rsid w:val="00E9717E"/>
    <w:rsid w:val="00E972E5"/>
    <w:rsid w:val="00E9734D"/>
    <w:rsid w:val="00E9754E"/>
    <w:rsid w:val="00E975A8"/>
    <w:rsid w:val="00EA0266"/>
    <w:rsid w:val="00EA1C30"/>
    <w:rsid w:val="00EA21F0"/>
    <w:rsid w:val="00EA24EA"/>
    <w:rsid w:val="00EA2C22"/>
    <w:rsid w:val="00EA2F49"/>
    <w:rsid w:val="00EA31FE"/>
    <w:rsid w:val="00EA3464"/>
    <w:rsid w:val="00EA37D1"/>
    <w:rsid w:val="00EA47E8"/>
    <w:rsid w:val="00EA5500"/>
    <w:rsid w:val="00EA5A5F"/>
    <w:rsid w:val="00EA5AD3"/>
    <w:rsid w:val="00EA5F4B"/>
    <w:rsid w:val="00EA608E"/>
    <w:rsid w:val="00EA75A8"/>
    <w:rsid w:val="00EA7702"/>
    <w:rsid w:val="00EB03C4"/>
    <w:rsid w:val="00EB051F"/>
    <w:rsid w:val="00EB0B5F"/>
    <w:rsid w:val="00EB0BBC"/>
    <w:rsid w:val="00EB0DA2"/>
    <w:rsid w:val="00EB1497"/>
    <w:rsid w:val="00EB1DE0"/>
    <w:rsid w:val="00EB2066"/>
    <w:rsid w:val="00EB359D"/>
    <w:rsid w:val="00EB4B1A"/>
    <w:rsid w:val="00EB4D28"/>
    <w:rsid w:val="00EB4F1E"/>
    <w:rsid w:val="00EB522F"/>
    <w:rsid w:val="00EB5F6E"/>
    <w:rsid w:val="00EB6ACD"/>
    <w:rsid w:val="00EB70ED"/>
    <w:rsid w:val="00EB759E"/>
    <w:rsid w:val="00EC01DF"/>
    <w:rsid w:val="00EC08F9"/>
    <w:rsid w:val="00EC0A02"/>
    <w:rsid w:val="00EC1A50"/>
    <w:rsid w:val="00EC21FE"/>
    <w:rsid w:val="00EC2558"/>
    <w:rsid w:val="00EC2987"/>
    <w:rsid w:val="00EC3281"/>
    <w:rsid w:val="00EC4861"/>
    <w:rsid w:val="00EC4E52"/>
    <w:rsid w:val="00EC5276"/>
    <w:rsid w:val="00EC52ED"/>
    <w:rsid w:val="00EC65B3"/>
    <w:rsid w:val="00EC66EC"/>
    <w:rsid w:val="00EC6B7B"/>
    <w:rsid w:val="00EC6E2E"/>
    <w:rsid w:val="00EC77AE"/>
    <w:rsid w:val="00EC7AAF"/>
    <w:rsid w:val="00EC7D9D"/>
    <w:rsid w:val="00ED0705"/>
    <w:rsid w:val="00ED15C4"/>
    <w:rsid w:val="00ED2234"/>
    <w:rsid w:val="00ED2650"/>
    <w:rsid w:val="00ED2AAC"/>
    <w:rsid w:val="00ED2FB1"/>
    <w:rsid w:val="00ED33B7"/>
    <w:rsid w:val="00ED38E6"/>
    <w:rsid w:val="00ED3937"/>
    <w:rsid w:val="00ED3BA8"/>
    <w:rsid w:val="00ED3CB5"/>
    <w:rsid w:val="00ED3E2C"/>
    <w:rsid w:val="00ED4290"/>
    <w:rsid w:val="00ED4707"/>
    <w:rsid w:val="00ED481C"/>
    <w:rsid w:val="00ED4BE6"/>
    <w:rsid w:val="00ED4FA1"/>
    <w:rsid w:val="00ED59D3"/>
    <w:rsid w:val="00ED69EB"/>
    <w:rsid w:val="00ED6C9D"/>
    <w:rsid w:val="00ED6D4F"/>
    <w:rsid w:val="00ED7222"/>
    <w:rsid w:val="00ED7394"/>
    <w:rsid w:val="00ED770C"/>
    <w:rsid w:val="00ED7980"/>
    <w:rsid w:val="00ED7A5C"/>
    <w:rsid w:val="00EE0014"/>
    <w:rsid w:val="00EE0240"/>
    <w:rsid w:val="00EE0A0E"/>
    <w:rsid w:val="00EE0B93"/>
    <w:rsid w:val="00EE0DEE"/>
    <w:rsid w:val="00EE1FB3"/>
    <w:rsid w:val="00EE247C"/>
    <w:rsid w:val="00EE2611"/>
    <w:rsid w:val="00EE2754"/>
    <w:rsid w:val="00EE28A9"/>
    <w:rsid w:val="00EE295E"/>
    <w:rsid w:val="00EE32F9"/>
    <w:rsid w:val="00EE4A8F"/>
    <w:rsid w:val="00EE4BDC"/>
    <w:rsid w:val="00EE51DF"/>
    <w:rsid w:val="00EE57BC"/>
    <w:rsid w:val="00EE57D7"/>
    <w:rsid w:val="00EE58AA"/>
    <w:rsid w:val="00EE5AC3"/>
    <w:rsid w:val="00EE5CFB"/>
    <w:rsid w:val="00EE5FD6"/>
    <w:rsid w:val="00EE6130"/>
    <w:rsid w:val="00EE6151"/>
    <w:rsid w:val="00EE66B5"/>
    <w:rsid w:val="00EE6F3E"/>
    <w:rsid w:val="00EE7201"/>
    <w:rsid w:val="00EE7235"/>
    <w:rsid w:val="00EE7354"/>
    <w:rsid w:val="00EE7373"/>
    <w:rsid w:val="00EE757A"/>
    <w:rsid w:val="00EF00C2"/>
    <w:rsid w:val="00EF03AB"/>
    <w:rsid w:val="00EF0698"/>
    <w:rsid w:val="00EF07F6"/>
    <w:rsid w:val="00EF09D7"/>
    <w:rsid w:val="00EF12B2"/>
    <w:rsid w:val="00EF159E"/>
    <w:rsid w:val="00EF2347"/>
    <w:rsid w:val="00EF2AA9"/>
    <w:rsid w:val="00EF2B6C"/>
    <w:rsid w:val="00EF2D96"/>
    <w:rsid w:val="00EF30F5"/>
    <w:rsid w:val="00EF36B4"/>
    <w:rsid w:val="00EF3AA4"/>
    <w:rsid w:val="00EF41EF"/>
    <w:rsid w:val="00EF494A"/>
    <w:rsid w:val="00EF5B43"/>
    <w:rsid w:val="00EF5FF3"/>
    <w:rsid w:val="00EF68FD"/>
    <w:rsid w:val="00EF73FD"/>
    <w:rsid w:val="00F000B5"/>
    <w:rsid w:val="00F00472"/>
    <w:rsid w:val="00F011B2"/>
    <w:rsid w:val="00F011C6"/>
    <w:rsid w:val="00F0144C"/>
    <w:rsid w:val="00F01472"/>
    <w:rsid w:val="00F01A9B"/>
    <w:rsid w:val="00F01EB2"/>
    <w:rsid w:val="00F02161"/>
    <w:rsid w:val="00F023F7"/>
    <w:rsid w:val="00F03BD7"/>
    <w:rsid w:val="00F04046"/>
    <w:rsid w:val="00F0404F"/>
    <w:rsid w:val="00F04131"/>
    <w:rsid w:val="00F045BA"/>
    <w:rsid w:val="00F04ADD"/>
    <w:rsid w:val="00F04FD6"/>
    <w:rsid w:val="00F05E83"/>
    <w:rsid w:val="00F0650E"/>
    <w:rsid w:val="00F0695C"/>
    <w:rsid w:val="00F06A97"/>
    <w:rsid w:val="00F06EE8"/>
    <w:rsid w:val="00F0788C"/>
    <w:rsid w:val="00F07B02"/>
    <w:rsid w:val="00F07C1B"/>
    <w:rsid w:val="00F101E9"/>
    <w:rsid w:val="00F102AD"/>
    <w:rsid w:val="00F1036D"/>
    <w:rsid w:val="00F104DE"/>
    <w:rsid w:val="00F105A7"/>
    <w:rsid w:val="00F105E2"/>
    <w:rsid w:val="00F10888"/>
    <w:rsid w:val="00F115AB"/>
    <w:rsid w:val="00F115D7"/>
    <w:rsid w:val="00F116E8"/>
    <w:rsid w:val="00F11910"/>
    <w:rsid w:val="00F11917"/>
    <w:rsid w:val="00F12047"/>
    <w:rsid w:val="00F129FB"/>
    <w:rsid w:val="00F134E6"/>
    <w:rsid w:val="00F13853"/>
    <w:rsid w:val="00F1390F"/>
    <w:rsid w:val="00F13953"/>
    <w:rsid w:val="00F13A31"/>
    <w:rsid w:val="00F13A92"/>
    <w:rsid w:val="00F140BF"/>
    <w:rsid w:val="00F1439C"/>
    <w:rsid w:val="00F15B2C"/>
    <w:rsid w:val="00F16201"/>
    <w:rsid w:val="00F1647A"/>
    <w:rsid w:val="00F1750F"/>
    <w:rsid w:val="00F205D7"/>
    <w:rsid w:val="00F209BD"/>
    <w:rsid w:val="00F20EF9"/>
    <w:rsid w:val="00F219BF"/>
    <w:rsid w:val="00F21AB1"/>
    <w:rsid w:val="00F231D5"/>
    <w:rsid w:val="00F23EAC"/>
    <w:rsid w:val="00F2504A"/>
    <w:rsid w:val="00F257FB"/>
    <w:rsid w:val="00F258B3"/>
    <w:rsid w:val="00F25AAE"/>
    <w:rsid w:val="00F25E1C"/>
    <w:rsid w:val="00F25FA5"/>
    <w:rsid w:val="00F2659F"/>
    <w:rsid w:val="00F26754"/>
    <w:rsid w:val="00F2702E"/>
    <w:rsid w:val="00F27AFC"/>
    <w:rsid w:val="00F301C5"/>
    <w:rsid w:val="00F302D3"/>
    <w:rsid w:val="00F30797"/>
    <w:rsid w:val="00F30D0B"/>
    <w:rsid w:val="00F311CA"/>
    <w:rsid w:val="00F3120C"/>
    <w:rsid w:val="00F31871"/>
    <w:rsid w:val="00F318BA"/>
    <w:rsid w:val="00F31995"/>
    <w:rsid w:val="00F319CF"/>
    <w:rsid w:val="00F33907"/>
    <w:rsid w:val="00F3390D"/>
    <w:rsid w:val="00F3407E"/>
    <w:rsid w:val="00F341FD"/>
    <w:rsid w:val="00F34976"/>
    <w:rsid w:val="00F34AFC"/>
    <w:rsid w:val="00F36126"/>
    <w:rsid w:val="00F36322"/>
    <w:rsid w:val="00F36590"/>
    <w:rsid w:val="00F36B1B"/>
    <w:rsid w:val="00F36BD8"/>
    <w:rsid w:val="00F36FBA"/>
    <w:rsid w:val="00F37330"/>
    <w:rsid w:val="00F3753B"/>
    <w:rsid w:val="00F37B19"/>
    <w:rsid w:val="00F37B86"/>
    <w:rsid w:val="00F37B8C"/>
    <w:rsid w:val="00F37E9F"/>
    <w:rsid w:val="00F402E5"/>
    <w:rsid w:val="00F40EB1"/>
    <w:rsid w:val="00F410B8"/>
    <w:rsid w:val="00F41AE9"/>
    <w:rsid w:val="00F4224E"/>
    <w:rsid w:val="00F42651"/>
    <w:rsid w:val="00F42674"/>
    <w:rsid w:val="00F42C10"/>
    <w:rsid w:val="00F42E8A"/>
    <w:rsid w:val="00F433B0"/>
    <w:rsid w:val="00F435BA"/>
    <w:rsid w:val="00F43BBE"/>
    <w:rsid w:val="00F44E81"/>
    <w:rsid w:val="00F44F11"/>
    <w:rsid w:val="00F455EF"/>
    <w:rsid w:val="00F469CC"/>
    <w:rsid w:val="00F46A50"/>
    <w:rsid w:val="00F4722E"/>
    <w:rsid w:val="00F47688"/>
    <w:rsid w:val="00F47A90"/>
    <w:rsid w:val="00F50F5E"/>
    <w:rsid w:val="00F50FEB"/>
    <w:rsid w:val="00F514B6"/>
    <w:rsid w:val="00F51AF1"/>
    <w:rsid w:val="00F52A5B"/>
    <w:rsid w:val="00F52B27"/>
    <w:rsid w:val="00F53A1B"/>
    <w:rsid w:val="00F53B0A"/>
    <w:rsid w:val="00F53BDA"/>
    <w:rsid w:val="00F54263"/>
    <w:rsid w:val="00F5457D"/>
    <w:rsid w:val="00F54687"/>
    <w:rsid w:val="00F5472A"/>
    <w:rsid w:val="00F54917"/>
    <w:rsid w:val="00F55992"/>
    <w:rsid w:val="00F55B17"/>
    <w:rsid w:val="00F55C08"/>
    <w:rsid w:val="00F573CF"/>
    <w:rsid w:val="00F575FE"/>
    <w:rsid w:val="00F57CD0"/>
    <w:rsid w:val="00F57D44"/>
    <w:rsid w:val="00F60DCD"/>
    <w:rsid w:val="00F60E80"/>
    <w:rsid w:val="00F613BB"/>
    <w:rsid w:val="00F6298C"/>
    <w:rsid w:val="00F62B23"/>
    <w:rsid w:val="00F6366E"/>
    <w:rsid w:val="00F63BAD"/>
    <w:rsid w:val="00F63DC0"/>
    <w:rsid w:val="00F64315"/>
    <w:rsid w:val="00F64392"/>
    <w:rsid w:val="00F6448A"/>
    <w:rsid w:val="00F647E9"/>
    <w:rsid w:val="00F64CC8"/>
    <w:rsid w:val="00F650E2"/>
    <w:rsid w:val="00F6555E"/>
    <w:rsid w:val="00F65FFB"/>
    <w:rsid w:val="00F66580"/>
    <w:rsid w:val="00F66D35"/>
    <w:rsid w:val="00F66D8D"/>
    <w:rsid w:val="00F66EEA"/>
    <w:rsid w:val="00F6797D"/>
    <w:rsid w:val="00F70151"/>
    <w:rsid w:val="00F7065F"/>
    <w:rsid w:val="00F70998"/>
    <w:rsid w:val="00F70AD2"/>
    <w:rsid w:val="00F70CD0"/>
    <w:rsid w:val="00F71127"/>
    <w:rsid w:val="00F7180D"/>
    <w:rsid w:val="00F72026"/>
    <w:rsid w:val="00F7251E"/>
    <w:rsid w:val="00F7285C"/>
    <w:rsid w:val="00F72863"/>
    <w:rsid w:val="00F746F2"/>
    <w:rsid w:val="00F74773"/>
    <w:rsid w:val="00F74D66"/>
    <w:rsid w:val="00F75342"/>
    <w:rsid w:val="00F7555C"/>
    <w:rsid w:val="00F75761"/>
    <w:rsid w:val="00F76295"/>
    <w:rsid w:val="00F763FD"/>
    <w:rsid w:val="00F7667D"/>
    <w:rsid w:val="00F7691F"/>
    <w:rsid w:val="00F76941"/>
    <w:rsid w:val="00F76C4C"/>
    <w:rsid w:val="00F76C5B"/>
    <w:rsid w:val="00F77A72"/>
    <w:rsid w:val="00F77C00"/>
    <w:rsid w:val="00F77DF5"/>
    <w:rsid w:val="00F77E0B"/>
    <w:rsid w:val="00F77F52"/>
    <w:rsid w:val="00F8020C"/>
    <w:rsid w:val="00F8056D"/>
    <w:rsid w:val="00F80CDD"/>
    <w:rsid w:val="00F8126D"/>
    <w:rsid w:val="00F813A8"/>
    <w:rsid w:val="00F81683"/>
    <w:rsid w:val="00F81E27"/>
    <w:rsid w:val="00F82258"/>
    <w:rsid w:val="00F82D85"/>
    <w:rsid w:val="00F83D88"/>
    <w:rsid w:val="00F8418D"/>
    <w:rsid w:val="00F8429B"/>
    <w:rsid w:val="00F8444C"/>
    <w:rsid w:val="00F84FE9"/>
    <w:rsid w:val="00F85AFC"/>
    <w:rsid w:val="00F86549"/>
    <w:rsid w:val="00F865C5"/>
    <w:rsid w:val="00F867F9"/>
    <w:rsid w:val="00F86A2B"/>
    <w:rsid w:val="00F86A6A"/>
    <w:rsid w:val="00F86B82"/>
    <w:rsid w:val="00F875E8"/>
    <w:rsid w:val="00F8763E"/>
    <w:rsid w:val="00F87D7E"/>
    <w:rsid w:val="00F902A0"/>
    <w:rsid w:val="00F906CE"/>
    <w:rsid w:val="00F9087F"/>
    <w:rsid w:val="00F90EC9"/>
    <w:rsid w:val="00F92215"/>
    <w:rsid w:val="00F9249A"/>
    <w:rsid w:val="00F9260B"/>
    <w:rsid w:val="00F929E6"/>
    <w:rsid w:val="00F92A53"/>
    <w:rsid w:val="00F92FBC"/>
    <w:rsid w:val="00F93AED"/>
    <w:rsid w:val="00F940F1"/>
    <w:rsid w:val="00F944E1"/>
    <w:rsid w:val="00F94E15"/>
    <w:rsid w:val="00F94E50"/>
    <w:rsid w:val="00F9557B"/>
    <w:rsid w:val="00F95B05"/>
    <w:rsid w:val="00F9688C"/>
    <w:rsid w:val="00F96D1B"/>
    <w:rsid w:val="00F97831"/>
    <w:rsid w:val="00F979F1"/>
    <w:rsid w:val="00F97AA3"/>
    <w:rsid w:val="00F97B1E"/>
    <w:rsid w:val="00F97FBF"/>
    <w:rsid w:val="00FA0167"/>
    <w:rsid w:val="00FA02CD"/>
    <w:rsid w:val="00FA0B5C"/>
    <w:rsid w:val="00FA0C75"/>
    <w:rsid w:val="00FA1625"/>
    <w:rsid w:val="00FA1712"/>
    <w:rsid w:val="00FA1820"/>
    <w:rsid w:val="00FA1B0C"/>
    <w:rsid w:val="00FA1B66"/>
    <w:rsid w:val="00FA1F11"/>
    <w:rsid w:val="00FA1F3B"/>
    <w:rsid w:val="00FA2542"/>
    <w:rsid w:val="00FA2E35"/>
    <w:rsid w:val="00FA339B"/>
    <w:rsid w:val="00FA344A"/>
    <w:rsid w:val="00FA3452"/>
    <w:rsid w:val="00FA3628"/>
    <w:rsid w:val="00FA3EDD"/>
    <w:rsid w:val="00FA3F6B"/>
    <w:rsid w:val="00FA466A"/>
    <w:rsid w:val="00FA47A9"/>
    <w:rsid w:val="00FA47DD"/>
    <w:rsid w:val="00FA561F"/>
    <w:rsid w:val="00FA5C15"/>
    <w:rsid w:val="00FA5EE1"/>
    <w:rsid w:val="00FA6C23"/>
    <w:rsid w:val="00FA7F3E"/>
    <w:rsid w:val="00FB0391"/>
    <w:rsid w:val="00FB047A"/>
    <w:rsid w:val="00FB104B"/>
    <w:rsid w:val="00FB10CC"/>
    <w:rsid w:val="00FB1140"/>
    <w:rsid w:val="00FB125D"/>
    <w:rsid w:val="00FB14F3"/>
    <w:rsid w:val="00FB16BC"/>
    <w:rsid w:val="00FB175B"/>
    <w:rsid w:val="00FB36F3"/>
    <w:rsid w:val="00FB3823"/>
    <w:rsid w:val="00FB395D"/>
    <w:rsid w:val="00FB3AD8"/>
    <w:rsid w:val="00FB3B39"/>
    <w:rsid w:val="00FB3BFE"/>
    <w:rsid w:val="00FB3CAE"/>
    <w:rsid w:val="00FB43C3"/>
    <w:rsid w:val="00FB43F8"/>
    <w:rsid w:val="00FB47E9"/>
    <w:rsid w:val="00FB4952"/>
    <w:rsid w:val="00FB4EFE"/>
    <w:rsid w:val="00FB4FEA"/>
    <w:rsid w:val="00FB5EA0"/>
    <w:rsid w:val="00FB5F4F"/>
    <w:rsid w:val="00FB673D"/>
    <w:rsid w:val="00FB69EE"/>
    <w:rsid w:val="00FB7298"/>
    <w:rsid w:val="00FB7367"/>
    <w:rsid w:val="00FB766C"/>
    <w:rsid w:val="00FB76C6"/>
    <w:rsid w:val="00FB786F"/>
    <w:rsid w:val="00FB78CF"/>
    <w:rsid w:val="00FB7908"/>
    <w:rsid w:val="00FB7F4B"/>
    <w:rsid w:val="00FC0B02"/>
    <w:rsid w:val="00FC0C69"/>
    <w:rsid w:val="00FC15CE"/>
    <w:rsid w:val="00FC16CC"/>
    <w:rsid w:val="00FC1D28"/>
    <w:rsid w:val="00FC23A8"/>
    <w:rsid w:val="00FC23FB"/>
    <w:rsid w:val="00FC2626"/>
    <w:rsid w:val="00FC3938"/>
    <w:rsid w:val="00FC3D7F"/>
    <w:rsid w:val="00FC46E0"/>
    <w:rsid w:val="00FC4CCC"/>
    <w:rsid w:val="00FC53E5"/>
    <w:rsid w:val="00FC5717"/>
    <w:rsid w:val="00FC5D62"/>
    <w:rsid w:val="00FC61BB"/>
    <w:rsid w:val="00FC61FA"/>
    <w:rsid w:val="00FC63AE"/>
    <w:rsid w:val="00FC6525"/>
    <w:rsid w:val="00FC66CE"/>
    <w:rsid w:val="00FC6D2A"/>
    <w:rsid w:val="00FC6F2E"/>
    <w:rsid w:val="00FC7772"/>
    <w:rsid w:val="00FD0CEB"/>
    <w:rsid w:val="00FD0E70"/>
    <w:rsid w:val="00FD0ECA"/>
    <w:rsid w:val="00FD1059"/>
    <w:rsid w:val="00FD20D2"/>
    <w:rsid w:val="00FD23E5"/>
    <w:rsid w:val="00FD2590"/>
    <w:rsid w:val="00FD27A0"/>
    <w:rsid w:val="00FD29B4"/>
    <w:rsid w:val="00FD2B5B"/>
    <w:rsid w:val="00FD3389"/>
    <w:rsid w:val="00FD33EB"/>
    <w:rsid w:val="00FD38FC"/>
    <w:rsid w:val="00FD4512"/>
    <w:rsid w:val="00FD4E99"/>
    <w:rsid w:val="00FD55B7"/>
    <w:rsid w:val="00FD643B"/>
    <w:rsid w:val="00FD6441"/>
    <w:rsid w:val="00FD660E"/>
    <w:rsid w:val="00FD67C1"/>
    <w:rsid w:val="00FD6954"/>
    <w:rsid w:val="00FD6A00"/>
    <w:rsid w:val="00FD6A66"/>
    <w:rsid w:val="00FD6D28"/>
    <w:rsid w:val="00FD71AF"/>
    <w:rsid w:val="00FD7654"/>
    <w:rsid w:val="00FD7A49"/>
    <w:rsid w:val="00FD7F3D"/>
    <w:rsid w:val="00FE0061"/>
    <w:rsid w:val="00FE08BE"/>
    <w:rsid w:val="00FE0FF0"/>
    <w:rsid w:val="00FE143B"/>
    <w:rsid w:val="00FE193F"/>
    <w:rsid w:val="00FE22E8"/>
    <w:rsid w:val="00FE3333"/>
    <w:rsid w:val="00FE33E1"/>
    <w:rsid w:val="00FE36D3"/>
    <w:rsid w:val="00FE3947"/>
    <w:rsid w:val="00FE452E"/>
    <w:rsid w:val="00FE48CD"/>
    <w:rsid w:val="00FE4921"/>
    <w:rsid w:val="00FE4DB2"/>
    <w:rsid w:val="00FE54EB"/>
    <w:rsid w:val="00FE557E"/>
    <w:rsid w:val="00FE6789"/>
    <w:rsid w:val="00FE6B72"/>
    <w:rsid w:val="00FE6BD2"/>
    <w:rsid w:val="00FE7C83"/>
    <w:rsid w:val="00FE7E50"/>
    <w:rsid w:val="00FF047C"/>
    <w:rsid w:val="00FF076F"/>
    <w:rsid w:val="00FF0836"/>
    <w:rsid w:val="00FF1169"/>
    <w:rsid w:val="00FF1392"/>
    <w:rsid w:val="00FF1499"/>
    <w:rsid w:val="00FF149E"/>
    <w:rsid w:val="00FF1670"/>
    <w:rsid w:val="00FF1A89"/>
    <w:rsid w:val="00FF1D84"/>
    <w:rsid w:val="00FF23D4"/>
    <w:rsid w:val="00FF24EC"/>
    <w:rsid w:val="00FF250E"/>
    <w:rsid w:val="00FF2CE9"/>
    <w:rsid w:val="00FF33CA"/>
    <w:rsid w:val="00FF3400"/>
    <w:rsid w:val="00FF35BE"/>
    <w:rsid w:val="00FF39B8"/>
    <w:rsid w:val="00FF43D2"/>
    <w:rsid w:val="00FF461F"/>
    <w:rsid w:val="00FF489F"/>
    <w:rsid w:val="00FF49A6"/>
    <w:rsid w:val="00FF4A62"/>
    <w:rsid w:val="00FF54E4"/>
    <w:rsid w:val="00FF582F"/>
    <w:rsid w:val="00FF5CA5"/>
    <w:rsid w:val="00FF6046"/>
    <w:rsid w:val="00FF63F0"/>
    <w:rsid w:val="00FF69F8"/>
    <w:rsid w:val="00FF6A75"/>
    <w:rsid w:val="00FF6FEF"/>
    <w:rsid w:val="00FF758A"/>
    <w:rsid w:val="029226B6"/>
    <w:rsid w:val="02D7B220"/>
    <w:rsid w:val="033C08EA"/>
    <w:rsid w:val="0361F74B"/>
    <w:rsid w:val="0455A19E"/>
    <w:rsid w:val="0456FB07"/>
    <w:rsid w:val="045BC497"/>
    <w:rsid w:val="04A8433F"/>
    <w:rsid w:val="04FB4287"/>
    <w:rsid w:val="05E1F94E"/>
    <w:rsid w:val="062FA213"/>
    <w:rsid w:val="0637221C"/>
    <w:rsid w:val="06961425"/>
    <w:rsid w:val="06A7E37F"/>
    <w:rsid w:val="06F0296F"/>
    <w:rsid w:val="0729FE75"/>
    <w:rsid w:val="0748076A"/>
    <w:rsid w:val="076A0076"/>
    <w:rsid w:val="082E7D86"/>
    <w:rsid w:val="08F29611"/>
    <w:rsid w:val="08FBB062"/>
    <w:rsid w:val="09050B41"/>
    <w:rsid w:val="09418A80"/>
    <w:rsid w:val="098FB963"/>
    <w:rsid w:val="09A9E927"/>
    <w:rsid w:val="09F70B56"/>
    <w:rsid w:val="0A03D716"/>
    <w:rsid w:val="0A919B51"/>
    <w:rsid w:val="0AC7833F"/>
    <w:rsid w:val="0BB6BF59"/>
    <w:rsid w:val="0BB7C4E0"/>
    <w:rsid w:val="0CF7AB59"/>
    <w:rsid w:val="0D02386D"/>
    <w:rsid w:val="0DBA1153"/>
    <w:rsid w:val="0E09687A"/>
    <w:rsid w:val="0E9AB6A9"/>
    <w:rsid w:val="0EAD6134"/>
    <w:rsid w:val="0FDE7A96"/>
    <w:rsid w:val="100D62E1"/>
    <w:rsid w:val="1112DFC2"/>
    <w:rsid w:val="111EB88C"/>
    <w:rsid w:val="11BC179B"/>
    <w:rsid w:val="11F06221"/>
    <w:rsid w:val="11F6AD30"/>
    <w:rsid w:val="1249B910"/>
    <w:rsid w:val="125E07FA"/>
    <w:rsid w:val="126C4BE5"/>
    <w:rsid w:val="12A9E749"/>
    <w:rsid w:val="1313601C"/>
    <w:rsid w:val="1383C24A"/>
    <w:rsid w:val="13CDC539"/>
    <w:rsid w:val="13FE1806"/>
    <w:rsid w:val="1497F289"/>
    <w:rsid w:val="14D30956"/>
    <w:rsid w:val="15E12B3C"/>
    <w:rsid w:val="16122849"/>
    <w:rsid w:val="164929A6"/>
    <w:rsid w:val="16F4EC7A"/>
    <w:rsid w:val="16F5EC86"/>
    <w:rsid w:val="18F67DCF"/>
    <w:rsid w:val="196A8EE4"/>
    <w:rsid w:val="19DC8950"/>
    <w:rsid w:val="1A61A12E"/>
    <w:rsid w:val="1D03BE12"/>
    <w:rsid w:val="1D27AAB7"/>
    <w:rsid w:val="1D4335D3"/>
    <w:rsid w:val="1DEBFB4F"/>
    <w:rsid w:val="1F1A869A"/>
    <w:rsid w:val="1F3C57AD"/>
    <w:rsid w:val="1F885D50"/>
    <w:rsid w:val="1FB09BCD"/>
    <w:rsid w:val="1FB3B28B"/>
    <w:rsid w:val="21A47E98"/>
    <w:rsid w:val="21CA9EC9"/>
    <w:rsid w:val="2241641B"/>
    <w:rsid w:val="22485568"/>
    <w:rsid w:val="245DC00C"/>
    <w:rsid w:val="246BA0EA"/>
    <w:rsid w:val="24833AD2"/>
    <w:rsid w:val="24C51593"/>
    <w:rsid w:val="2524C9D5"/>
    <w:rsid w:val="255EEA21"/>
    <w:rsid w:val="25DD8118"/>
    <w:rsid w:val="27D00ED6"/>
    <w:rsid w:val="281C9D9F"/>
    <w:rsid w:val="2849E477"/>
    <w:rsid w:val="29DFAC01"/>
    <w:rsid w:val="2B4DD9C2"/>
    <w:rsid w:val="2B6920C3"/>
    <w:rsid w:val="2BD19DE1"/>
    <w:rsid w:val="2BEB4F27"/>
    <w:rsid w:val="2BEBF43D"/>
    <w:rsid w:val="2C34C2E9"/>
    <w:rsid w:val="2CABDF95"/>
    <w:rsid w:val="2D2A8919"/>
    <w:rsid w:val="2E05E7E5"/>
    <w:rsid w:val="2E600422"/>
    <w:rsid w:val="2E7DE274"/>
    <w:rsid w:val="2E9A9FE9"/>
    <w:rsid w:val="2EAF7D26"/>
    <w:rsid w:val="2EDF6A22"/>
    <w:rsid w:val="2EF3D6FC"/>
    <w:rsid w:val="30128124"/>
    <w:rsid w:val="305137D0"/>
    <w:rsid w:val="307D90A1"/>
    <w:rsid w:val="308C04B6"/>
    <w:rsid w:val="30AAEEBD"/>
    <w:rsid w:val="32C6853A"/>
    <w:rsid w:val="32F6A432"/>
    <w:rsid w:val="33969BC3"/>
    <w:rsid w:val="3404815D"/>
    <w:rsid w:val="3570F9AA"/>
    <w:rsid w:val="35C16142"/>
    <w:rsid w:val="36B6AD50"/>
    <w:rsid w:val="3729EDF3"/>
    <w:rsid w:val="374006DB"/>
    <w:rsid w:val="38B89BD0"/>
    <w:rsid w:val="38F2F3B9"/>
    <w:rsid w:val="39450257"/>
    <w:rsid w:val="397C9F61"/>
    <w:rsid w:val="39DC1A75"/>
    <w:rsid w:val="3A11F95F"/>
    <w:rsid w:val="3A476371"/>
    <w:rsid w:val="3A98FD36"/>
    <w:rsid w:val="3AAA3F8C"/>
    <w:rsid w:val="3B98889B"/>
    <w:rsid w:val="3C4E9F13"/>
    <w:rsid w:val="3CBA6F7C"/>
    <w:rsid w:val="3D64A263"/>
    <w:rsid w:val="3DE7D82B"/>
    <w:rsid w:val="3EE8CF4A"/>
    <w:rsid w:val="3F35F282"/>
    <w:rsid w:val="3FC26C05"/>
    <w:rsid w:val="40D66E25"/>
    <w:rsid w:val="412E6B62"/>
    <w:rsid w:val="413BE73B"/>
    <w:rsid w:val="416A2B02"/>
    <w:rsid w:val="41952D15"/>
    <w:rsid w:val="41A83B6B"/>
    <w:rsid w:val="41AEA527"/>
    <w:rsid w:val="4228B761"/>
    <w:rsid w:val="427B50E0"/>
    <w:rsid w:val="42A2B0EF"/>
    <w:rsid w:val="42C30F5F"/>
    <w:rsid w:val="42DCA4C0"/>
    <w:rsid w:val="433F71C0"/>
    <w:rsid w:val="4356C5BC"/>
    <w:rsid w:val="43717CBD"/>
    <w:rsid w:val="43918281"/>
    <w:rsid w:val="43F70B72"/>
    <w:rsid w:val="4438C57D"/>
    <w:rsid w:val="4444863E"/>
    <w:rsid w:val="448C5FF2"/>
    <w:rsid w:val="45387669"/>
    <w:rsid w:val="4596E7EC"/>
    <w:rsid w:val="45C6071B"/>
    <w:rsid w:val="45C9A97A"/>
    <w:rsid w:val="45D62499"/>
    <w:rsid w:val="45E754BD"/>
    <w:rsid w:val="46A840B5"/>
    <w:rsid w:val="473B1B0C"/>
    <w:rsid w:val="4741C52C"/>
    <w:rsid w:val="4768A10B"/>
    <w:rsid w:val="481D6192"/>
    <w:rsid w:val="4858EF19"/>
    <w:rsid w:val="49AEBE98"/>
    <w:rsid w:val="49C0414C"/>
    <w:rsid w:val="4A9AA8DC"/>
    <w:rsid w:val="4AAD33F6"/>
    <w:rsid w:val="4AB48E0B"/>
    <w:rsid w:val="4AE0C9AA"/>
    <w:rsid w:val="4AE5147E"/>
    <w:rsid w:val="4BBD3A23"/>
    <w:rsid w:val="4C11644A"/>
    <w:rsid w:val="4C7204D7"/>
    <w:rsid w:val="4C8D5E18"/>
    <w:rsid w:val="4C9DEEB9"/>
    <w:rsid w:val="4D3DBD7D"/>
    <w:rsid w:val="4D4C5E74"/>
    <w:rsid w:val="4EF2D7AA"/>
    <w:rsid w:val="4F014B70"/>
    <w:rsid w:val="4F2CE00B"/>
    <w:rsid w:val="4F3749BF"/>
    <w:rsid w:val="4F52F428"/>
    <w:rsid w:val="4FA97911"/>
    <w:rsid w:val="506FA17B"/>
    <w:rsid w:val="5076F919"/>
    <w:rsid w:val="5106D697"/>
    <w:rsid w:val="517255A0"/>
    <w:rsid w:val="51CB0DB8"/>
    <w:rsid w:val="51E530C6"/>
    <w:rsid w:val="52B8AF49"/>
    <w:rsid w:val="52D9ED1C"/>
    <w:rsid w:val="532A0832"/>
    <w:rsid w:val="537D3E0D"/>
    <w:rsid w:val="54EC56E1"/>
    <w:rsid w:val="56192DBB"/>
    <w:rsid w:val="564184DB"/>
    <w:rsid w:val="5783F207"/>
    <w:rsid w:val="578A3646"/>
    <w:rsid w:val="580A7FB8"/>
    <w:rsid w:val="580B43B4"/>
    <w:rsid w:val="584839F2"/>
    <w:rsid w:val="5855A98C"/>
    <w:rsid w:val="58D45B21"/>
    <w:rsid w:val="58E38472"/>
    <w:rsid w:val="58F08B58"/>
    <w:rsid w:val="59137E0D"/>
    <w:rsid w:val="5944D2FF"/>
    <w:rsid w:val="5988D0E2"/>
    <w:rsid w:val="5A3B7B9A"/>
    <w:rsid w:val="5A92F94B"/>
    <w:rsid w:val="5A997F0A"/>
    <w:rsid w:val="5AA2B6E6"/>
    <w:rsid w:val="5B3117EC"/>
    <w:rsid w:val="5B45597B"/>
    <w:rsid w:val="5B95F31E"/>
    <w:rsid w:val="5C01770C"/>
    <w:rsid w:val="5C0D4BFD"/>
    <w:rsid w:val="5C3D0650"/>
    <w:rsid w:val="5CBD61C8"/>
    <w:rsid w:val="5CD1F599"/>
    <w:rsid w:val="5CFEE28B"/>
    <w:rsid w:val="5D2B6DEE"/>
    <w:rsid w:val="5D5E51A3"/>
    <w:rsid w:val="5DB0BF0C"/>
    <w:rsid w:val="5DFE3F42"/>
    <w:rsid w:val="5E164ECE"/>
    <w:rsid w:val="5F14A8D8"/>
    <w:rsid w:val="5F2C2ED5"/>
    <w:rsid w:val="5F40098D"/>
    <w:rsid w:val="5F698976"/>
    <w:rsid w:val="5FBE711B"/>
    <w:rsid w:val="605FA4B8"/>
    <w:rsid w:val="60F324E6"/>
    <w:rsid w:val="6200B2C1"/>
    <w:rsid w:val="6209BA35"/>
    <w:rsid w:val="62702C0B"/>
    <w:rsid w:val="6285C25E"/>
    <w:rsid w:val="62FB140F"/>
    <w:rsid w:val="630812A6"/>
    <w:rsid w:val="64354D17"/>
    <w:rsid w:val="649A9A1A"/>
    <w:rsid w:val="64C7A6F7"/>
    <w:rsid w:val="64D68206"/>
    <w:rsid w:val="65139EA4"/>
    <w:rsid w:val="652E39B0"/>
    <w:rsid w:val="65455E6F"/>
    <w:rsid w:val="65A3946B"/>
    <w:rsid w:val="65EB3E75"/>
    <w:rsid w:val="66B931D0"/>
    <w:rsid w:val="66D83C8F"/>
    <w:rsid w:val="678647E6"/>
    <w:rsid w:val="678DB96F"/>
    <w:rsid w:val="6793A9EF"/>
    <w:rsid w:val="6849AA59"/>
    <w:rsid w:val="6926E01A"/>
    <w:rsid w:val="6AA53594"/>
    <w:rsid w:val="6B549A7B"/>
    <w:rsid w:val="6BB08A06"/>
    <w:rsid w:val="6C788932"/>
    <w:rsid w:val="6C8D6E32"/>
    <w:rsid w:val="6DD36631"/>
    <w:rsid w:val="6E6AFB65"/>
    <w:rsid w:val="6E6C5899"/>
    <w:rsid w:val="6E7A6C6A"/>
    <w:rsid w:val="6EDB7EA6"/>
    <w:rsid w:val="6F11E524"/>
    <w:rsid w:val="6F96ED5B"/>
    <w:rsid w:val="6FB81CD5"/>
    <w:rsid w:val="6FDB9891"/>
    <w:rsid w:val="703CACBA"/>
    <w:rsid w:val="70BA6F5B"/>
    <w:rsid w:val="71CA19BF"/>
    <w:rsid w:val="721D6446"/>
    <w:rsid w:val="72AB7EFC"/>
    <w:rsid w:val="72D444A2"/>
    <w:rsid w:val="730F9AD1"/>
    <w:rsid w:val="73134C58"/>
    <w:rsid w:val="73CEA6AA"/>
    <w:rsid w:val="74152DF3"/>
    <w:rsid w:val="74B6F391"/>
    <w:rsid w:val="756334C5"/>
    <w:rsid w:val="757A0E02"/>
    <w:rsid w:val="763B3890"/>
    <w:rsid w:val="76668BE1"/>
    <w:rsid w:val="76937AD5"/>
    <w:rsid w:val="76E02910"/>
    <w:rsid w:val="77210672"/>
    <w:rsid w:val="782B7DBD"/>
    <w:rsid w:val="7848E432"/>
    <w:rsid w:val="7904F541"/>
    <w:rsid w:val="791022EE"/>
    <w:rsid w:val="793E6ABA"/>
    <w:rsid w:val="794AB7FB"/>
    <w:rsid w:val="795CADEF"/>
    <w:rsid w:val="79E49415"/>
    <w:rsid w:val="7A46A024"/>
    <w:rsid w:val="7AD21931"/>
    <w:rsid w:val="7B3FF948"/>
    <w:rsid w:val="7B4E610C"/>
    <w:rsid w:val="7BA9F3EE"/>
    <w:rsid w:val="7BEBB65F"/>
    <w:rsid w:val="7D79082B"/>
    <w:rsid w:val="7DCDF6F3"/>
    <w:rsid w:val="7DE73554"/>
    <w:rsid w:val="7DF0071C"/>
    <w:rsid w:val="7EBC60E3"/>
    <w:rsid w:val="7EF6900C"/>
    <w:rsid w:val="7F0C9F9F"/>
    <w:rsid w:val="7F325C3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C786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D31"/>
    <w:pPr>
      <w:keepLines/>
      <w:spacing w:before="120" w:after="120" w:line="252" w:lineRule="auto"/>
    </w:pPr>
    <w:rPr>
      <w:rFonts w:eastAsiaTheme="minorEastAsia"/>
      <w:color w:val="232B39" w:themeColor="text1"/>
      <w:sz w:val="20"/>
      <w:szCs w:val="20"/>
      <w:lang w:eastAsia="en-AU"/>
    </w:rPr>
  </w:style>
  <w:style w:type="paragraph" w:styleId="Heading1">
    <w:name w:val="heading 1"/>
    <w:next w:val="Normal"/>
    <w:link w:val="Heading1Char"/>
    <w:qFormat/>
    <w:rsid w:val="006F7CFD"/>
    <w:pPr>
      <w:keepNext/>
      <w:keepLines/>
      <w:spacing w:before="360" w:after="120" w:line="276" w:lineRule="auto"/>
      <w:outlineLvl w:val="0"/>
    </w:pPr>
    <w:rPr>
      <w:rFonts w:asciiTheme="majorHAnsi" w:eastAsiaTheme="majorEastAsia" w:hAnsiTheme="majorHAnsi" w:cstheme="majorBidi"/>
      <w:bCs/>
      <w:color w:val="3A3467" w:themeColor="text2"/>
      <w:sz w:val="36"/>
      <w:szCs w:val="28"/>
      <w:lang w:eastAsia="en-AU"/>
    </w:rPr>
  </w:style>
  <w:style w:type="paragraph" w:styleId="Heading2">
    <w:name w:val="heading 2"/>
    <w:basedOn w:val="Normal"/>
    <w:next w:val="Normal"/>
    <w:link w:val="Heading2Char"/>
    <w:qFormat/>
    <w:rsid w:val="00D26716"/>
    <w:pPr>
      <w:keepNext/>
      <w:spacing w:before="280"/>
      <w:outlineLvl w:val="1"/>
    </w:pPr>
    <w:rPr>
      <w:rFonts w:asciiTheme="majorHAnsi" w:eastAsiaTheme="majorEastAsia" w:hAnsiTheme="majorHAnsi" w:cstheme="majorBidi"/>
      <w:bCs/>
      <w:color w:val="3A3467" w:themeColor="text2"/>
      <w:sz w:val="28"/>
      <w:szCs w:val="26"/>
    </w:rPr>
  </w:style>
  <w:style w:type="paragraph" w:styleId="Heading3">
    <w:name w:val="heading 3"/>
    <w:basedOn w:val="Normal"/>
    <w:next w:val="Normal"/>
    <w:link w:val="Heading3Char"/>
    <w:qFormat/>
    <w:rsid w:val="00D26716"/>
    <w:pPr>
      <w:keepNext/>
      <w:spacing w:before="240"/>
      <w:outlineLvl w:val="2"/>
    </w:pPr>
    <w:rPr>
      <w:rFonts w:asciiTheme="majorHAnsi" w:eastAsiaTheme="majorEastAsia" w:hAnsiTheme="majorHAnsi" w:cstheme="majorBidi"/>
      <w:bCs/>
      <w:color w:val="3A3467" w:themeColor="text2"/>
      <w:sz w:val="24"/>
      <w:szCs w:val="24"/>
    </w:rPr>
  </w:style>
  <w:style w:type="paragraph" w:styleId="Heading4">
    <w:name w:val="heading 4"/>
    <w:basedOn w:val="Normal"/>
    <w:next w:val="Normal"/>
    <w:link w:val="Heading4Char"/>
    <w:qFormat/>
    <w:rsid w:val="00D26716"/>
    <w:pPr>
      <w:keepNext/>
      <w:spacing w:before="200"/>
      <w:outlineLvl w:val="3"/>
    </w:pPr>
    <w:rPr>
      <w:rFonts w:asciiTheme="majorHAnsi" w:eastAsiaTheme="majorEastAsia" w:hAnsiTheme="majorHAnsi" w:cstheme="majorBidi"/>
      <w:bCs/>
      <w:iCs/>
      <w:color w:val="3A3467" w:themeColor="text2"/>
      <w:sz w:val="21"/>
      <w:szCs w:val="21"/>
    </w:rPr>
  </w:style>
  <w:style w:type="paragraph" w:styleId="Heading5">
    <w:name w:val="heading 5"/>
    <w:basedOn w:val="Normal"/>
    <w:next w:val="Normal"/>
    <w:link w:val="Heading5Char"/>
    <w:rsid w:val="007B2306"/>
    <w:pPr>
      <w:keepNext/>
      <w:spacing w:before="60" w:after="60"/>
      <w:outlineLvl w:val="4"/>
    </w:pPr>
    <w:rPr>
      <w:rFonts w:asciiTheme="majorHAnsi" w:eastAsiaTheme="majorEastAsia" w:hAnsiTheme="majorHAnsi" w:cstheme="majorBidi"/>
      <w:color w:val="3A3467" w:themeColor="text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7CFD"/>
    <w:rPr>
      <w:rFonts w:asciiTheme="majorHAnsi" w:eastAsiaTheme="majorEastAsia" w:hAnsiTheme="majorHAnsi" w:cstheme="majorBidi"/>
      <w:bCs/>
      <w:color w:val="3A3467" w:themeColor="text2"/>
      <w:sz w:val="36"/>
      <w:szCs w:val="28"/>
      <w:lang w:eastAsia="en-AU"/>
    </w:rPr>
  </w:style>
  <w:style w:type="character" w:customStyle="1" w:styleId="Heading2Char">
    <w:name w:val="Heading 2 Char"/>
    <w:basedOn w:val="DefaultParagraphFont"/>
    <w:link w:val="Heading2"/>
    <w:rsid w:val="00D26716"/>
    <w:rPr>
      <w:rFonts w:asciiTheme="majorHAnsi" w:eastAsiaTheme="majorEastAsia" w:hAnsiTheme="majorHAnsi" w:cstheme="majorBidi"/>
      <w:bCs/>
      <w:color w:val="3A3467" w:themeColor="text2"/>
      <w:sz w:val="28"/>
      <w:szCs w:val="26"/>
      <w:lang w:eastAsia="en-AU"/>
    </w:rPr>
  </w:style>
  <w:style w:type="paragraph" w:customStyle="1" w:styleId="NumberedParagraphs">
    <w:name w:val="Numbered Paragraphs"/>
    <w:basedOn w:val="Heading2"/>
    <w:qFormat/>
    <w:rsid w:val="00900C99"/>
    <w:pPr>
      <w:keepNext w:val="0"/>
      <w:spacing w:before="180"/>
    </w:pPr>
    <w:rPr>
      <w:b/>
      <w:sz w:val="22"/>
    </w:rPr>
  </w:style>
  <w:style w:type="character" w:styleId="CommentReference">
    <w:name w:val="annotation reference"/>
    <w:basedOn w:val="DefaultParagraphFont"/>
    <w:uiPriority w:val="99"/>
    <w:semiHidden/>
    <w:unhideWhenUsed/>
    <w:rsid w:val="00900C99"/>
    <w:rPr>
      <w:sz w:val="16"/>
      <w:szCs w:val="16"/>
    </w:rPr>
  </w:style>
  <w:style w:type="paragraph" w:styleId="CommentText">
    <w:name w:val="annotation text"/>
    <w:basedOn w:val="Normal"/>
    <w:link w:val="CommentTextChar"/>
    <w:uiPriority w:val="99"/>
    <w:unhideWhenUsed/>
    <w:rsid w:val="00900C99"/>
    <w:pPr>
      <w:spacing w:before="180" w:after="0" w:line="240" w:lineRule="auto"/>
    </w:pPr>
    <w:rPr>
      <w:rFonts w:ascii="Arial" w:hAnsi="Arial"/>
    </w:rPr>
  </w:style>
  <w:style w:type="character" w:customStyle="1" w:styleId="CommentTextChar">
    <w:name w:val="Comment Text Char"/>
    <w:basedOn w:val="DefaultParagraphFont"/>
    <w:link w:val="CommentText"/>
    <w:uiPriority w:val="99"/>
    <w:rsid w:val="00900C99"/>
    <w:rPr>
      <w:rFonts w:ascii="Arial" w:eastAsiaTheme="minorEastAsia" w:hAnsi="Arial"/>
      <w:color w:val="232B39" w:themeColor="text1"/>
      <w:sz w:val="20"/>
      <w:szCs w:val="20"/>
      <w:lang w:eastAsia="en-AU"/>
    </w:rPr>
  </w:style>
  <w:style w:type="paragraph" w:styleId="Header">
    <w:name w:val="header"/>
    <w:basedOn w:val="Normal"/>
    <w:link w:val="HeaderChar"/>
    <w:uiPriority w:val="99"/>
    <w:rsid w:val="00953A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A15"/>
    <w:rPr>
      <w:rFonts w:eastAsiaTheme="minorEastAsia"/>
      <w:color w:val="232B39" w:themeColor="text1"/>
      <w:sz w:val="20"/>
      <w:szCs w:val="20"/>
      <w:lang w:eastAsia="en-AU"/>
    </w:rPr>
  </w:style>
  <w:style w:type="paragraph" w:styleId="Footer">
    <w:name w:val="footer"/>
    <w:basedOn w:val="Normal"/>
    <w:link w:val="FooterChar"/>
    <w:uiPriority w:val="99"/>
    <w:rsid w:val="00953A15"/>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rsid w:val="00953A15"/>
    <w:rPr>
      <w:rFonts w:eastAsiaTheme="minorEastAsia"/>
      <w:noProof/>
      <w:color w:val="232B39" w:themeColor="text1"/>
      <w:sz w:val="18"/>
      <w:szCs w:val="18"/>
      <w:lang w:eastAsia="en-AU"/>
    </w:rPr>
  </w:style>
  <w:style w:type="paragraph" w:styleId="ListParagraph">
    <w:name w:val="List Paragraph"/>
    <w:basedOn w:val="Normal"/>
    <w:uiPriority w:val="34"/>
    <w:qFormat/>
    <w:rsid w:val="00953A15"/>
    <w:pPr>
      <w:ind w:left="720"/>
      <w:contextualSpacing/>
    </w:pPr>
  </w:style>
  <w:style w:type="paragraph" w:customStyle="1" w:styleId="Star1">
    <w:name w:val="Star 1"/>
    <w:basedOn w:val="NormalIndent"/>
    <w:qFormat/>
    <w:rsid w:val="001F4044"/>
    <w:pPr>
      <w:spacing w:before="60" w:after="60"/>
      <w:ind w:left="518" w:hanging="144"/>
      <w:contextualSpacing/>
    </w:pPr>
    <w:rPr>
      <w:rFonts w:cs="Arial"/>
    </w:rPr>
  </w:style>
  <w:style w:type="table" w:styleId="TableGrid">
    <w:name w:val="Table Grid"/>
    <w:basedOn w:val="TableNormal"/>
    <w:uiPriority w:val="39"/>
    <w:rsid w:val="00D90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10D74"/>
    <w:pPr>
      <w:spacing w:before="0"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D10D74"/>
    <w:rPr>
      <w:rFonts w:ascii="Arial" w:eastAsiaTheme="minorEastAsia" w:hAnsi="Arial"/>
      <w:b/>
      <w:bCs/>
      <w:color w:val="232B39" w:themeColor="text1"/>
      <w:sz w:val="20"/>
      <w:szCs w:val="20"/>
      <w:lang w:eastAsia="en-AU"/>
    </w:rPr>
  </w:style>
  <w:style w:type="character" w:customStyle="1" w:styleId="Heading3Char">
    <w:name w:val="Heading 3 Char"/>
    <w:basedOn w:val="DefaultParagraphFont"/>
    <w:link w:val="Heading3"/>
    <w:rsid w:val="00D26716"/>
    <w:rPr>
      <w:rFonts w:asciiTheme="majorHAnsi" w:eastAsiaTheme="majorEastAsia" w:hAnsiTheme="majorHAnsi" w:cstheme="majorBidi"/>
      <w:bCs/>
      <w:color w:val="3A3467" w:themeColor="text2"/>
      <w:sz w:val="24"/>
      <w:szCs w:val="24"/>
      <w:lang w:eastAsia="en-AU"/>
    </w:rPr>
  </w:style>
  <w:style w:type="paragraph" w:styleId="TOCHeading">
    <w:name w:val="TOC Heading"/>
    <w:basedOn w:val="Heading1"/>
    <w:next w:val="Normal"/>
    <w:uiPriority w:val="38"/>
    <w:rsid w:val="00E64DC6"/>
    <w:pPr>
      <w:spacing w:before="440" w:after="440"/>
      <w:outlineLvl w:val="9"/>
    </w:pPr>
    <w:rPr>
      <w:spacing w:val="2"/>
    </w:rPr>
  </w:style>
  <w:style w:type="paragraph" w:styleId="TOC2">
    <w:name w:val="toc 2"/>
    <w:next w:val="Normal"/>
    <w:uiPriority w:val="39"/>
    <w:rsid w:val="00953A15"/>
    <w:pPr>
      <w:tabs>
        <w:tab w:val="right" w:pos="9000"/>
      </w:tabs>
      <w:spacing w:after="100" w:line="276" w:lineRule="auto"/>
      <w:ind w:left="446" w:right="432"/>
      <w:contextualSpacing/>
    </w:pPr>
    <w:rPr>
      <w:rFonts w:eastAsiaTheme="minorEastAsia"/>
      <w:noProof/>
      <w:spacing w:val="2"/>
      <w:sz w:val="20"/>
      <w:szCs w:val="20"/>
      <w:lang w:eastAsia="en-AU"/>
    </w:rPr>
  </w:style>
  <w:style w:type="paragraph" w:styleId="TOC3">
    <w:name w:val="toc 3"/>
    <w:basedOn w:val="Normal"/>
    <w:next w:val="Normal"/>
    <w:uiPriority w:val="39"/>
    <w:rsid w:val="00953A15"/>
    <w:pPr>
      <w:tabs>
        <w:tab w:val="right" w:pos="9000"/>
      </w:tabs>
      <w:spacing w:before="0"/>
      <w:ind w:left="450" w:right="432"/>
      <w:contextualSpacing/>
    </w:pPr>
    <w:rPr>
      <w:noProof/>
      <w:sz w:val="18"/>
      <w:szCs w:val="18"/>
    </w:rPr>
  </w:style>
  <w:style w:type="character" w:styleId="Hyperlink">
    <w:name w:val="Hyperlink"/>
    <w:basedOn w:val="DefaultParagraphFont"/>
    <w:uiPriority w:val="99"/>
    <w:rsid w:val="00D26716"/>
    <w:rPr>
      <w:color w:val="004C97" w:themeColor="accent3"/>
      <w:u w:val="single"/>
    </w:rPr>
  </w:style>
  <w:style w:type="paragraph" w:styleId="TOC1">
    <w:name w:val="toc 1"/>
    <w:basedOn w:val="Normal"/>
    <w:next w:val="Normal"/>
    <w:uiPriority w:val="39"/>
    <w:rsid w:val="00953A15"/>
    <w:pPr>
      <w:pBdr>
        <w:bottom w:val="single" w:sz="12" w:space="4" w:color="auto"/>
      </w:pBdr>
      <w:tabs>
        <w:tab w:val="right" w:pos="9000"/>
      </w:tabs>
      <w:ind w:right="26"/>
    </w:pPr>
    <w:rPr>
      <w:sz w:val="24"/>
      <w:szCs w:val="24"/>
    </w:rPr>
  </w:style>
  <w:style w:type="paragraph" w:styleId="Revision">
    <w:name w:val="Revision"/>
    <w:hidden/>
    <w:uiPriority w:val="99"/>
    <w:semiHidden/>
    <w:rsid w:val="00177031"/>
    <w:pPr>
      <w:spacing w:after="0" w:line="240" w:lineRule="auto"/>
    </w:pPr>
  </w:style>
  <w:style w:type="paragraph" w:styleId="BodyText">
    <w:name w:val="Body Text"/>
    <w:basedOn w:val="Normal"/>
    <w:link w:val="BodyTextChar"/>
    <w:uiPriority w:val="49"/>
    <w:rsid w:val="00953A15"/>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rsid w:val="00953A15"/>
    <w:rPr>
      <w:rFonts w:ascii="Calibri" w:eastAsia="Times New Roman" w:hAnsi="Calibri" w:cs="Calibri"/>
      <w:color w:val="232B39" w:themeColor="text1"/>
      <w:lang w:eastAsia="en-AU"/>
    </w:rPr>
  </w:style>
  <w:style w:type="paragraph" w:styleId="NoSpacing">
    <w:name w:val="No Spacing"/>
    <w:link w:val="NoSpacingChar"/>
    <w:uiPriority w:val="1"/>
    <w:qFormat/>
    <w:rsid w:val="00463BF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63BF8"/>
    <w:rPr>
      <w:rFonts w:eastAsiaTheme="minorEastAsia"/>
      <w:lang w:val="en-US"/>
    </w:rPr>
  </w:style>
  <w:style w:type="paragraph" w:styleId="NormalWeb">
    <w:name w:val="Normal (Web)"/>
    <w:basedOn w:val="Normal"/>
    <w:uiPriority w:val="99"/>
    <w:unhideWhenUsed/>
    <w:rsid w:val="00117C8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B0A68"/>
    <w:rPr>
      <w:color w:val="605E5C"/>
      <w:shd w:val="clear" w:color="auto" w:fill="E1DFDD"/>
    </w:rPr>
  </w:style>
  <w:style w:type="character" w:styleId="Mention">
    <w:name w:val="Mention"/>
    <w:basedOn w:val="DefaultParagraphFont"/>
    <w:uiPriority w:val="99"/>
    <w:unhideWhenUsed/>
    <w:rsid w:val="0057497B"/>
    <w:rPr>
      <w:color w:val="2B579A"/>
      <w:shd w:val="clear" w:color="auto" w:fill="E1DFDD"/>
    </w:rPr>
  </w:style>
  <w:style w:type="paragraph" w:customStyle="1" w:styleId="Numpara2">
    <w:name w:val="Num para 2"/>
    <w:qFormat/>
    <w:rsid w:val="007828F5"/>
    <w:pPr>
      <w:numPr>
        <w:numId w:val="56"/>
      </w:numPr>
      <w:ind w:left="360"/>
    </w:pPr>
    <w:rPr>
      <w:kern w:val="2"/>
      <w:sz w:val="20"/>
      <w:szCs w:val="20"/>
      <w14:ligatures w14:val="standardContextual"/>
    </w:rPr>
  </w:style>
  <w:style w:type="paragraph" w:styleId="FootnoteText">
    <w:name w:val="footnote text"/>
    <w:basedOn w:val="Normal"/>
    <w:link w:val="FootnoteTextChar"/>
    <w:uiPriority w:val="99"/>
    <w:semiHidden/>
    <w:rsid w:val="00953A15"/>
    <w:pPr>
      <w:spacing w:before="0" w:after="0" w:line="240" w:lineRule="auto"/>
    </w:pPr>
    <w:rPr>
      <w:sz w:val="17"/>
    </w:rPr>
  </w:style>
  <w:style w:type="character" w:customStyle="1" w:styleId="FootnoteTextChar">
    <w:name w:val="Footnote Text Char"/>
    <w:basedOn w:val="DefaultParagraphFont"/>
    <w:link w:val="FootnoteText"/>
    <w:uiPriority w:val="99"/>
    <w:semiHidden/>
    <w:rsid w:val="00953A15"/>
    <w:rPr>
      <w:rFonts w:eastAsiaTheme="minorEastAsia"/>
      <w:color w:val="232B39" w:themeColor="text1"/>
      <w:sz w:val="17"/>
      <w:szCs w:val="20"/>
      <w:lang w:eastAsia="en-AU"/>
    </w:rPr>
  </w:style>
  <w:style w:type="character" w:styleId="FootnoteReference">
    <w:name w:val="footnote reference"/>
    <w:basedOn w:val="DefaultParagraphFont"/>
    <w:uiPriority w:val="99"/>
    <w:semiHidden/>
    <w:rsid w:val="00953A15"/>
    <w:rPr>
      <w:vertAlign w:val="superscript"/>
    </w:rPr>
  </w:style>
  <w:style w:type="paragraph" w:customStyle="1" w:styleId="DraftHeading3">
    <w:name w:val="Draft Heading 3"/>
    <w:basedOn w:val="Normal"/>
    <w:next w:val="Normal"/>
    <w:rsid w:val="004C1AF0"/>
    <w:pPr>
      <w:overflowPunct w:val="0"/>
      <w:autoSpaceDE w:val="0"/>
      <w:autoSpaceDN w:val="0"/>
      <w:adjustRightInd w:val="0"/>
      <w:spacing w:after="0" w:line="240" w:lineRule="auto"/>
    </w:pPr>
    <w:rPr>
      <w:rFonts w:ascii="Times New Roman" w:eastAsia="Times New Roman" w:hAnsi="Times New Roman" w:cs="Times New Roman"/>
      <w:sz w:val="24"/>
    </w:rPr>
  </w:style>
  <w:style w:type="paragraph" w:customStyle="1" w:styleId="DraftHeading1">
    <w:name w:val="Draft Heading 1"/>
    <w:basedOn w:val="Normal"/>
    <w:next w:val="Normal"/>
    <w:rsid w:val="005814C8"/>
    <w:pPr>
      <w:overflowPunct w:val="0"/>
      <w:autoSpaceDE w:val="0"/>
      <w:autoSpaceDN w:val="0"/>
      <w:adjustRightInd w:val="0"/>
      <w:spacing w:after="0" w:line="240" w:lineRule="auto"/>
      <w:textAlignment w:val="baseline"/>
      <w:outlineLvl w:val="2"/>
    </w:pPr>
    <w:rPr>
      <w:rFonts w:ascii="Times New Roman" w:eastAsia="Times New Roman" w:hAnsi="Times New Roman" w:cs="Times New Roman"/>
      <w:b/>
      <w:sz w:val="24"/>
      <w:szCs w:val="24"/>
    </w:rPr>
  </w:style>
  <w:style w:type="paragraph" w:customStyle="1" w:styleId="DraftHeading2">
    <w:name w:val="Draft Heading 2"/>
    <w:basedOn w:val="Normal"/>
    <w:next w:val="Normal"/>
    <w:rsid w:val="005814C8"/>
    <w:pPr>
      <w:overflowPunct w:val="0"/>
      <w:autoSpaceDE w:val="0"/>
      <w:autoSpaceDN w:val="0"/>
      <w:adjustRightInd w:val="0"/>
      <w:spacing w:after="0" w:line="240" w:lineRule="auto"/>
      <w:textAlignment w:val="baseline"/>
    </w:pPr>
    <w:rPr>
      <w:rFonts w:ascii="Times New Roman" w:eastAsia="Times New Roman" w:hAnsi="Times New Roman" w:cs="Times New Roman"/>
      <w:sz w:val="24"/>
    </w:rPr>
  </w:style>
  <w:style w:type="paragraph" w:customStyle="1" w:styleId="DraftHeading4">
    <w:name w:val="Draft Heading 4"/>
    <w:basedOn w:val="Normal"/>
    <w:next w:val="Normal"/>
    <w:rsid w:val="005814C8"/>
    <w:pPr>
      <w:overflowPunct w:val="0"/>
      <w:autoSpaceDE w:val="0"/>
      <w:autoSpaceDN w:val="0"/>
      <w:adjustRightInd w:val="0"/>
      <w:spacing w:after="0" w:line="240" w:lineRule="auto"/>
      <w:textAlignment w:val="baseline"/>
    </w:pPr>
    <w:rPr>
      <w:rFonts w:ascii="Times New Roman" w:eastAsia="Times New Roman" w:hAnsi="Times New Roman" w:cs="Times New Roman"/>
      <w:sz w:val="24"/>
    </w:rPr>
  </w:style>
  <w:style w:type="paragraph" w:customStyle="1" w:styleId="DraftPenalty2">
    <w:name w:val="Draft Penalty 2"/>
    <w:basedOn w:val="Normal"/>
    <w:next w:val="Normal"/>
    <w:rsid w:val="005814C8"/>
    <w:pPr>
      <w:tabs>
        <w:tab w:val="left" w:pos="851"/>
        <w:tab w:val="left" w:pos="1361"/>
        <w:tab w:val="left" w:pos="1871"/>
        <w:tab w:val="decimal" w:pos="2381"/>
        <w:tab w:val="decimal" w:pos="2892"/>
        <w:tab w:val="decimal" w:pos="3402"/>
      </w:tabs>
      <w:overflowPunct w:val="0"/>
      <w:autoSpaceDE w:val="0"/>
      <w:autoSpaceDN w:val="0"/>
      <w:adjustRightInd w:val="0"/>
      <w:spacing w:after="0" w:line="240" w:lineRule="auto"/>
      <w:ind w:left="2382" w:hanging="1021"/>
      <w:textAlignment w:val="baseline"/>
    </w:pPr>
    <w:rPr>
      <w:rFonts w:ascii="Times New Roman" w:eastAsia="Times New Roman" w:hAnsi="Times New Roman" w:cs="Times New Roman"/>
      <w:sz w:val="24"/>
    </w:rPr>
  </w:style>
  <w:style w:type="character" w:styleId="FollowedHyperlink">
    <w:name w:val="FollowedHyperlink"/>
    <w:basedOn w:val="DefaultParagraphFont"/>
    <w:uiPriority w:val="99"/>
    <w:semiHidden/>
    <w:rsid w:val="00953A15"/>
    <w:rPr>
      <w:color w:val="808080" w:themeColor="background1" w:themeShade="80"/>
      <w:u w:val="none"/>
    </w:rPr>
  </w:style>
  <w:style w:type="paragraph" w:styleId="TOC4">
    <w:name w:val="toc 4"/>
    <w:basedOn w:val="TOC1"/>
    <w:next w:val="Normal"/>
    <w:uiPriority w:val="39"/>
    <w:rsid w:val="00953A15"/>
    <w:pPr>
      <w:spacing w:before="280"/>
      <w:ind w:left="446" w:right="29" w:hanging="446"/>
    </w:pPr>
    <w:rPr>
      <w:noProof/>
      <w:lang w:eastAsia="en-US"/>
    </w:rPr>
  </w:style>
  <w:style w:type="paragraph" w:styleId="TOC5">
    <w:name w:val="toc 5"/>
    <w:basedOn w:val="TOC2"/>
    <w:next w:val="Normal"/>
    <w:uiPriority w:val="39"/>
    <w:rsid w:val="00953A15"/>
    <w:pPr>
      <w:ind w:left="1080" w:hanging="634"/>
    </w:pPr>
    <w:rPr>
      <w:lang w:eastAsia="en-US"/>
    </w:rPr>
  </w:style>
  <w:style w:type="paragraph" w:styleId="TOC6">
    <w:name w:val="toc 6"/>
    <w:basedOn w:val="TOC3"/>
    <w:next w:val="Normal"/>
    <w:uiPriority w:val="39"/>
    <w:semiHidden/>
    <w:rsid w:val="00953A15"/>
    <w:pPr>
      <w:ind w:left="1800" w:hanging="720"/>
    </w:pPr>
    <w:rPr>
      <w:lang w:eastAsia="en-US"/>
    </w:rPr>
  </w:style>
  <w:style w:type="paragraph" w:customStyle="1" w:styleId="Spacer">
    <w:name w:val="Spacer"/>
    <w:basedOn w:val="Normal"/>
    <w:uiPriority w:val="13"/>
    <w:semiHidden/>
    <w:qFormat/>
    <w:rsid w:val="00953A15"/>
    <w:pPr>
      <w:spacing w:before="0" w:after="0" w:line="120" w:lineRule="atLeast"/>
    </w:pPr>
    <w:rPr>
      <w:rFonts w:eastAsia="Times New Roman" w:cs="Calibri"/>
      <w:sz w:val="10"/>
      <w:szCs w:val="22"/>
    </w:rPr>
  </w:style>
  <w:style w:type="paragraph" w:styleId="Subtitle">
    <w:name w:val="Subtitle"/>
    <w:next w:val="TertiaryTitle"/>
    <w:link w:val="SubtitleChar"/>
    <w:uiPriority w:val="45"/>
    <w:rsid w:val="00953A15"/>
    <w:pPr>
      <w:spacing w:before="1400" w:after="120" w:line="440" w:lineRule="exact"/>
      <w:ind w:right="2995"/>
      <w:jc w:val="right"/>
    </w:pPr>
    <w:rPr>
      <w:rFonts w:asciiTheme="majorHAnsi" w:eastAsia="Times New Roman" w:hAnsiTheme="majorHAnsi" w:cstheme="majorHAnsi"/>
      <w:sz w:val="32"/>
      <w:szCs w:val="32"/>
      <w:lang w:eastAsia="en-AU"/>
    </w:rPr>
  </w:style>
  <w:style w:type="character" w:customStyle="1" w:styleId="SubtitleChar">
    <w:name w:val="Subtitle Char"/>
    <w:basedOn w:val="DefaultParagraphFont"/>
    <w:link w:val="Subtitle"/>
    <w:uiPriority w:val="45"/>
    <w:rsid w:val="00953A15"/>
    <w:rPr>
      <w:rFonts w:asciiTheme="majorHAnsi" w:eastAsia="Times New Roman" w:hAnsiTheme="majorHAnsi" w:cstheme="majorHAnsi"/>
      <w:sz w:val="32"/>
      <w:szCs w:val="32"/>
      <w:lang w:eastAsia="en-AU"/>
    </w:rPr>
  </w:style>
  <w:style w:type="paragraph" w:styleId="Title">
    <w:name w:val="Title"/>
    <w:next w:val="Subtitle"/>
    <w:link w:val="TitleChar"/>
    <w:uiPriority w:val="44"/>
    <w:qFormat/>
    <w:rsid w:val="006F7CFD"/>
    <w:pPr>
      <w:spacing w:before="2200" w:after="300" w:line="216" w:lineRule="auto"/>
      <w:ind w:right="2909"/>
      <w:jc w:val="right"/>
    </w:pPr>
    <w:rPr>
      <w:rFonts w:asciiTheme="majorHAnsi" w:eastAsia="Times New Roman" w:hAnsiTheme="majorHAnsi" w:cstheme="majorHAnsi"/>
      <w:color w:val="3A3467" w:themeColor="text2"/>
      <w:sz w:val="56"/>
      <w:szCs w:val="56"/>
      <w:lang w:eastAsia="en-AU"/>
    </w:rPr>
  </w:style>
  <w:style w:type="character" w:customStyle="1" w:styleId="TitleChar">
    <w:name w:val="Title Char"/>
    <w:basedOn w:val="DefaultParagraphFont"/>
    <w:link w:val="Title"/>
    <w:uiPriority w:val="44"/>
    <w:rsid w:val="006F7CFD"/>
    <w:rPr>
      <w:rFonts w:asciiTheme="majorHAnsi" w:eastAsia="Times New Roman" w:hAnsiTheme="majorHAnsi" w:cstheme="majorHAnsi"/>
      <w:color w:val="3A3467" w:themeColor="text2"/>
      <w:sz w:val="56"/>
      <w:szCs w:val="56"/>
      <w:lang w:eastAsia="en-AU"/>
    </w:rPr>
  </w:style>
  <w:style w:type="character" w:styleId="PageNumber">
    <w:name w:val="page number"/>
    <w:uiPriority w:val="49"/>
    <w:semiHidden/>
    <w:rsid w:val="00953A15"/>
    <w:rPr>
      <w:rFonts w:asciiTheme="minorHAnsi" w:hAnsiTheme="minorHAnsi"/>
      <w:b w:val="0"/>
      <w:color w:val="232B39" w:themeColor="text1"/>
    </w:rPr>
  </w:style>
  <w:style w:type="paragraph" w:customStyle="1" w:styleId="NormalTight">
    <w:name w:val="Normal Tight"/>
    <w:uiPriority w:val="99"/>
    <w:semiHidden/>
    <w:rsid w:val="00953A15"/>
    <w:pPr>
      <w:spacing w:after="0" w:line="240" w:lineRule="auto"/>
      <w:ind w:right="2366"/>
    </w:pPr>
    <w:rPr>
      <w:rFonts w:eastAsia="Times New Roman" w:cs="Calibri"/>
      <w:sz w:val="18"/>
      <w:szCs w:val="19"/>
    </w:rPr>
  </w:style>
  <w:style w:type="paragraph" w:customStyle="1" w:styleId="Insidecoverspacer">
    <w:name w:val="Inside cover spacer"/>
    <w:basedOn w:val="NormalTight"/>
    <w:uiPriority w:val="99"/>
    <w:semiHidden/>
    <w:qFormat/>
    <w:rsid w:val="00953A15"/>
    <w:pPr>
      <w:spacing w:before="3800"/>
      <w:ind w:right="1382"/>
    </w:pPr>
  </w:style>
  <w:style w:type="paragraph" w:customStyle="1" w:styleId="ReportDate">
    <w:name w:val="ReportDate"/>
    <w:uiPriority w:val="79"/>
    <w:semiHidden/>
    <w:rsid w:val="00953A15"/>
    <w:pPr>
      <w:spacing w:before="160" w:after="60" w:line="240" w:lineRule="auto"/>
      <w:ind w:right="2909"/>
      <w:jc w:val="right"/>
    </w:pPr>
    <w:rPr>
      <w:rFonts w:eastAsiaTheme="minorEastAsia"/>
      <w:b/>
      <w:bCs/>
      <w:caps/>
      <w:sz w:val="20"/>
      <w:szCs w:val="20"/>
      <w:lang w:eastAsia="en-AU"/>
    </w:rPr>
  </w:style>
  <w:style w:type="paragraph" w:customStyle="1" w:styleId="CM">
    <w:name w:val="CM"/>
    <w:next w:val="Title"/>
    <w:uiPriority w:val="79"/>
    <w:semiHidden/>
    <w:rsid w:val="00953A15"/>
    <w:pPr>
      <w:spacing w:after="2200" w:line="240" w:lineRule="auto"/>
      <w:ind w:right="2909"/>
      <w:jc w:val="right"/>
    </w:pPr>
    <w:rPr>
      <w:rFonts w:eastAsiaTheme="minorEastAsia"/>
      <w:caps/>
      <w:sz w:val="20"/>
      <w:szCs w:val="20"/>
      <w:lang w:eastAsia="en-AU"/>
    </w:rPr>
  </w:style>
  <w:style w:type="paragraph" w:customStyle="1" w:styleId="CoverSpacer">
    <w:name w:val="CoverSpacer"/>
    <w:basedOn w:val="Normal"/>
    <w:semiHidden/>
    <w:qFormat/>
    <w:rsid w:val="00953A15"/>
    <w:pPr>
      <w:spacing w:before="4600" w:after="0"/>
    </w:pPr>
  </w:style>
  <w:style w:type="character" w:customStyle="1" w:styleId="Heading4Char">
    <w:name w:val="Heading 4 Char"/>
    <w:basedOn w:val="DefaultParagraphFont"/>
    <w:link w:val="Heading4"/>
    <w:rsid w:val="00D26716"/>
    <w:rPr>
      <w:rFonts w:asciiTheme="majorHAnsi" w:eastAsiaTheme="majorEastAsia" w:hAnsiTheme="majorHAnsi" w:cstheme="majorBidi"/>
      <w:bCs/>
      <w:iCs/>
      <w:color w:val="3A3467" w:themeColor="text2"/>
      <w:sz w:val="21"/>
      <w:szCs w:val="21"/>
      <w:lang w:eastAsia="en-AU"/>
    </w:rPr>
  </w:style>
  <w:style w:type="character" w:customStyle="1" w:styleId="Heading5Char">
    <w:name w:val="Heading 5 Char"/>
    <w:basedOn w:val="DefaultParagraphFont"/>
    <w:link w:val="Heading5"/>
    <w:rsid w:val="007B2306"/>
    <w:rPr>
      <w:rFonts w:asciiTheme="majorHAnsi" w:eastAsiaTheme="majorEastAsia" w:hAnsiTheme="majorHAnsi" w:cstheme="majorBidi"/>
      <w:color w:val="3A3467" w:themeColor="text2"/>
      <w:sz w:val="18"/>
      <w:szCs w:val="20"/>
      <w:lang w:eastAsia="en-AU"/>
    </w:rPr>
  </w:style>
  <w:style w:type="table" w:styleId="LightShading">
    <w:name w:val="Light Shading"/>
    <w:basedOn w:val="TableNormal"/>
    <w:uiPriority w:val="60"/>
    <w:rsid w:val="00953A15"/>
    <w:pPr>
      <w:spacing w:after="0" w:line="240" w:lineRule="auto"/>
    </w:pPr>
    <w:rPr>
      <w:rFonts w:eastAsiaTheme="minorEastAsia"/>
      <w:color w:val="1A202A" w:themeColor="text1" w:themeShade="BF"/>
      <w:sz w:val="20"/>
      <w:szCs w:val="20"/>
      <w:lang w:eastAsia="en-AU"/>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LightList-Accent4">
    <w:name w:val="Light List Accent 4"/>
    <w:basedOn w:val="TableNormal"/>
    <w:uiPriority w:val="61"/>
    <w:rsid w:val="00953A15"/>
    <w:pPr>
      <w:spacing w:after="0" w:line="240" w:lineRule="auto"/>
    </w:pPr>
    <w:rPr>
      <w:rFonts w:eastAsiaTheme="minorEastAsia"/>
      <w:sz w:val="20"/>
      <w:szCs w:val="20"/>
      <w:lang w:eastAsia="en-AU"/>
    </w:r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953A15"/>
    <w:pPr>
      <w:spacing w:after="0" w:line="240" w:lineRule="auto"/>
    </w:pPr>
    <w:rPr>
      <w:rFonts w:eastAsiaTheme="minorEastAsia"/>
      <w:sz w:val="20"/>
      <w:szCs w:val="20"/>
      <w:lang w:eastAsia="en-AU"/>
    </w:r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Index1">
    <w:name w:val="index 1"/>
    <w:basedOn w:val="Normal"/>
    <w:next w:val="Normal"/>
    <w:uiPriority w:val="99"/>
    <w:semiHidden/>
    <w:rsid w:val="00953A15"/>
    <w:pPr>
      <w:spacing w:after="60" w:line="240" w:lineRule="auto"/>
    </w:pPr>
    <w:rPr>
      <w:sz w:val="16"/>
    </w:rPr>
  </w:style>
  <w:style w:type="paragraph" w:styleId="Index2">
    <w:name w:val="index 2"/>
    <w:basedOn w:val="Normal"/>
    <w:next w:val="Normal"/>
    <w:uiPriority w:val="99"/>
    <w:semiHidden/>
    <w:rsid w:val="00953A15"/>
    <w:pPr>
      <w:spacing w:after="0" w:line="240" w:lineRule="auto"/>
      <w:ind w:left="216"/>
    </w:pPr>
    <w:rPr>
      <w:sz w:val="16"/>
      <w:szCs w:val="16"/>
    </w:rPr>
  </w:style>
  <w:style w:type="paragraph" w:customStyle="1" w:styleId="Bullet1">
    <w:name w:val="Bullet 1"/>
    <w:uiPriority w:val="1"/>
    <w:qFormat/>
    <w:rsid w:val="00953A15"/>
    <w:pPr>
      <w:numPr>
        <w:numId w:val="39"/>
      </w:numPr>
      <w:spacing w:before="100" w:after="100" w:line="264" w:lineRule="auto"/>
      <w:contextualSpacing/>
    </w:pPr>
    <w:rPr>
      <w:rFonts w:eastAsia="Times New Roman" w:cs="Calibri"/>
      <w:color w:val="232B39" w:themeColor="text1"/>
      <w:sz w:val="20"/>
      <w:szCs w:val="20"/>
      <w:lang w:eastAsia="en-AU"/>
    </w:rPr>
  </w:style>
  <w:style w:type="paragraph" w:customStyle="1" w:styleId="Bullet2">
    <w:name w:val="Bullet 2"/>
    <w:basedOn w:val="Bullet1"/>
    <w:uiPriority w:val="1"/>
    <w:qFormat/>
    <w:rsid w:val="00953A15"/>
    <w:pPr>
      <w:numPr>
        <w:ilvl w:val="1"/>
      </w:numPr>
    </w:pPr>
  </w:style>
  <w:style w:type="paragraph" w:customStyle="1" w:styleId="Bulletindent">
    <w:name w:val="Bullet indent"/>
    <w:basedOn w:val="Bullet2"/>
    <w:uiPriority w:val="9"/>
    <w:qFormat/>
    <w:rsid w:val="00953A15"/>
    <w:pPr>
      <w:numPr>
        <w:ilvl w:val="2"/>
      </w:numPr>
    </w:pPr>
  </w:style>
  <w:style w:type="paragraph" w:customStyle="1" w:styleId="Heading1numbered">
    <w:name w:val="Heading 1 numbered"/>
    <w:basedOn w:val="Heading1"/>
    <w:next w:val="NormalIndent"/>
    <w:uiPriority w:val="8"/>
    <w:qFormat/>
    <w:rsid w:val="00953A15"/>
    <w:pPr>
      <w:numPr>
        <w:ilvl w:val="2"/>
        <w:numId w:val="40"/>
      </w:numPr>
    </w:pPr>
  </w:style>
  <w:style w:type="paragraph" w:customStyle="1" w:styleId="Heading2numbered">
    <w:name w:val="Heading 2 numbered"/>
    <w:basedOn w:val="Heading2"/>
    <w:next w:val="NormalIndent"/>
    <w:uiPriority w:val="8"/>
    <w:qFormat/>
    <w:rsid w:val="00953A15"/>
    <w:pPr>
      <w:numPr>
        <w:ilvl w:val="3"/>
        <w:numId w:val="40"/>
      </w:numPr>
    </w:pPr>
  </w:style>
  <w:style w:type="paragraph" w:customStyle="1" w:styleId="Heading3numbered">
    <w:name w:val="Heading 3 numbered"/>
    <w:basedOn w:val="Heading3"/>
    <w:next w:val="NormalIndent"/>
    <w:uiPriority w:val="8"/>
    <w:qFormat/>
    <w:rsid w:val="00953A15"/>
    <w:pPr>
      <w:numPr>
        <w:ilvl w:val="4"/>
        <w:numId w:val="40"/>
      </w:numPr>
    </w:pPr>
  </w:style>
  <w:style w:type="paragraph" w:customStyle="1" w:styleId="Heading4numbered">
    <w:name w:val="Heading 4 numbered"/>
    <w:basedOn w:val="Heading4"/>
    <w:next w:val="NormalIndent"/>
    <w:uiPriority w:val="8"/>
    <w:qFormat/>
    <w:rsid w:val="00953A15"/>
    <w:pPr>
      <w:numPr>
        <w:ilvl w:val="5"/>
        <w:numId w:val="40"/>
      </w:numPr>
    </w:pPr>
  </w:style>
  <w:style w:type="paragraph" w:styleId="NormalIndent">
    <w:name w:val="Normal Indent"/>
    <w:basedOn w:val="Normal"/>
    <w:uiPriority w:val="9"/>
    <w:qFormat/>
    <w:rsid w:val="00953A15"/>
    <w:pPr>
      <w:ind w:left="792"/>
    </w:pPr>
  </w:style>
  <w:style w:type="paragraph" w:customStyle="1" w:styleId="NoteNormal">
    <w:name w:val="Note Normal"/>
    <w:basedOn w:val="Normal"/>
    <w:rsid w:val="00953A15"/>
    <w:pPr>
      <w:spacing w:before="80" w:line="240" w:lineRule="auto"/>
    </w:pPr>
    <w:rPr>
      <w:rFonts w:eastAsia="Times New Roman" w:cstheme="minorHAnsi"/>
      <w:color w:val="000000"/>
      <w:spacing w:val="1"/>
      <w:sz w:val="16"/>
      <w:szCs w:val="16"/>
      <w:lang w:eastAsia="en-US"/>
    </w:rPr>
  </w:style>
  <w:style w:type="paragraph" w:customStyle="1" w:styleId="TertiaryTitle">
    <w:name w:val="Tertiary Title"/>
    <w:next w:val="Normal"/>
    <w:uiPriority w:val="99"/>
    <w:semiHidden/>
    <w:rsid w:val="00953A15"/>
    <w:pPr>
      <w:spacing w:after="0" w:line="276" w:lineRule="auto"/>
    </w:pPr>
    <w:rPr>
      <w:rFonts w:asciiTheme="majorHAnsi" w:eastAsia="Times New Roman" w:hAnsiTheme="majorHAnsi" w:cstheme="majorHAnsi"/>
      <w:color w:val="FFFFFF" w:themeColor="background1"/>
      <w:spacing w:val="-2"/>
      <w:sz w:val="20"/>
      <w:szCs w:val="40"/>
    </w:rPr>
  </w:style>
  <w:style w:type="paragraph" w:styleId="BalloonText">
    <w:name w:val="Balloon Text"/>
    <w:basedOn w:val="Normal"/>
    <w:link w:val="BalloonTextChar"/>
    <w:uiPriority w:val="99"/>
    <w:semiHidden/>
    <w:rsid w:val="00953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A15"/>
    <w:rPr>
      <w:rFonts w:ascii="Tahoma" w:eastAsiaTheme="minorEastAsia" w:hAnsi="Tahoma" w:cs="Tahoma"/>
      <w:color w:val="232B39" w:themeColor="text1"/>
      <w:sz w:val="16"/>
      <w:szCs w:val="16"/>
      <w:lang w:eastAsia="en-AU"/>
    </w:rPr>
  </w:style>
  <w:style w:type="paragraph" w:customStyle="1" w:styleId="Bulletindent2">
    <w:name w:val="Bullet indent 2"/>
    <w:basedOn w:val="Normal"/>
    <w:uiPriority w:val="9"/>
    <w:qFormat/>
    <w:rsid w:val="00953A15"/>
    <w:pPr>
      <w:numPr>
        <w:ilvl w:val="3"/>
        <w:numId w:val="39"/>
      </w:numPr>
      <w:spacing w:before="100"/>
      <w:contextualSpacing/>
    </w:pPr>
  </w:style>
  <w:style w:type="paragraph" w:styleId="IndexHeading">
    <w:name w:val="index heading"/>
    <w:basedOn w:val="Normal"/>
    <w:next w:val="Index1"/>
    <w:uiPriority w:val="99"/>
    <w:semiHidden/>
    <w:rsid w:val="00953A15"/>
    <w:rPr>
      <w:rFonts w:asciiTheme="majorHAnsi" w:eastAsiaTheme="majorEastAsia" w:hAnsiTheme="majorHAnsi" w:cstheme="majorBidi"/>
      <w:b/>
      <w:bCs/>
    </w:rPr>
  </w:style>
  <w:style w:type="table" w:customStyle="1" w:styleId="DTFtexttable">
    <w:name w:val="DTF text table"/>
    <w:basedOn w:val="TableNormal"/>
    <w:uiPriority w:val="99"/>
    <w:rsid w:val="006B1199"/>
    <w:pPr>
      <w:spacing w:before="30" w:after="30" w:line="264" w:lineRule="auto"/>
    </w:pPr>
    <w:rPr>
      <w:spacing w:val="2"/>
      <w:sz w:val="17"/>
      <w:szCs w:val="21"/>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val="0"/>
        <w:i w:val="0"/>
        <w:color w:val="auto"/>
        <w:sz w:val="18"/>
      </w:rPr>
      <w:tblPr/>
      <w:tcPr>
        <w:shd w:val="clear" w:color="auto" w:fill="C2EBFA" w:themeFill="background2"/>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953A15"/>
    <w:pPr>
      <w:spacing w:before="30" w:after="30" w:line="264" w:lineRule="auto"/>
      <w:jc w:val="right"/>
    </w:pPr>
    <w:rPr>
      <w:spacing w:val="2"/>
      <w:sz w:val="17"/>
      <w:szCs w:val="21"/>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953A15"/>
    <w:pPr>
      <w:spacing w:before="60" w:after="60"/>
    </w:pPr>
    <w:rPr>
      <w:sz w:val="17"/>
    </w:rPr>
  </w:style>
  <w:style w:type="paragraph" w:customStyle="1" w:styleId="Tabletextright">
    <w:name w:val="Table text right"/>
    <w:basedOn w:val="Tabletext"/>
    <w:uiPriority w:val="5"/>
    <w:qFormat/>
    <w:rsid w:val="00953A15"/>
    <w:pPr>
      <w:jc w:val="right"/>
    </w:pPr>
  </w:style>
  <w:style w:type="paragraph" w:customStyle="1" w:styleId="Listnumindent2">
    <w:name w:val="List num indent 2"/>
    <w:basedOn w:val="Normal"/>
    <w:uiPriority w:val="9"/>
    <w:qFormat/>
    <w:rsid w:val="00953A15"/>
    <w:pPr>
      <w:numPr>
        <w:ilvl w:val="7"/>
        <w:numId w:val="40"/>
      </w:numPr>
      <w:spacing w:before="100"/>
      <w:contextualSpacing/>
    </w:pPr>
  </w:style>
  <w:style w:type="paragraph" w:customStyle="1" w:styleId="Listnumindent">
    <w:name w:val="List num indent"/>
    <w:basedOn w:val="Normal"/>
    <w:uiPriority w:val="9"/>
    <w:qFormat/>
    <w:rsid w:val="00AA6EA4"/>
    <w:pPr>
      <w:numPr>
        <w:ilvl w:val="6"/>
        <w:numId w:val="40"/>
      </w:numPr>
      <w:spacing w:before="60" w:after="60"/>
      <w:contextualSpacing/>
    </w:pPr>
  </w:style>
  <w:style w:type="paragraph" w:customStyle="1" w:styleId="Listnum">
    <w:name w:val="List num"/>
    <w:basedOn w:val="Normal"/>
    <w:uiPriority w:val="2"/>
    <w:qFormat/>
    <w:rsid w:val="00953A15"/>
    <w:pPr>
      <w:numPr>
        <w:numId w:val="40"/>
      </w:numPr>
    </w:pPr>
  </w:style>
  <w:style w:type="paragraph" w:customStyle="1" w:styleId="Listnum2">
    <w:name w:val="List num 2"/>
    <w:basedOn w:val="Normal"/>
    <w:uiPriority w:val="2"/>
    <w:qFormat/>
    <w:rsid w:val="00953A15"/>
    <w:pPr>
      <w:numPr>
        <w:ilvl w:val="1"/>
        <w:numId w:val="40"/>
      </w:numPr>
    </w:pPr>
  </w:style>
  <w:style w:type="paragraph" w:customStyle="1" w:styleId="Tabletextcentred">
    <w:name w:val="Table text centred"/>
    <w:basedOn w:val="Tabletext"/>
    <w:uiPriority w:val="5"/>
    <w:qFormat/>
    <w:rsid w:val="00953A15"/>
    <w:pPr>
      <w:jc w:val="center"/>
    </w:pPr>
  </w:style>
  <w:style w:type="paragraph" w:customStyle="1" w:styleId="Tableheader">
    <w:name w:val="Table header"/>
    <w:basedOn w:val="Tabletext"/>
    <w:uiPriority w:val="5"/>
    <w:qFormat/>
    <w:rsid w:val="00953A15"/>
    <w:pPr>
      <w:keepNext/>
      <w:spacing w:before="120"/>
    </w:pPr>
    <w:rPr>
      <w:rFonts w:eastAsiaTheme="minorHAnsi"/>
      <w:spacing w:val="2"/>
      <w:sz w:val="18"/>
      <w:szCs w:val="18"/>
      <w:lang w:eastAsia="en-US"/>
    </w:rPr>
  </w:style>
  <w:style w:type="paragraph" w:customStyle="1" w:styleId="Tablebullet">
    <w:name w:val="Table bullet"/>
    <w:basedOn w:val="Tabletext"/>
    <w:uiPriority w:val="6"/>
    <w:rsid w:val="00953A15"/>
    <w:pPr>
      <w:numPr>
        <w:numId w:val="41"/>
      </w:numPr>
    </w:pPr>
  </w:style>
  <w:style w:type="paragraph" w:customStyle="1" w:styleId="Tabledash">
    <w:name w:val="Table dash"/>
    <w:basedOn w:val="Tablebullet"/>
    <w:uiPriority w:val="6"/>
    <w:rsid w:val="00953A15"/>
    <w:pPr>
      <w:numPr>
        <w:ilvl w:val="1"/>
      </w:numPr>
    </w:pPr>
  </w:style>
  <w:style w:type="paragraph" w:customStyle="1" w:styleId="Tabletextindent">
    <w:name w:val="Table text indent"/>
    <w:basedOn w:val="Tabletext"/>
    <w:uiPriority w:val="5"/>
    <w:qFormat/>
    <w:rsid w:val="00953A15"/>
    <w:pPr>
      <w:ind w:left="288"/>
    </w:pPr>
  </w:style>
  <w:style w:type="paragraph" w:customStyle="1" w:styleId="Numpara">
    <w:name w:val="Num para"/>
    <w:basedOn w:val="ListParagraph"/>
    <w:qFormat/>
    <w:rsid w:val="00953A15"/>
    <w:pPr>
      <w:numPr>
        <w:numId w:val="70"/>
      </w:numPr>
      <w:tabs>
        <w:tab w:val="left" w:pos="540"/>
      </w:tabs>
    </w:pPr>
  </w:style>
  <w:style w:type="table" w:customStyle="1" w:styleId="DTFtexttableindent">
    <w:name w:val="DTF text table indent"/>
    <w:basedOn w:val="DTFtexttable"/>
    <w:uiPriority w:val="99"/>
    <w:rsid w:val="00953A15"/>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953A15"/>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Numparaindent">
    <w:name w:val="Num para indent"/>
    <w:basedOn w:val="Numpara"/>
    <w:uiPriority w:val="9"/>
    <w:qFormat/>
    <w:rsid w:val="00953A15"/>
    <w:pPr>
      <w:numPr>
        <w:ilvl w:val="8"/>
        <w:numId w:val="40"/>
      </w:numPr>
      <w:tabs>
        <w:tab w:val="clear" w:pos="540"/>
      </w:tabs>
    </w:pPr>
  </w:style>
  <w:style w:type="paragraph" w:customStyle="1" w:styleId="NoteNormalindent">
    <w:name w:val="Note Normal indent"/>
    <w:basedOn w:val="NoteNormal"/>
    <w:uiPriority w:val="9"/>
    <w:rsid w:val="00953A15"/>
    <w:pPr>
      <w:ind w:left="792"/>
    </w:pPr>
  </w:style>
  <w:style w:type="paragraph" w:customStyle="1" w:styleId="Tablenum1">
    <w:name w:val="Table num 1"/>
    <w:basedOn w:val="Normal"/>
    <w:uiPriority w:val="6"/>
    <w:rsid w:val="00953A15"/>
    <w:pPr>
      <w:numPr>
        <w:ilvl w:val="2"/>
        <w:numId w:val="41"/>
      </w:numPr>
      <w:spacing w:before="60" w:after="60"/>
    </w:pPr>
    <w:rPr>
      <w:sz w:val="17"/>
    </w:rPr>
  </w:style>
  <w:style w:type="paragraph" w:customStyle="1" w:styleId="Tablenum2">
    <w:name w:val="Table num 2"/>
    <w:basedOn w:val="Normal"/>
    <w:uiPriority w:val="6"/>
    <w:rsid w:val="00953A15"/>
    <w:pPr>
      <w:numPr>
        <w:ilvl w:val="3"/>
        <w:numId w:val="41"/>
      </w:numPr>
      <w:spacing w:before="60" w:after="60"/>
    </w:pPr>
    <w:rPr>
      <w:sz w:val="17"/>
    </w:rPr>
  </w:style>
  <w:style w:type="paragraph" w:styleId="Caption">
    <w:name w:val="caption"/>
    <w:basedOn w:val="Normal"/>
    <w:next w:val="Normal"/>
    <w:uiPriority w:val="5"/>
    <w:rsid w:val="00953A15"/>
    <w:pPr>
      <w:keepNext/>
      <w:spacing w:before="200" w:after="60" w:line="240" w:lineRule="auto"/>
    </w:pPr>
    <w:rPr>
      <w:b/>
      <w:bCs/>
      <w:sz w:val="18"/>
      <w:szCs w:val="18"/>
    </w:rPr>
  </w:style>
  <w:style w:type="character" w:styleId="PlaceholderText">
    <w:name w:val="Placeholder Text"/>
    <w:basedOn w:val="DefaultParagraphFont"/>
    <w:uiPriority w:val="99"/>
    <w:semiHidden/>
    <w:rsid w:val="00953A15"/>
    <w:rPr>
      <w:color w:val="808080"/>
    </w:rPr>
  </w:style>
  <w:style w:type="table" w:styleId="PlainTable4">
    <w:name w:val="Plain Table 4"/>
    <w:basedOn w:val="TableNormal"/>
    <w:uiPriority w:val="44"/>
    <w:rsid w:val="00953A15"/>
    <w:pPr>
      <w:spacing w:after="0" w:line="240" w:lineRule="auto"/>
    </w:pPr>
    <w:rPr>
      <w:rFonts w:eastAsiaTheme="minorEastAsia"/>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indent">
    <w:name w:val="Caption indent"/>
    <w:basedOn w:val="Caption"/>
    <w:uiPriority w:val="7"/>
    <w:qFormat/>
    <w:rsid w:val="00953A15"/>
    <w:pPr>
      <w:spacing w:before="240"/>
      <w:ind w:left="792"/>
    </w:pPr>
  </w:style>
  <w:style w:type="paragraph" w:styleId="Quote">
    <w:name w:val="Quote"/>
    <w:basedOn w:val="Normal"/>
    <w:next w:val="Normal"/>
    <w:link w:val="QuoteChar"/>
    <w:uiPriority w:val="14"/>
    <w:qFormat/>
    <w:rsid w:val="00074962"/>
    <w:pPr>
      <w:pBdr>
        <w:top w:val="single" w:sz="12" w:space="6" w:color="C2EBFA" w:themeColor="background2"/>
        <w:bottom w:val="single" w:sz="12" w:space="4" w:color="C2EBFA" w:themeColor="background2"/>
      </w:pBdr>
      <w:tabs>
        <w:tab w:val="right" w:pos="8162"/>
      </w:tabs>
      <w:spacing w:before="200" w:after="200" w:line="264" w:lineRule="auto"/>
      <w:ind w:left="720" w:right="864"/>
    </w:pPr>
    <w:rPr>
      <w:i/>
      <w:iCs/>
      <w:sz w:val="18"/>
      <w:szCs w:val="18"/>
    </w:rPr>
  </w:style>
  <w:style w:type="character" w:customStyle="1" w:styleId="QuoteChar">
    <w:name w:val="Quote Char"/>
    <w:basedOn w:val="DefaultParagraphFont"/>
    <w:link w:val="Quote"/>
    <w:uiPriority w:val="14"/>
    <w:rsid w:val="00074962"/>
    <w:rPr>
      <w:rFonts w:eastAsiaTheme="minorEastAsia"/>
      <w:i/>
      <w:iCs/>
      <w:color w:val="232B39" w:themeColor="text1"/>
      <w:sz w:val="18"/>
      <w:szCs w:val="18"/>
      <w:lang w:eastAsia="en-AU"/>
    </w:rPr>
  </w:style>
  <w:style w:type="paragraph" w:customStyle="1" w:styleId="Star2">
    <w:name w:val="Star 2"/>
    <w:basedOn w:val="ListParagraph"/>
    <w:qFormat/>
    <w:rsid w:val="00B729A5"/>
    <w:pPr>
      <w:numPr>
        <w:numId w:val="47"/>
      </w:numPr>
      <w:spacing w:before="60" w:after="60" w:line="240" w:lineRule="auto"/>
      <w:ind w:left="1080" w:hanging="199"/>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138558">
      <w:bodyDiv w:val="1"/>
      <w:marLeft w:val="0"/>
      <w:marRight w:val="0"/>
      <w:marTop w:val="0"/>
      <w:marBottom w:val="0"/>
      <w:divBdr>
        <w:top w:val="none" w:sz="0" w:space="0" w:color="auto"/>
        <w:left w:val="none" w:sz="0" w:space="0" w:color="auto"/>
        <w:bottom w:val="none" w:sz="0" w:space="0" w:color="auto"/>
        <w:right w:val="none" w:sz="0" w:space="0" w:color="auto"/>
      </w:divBdr>
      <w:divsChild>
        <w:div w:id="1367754256">
          <w:marLeft w:val="446"/>
          <w:marRight w:val="0"/>
          <w:marTop w:val="0"/>
          <w:marBottom w:val="120"/>
          <w:divBdr>
            <w:top w:val="none" w:sz="0" w:space="0" w:color="auto"/>
            <w:left w:val="none" w:sz="0" w:space="0" w:color="auto"/>
            <w:bottom w:val="none" w:sz="0" w:space="0" w:color="auto"/>
            <w:right w:val="none" w:sz="0" w:space="0" w:color="auto"/>
          </w:divBdr>
        </w:div>
        <w:div w:id="1556432131">
          <w:marLeft w:val="446"/>
          <w:marRight w:val="0"/>
          <w:marTop w:val="0"/>
          <w:marBottom w:val="120"/>
          <w:divBdr>
            <w:top w:val="none" w:sz="0" w:space="0" w:color="auto"/>
            <w:left w:val="none" w:sz="0" w:space="0" w:color="auto"/>
            <w:bottom w:val="none" w:sz="0" w:space="0" w:color="auto"/>
            <w:right w:val="none" w:sz="0" w:space="0" w:color="auto"/>
          </w:divBdr>
        </w:div>
      </w:divsChild>
    </w:div>
    <w:div w:id="703486502">
      <w:bodyDiv w:val="1"/>
      <w:marLeft w:val="0"/>
      <w:marRight w:val="0"/>
      <w:marTop w:val="0"/>
      <w:marBottom w:val="0"/>
      <w:divBdr>
        <w:top w:val="none" w:sz="0" w:space="0" w:color="auto"/>
        <w:left w:val="none" w:sz="0" w:space="0" w:color="auto"/>
        <w:bottom w:val="none" w:sz="0" w:space="0" w:color="auto"/>
        <w:right w:val="none" w:sz="0" w:space="0" w:color="auto"/>
      </w:divBdr>
      <w:divsChild>
        <w:div w:id="1085422467">
          <w:marLeft w:val="446"/>
          <w:marRight w:val="0"/>
          <w:marTop w:val="120"/>
          <w:marBottom w:val="120"/>
          <w:divBdr>
            <w:top w:val="none" w:sz="0" w:space="0" w:color="auto"/>
            <w:left w:val="none" w:sz="0" w:space="0" w:color="auto"/>
            <w:bottom w:val="none" w:sz="0" w:space="0" w:color="auto"/>
            <w:right w:val="none" w:sz="0" w:space="0" w:color="auto"/>
          </w:divBdr>
        </w:div>
      </w:divsChild>
    </w:div>
    <w:div w:id="778645347">
      <w:bodyDiv w:val="1"/>
      <w:marLeft w:val="0"/>
      <w:marRight w:val="0"/>
      <w:marTop w:val="0"/>
      <w:marBottom w:val="0"/>
      <w:divBdr>
        <w:top w:val="none" w:sz="0" w:space="0" w:color="auto"/>
        <w:left w:val="none" w:sz="0" w:space="0" w:color="auto"/>
        <w:bottom w:val="none" w:sz="0" w:space="0" w:color="auto"/>
        <w:right w:val="none" w:sz="0" w:space="0" w:color="auto"/>
      </w:divBdr>
    </w:div>
    <w:div w:id="807015977">
      <w:bodyDiv w:val="1"/>
      <w:marLeft w:val="0"/>
      <w:marRight w:val="0"/>
      <w:marTop w:val="0"/>
      <w:marBottom w:val="0"/>
      <w:divBdr>
        <w:top w:val="none" w:sz="0" w:space="0" w:color="auto"/>
        <w:left w:val="none" w:sz="0" w:space="0" w:color="auto"/>
        <w:bottom w:val="none" w:sz="0" w:space="0" w:color="auto"/>
        <w:right w:val="none" w:sz="0" w:space="0" w:color="auto"/>
      </w:divBdr>
    </w:div>
    <w:div w:id="975455876">
      <w:bodyDiv w:val="1"/>
      <w:marLeft w:val="0"/>
      <w:marRight w:val="0"/>
      <w:marTop w:val="0"/>
      <w:marBottom w:val="0"/>
      <w:divBdr>
        <w:top w:val="none" w:sz="0" w:space="0" w:color="auto"/>
        <w:left w:val="none" w:sz="0" w:space="0" w:color="auto"/>
        <w:bottom w:val="none" w:sz="0" w:space="0" w:color="auto"/>
        <w:right w:val="none" w:sz="0" w:space="0" w:color="auto"/>
      </w:divBdr>
    </w:div>
    <w:div w:id="1018581484">
      <w:bodyDiv w:val="1"/>
      <w:marLeft w:val="0"/>
      <w:marRight w:val="0"/>
      <w:marTop w:val="0"/>
      <w:marBottom w:val="0"/>
      <w:divBdr>
        <w:top w:val="none" w:sz="0" w:space="0" w:color="auto"/>
        <w:left w:val="none" w:sz="0" w:space="0" w:color="auto"/>
        <w:bottom w:val="none" w:sz="0" w:space="0" w:color="auto"/>
        <w:right w:val="none" w:sz="0" w:space="0" w:color="auto"/>
      </w:divBdr>
    </w:div>
    <w:div w:id="1074736616">
      <w:bodyDiv w:val="1"/>
      <w:marLeft w:val="0"/>
      <w:marRight w:val="0"/>
      <w:marTop w:val="0"/>
      <w:marBottom w:val="0"/>
      <w:divBdr>
        <w:top w:val="none" w:sz="0" w:space="0" w:color="auto"/>
        <w:left w:val="none" w:sz="0" w:space="0" w:color="auto"/>
        <w:bottom w:val="none" w:sz="0" w:space="0" w:color="auto"/>
        <w:right w:val="none" w:sz="0" w:space="0" w:color="auto"/>
      </w:divBdr>
    </w:div>
    <w:div w:id="1107191556">
      <w:bodyDiv w:val="1"/>
      <w:marLeft w:val="0"/>
      <w:marRight w:val="0"/>
      <w:marTop w:val="0"/>
      <w:marBottom w:val="0"/>
      <w:divBdr>
        <w:top w:val="none" w:sz="0" w:space="0" w:color="auto"/>
        <w:left w:val="none" w:sz="0" w:space="0" w:color="auto"/>
        <w:bottom w:val="none" w:sz="0" w:space="0" w:color="auto"/>
        <w:right w:val="none" w:sz="0" w:space="0" w:color="auto"/>
      </w:divBdr>
    </w:div>
    <w:div w:id="1166359465">
      <w:bodyDiv w:val="1"/>
      <w:marLeft w:val="0"/>
      <w:marRight w:val="0"/>
      <w:marTop w:val="0"/>
      <w:marBottom w:val="0"/>
      <w:divBdr>
        <w:top w:val="none" w:sz="0" w:space="0" w:color="auto"/>
        <w:left w:val="none" w:sz="0" w:space="0" w:color="auto"/>
        <w:bottom w:val="none" w:sz="0" w:space="0" w:color="auto"/>
        <w:right w:val="none" w:sz="0" w:space="0" w:color="auto"/>
      </w:divBdr>
    </w:div>
    <w:div w:id="1215390798">
      <w:bodyDiv w:val="1"/>
      <w:marLeft w:val="0"/>
      <w:marRight w:val="0"/>
      <w:marTop w:val="0"/>
      <w:marBottom w:val="0"/>
      <w:divBdr>
        <w:top w:val="none" w:sz="0" w:space="0" w:color="auto"/>
        <w:left w:val="none" w:sz="0" w:space="0" w:color="auto"/>
        <w:bottom w:val="none" w:sz="0" w:space="0" w:color="auto"/>
        <w:right w:val="none" w:sz="0" w:space="0" w:color="auto"/>
      </w:divBdr>
    </w:div>
    <w:div w:id="1366251186">
      <w:bodyDiv w:val="1"/>
      <w:marLeft w:val="0"/>
      <w:marRight w:val="0"/>
      <w:marTop w:val="0"/>
      <w:marBottom w:val="0"/>
      <w:divBdr>
        <w:top w:val="none" w:sz="0" w:space="0" w:color="auto"/>
        <w:left w:val="none" w:sz="0" w:space="0" w:color="auto"/>
        <w:bottom w:val="none" w:sz="0" w:space="0" w:color="auto"/>
        <w:right w:val="none" w:sz="0" w:space="0" w:color="auto"/>
      </w:divBdr>
    </w:div>
    <w:div w:id="1508979140">
      <w:bodyDiv w:val="1"/>
      <w:marLeft w:val="0"/>
      <w:marRight w:val="0"/>
      <w:marTop w:val="0"/>
      <w:marBottom w:val="0"/>
      <w:divBdr>
        <w:top w:val="none" w:sz="0" w:space="0" w:color="auto"/>
        <w:left w:val="none" w:sz="0" w:space="0" w:color="auto"/>
        <w:bottom w:val="none" w:sz="0" w:space="0" w:color="auto"/>
        <w:right w:val="none" w:sz="0" w:space="0" w:color="auto"/>
      </w:divBdr>
    </w:div>
    <w:div w:id="1572498952">
      <w:bodyDiv w:val="1"/>
      <w:marLeft w:val="0"/>
      <w:marRight w:val="0"/>
      <w:marTop w:val="0"/>
      <w:marBottom w:val="0"/>
      <w:divBdr>
        <w:top w:val="none" w:sz="0" w:space="0" w:color="auto"/>
        <w:left w:val="none" w:sz="0" w:space="0" w:color="auto"/>
        <w:bottom w:val="none" w:sz="0" w:space="0" w:color="auto"/>
        <w:right w:val="none" w:sz="0" w:space="0" w:color="auto"/>
      </w:divBdr>
    </w:div>
    <w:div w:id="1629239558">
      <w:bodyDiv w:val="1"/>
      <w:marLeft w:val="0"/>
      <w:marRight w:val="0"/>
      <w:marTop w:val="0"/>
      <w:marBottom w:val="0"/>
      <w:divBdr>
        <w:top w:val="none" w:sz="0" w:space="0" w:color="auto"/>
        <w:left w:val="none" w:sz="0" w:space="0" w:color="auto"/>
        <w:bottom w:val="none" w:sz="0" w:space="0" w:color="auto"/>
        <w:right w:val="none" w:sz="0" w:space="0" w:color="auto"/>
      </w:divBdr>
    </w:div>
    <w:div w:id="1633707030">
      <w:bodyDiv w:val="1"/>
      <w:marLeft w:val="0"/>
      <w:marRight w:val="0"/>
      <w:marTop w:val="0"/>
      <w:marBottom w:val="0"/>
      <w:divBdr>
        <w:top w:val="none" w:sz="0" w:space="0" w:color="auto"/>
        <w:left w:val="none" w:sz="0" w:space="0" w:color="auto"/>
        <w:bottom w:val="none" w:sz="0" w:space="0" w:color="auto"/>
        <w:right w:val="none" w:sz="0" w:space="0" w:color="auto"/>
      </w:divBdr>
    </w:div>
    <w:div w:id="1745487598">
      <w:bodyDiv w:val="1"/>
      <w:marLeft w:val="0"/>
      <w:marRight w:val="0"/>
      <w:marTop w:val="0"/>
      <w:marBottom w:val="0"/>
      <w:divBdr>
        <w:top w:val="none" w:sz="0" w:space="0" w:color="auto"/>
        <w:left w:val="none" w:sz="0" w:space="0" w:color="auto"/>
        <w:bottom w:val="none" w:sz="0" w:space="0" w:color="auto"/>
        <w:right w:val="none" w:sz="0" w:space="0" w:color="auto"/>
      </w:divBdr>
    </w:div>
    <w:div w:id="1788574630">
      <w:bodyDiv w:val="1"/>
      <w:marLeft w:val="0"/>
      <w:marRight w:val="0"/>
      <w:marTop w:val="0"/>
      <w:marBottom w:val="0"/>
      <w:divBdr>
        <w:top w:val="none" w:sz="0" w:space="0" w:color="auto"/>
        <w:left w:val="none" w:sz="0" w:space="0" w:color="auto"/>
        <w:bottom w:val="none" w:sz="0" w:space="0" w:color="auto"/>
        <w:right w:val="none" w:sz="0" w:space="0" w:color="auto"/>
      </w:divBdr>
    </w:div>
    <w:div w:id="1869566025">
      <w:bodyDiv w:val="1"/>
      <w:marLeft w:val="0"/>
      <w:marRight w:val="0"/>
      <w:marTop w:val="0"/>
      <w:marBottom w:val="0"/>
      <w:divBdr>
        <w:top w:val="none" w:sz="0" w:space="0" w:color="auto"/>
        <w:left w:val="none" w:sz="0" w:space="0" w:color="auto"/>
        <w:bottom w:val="none" w:sz="0" w:space="0" w:color="auto"/>
        <w:right w:val="none" w:sz="0" w:space="0" w:color="auto"/>
      </w:divBdr>
    </w:div>
    <w:div w:id="1975983768">
      <w:bodyDiv w:val="1"/>
      <w:marLeft w:val="0"/>
      <w:marRight w:val="0"/>
      <w:marTop w:val="0"/>
      <w:marBottom w:val="0"/>
      <w:divBdr>
        <w:top w:val="none" w:sz="0" w:space="0" w:color="auto"/>
        <w:left w:val="none" w:sz="0" w:space="0" w:color="auto"/>
        <w:bottom w:val="none" w:sz="0" w:space="0" w:color="auto"/>
        <w:right w:val="none" w:sz="0" w:space="0" w:color="auto"/>
      </w:divBdr>
    </w:div>
    <w:div w:id="2023586311">
      <w:bodyDiv w:val="1"/>
      <w:marLeft w:val="0"/>
      <w:marRight w:val="0"/>
      <w:marTop w:val="0"/>
      <w:marBottom w:val="0"/>
      <w:divBdr>
        <w:top w:val="none" w:sz="0" w:space="0" w:color="auto"/>
        <w:left w:val="none" w:sz="0" w:space="0" w:color="auto"/>
        <w:bottom w:val="none" w:sz="0" w:space="0" w:color="auto"/>
        <w:right w:val="none" w:sz="0" w:space="0" w:color="auto"/>
      </w:divBdr>
      <w:divsChild>
        <w:div w:id="854029575">
          <w:marLeft w:val="274"/>
          <w:marRight w:val="0"/>
          <w:marTop w:val="120"/>
          <w:marBottom w:val="0"/>
          <w:divBdr>
            <w:top w:val="none" w:sz="0" w:space="0" w:color="auto"/>
            <w:left w:val="none" w:sz="0" w:space="0" w:color="auto"/>
            <w:bottom w:val="none" w:sz="0" w:space="0" w:color="auto"/>
            <w:right w:val="none" w:sz="0" w:space="0" w:color="auto"/>
          </w:divBdr>
        </w:div>
        <w:div w:id="1406369605">
          <w:marLeft w:val="274"/>
          <w:marRight w:val="0"/>
          <w:marTop w:val="120"/>
          <w:marBottom w:val="0"/>
          <w:divBdr>
            <w:top w:val="none" w:sz="0" w:space="0" w:color="auto"/>
            <w:left w:val="none" w:sz="0" w:space="0" w:color="auto"/>
            <w:bottom w:val="none" w:sz="0" w:space="0" w:color="auto"/>
            <w:right w:val="none" w:sz="0" w:space="0" w:color="auto"/>
          </w:divBdr>
        </w:div>
        <w:div w:id="2064476297">
          <w:marLeft w:val="274"/>
          <w:marRight w:val="0"/>
          <w:marTop w:val="120"/>
          <w:marBottom w:val="0"/>
          <w:divBdr>
            <w:top w:val="none" w:sz="0" w:space="0" w:color="auto"/>
            <w:left w:val="none" w:sz="0" w:space="0" w:color="auto"/>
            <w:bottom w:val="none" w:sz="0" w:space="0" w:color="auto"/>
            <w:right w:val="none" w:sz="0" w:space="0" w:color="auto"/>
          </w:divBdr>
        </w:div>
      </w:divsChild>
    </w:div>
    <w:div w:id="2045053515">
      <w:bodyDiv w:val="1"/>
      <w:marLeft w:val="0"/>
      <w:marRight w:val="0"/>
      <w:marTop w:val="0"/>
      <w:marBottom w:val="0"/>
      <w:divBdr>
        <w:top w:val="none" w:sz="0" w:space="0" w:color="auto"/>
        <w:left w:val="none" w:sz="0" w:space="0" w:color="auto"/>
        <w:bottom w:val="none" w:sz="0" w:space="0" w:color="auto"/>
        <w:right w:val="none" w:sz="0" w:space="0" w:color="auto"/>
      </w:divBdr>
    </w:div>
    <w:div w:id="2090148617">
      <w:bodyDiv w:val="1"/>
      <w:marLeft w:val="0"/>
      <w:marRight w:val="0"/>
      <w:marTop w:val="0"/>
      <w:marBottom w:val="0"/>
      <w:divBdr>
        <w:top w:val="none" w:sz="0" w:space="0" w:color="auto"/>
        <w:left w:val="none" w:sz="0" w:space="0" w:color="auto"/>
        <w:bottom w:val="none" w:sz="0" w:space="0" w:color="auto"/>
        <w:right w:val="none" w:sz="0" w:space="0" w:color="auto"/>
      </w:divBdr>
    </w:div>
    <w:div w:id="2099790789">
      <w:bodyDiv w:val="1"/>
      <w:marLeft w:val="0"/>
      <w:marRight w:val="0"/>
      <w:marTop w:val="0"/>
      <w:marBottom w:val="0"/>
      <w:divBdr>
        <w:top w:val="none" w:sz="0" w:space="0" w:color="auto"/>
        <w:left w:val="none" w:sz="0" w:space="0" w:color="auto"/>
        <w:bottom w:val="none" w:sz="0" w:space="0" w:color="auto"/>
        <w:right w:val="none" w:sz="0" w:space="0" w:color="auto"/>
      </w:divBdr>
    </w:div>
    <w:div w:id="2116250069">
      <w:bodyDiv w:val="1"/>
      <w:marLeft w:val="0"/>
      <w:marRight w:val="0"/>
      <w:marTop w:val="0"/>
      <w:marBottom w:val="0"/>
      <w:divBdr>
        <w:top w:val="none" w:sz="0" w:space="0" w:color="auto"/>
        <w:left w:val="none" w:sz="0" w:space="0" w:color="auto"/>
        <w:bottom w:val="none" w:sz="0" w:space="0" w:color="auto"/>
        <w:right w:val="none" w:sz="0" w:space="0" w:color="auto"/>
      </w:divBdr>
      <w:divsChild>
        <w:div w:id="670838690">
          <w:marLeft w:val="274"/>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justice.vic.gov.au/spent-convictions" TargetMode="External"/><Relationship Id="rId39" Type="http://schemas.openxmlformats.org/officeDocument/2006/relationships/image" Target="media/image12.png"/><Relationship Id="rId21" Type="http://schemas.openxmlformats.org/officeDocument/2006/relationships/hyperlink" Target="https://www.vic.gov.au/victorian-permissions-framework-guidance" TargetMode="External"/><Relationship Id="rId34" Type="http://schemas.openxmlformats.org/officeDocument/2006/relationships/image" Target="media/image7.svg"/><Relationship Id="rId42" Type="http://schemas.openxmlformats.org/officeDocument/2006/relationships/image" Target="media/image15.svg"/><Relationship Id="rId47" Type="http://schemas.openxmlformats.org/officeDocument/2006/relationships/image" Target="media/image17.svg"/><Relationship Id="rId50" Type="http://schemas.openxmlformats.org/officeDocument/2006/relationships/hyperlink" Target="https://service.vic.gov.au/find-services/personal/identity-verification-online" TargetMode="External"/><Relationship Id="rId55" Type="http://schemas.openxmlformats.org/officeDocument/2006/relationships/hyperlink" Target="https://www.justice.vic.gov.au/spent-convictions" TargetMode="External"/><Relationship Id="rId63" Type="http://schemas.openxmlformats.org/officeDocument/2006/relationships/image" Target="media/image20.png"/><Relationship Id="rId68" Type="http://schemas.openxmlformats.org/officeDocument/2006/relationships/hyperlink" Target="https://www.dtf.vic.gov.au/development-model-legislative-provisions" TargetMode="External"/><Relationship Id="rId76" Type="http://schemas.openxmlformats.org/officeDocument/2006/relationships/hyperlink" Target="https://service.vic.gov.au/about-us/service-victoria-identity-verification-standards" TargetMode="External"/><Relationship Id="rId84" Type="http://schemas.openxmlformats.org/officeDocument/2006/relationships/footer" Target="footer7.xml"/><Relationship Id="rId7" Type="http://schemas.openxmlformats.org/officeDocument/2006/relationships/numbering" Target="numbering.xml"/><Relationship Id="rId71" Type="http://schemas.openxmlformats.org/officeDocument/2006/relationships/hyperlink" Target="https://hcc.vic.gov.au/public/health-records-individuals" TargetMode="Externa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image" Target="media/image3.svg"/><Relationship Id="rId11" Type="http://schemas.openxmlformats.org/officeDocument/2006/relationships/footnotes" Target="footnotes.xml"/><Relationship Id="rId24" Type="http://schemas.openxmlformats.org/officeDocument/2006/relationships/hyperlink" Target="https://www.humanrights.vic.gov.au/legal-and-policy/victorias-human-rights-laws/the-charter/" TargetMode="External"/><Relationship Id="rId32" Type="http://schemas.openxmlformats.org/officeDocument/2006/relationships/image" Target="media/image5.svg"/><Relationship Id="rId37" Type="http://schemas.openxmlformats.org/officeDocument/2006/relationships/image" Target="media/image10.png"/><Relationship Id="rId40" Type="http://schemas.openxmlformats.org/officeDocument/2006/relationships/image" Target="media/image13.svg"/><Relationship Id="rId45" Type="http://schemas.openxmlformats.org/officeDocument/2006/relationships/hyperlink" Target="https://service.vic.gov.au/about-us/service-victoria-identity-verification-standards" TargetMode="External"/><Relationship Id="rId53" Type="http://schemas.openxmlformats.org/officeDocument/2006/relationships/hyperlink" Target="https://engage.vic.gov.au/review-of-the-spent-convictions-act-2021" TargetMode="External"/><Relationship Id="rId58" Type="http://schemas.openxmlformats.org/officeDocument/2006/relationships/hyperlink" Target="https://www.service.vic.gov.au/services/national-police-check" TargetMode="External"/><Relationship Id="rId66" Type="http://schemas.openxmlformats.org/officeDocument/2006/relationships/image" Target="media/image23.svg"/><Relationship Id="rId74" Type="http://schemas.openxmlformats.org/officeDocument/2006/relationships/hyperlink" Target="https://content.vic.gov.au/sites/default/files/2020-06/Legislative%20Process%20Handbook%20June2020.pdf" TargetMode="External"/><Relationship Id="rId79" Type="http://schemas.openxmlformats.org/officeDocument/2006/relationships/hyperlink" Target="https://www.vic.gov.au/victorian-permissions-framework-guidance" TargetMode="External"/><Relationship Id="rId87"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ovic.vic.gov.au/privacy/resources-for-organisations/privacy-officer-toolkit/the-pdp-act-a-deep-dive/" TargetMode="External"/><Relationship Id="rId82" Type="http://schemas.openxmlformats.org/officeDocument/2006/relationships/header" Target="header5.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dtf.vic.gov.au/development-model-legislative-provisions" TargetMode="External"/><Relationship Id="rId27" Type="http://schemas.openxmlformats.org/officeDocument/2006/relationships/hyperlink" Target="https://content.vic.gov.au/sites/default/files/2020-06/Legislative%20Process%20Handbook%20June2020.pdf" TargetMode="External"/><Relationship Id="rId30" Type="http://schemas.openxmlformats.org/officeDocument/2006/relationships/hyperlink" Target="https://www.vic.gov.au/towards-best-practice-guide-regulators" TargetMode="External"/><Relationship Id="rId35" Type="http://schemas.openxmlformats.org/officeDocument/2006/relationships/image" Target="media/image8.png"/><Relationship Id="rId43" Type="http://schemas.openxmlformats.org/officeDocument/2006/relationships/hyperlink" Target="https://www.vic.gov.au/victorian-permissions-framework-guidance" TargetMode="External"/><Relationship Id="rId48" Type="http://schemas.openxmlformats.org/officeDocument/2006/relationships/hyperlink" Target="https://www.vic.gov.au/victorian-permissions-framework-guidance" TargetMode="External"/><Relationship Id="rId56" Type="http://schemas.openxmlformats.org/officeDocument/2006/relationships/hyperlink" Target="https://engage.vic.gov.au/review-of-the-spent-convictions-act-2021" TargetMode="External"/><Relationship Id="rId64" Type="http://schemas.openxmlformats.org/officeDocument/2006/relationships/image" Target="media/image21.svg"/><Relationship Id="rId69" Type="http://schemas.openxmlformats.org/officeDocument/2006/relationships/hyperlink" Target="https://www.justice.vic.gov.au/certifiedcopies" TargetMode="External"/><Relationship Id="rId77" Type="http://schemas.openxmlformats.org/officeDocument/2006/relationships/hyperlink" Target="https://www.humanrights.vic.gov.au/legal-and-policy/victorias-human-rights-laws/the-charter/" TargetMode="External"/><Relationship Id="rId8" Type="http://schemas.openxmlformats.org/officeDocument/2006/relationships/styles" Target="styles.xml"/><Relationship Id="rId51" Type="http://schemas.openxmlformats.org/officeDocument/2006/relationships/hyperlink" Target="https://www.justice.vic.gov.au/certifiedcopies" TargetMode="External"/><Relationship Id="rId72" Type="http://schemas.openxmlformats.org/officeDocument/2006/relationships/hyperlink" Target="https://www.justice.vic.gov.au/spent-convictions" TargetMode="External"/><Relationship Id="rId80" Type="http://schemas.openxmlformats.org/officeDocument/2006/relationships/header" Target="header4.xml"/><Relationship Id="rId85" Type="http://schemas.openxmlformats.org/officeDocument/2006/relationships/footer" Target="footer8.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humanrights.vic.gov.au/legal-and-policy/victorias-human-rights-laws/equal-opportunity-act/" TargetMode="External"/><Relationship Id="rId33" Type="http://schemas.openxmlformats.org/officeDocument/2006/relationships/image" Target="media/image6.png"/><Relationship Id="rId38" Type="http://schemas.openxmlformats.org/officeDocument/2006/relationships/image" Target="media/image11.svg"/><Relationship Id="rId46" Type="http://schemas.openxmlformats.org/officeDocument/2006/relationships/image" Target="media/image16.png"/><Relationship Id="rId59" Type="http://schemas.openxmlformats.org/officeDocument/2006/relationships/image" Target="media/image18.png"/><Relationship Id="rId67" Type="http://schemas.openxmlformats.org/officeDocument/2006/relationships/hyperlink" Target="https://www.vic.gov.au/towards-best-practice-guide-regulators" TargetMode="External"/><Relationship Id="rId20" Type="http://schemas.openxmlformats.org/officeDocument/2006/relationships/hyperlink" Target="https://www.vic.gov.au/victorian-permissions-framework-guidance" TargetMode="External"/><Relationship Id="rId41" Type="http://schemas.openxmlformats.org/officeDocument/2006/relationships/image" Target="media/image14.png"/><Relationship Id="rId54" Type="http://schemas.openxmlformats.org/officeDocument/2006/relationships/hyperlink" Target="https://www.justice.vic.gov.au/spent-convictions" TargetMode="External"/><Relationship Id="rId62" Type="http://schemas.openxmlformats.org/officeDocument/2006/relationships/hyperlink" Target="https://hcc.vic.gov.au/public/health-records-individuals" TargetMode="External"/><Relationship Id="rId70" Type="http://schemas.openxmlformats.org/officeDocument/2006/relationships/hyperlink" Target="https://www.justice.vic.gov.au/spent-convictions" TargetMode="External"/><Relationship Id="rId75" Type="http://schemas.openxmlformats.org/officeDocument/2006/relationships/hyperlink" Target="https://ovic.vic.gov.au/privacy/resources-for-organisations/privacy-officer-toolkit/the-pdp-act-a-deep-dive/" TargetMode="External"/><Relationship Id="rId83"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s://service.vic.gov.au/about-us/service-victoria-identity-verification-standards" TargetMode="External"/><Relationship Id="rId28" Type="http://schemas.openxmlformats.org/officeDocument/2006/relationships/image" Target="media/image2.png"/><Relationship Id="rId36" Type="http://schemas.openxmlformats.org/officeDocument/2006/relationships/image" Target="media/image9.svg"/><Relationship Id="rId49" Type="http://schemas.openxmlformats.org/officeDocument/2006/relationships/hyperlink" Target="https://service.vic.gov.au/about-us/service-victoria-identity-verification-standards" TargetMode="External"/><Relationship Id="rId57" Type="http://schemas.openxmlformats.org/officeDocument/2006/relationships/hyperlink" Target="https://www.justice.vic.gov.au/spent-convictions" TargetMode="External"/><Relationship Id="rId10" Type="http://schemas.openxmlformats.org/officeDocument/2006/relationships/webSettings" Target="webSettings.xml"/><Relationship Id="rId31" Type="http://schemas.openxmlformats.org/officeDocument/2006/relationships/image" Target="media/image4.png"/><Relationship Id="rId44" Type="http://schemas.openxmlformats.org/officeDocument/2006/relationships/hyperlink" Target="https://content.vic.gov.au/sites/default/files/2023-12/Victorian-Permissions-Framework-Dec-2023.pdf" TargetMode="External"/><Relationship Id="rId52" Type="http://schemas.openxmlformats.org/officeDocument/2006/relationships/hyperlink" Target="https://www.justice.vic.gov.au/spent-convictions" TargetMode="External"/><Relationship Id="rId60" Type="http://schemas.openxmlformats.org/officeDocument/2006/relationships/image" Target="media/image19.svg"/><Relationship Id="rId65" Type="http://schemas.openxmlformats.org/officeDocument/2006/relationships/image" Target="media/image22.png"/><Relationship Id="rId73" Type="http://schemas.openxmlformats.org/officeDocument/2006/relationships/hyperlink" Target="https://engage.vic.gov.au/review-of-the-spent-convictions-act-2021" TargetMode="External"/><Relationship Id="rId78" Type="http://schemas.openxmlformats.org/officeDocument/2006/relationships/hyperlink" Target="https://www.vic.gov.au/victorian-permissions-framework-guidance" TargetMode="External"/><Relationship Id="rId81" Type="http://schemas.openxmlformats.org/officeDocument/2006/relationships/footer" Target="footer5.xml"/><Relationship Id="rId86"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rporate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Brand Vi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859DFB47952C4E911DE9714EC95DB1" ma:contentTypeVersion="13" ma:contentTypeDescription="Create a new document." ma:contentTypeScope="" ma:versionID="30785ec2a10f2bae1604613d54f6d78e">
  <xsd:schema xmlns:xsd="http://www.w3.org/2001/XMLSchema" xmlns:xs="http://www.w3.org/2001/XMLSchema" xmlns:p="http://schemas.microsoft.com/office/2006/metadata/properties" xmlns:ns2="b6e3d215-38fc-4294-ac6f-e1813d9666dd" xmlns:ns3="e1efcbdc-f8f0-4bac-929e-ffe707bb6387" targetNamespace="http://schemas.microsoft.com/office/2006/metadata/properties" ma:root="true" ma:fieldsID="c1983676ec05362d9dffe7d3ddea16a8" ns2:_="" ns3:_="">
    <xsd:import namespace="b6e3d215-38fc-4294-ac6f-e1813d9666dd"/>
    <xsd:import namespace="e1efcbdc-f8f0-4bac-929e-ffe707bb63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3d215-38fc-4294-ac6f-e1813d9666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0a531579-585f-4194-aed9-1ac5952e811b}" ma:internalName="TaxCatchAll" ma:showField="CatchAllData" ma:web="b6e3d215-38fc-4294-ac6f-e1813d9666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efcbdc-f8f0-4bac-929e-ffe707bb63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6e3d215-38fc-4294-ac6f-e1813d9666dd">63PAK4U6Z4MQ-1289146740-5821</_dlc_DocId>
    <_dlc_DocIdUrl xmlns="b6e3d215-38fc-4294-ac6f-e1813d9666dd">
      <Url>https://vicgov.sharepoint.com/sites/DTFStrategicCommunications/_layouts/15/DocIdRedir.aspx?ID=63PAK4U6Z4MQ-1289146740-5821</Url>
      <Description>63PAK4U6Z4MQ-1289146740-5821</Description>
    </_dlc_DocIdUrl>
    <lcf76f155ced4ddcb4097134ff3c332f xmlns="e1efcbdc-f8f0-4bac-929e-ffe707bb6387">
      <Terms xmlns="http://schemas.microsoft.com/office/infopath/2007/PartnerControls"/>
    </lcf76f155ced4ddcb4097134ff3c332f>
    <TaxCatchAll xmlns="b6e3d215-38fc-4294-ac6f-e1813d9666dd"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BD1D246-BECC-46AC-BE79-AEF45890ED37}">
  <ds:schemaRefs>
    <ds:schemaRef ds:uri="http://schemas.microsoft.com/sharepoint/v3/contenttype/forms"/>
  </ds:schemaRefs>
</ds:datastoreItem>
</file>

<file path=customXml/itemProps2.xml><?xml version="1.0" encoding="utf-8"?>
<ds:datastoreItem xmlns:ds="http://schemas.openxmlformats.org/officeDocument/2006/customXml" ds:itemID="{337B6EC3-FEDB-4734-955E-1BA3B06449B4}">
  <ds:schemaRefs>
    <ds:schemaRef ds:uri="http://schemas.openxmlformats.org/officeDocument/2006/bibliography"/>
  </ds:schemaRefs>
</ds:datastoreItem>
</file>

<file path=customXml/itemProps3.xml><?xml version="1.0" encoding="utf-8"?>
<ds:datastoreItem xmlns:ds="http://schemas.openxmlformats.org/officeDocument/2006/customXml" ds:itemID="{A4E4E26A-2A2D-43EE-A0D5-A0736F765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e3d215-38fc-4294-ac6f-e1813d9666dd"/>
    <ds:schemaRef ds:uri="e1efcbdc-f8f0-4bac-929e-ffe707bb6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0475AE-C217-40CA-B46E-8BF5CBF4D7E5}">
  <ds:schemaRefs>
    <ds:schemaRef ds:uri="http://purl.org/dc/elements/1.1/"/>
    <ds:schemaRef ds:uri="http://schemas.microsoft.com/office/2006/metadata/properties"/>
    <ds:schemaRef ds:uri="b6e3d215-38fc-4294-ac6f-e1813d9666d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1efcbdc-f8f0-4bac-929e-ffe707bb6387"/>
    <ds:schemaRef ds:uri="http://www.w3.org/XML/1998/namespace"/>
    <ds:schemaRef ds:uri="http://purl.org/dc/dcmitype/"/>
  </ds:schemaRefs>
</ds:datastoreItem>
</file>

<file path=customXml/itemProps5.xml><?xml version="1.0" encoding="utf-8"?>
<ds:datastoreItem xmlns:ds="http://schemas.openxmlformats.org/officeDocument/2006/customXml" ds:itemID="{B4F43C53-14BA-4B0E-8590-FE0D81B0B44E}">
  <ds:schemaRefs>
    <ds:schemaRef ds:uri="http://schemas.microsoft.com/sharepoint/events"/>
  </ds:schemaRefs>
</ds:datastoreItem>
</file>

<file path=customXml/itemProps6.xml><?xml version="1.0" encoding="utf-8"?>
<ds:datastoreItem xmlns:ds="http://schemas.openxmlformats.org/officeDocument/2006/customXml" ds:itemID="{91419AE6-54D5-4C52-983C-104DB31121A6}">
  <ds:schemaRefs>
    <ds:schemaRef ds:uri="http://www.w3.org/2001/XMLSchema"/>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46</Pages>
  <Words>13024</Words>
  <Characters>75285</Characters>
  <Application>Microsoft Office Word</Application>
  <DocSecurity>0</DocSecurity>
  <Lines>1930</Lines>
  <Paragraphs>929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87380</CharactersWithSpaces>
  <SharedDoc>false</SharedDoc>
  <HLinks>
    <vt:vector size="366" baseType="variant">
      <vt:variant>
        <vt:i4>2621488</vt:i4>
      </vt:variant>
      <vt:variant>
        <vt:i4>252</vt:i4>
      </vt:variant>
      <vt:variant>
        <vt:i4>0</vt:i4>
      </vt:variant>
      <vt:variant>
        <vt:i4>5</vt:i4>
      </vt:variant>
      <vt:variant>
        <vt:lpwstr>https://www.vic.gov.au/victorian-permissions-framework-guidance</vt:lpwstr>
      </vt:variant>
      <vt:variant>
        <vt:lpwstr/>
      </vt:variant>
      <vt:variant>
        <vt:i4>2621488</vt:i4>
      </vt:variant>
      <vt:variant>
        <vt:i4>249</vt:i4>
      </vt:variant>
      <vt:variant>
        <vt:i4>0</vt:i4>
      </vt:variant>
      <vt:variant>
        <vt:i4>5</vt:i4>
      </vt:variant>
      <vt:variant>
        <vt:lpwstr>https://www.vic.gov.au/victorian-permissions-framework-guidance</vt:lpwstr>
      </vt:variant>
      <vt:variant>
        <vt:lpwstr/>
      </vt:variant>
      <vt:variant>
        <vt:i4>1769542</vt:i4>
      </vt:variant>
      <vt:variant>
        <vt:i4>246</vt:i4>
      </vt:variant>
      <vt:variant>
        <vt:i4>0</vt:i4>
      </vt:variant>
      <vt:variant>
        <vt:i4>5</vt:i4>
      </vt:variant>
      <vt:variant>
        <vt:lpwstr>https://www.humanrights.vic.gov.au/legal-and-policy/victorias-human-rights-laws/the-charter/</vt:lpwstr>
      </vt:variant>
      <vt:variant>
        <vt:lpwstr/>
      </vt:variant>
      <vt:variant>
        <vt:i4>1704015</vt:i4>
      </vt:variant>
      <vt:variant>
        <vt:i4>243</vt:i4>
      </vt:variant>
      <vt:variant>
        <vt:i4>0</vt:i4>
      </vt:variant>
      <vt:variant>
        <vt:i4>5</vt:i4>
      </vt:variant>
      <vt:variant>
        <vt:lpwstr>https://service.vic.gov.au/about-us/service-victoria-identity-verification-standards</vt:lpwstr>
      </vt:variant>
      <vt:variant>
        <vt:lpwstr/>
      </vt:variant>
      <vt:variant>
        <vt:i4>4718671</vt:i4>
      </vt:variant>
      <vt:variant>
        <vt:i4>240</vt:i4>
      </vt:variant>
      <vt:variant>
        <vt:i4>0</vt:i4>
      </vt:variant>
      <vt:variant>
        <vt:i4>5</vt:i4>
      </vt:variant>
      <vt:variant>
        <vt:lpwstr>https://ovic.vic.gov.au/privacy/resources-for-organisations/privacy-officer-toolkit/the-pdp-act-a-deep-dive/</vt:lpwstr>
      </vt:variant>
      <vt:variant>
        <vt:lpwstr/>
      </vt:variant>
      <vt:variant>
        <vt:i4>1900545</vt:i4>
      </vt:variant>
      <vt:variant>
        <vt:i4>237</vt:i4>
      </vt:variant>
      <vt:variant>
        <vt:i4>0</vt:i4>
      </vt:variant>
      <vt:variant>
        <vt:i4>5</vt:i4>
      </vt:variant>
      <vt:variant>
        <vt:lpwstr>https://content.vic.gov.au/sites/default/files/2020-06/Legislative Process Handbook June2020.pdf</vt:lpwstr>
      </vt:variant>
      <vt:variant>
        <vt:lpwstr/>
      </vt:variant>
      <vt:variant>
        <vt:i4>6357048</vt:i4>
      </vt:variant>
      <vt:variant>
        <vt:i4>234</vt:i4>
      </vt:variant>
      <vt:variant>
        <vt:i4>0</vt:i4>
      </vt:variant>
      <vt:variant>
        <vt:i4>5</vt:i4>
      </vt:variant>
      <vt:variant>
        <vt:lpwstr>https://engage.vic.gov.au/review-of-the-spent-convictions-act-2021</vt:lpwstr>
      </vt:variant>
      <vt:variant>
        <vt:lpwstr/>
      </vt:variant>
      <vt:variant>
        <vt:i4>1638481</vt:i4>
      </vt:variant>
      <vt:variant>
        <vt:i4>231</vt:i4>
      </vt:variant>
      <vt:variant>
        <vt:i4>0</vt:i4>
      </vt:variant>
      <vt:variant>
        <vt:i4>5</vt:i4>
      </vt:variant>
      <vt:variant>
        <vt:lpwstr>https://www.justice.vic.gov.au/spent-convictions</vt:lpwstr>
      </vt:variant>
      <vt:variant>
        <vt:lpwstr/>
      </vt:variant>
      <vt:variant>
        <vt:i4>458783</vt:i4>
      </vt:variant>
      <vt:variant>
        <vt:i4>228</vt:i4>
      </vt:variant>
      <vt:variant>
        <vt:i4>0</vt:i4>
      </vt:variant>
      <vt:variant>
        <vt:i4>5</vt:i4>
      </vt:variant>
      <vt:variant>
        <vt:lpwstr>https://hcc.vic.gov.au/public/health-records-individuals</vt:lpwstr>
      </vt:variant>
      <vt:variant>
        <vt:lpwstr/>
      </vt:variant>
      <vt:variant>
        <vt:i4>1638481</vt:i4>
      </vt:variant>
      <vt:variant>
        <vt:i4>225</vt:i4>
      </vt:variant>
      <vt:variant>
        <vt:i4>0</vt:i4>
      </vt:variant>
      <vt:variant>
        <vt:i4>5</vt:i4>
      </vt:variant>
      <vt:variant>
        <vt:lpwstr>https://www.justice.vic.gov.au/spent-convictions</vt:lpwstr>
      </vt:variant>
      <vt:variant>
        <vt:lpwstr/>
      </vt:variant>
      <vt:variant>
        <vt:i4>7798907</vt:i4>
      </vt:variant>
      <vt:variant>
        <vt:i4>222</vt:i4>
      </vt:variant>
      <vt:variant>
        <vt:i4>0</vt:i4>
      </vt:variant>
      <vt:variant>
        <vt:i4>5</vt:i4>
      </vt:variant>
      <vt:variant>
        <vt:lpwstr>https://www.justice.vic.gov.au/certifiedcopies</vt:lpwstr>
      </vt:variant>
      <vt:variant>
        <vt:lpwstr/>
      </vt:variant>
      <vt:variant>
        <vt:i4>8323129</vt:i4>
      </vt:variant>
      <vt:variant>
        <vt:i4>219</vt:i4>
      </vt:variant>
      <vt:variant>
        <vt:i4>0</vt:i4>
      </vt:variant>
      <vt:variant>
        <vt:i4>5</vt:i4>
      </vt:variant>
      <vt:variant>
        <vt:lpwstr>https://www.dtf.vic.gov.au/development-model-legislative-provisions</vt:lpwstr>
      </vt:variant>
      <vt:variant>
        <vt:lpwstr/>
      </vt:variant>
      <vt:variant>
        <vt:i4>786517</vt:i4>
      </vt:variant>
      <vt:variant>
        <vt:i4>216</vt:i4>
      </vt:variant>
      <vt:variant>
        <vt:i4>0</vt:i4>
      </vt:variant>
      <vt:variant>
        <vt:i4>5</vt:i4>
      </vt:variant>
      <vt:variant>
        <vt:lpwstr>https://www.vic.gov.au/towards-best-practice-guide-regulators</vt:lpwstr>
      </vt:variant>
      <vt:variant>
        <vt:lpwstr/>
      </vt:variant>
      <vt:variant>
        <vt:i4>458783</vt:i4>
      </vt:variant>
      <vt:variant>
        <vt:i4>213</vt:i4>
      </vt:variant>
      <vt:variant>
        <vt:i4>0</vt:i4>
      </vt:variant>
      <vt:variant>
        <vt:i4>5</vt:i4>
      </vt:variant>
      <vt:variant>
        <vt:lpwstr>https://hcc.vic.gov.au/public/health-records-individuals</vt:lpwstr>
      </vt:variant>
      <vt:variant>
        <vt:lpwstr/>
      </vt:variant>
      <vt:variant>
        <vt:i4>4718671</vt:i4>
      </vt:variant>
      <vt:variant>
        <vt:i4>210</vt:i4>
      </vt:variant>
      <vt:variant>
        <vt:i4>0</vt:i4>
      </vt:variant>
      <vt:variant>
        <vt:i4>5</vt:i4>
      </vt:variant>
      <vt:variant>
        <vt:lpwstr>https://ovic.vic.gov.au/privacy/resources-for-organisations/privacy-officer-toolkit/the-pdp-act-a-deep-dive/</vt:lpwstr>
      </vt:variant>
      <vt:variant>
        <vt:lpwstr/>
      </vt:variant>
      <vt:variant>
        <vt:i4>1310808</vt:i4>
      </vt:variant>
      <vt:variant>
        <vt:i4>207</vt:i4>
      </vt:variant>
      <vt:variant>
        <vt:i4>0</vt:i4>
      </vt:variant>
      <vt:variant>
        <vt:i4>5</vt:i4>
      </vt:variant>
      <vt:variant>
        <vt:lpwstr>https://www.service.vic.gov.au/services/national-police-check</vt:lpwstr>
      </vt:variant>
      <vt:variant>
        <vt:lpwstr/>
      </vt:variant>
      <vt:variant>
        <vt:i4>7798907</vt:i4>
      </vt:variant>
      <vt:variant>
        <vt:i4>204</vt:i4>
      </vt:variant>
      <vt:variant>
        <vt:i4>0</vt:i4>
      </vt:variant>
      <vt:variant>
        <vt:i4>5</vt:i4>
      </vt:variant>
      <vt:variant>
        <vt:lpwstr>https://www.justice.vic.gov.au/certifiedcopies</vt:lpwstr>
      </vt:variant>
      <vt:variant>
        <vt:lpwstr/>
      </vt:variant>
      <vt:variant>
        <vt:i4>7733363</vt:i4>
      </vt:variant>
      <vt:variant>
        <vt:i4>201</vt:i4>
      </vt:variant>
      <vt:variant>
        <vt:i4>0</vt:i4>
      </vt:variant>
      <vt:variant>
        <vt:i4>5</vt:i4>
      </vt:variant>
      <vt:variant>
        <vt:lpwstr>https://service.vic.gov.au/find-services/personal/identity-verification-online</vt:lpwstr>
      </vt:variant>
      <vt:variant>
        <vt:lpwstr/>
      </vt:variant>
      <vt:variant>
        <vt:i4>1704015</vt:i4>
      </vt:variant>
      <vt:variant>
        <vt:i4>198</vt:i4>
      </vt:variant>
      <vt:variant>
        <vt:i4>0</vt:i4>
      </vt:variant>
      <vt:variant>
        <vt:i4>5</vt:i4>
      </vt:variant>
      <vt:variant>
        <vt:lpwstr>https://service.vic.gov.au/about-us/service-victoria-identity-verification-standards</vt:lpwstr>
      </vt:variant>
      <vt:variant>
        <vt:lpwstr/>
      </vt:variant>
      <vt:variant>
        <vt:i4>2621488</vt:i4>
      </vt:variant>
      <vt:variant>
        <vt:i4>195</vt:i4>
      </vt:variant>
      <vt:variant>
        <vt:i4>0</vt:i4>
      </vt:variant>
      <vt:variant>
        <vt:i4>5</vt:i4>
      </vt:variant>
      <vt:variant>
        <vt:lpwstr>https://www.vic.gov.au/victorian-permissions-framework-guidance</vt:lpwstr>
      </vt:variant>
      <vt:variant>
        <vt:lpwstr/>
      </vt:variant>
      <vt:variant>
        <vt:i4>1704015</vt:i4>
      </vt:variant>
      <vt:variant>
        <vt:i4>192</vt:i4>
      </vt:variant>
      <vt:variant>
        <vt:i4>0</vt:i4>
      </vt:variant>
      <vt:variant>
        <vt:i4>5</vt:i4>
      </vt:variant>
      <vt:variant>
        <vt:lpwstr>https://service.vic.gov.au/about-us/service-victoria-identity-verification-standards</vt:lpwstr>
      </vt:variant>
      <vt:variant>
        <vt:lpwstr/>
      </vt:variant>
      <vt:variant>
        <vt:i4>7995442</vt:i4>
      </vt:variant>
      <vt:variant>
        <vt:i4>189</vt:i4>
      </vt:variant>
      <vt:variant>
        <vt:i4>0</vt:i4>
      </vt:variant>
      <vt:variant>
        <vt:i4>5</vt:i4>
      </vt:variant>
      <vt:variant>
        <vt:lpwstr>https://content.vic.gov.au/sites/default/files/2023-12/Victorian-Permissions-Framework-Dec-2023.pdf</vt:lpwstr>
      </vt:variant>
      <vt:variant>
        <vt:lpwstr/>
      </vt:variant>
      <vt:variant>
        <vt:i4>2621488</vt:i4>
      </vt:variant>
      <vt:variant>
        <vt:i4>186</vt:i4>
      </vt:variant>
      <vt:variant>
        <vt:i4>0</vt:i4>
      </vt:variant>
      <vt:variant>
        <vt:i4>5</vt:i4>
      </vt:variant>
      <vt:variant>
        <vt:lpwstr>https://www.vic.gov.au/victorian-permissions-framework-guidance</vt:lpwstr>
      </vt:variant>
      <vt:variant>
        <vt:lpwstr/>
      </vt:variant>
      <vt:variant>
        <vt:i4>786517</vt:i4>
      </vt:variant>
      <vt:variant>
        <vt:i4>183</vt:i4>
      </vt:variant>
      <vt:variant>
        <vt:i4>0</vt:i4>
      </vt:variant>
      <vt:variant>
        <vt:i4>5</vt:i4>
      </vt:variant>
      <vt:variant>
        <vt:lpwstr>https://www.vic.gov.au/towards-best-practice-guide-regulators</vt:lpwstr>
      </vt:variant>
      <vt:variant>
        <vt:lpwstr/>
      </vt:variant>
      <vt:variant>
        <vt:i4>1900545</vt:i4>
      </vt:variant>
      <vt:variant>
        <vt:i4>180</vt:i4>
      </vt:variant>
      <vt:variant>
        <vt:i4>0</vt:i4>
      </vt:variant>
      <vt:variant>
        <vt:i4>5</vt:i4>
      </vt:variant>
      <vt:variant>
        <vt:lpwstr>https://content.vic.gov.au/sites/default/files/2020-06/Legislative Process Handbook June2020.pdf</vt:lpwstr>
      </vt:variant>
      <vt:variant>
        <vt:lpwstr/>
      </vt:variant>
      <vt:variant>
        <vt:i4>1638481</vt:i4>
      </vt:variant>
      <vt:variant>
        <vt:i4>177</vt:i4>
      </vt:variant>
      <vt:variant>
        <vt:i4>0</vt:i4>
      </vt:variant>
      <vt:variant>
        <vt:i4>5</vt:i4>
      </vt:variant>
      <vt:variant>
        <vt:lpwstr>https://www.justice.vic.gov.au/spent-convictions</vt:lpwstr>
      </vt:variant>
      <vt:variant>
        <vt:lpwstr/>
      </vt:variant>
      <vt:variant>
        <vt:i4>2293810</vt:i4>
      </vt:variant>
      <vt:variant>
        <vt:i4>174</vt:i4>
      </vt:variant>
      <vt:variant>
        <vt:i4>0</vt:i4>
      </vt:variant>
      <vt:variant>
        <vt:i4>5</vt:i4>
      </vt:variant>
      <vt:variant>
        <vt:lpwstr>https://www.humanrights.vic.gov.au/legal-and-policy/victorias-human-rights-laws/equal-opportunity-act/</vt:lpwstr>
      </vt:variant>
      <vt:variant>
        <vt:lpwstr/>
      </vt:variant>
      <vt:variant>
        <vt:i4>1769542</vt:i4>
      </vt:variant>
      <vt:variant>
        <vt:i4>171</vt:i4>
      </vt:variant>
      <vt:variant>
        <vt:i4>0</vt:i4>
      </vt:variant>
      <vt:variant>
        <vt:i4>5</vt:i4>
      </vt:variant>
      <vt:variant>
        <vt:lpwstr>https://www.humanrights.vic.gov.au/legal-and-policy/victorias-human-rights-laws/the-charter/</vt:lpwstr>
      </vt:variant>
      <vt:variant>
        <vt:lpwstr/>
      </vt:variant>
      <vt:variant>
        <vt:i4>1704015</vt:i4>
      </vt:variant>
      <vt:variant>
        <vt:i4>168</vt:i4>
      </vt:variant>
      <vt:variant>
        <vt:i4>0</vt:i4>
      </vt:variant>
      <vt:variant>
        <vt:i4>5</vt:i4>
      </vt:variant>
      <vt:variant>
        <vt:lpwstr>https://service.vic.gov.au/about-us/service-victoria-identity-verification-standards</vt:lpwstr>
      </vt:variant>
      <vt:variant>
        <vt:lpwstr/>
      </vt:variant>
      <vt:variant>
        <vt:i4>8323129</vt:i4>
      </vt:variant>
      <vt:variant>
        <vt:i4>165</vt:i4>
      </vt:variant>
      <vt:variant>
        <vt:i4>0</vt:i4>
      </vt:variant>
      <vt:variant>
        <vt:i4>5</vt:i4>
      </vt:variant>
      <vt:variant>
        <vt:lpwstr>https://www.dtf.vic.gov.au/development-model-legislative-provisions</vt:lpwstr>
      </vt:variant>
      <vt:variant>
        <vt:lpwstr/>
      </vt:variant>
      <vt:variant>
        <vt:i4>2621488</vt:i4>
      </vt:variant>
      <vt:variant>
        <vt:i4>162</vt:i4>
      </vt:variant>
      <vt:variant>
        <vt:i4>0</vt:i4>
      </vt:variant>
      <vt:variant>
        <vt:i4>5</vt:i4>
      </vt:variant>
      <vt:variant>
        <vt:lpwstr>https://www.vic.gov.au/victorian-permissions-framework-guidance</vt:lpwstr>
      </vt:variant>
      <vt:variant>
        <vt:lpwstr/>
      </vt:variant>
      <vt:variant>
        <vt:i4>2621488</vt:i4>
      </vt:variant>
      <vt:variant>
        <vt:i4>159</vt:i4>
      </vt:variant>
      <vt:variant>
        <vt:i4>0</vt:i4>
      </vt:variant>
      <vt:variant>
        <vt:i4>5</vt:i4>
      </vt:variant>
      <vt:variant>
        <vt:lpwstr>https://www.vic.gov.au/victorian-permissions-framework-guidance</vt:lpwstr>
      </vt:variant>
      <vt:variant>
        <vt:lpwstr/>
      </vt:variant>
      <vt:variant>
        <vt:i4>2031667</vt:i4>
      </vt:variant>
      <vt:variant>
        <vt:i4>152</vt:i4>
      </vt:variant>
      <vt:variant>
        <vt:i4>0</vt:i4>
      </vt:variant>
      <vt:variant>
        <vt:i4>5</vt:i4>
      </vt:variant>
      <vt:variant>
        <vt:lpwstr/>
      </vt:variant>
      <vt:variant>
        <vt:lpwstr>_Toc178780280</vt:lpwstr>
      </vt:variant>
      <vt:variant>
        <vt:i4>1048627</vt:i4>
      </vt:variant>
      <vt:variant>
        <vt:i4>146</vt:i4>
      </vt:variant>
      <vt:variant>
        <vt:i4>0</vt:i4>
      </vt:variant>
      <vt:variant>
        <vt:i4>5</vt:i4>
      </vt:variant>
      <vt:variant>
        <vt:lpwstr/>
      </vt:variant>
      <vt:variant>
        <vt:lpwstr>_Toc178780279</vt:lpwstr>
      </vt:variant>
      <vt:variant>
        <vt:i4>1048627</vt:i4>
      </vt:variant>
      <vt:variant>
        <vt:i4>140</vt:i4>
      </vt:variant>
      <vt:variant>
        <vt:i4>0</vt:i4>
      </vt:variant>
      <vt:variant>
        <vt:i4>5</vt:i4>
      </vt:variant>
      <vt:variant>
        <vt:lpwstr/>
      </vt:variant>
      <vt:variant>
        <vt:lpwstr>_Toc178780278</vt:lpwstr>
      </vt:variant>
      <vt:variant>
        <vt:i4>1114163</vt:i4>
      </vt:variant>
      <vt:variant>
        <vt:i4>134</vt:i4>
      </vt:variant>
      <vt:variant>
        <vt:i4>0</vt:i4>
      </vt:variant>
      <vt:variant>
        <vt:i4>5</vt:i4>
      </vt:variant>
      <vt:variant>
        <vt:lpwstr/>
      </vt:variant>
      <vt:variant>
        <vt:lpwstr>_Toc178780269</vt:lpwstr>
      </vt:variant>
      <vt:variant>
        <vt:i4>1114163</vt:i4>
      </vt:variant>
      <vt:variant>
        <vt:i4>128</vt:i4>
      </vt:variant>
      <vt:variant>
        <vt:i4>0</vt:i4>
      </vt:variant>
      <vt:variant>
        <vt:i4>5</vt:i4>
      </vt:variant>
      <vt:variant>
        <vt:lpwstr/>
      </vt:variant>
      <vt:variant>
        <vt:lpwstr>_Toc178780268</vt:lpwstr>
      </vt:variant>
      <vt:variant>
        <vt:i4>1114163</vt:i4>
      </vt:variant>
      <vt:variant>
        <vt:i4>122</vt:i4>
      </vt:variant>
      <vt:variant>
        <vt:i4>0</vt:i4>
      </vt:variant>
      <vt:variant>
        <vt:i4>5</vt:i4>
      </vt:variant>
      <vt:variant>
        <vt:lpwstr/>
      </vt:variant>
      <vt:variant>
        <vt:lpwstr>_Toc178780267</vt:lpwstr>
      </vt:variant>
      <vt:variant>
        <vt:i4>1114163</vt:i4>
      </vt:variant>
      <vt:variant>
        <vt:i4>116</vt:i4>
      </vt:variant>
      <vt:variant>
        <vt:i4>0</vt:i4>
      </vt:variant>
      <vt:variant>
        <vt:i4>5</vt:i4>
      </vt:variant>
      <vt:variant>
        <vt:lpwstr/>
      </vt:variant>
      <vt:variant>
        <vt:lpwstr>_Toc178780266</vt:lpwstr>
      </vt:variant>
      <vt:variant>
        <vt:i4>1179699</vt:i4>
      </vt:variant>
      <vt:variant>
        <vt:i4>110</vt:i4>
      </vt:variant>
      <vt:variant>
        <vt:i4>0</vt:i4>
      </vt:variant>
      <vt:variant>
        <vt:i4>5</vt:i4>
      </vt:variant>
      <vt:variant>
        <vt:lpwstr/>
      </vt:variant>
      <vt:variant>
        <vt:lpwstr>_Toc178780258</vt:lpwstr>
      </vt:variant>
      <vt:variant>
        <vt:i4>1179699</vt:i4>
      </vt:variant>
      <vt:variant>
        <vt:i4>104</vt:i4>
      </vt:variant>
      <vt:variant>
        <vt:i4>0</vt:i4>
      </vt:variant>
      <vt:variant>
        <vt:i4>5</vt:i4>
      </vt:variant>
      <vt:variant>
        <vt:lpwstr/>
      </vt:variant>
      <vt:variant>
        <vt:lpwstr>_Toc178780257</vt:lpwstr>
      </vt:variant>
      <vt:variant>
        <vt:i4>1245235</vt:i4>
      </vt:variant>
      <vt:variant>
        <vt:i4>98</vt:i4>
      </vt:variant>
      <vt:variant>
        <vt:i4>0</vt:i4>
      </vt:variant>
      <vt:variant>
        <vt:i4>5</vt:i4>
      </vt:variant>
      <vt:variant>
        <vt:lpwstr/>
      </vt:variant>
      <vt:variant>
        <vt:lpwstr>_Toc178780245</vt:lpwstr>
      </vt:variant>
      <vt:variant>
        <vt:i4>1310771</vt:i4>
      </vt:variant>
      <vt:variant>
        <vt:i4>92</vt:i4>
      </vt:variant>
      <vt:variant>
        <vt:i4>0</vt:i4>
      </vt:variant>
      <vt:variant>
        <vt:i4>5</vt:i4>
      </vt:variant>
      <vt:variant>
        <vt:lpwstr/>
      </vt:variant>
      <vt:variant>
        <vt:lpwstr>_Toc178780239</vt:lpwstr>
      </vt:variant>
      <vt:variant>
        <vt:i4>1310771</vt:i4>
      </vt:variant>
      <vt:variant>
        <vt:i4>86</vt:i4>
      </vt:variant>
      <vt:variant>
        <vt:i4>0</vt:i4>
      </vt:variant>
      <vt:variant>
        <vt:i4>5</vt:i4>
      </vt:variant>
      <vt:variant>
        <vt:lpwstr/>
      </vt:variant>
      <vt:variant>
        <vt:lpwstr>_Toc178780238</vt:lpwstr>
      </vt:variant>
      <vt:variant>
        <vt:i4>1310771</vt:i4>
      </vt:variant>
      <vt:variant>
        <vt:i4>80</vt:i4>
      </vt:variant>
      <vt:variant>
        <vt:i4>0</vt:i4>
      </vt:variant>
      <vt:variant>
        <vt:i4>5</vt:i4>
      </vt:variant>
      <vt:variant>
        <vt:lpwstr/>
      </vt:variant>
      <vt:variant>
        <vt:lpwstr>_Toc178780232</vt:lpwstr>
      </vt:variant>
      <vt:variant>
        <vt:i4>1441843</vt:i4>
      </vt:variant>
      <vt:variant>
        <vt:i4>74</vt:i4>
      </vt:variant>
      <vt:variant>
        <vt:i4>0</vt:i4>
      </vt:variant>
      <vt:variant>
        <vt:i4>5</vt:i4>
      </vt:variant>
      <vt:variant>
        <vt:lpwstr/>
      </vt:variant>
      <vt:variant>
        <vt:lpwstr>_Toc178780218</vt:lpwstr>
      </vt:variant>
      <vt:variant>
        <vt:i4>1507379</vt:i4>
      </vt:variant>
      <vt:variant>
        <vt:i4>68</vt:i4>
      </vt:variant>
      <vt:variant>
        <vt:i4>0</vt:i4>
      </vt:variant>
      <vt:variant>
        <vt:i4>5</vt:i4>
      </vt:variant>
      <vt:variant>
        <vt:lpwstr/>
      </vt:variant>
      <vt:variant>
        <vt:lpwstr>_Toc178780209</vt:lpwstr>
      </vt:variant>
      <vt:variant>
        <vt:i4>1507379</vt:i4>
      </vt:variant>
      <vt:variant>
        <vt:i4>62</vt:i4>
      </vt:variant>
      <vt:variant>
        <vt:i4>0</vt:i4>
      </vt:variant>
      <vt:variant>
        <vt:i4>5</vt:i4>
      </vt:variant>
      <vt:variant>
        <vt:lpwstr/>
      </vt:variant>
      <vt:variant>
        <vt:lpwstr>_Toc178780208</vt:lpwstr>
      </vt:variant>
      <vt:variant>
        <vt:i4>1507379</vt:i4>
      </vt:variant>
      <vt:variant>
        <vt:i4>56</vt:i4>
      </vt:variant>
      <vt:variant>
        <vt:i4>0</vt:i4>
      </vt:variant>
      <vt:variant>
        <vt:i4>5</vt:i4>
      </vt:variant>
      <vt:variant>
        <vt:lpwstr/>
      </vt:variant>
      <vt:variant>
        <vt:lpwstr>_Toc178780207</vt:lpwstr>
      </vt:variant>
      <vt:variant>
        <vt:i4>1966128</vt:i4>
      </vt:variant>
      <vt:variant>
        <vt:i4>50</vt:i4>
      </vt:variant>
      <vt:variant>
        <vt:i4>0</vt:i4>
      </vt:variant>
      <vt:variant>
        <vt:i4>5</vt:i4>
      </vt:variant>
      <vt:variant>
        <vt:lpwstr/>
      </vt:variant>
      <vt:variant>
        <vt:lpwstr>_Toc178780197</vt:lpwstr>
      </vt:variant>
      <vt:variant>
        <vt:i4>1966128</vt:i4>
      </vt:variant>
      <vt:variant>
        <vt:i4>44</vt:i4>
      </vt:variant>
      <vt:variant>
        <vt:i4>0</vt:i4>
      </vt:variant>
      <vt:variant>
        <vt:i4>5</vt:i4>
      </vt:variant>
      <vt:variant>
        <vt:lpwstr/>
      </vt:variant>
      <vt:variant>
        <vt:lpwstr>_Toc178780196</vt:lpwstr>
      </vt:variant>
      <vt:variant>
        <vt:i4>1114160</vt:i4>
      </vt:variant>
      <vt:variant>
        <vt:i4>38</vt:i4>
      </vt:variant>
      <vt:variant>
        <vt:i4>0</vt:i4>
      </vt:variant>
      <vt:variant>
        <vt:i4>5</vt:i4>
      </vt:variant>
      <vt:variant>
        <vt:lpwstr/>
      </vt:variant>
      <vt:variant>
        <vt:lpwstr>_Toc178780169</vt:lpwstr>
      </vt:variant>
      <vt:variant>
        <vt:i4>1114160</vt:i4>
      </vt:variant>
      <vt:variant>
        <vt:i4>32</vt:i4>
      </vt:variant>
      <vt:variant>
        <vt:i4>0</vt:i4>
      </vt:variant>
      <vt:variant>
        <vt:i4>5</vt:i4>
      </vt:variant>
      <vt:variant>
        <vt:lpwstr/>
      </vt:variant>
      <vt:variant>
        <vt:lpwstr>_Toc178780168</vt:lpwstr>
      </vt:variant>
      <vt:variant>
        <vt:i4>1114160</vt:i4>
      </vt:variant>
      <vt:variant>
        <vt:i4>26</vt:i4>
      </vt:variant>
      <vt:variant>
        <vt:i4>0</vt:i4>
      </vt:variant>
      <vt:variant>
        <vt:i4>5</vt:i4>
      </vt:variant>
      <vt:variant>
        <vt:lpwstr/>
      </vt:variant>
      <vt:variant>
        <vt:lpwstr>_Toc178780167</vt:lpwstr>
      </vt:variant>
      <vt:variant>
        <vt:i4>1114160</vt:i4>
      </vt:variant>
      <vt:variant>
        <vt:i4>20</vt:i4>
      </vt:variant>
      <vt:variant>
        <vt:i4>0</vt:i4>
      </vt:variant>
      <vt:variant>
        <vt:i4>5</vt:i4>
      </vt:variant>
      <vt:variant>
        <vt:lpwstr/>
      </vt:variant>
      <vt:variant>
        <vt:lpwstr>_Toc178780165</vt:lpwstr>
      </vt:variant>
      <vt:variant>
        <vt:i4>1114160</vt:i4>
      </vt:variant>
      <vt:variant>
        <vt:i4>14</vt:i4>
      </vt:variant>
      <vt:variant>
        <vt:i4>0</vt:i4>
      </vt:variant>
      <vt:variant>
        <vt:i4>5</vt:i4>
      </vt:variant>
      <vt:variant>
        <vt:lpwstr/>
      </vt:variant>
      <vt:variant>
        <vt:lpwstr>_Toc178780164</vt:lpwstr>
      </vt:variant>
      <vt:variant>
        <vt:i4>1114160</vt:i4>
      </vt:variant>
      <vt:variant>
        <vt:i4>8</vt:i4>
      </vt:variant>
      <vt:variant>
        <vt:i4>0</vt:i4>
      </vt:variant>
      <vt:variant>
        <vt:i4>5</vt:i4>
      </vt:variant>
      <vt:variant>
        <vt:lpwstr/>
      </vt:variant>
      <vt:variant>
        <vt:lpwstr>_Toc178780163</vt:lpwstr>
      </vt:variant>
      <vt:variant>
        <vt:i4>1114160</vt:i4>
      </vt:variant>
      <vt:variant>
        <vt:i4>2</vt:i4>
      </vt:variant>
      <vt:variant>
        <vt:i4>0</vt:i4>
      </vt:variant>
      <vt:variant>
        <vt:i4>5</vt:i4>
      </vt:variant>
      <vt:variant>
        <vt:lpwstr/>
      </vt:variant>
      <vt:variant>
        <vt:lpwstr>_Toc178780162</vt:lpwstr>
      </vt:variant>
      <vt:variant>
        <vt:i4>1638481</vt:i4>
      </vt:variant>
      <vt:variant>
        <vt:i4>6</vt:i4>
      </vt:variant>
      <vt:variant>
        <vt:i4>0</vt:i4>
      </vt:variant>
      <vt:variant>
        <vt:i4>5</vt:i4>
      </vt:variant>
      <vt:variant>
        <vt:lpwstr>https://www.justice.vic.gov.au/spent-convictions</vt:lpwstr>
      </vt:variant>
      <vt:variant>
        <vt:lpwstr/>
      </vt:variant>
      <vt:variant>
        <vt:i4>6357048</vt:i4>
      </vt:variant>
      <vt:variant>
        <vt:i4>3</vt:i4>
      </vt:variant>
      <vt:variant>
        <vt:i4>0</vt:i4>
      </vt:variant>
      <vt:variant>
        <vt:i4>5</vt:i4>
      </vt:variant>
      <vt:variant>
        <vt:lpwstr>https://engage.vic.gov.au/review-of-the-spent-convictions-act-2021</vt:lpwstr>
      </vt:variant>
      <vt:variant>
        <vt:lpwstr/>
      </vt:variant>
      <vt:variant>
        <vt:i4>1638481</vt:i4>
      </vt:variant>
      <vt:variant>
        <vt:i4>0</vt:i4>
      </vt:variant>
      <vt:variant>
        <vt:i4>0</vt:i4>
      </vt:variant>
      <vt:variant>
        <vt:i4>5</vt:i4>
      </vt:variant>
      <vt:variant>
        <vt:lpwstr>https://www.justice.vic.gov.au/spent-convictions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2025-05-08T22:54:00Z</dcterms:created>
  <dcterms:modified xsi:type="dcterms:W3CDTF">2025-05-08T22:54:00Z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4ee517-5ca4-4fff-98d2-ed4f906edd6d_Enabled">
    <vt:lpwstr>true</vt:lpwstr>
  </property>
  <property fmtid="{D5CDD505-2E9C-101B-9397-08002B2CF9AE}" pid="3" name="MSIP_Label_bb4ee517-5ca4-4fff-98d2-ed4f906edd6d_Method">
    <vt:lpwstr>Privileged</vt:lpwstr>
  </property>
  <property fmtid="{D5CDD505-2E9C-101B-9397-08002B2CF9AE}" pid="4" name="MSIP_Label_bb4ee517-5ca4-4fff-98d2-ed4f906edd6d_Name">
    <vt:lpwstr>bb4ee517-5ca4-4fff-98d2-ed4f906edd6d</vt:lpwstr>
  </property>
  <property fmtid="{D5CDD505-2E9C-101B-9397-08002B2CF9AE}" pid="5" name="MSIP_Label_bb4ee517-5ca4-4fff-98d2-ed4f906edd6d_SiteId">
    <vt:lpwstr>722ea0be-3e1c-4b11-ad6f-9401d6856e24</vt:lpwstr>
  </property>
  <property fmtid="{D5CDD505-2E9C-101B-9397-08002B2CF9AE}" pid="6" name="MSIP_Label_bb4ee517-5ca4-4fff-98d2-ed4f906edd6d_ContentBits">
    <vt:lpwstr>0</vt:lpwstr>
  </property>
  <property fmtid="{D5CDD505-2E9C-101B-9397-08002B2CF9AE}" pid="7" name="MSIP_Label_bb4ee517-5ca4-4fff-98d2-ed4f906edd6d_Tag">
    <vt:lpwstr>10, 0, 1, 1</vt:lpwstr>
  </property>
  <property fmtid="{D5CDD505-2E9C-101B-9397-08002B2CF9AE}" pid="8" name="ClassificationContentMarkingFooterText">
    <vt:lpwstr>OFFICIAL</vt:lpwstr>
  </property>
  <property fmtid="{D5CDD505-2E9C-101B-9397-08002B2CF9AE}" pid="9" name="MediaServiceImageTags">
    <vt:lpwstr/>
  </property>
  <property fmtid="{D5CDD505-2E9C-101B-9397-08002B2CF9AE}" pid="10" name="ContentTypeId">
    <vt:lpwstr>0x010100E2859DFB47952C4E911DE9714EC95DB1</vt:lpwstr>
  </property>
  <property fmtid="{D5CDD505-2E9C-101B-9397-08002B2CF9AE}" pid="11" name="_dlc_DocIdItemGuid">
    <vt:lpwstr>0e624618-029f-40b9-9680-b2298ac9d571</vt:lpwstr>
  </property>
  <property fmtid="{D5CDD505-2E9C-101B-9397-08002B2CF9AE}" pid="12" name="ClassificationContentMarkingFooterShapeIds">
    <vt:lpwstr>11</vt:lpwstr>
  </property>
  <property fmtid="{D5CDD505-2E9C-101B-9397-08002B2CF9AE}" pid="13" name="ClassificationContentMarkingFooterFontProps">
    <vt:lpwstr>#000000,11,Calibri</vt:lpwstr>
  </property>
  <property fmtid="{D5CDD505-2E9C-101B-9397-08002B2CF9AE}" pid="14" name="MSIP_Label_bb4ee517-5ca4-4fff-98d2-ed4f906edd6d_SetDate">
    <vt:lpwstr>2025-05-07T23:50:08Z</vt:lpwstr>
  </property>
  <property fmtid="{D5CDD505-2E9C-101B-9397-08002B2CF9AE}" pid="15" name="MSIP_Label_bb4ee517-5ca4-4fff-98d2-ed4f906edd6d_ActionId">
    <vt:lpwstr>891ad907-6d02-4dbc-b125-bfb754597ffa</vt:lpwstr>
  </property>
  <property fmtid="{D5CDD505-2E9C-101B-9397-08002B2CF9AE}" pid="16" name="GrammarlyDocumentId">
    <vt:lpwstr>7a9639d1-1852-4bad-aa96-d2f0a96f8324</vt:lpwstr>
  </property>
</Properties>
</file>